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drawings/drawing1.xml" ContentType="application/vnd.openxmlformats-officedocument.drawingml.chartshapes+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footer3.xml" ContentType="application/vnd.openxmlformats-officedocument.wordprocessingml.footer+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41C0E29" w14:textId="40CB8167" w:rsidR="00C4454D" w:rsidRPr="00A735B4" w:rsidRDefault="00BD55CF" w:rsidP="00C4454D">
      <w:pPr>
        <w:jc w:val="center"/>
        <w:rPr>
          <w:b/>
          <w:sz w:val="32"/>
          <w:szCs w:val="28"/>
        </w:rPr>
      </w:pPr>
      <w:r>
        <w:rPr>
          <w:b/>
          <w:noProof/>
          <w:sz w:val="32"/>
          <w:szCs w:val="28"/>
        </w:rPr>
        <mc:AlternateContent>
          <mc:Choice Requires="wps">
            <w:drawing>
              <wp:anchor distT="0" distB="0" distL="114300" distR="114300" simplePos="0" relativeHeight="251707392" behindDoc="0" locked="0" layoutInCell="1" allowOverlap="1" wp14:anchorId="5A303158" wp14:editId="1D9316D1">
                <wp:simplePos x="0" y="0"/>
                <wp:positionH relativeFrom="column">
                  <wp:posOffset>5314950</wp:posOffset>
                </wp:positionH>
                <wp:positionV relativeFrom="paragraph">
                  <wp:posOffset>-933450</wp:posOffset>
                </wp:positionV>
                <wp:extent cx="1171575" cy="36195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1171575"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85E8E6" w14:textId="33C1A771" w:rsidR="00BD55CF" w:rsidRPr="00BD55CF" w:rsidRDefault="00BD55CF">
                            <w:pPr>
                              <w:rPr>
                                <w:rFonts w:ascii="Arial" w:hAnsi="Arial" w:cs="Arial"/>
                                <w:sz w:val="44"/>
                                <w:szCs w:val="44"/>
                              </w:rPr>
                            </w:pPr>
                            <w:r w:rsidRPr="00BD55CF">
                              <w:rPr>
                                <w:rFonts w:ascii="Arial" w:hAnsi="Arial" w:cs="Arial"/>
                                <w:sz w:val="44"/>
                                <w:szCs w:val="44"/>
                              </w:rPr>
                              <w:t>96829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A303158" id="_x0000_t202" coordsize="21600,21600" o:spt="202" path="m,l,21600r21600,l21600,xe">
                <v:stroke joinstyle="miter"/>
                <v:path gradientshapeok="t" o:connecttype="rect"/>
              </v:shapetype>
              <v:shape id="Text Box 11" o:spid="_x0000_s1026" type="#_x0000_t202" style="position:absolute;left:0;text-align:left;margin-left:418.5pt;margin-top:-73.5pt;width:92.25pt;height:28.5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" filled="f" stroked="f" strokeweight=".5pt">
                <v:textbox>
                  <w:txbxContent>
                    <w:p w14:paraId="3F85E8E6" w14:textId="33C1A771" w:rsidR="00BD55CF" w:rsidRPr="00BD55CF" w:rsidRDefault="00BD55CF">
                      <w:pPr>
                        <w:rPr>
                          <w:rFonts w:ascii="Arial" w:hAnsi="Arial" w:cs="Arial"/>
                          <w:sz w:val="44"/>
                          <w:szCs w:val="44"/>
                        </w:rPr>
                      </w:pPr>
                      <w:r w:rsidRPr="00BD55CF">
                        <w:rPr>
                          <w:rFonts w:ascii="Arial" w:hAnsi="Arial" w:cs="Arial"/>
                          <w:sz w:val="44"/>
                          <w:szCs w:val="44"/>
                        </w:rPr>
                        <w:t>96829</w:t>
                      </w:r>
                    </w:p>
                  </w:txbxContent>
                </v:textbox>
              </v:shape>
            </w:pict>
          </mc:Fallback>
        </mc:AlternateContent>
      </w:r>
      <w:r w:rsidR="00C4454D" w:rsidRPr="00A735B4">
        <w:rPr>
          <w:b/>
          <w:sz w:val="32"/>
          <w:szCs w:val="28"/>
        </w:rPr>
        <w:t>Indicators to Monitor Deeper</w:t>
      </w:r>
    </w:p>
    <w:p w14:paraId="03582226" w14:textId="77777777" w:rsidR="00C4454D" w:rsidRPr="00A735B4" w:rsidRDefault="00C4454D" w:rsidP="00C4454D">
      <w:pPr>
        <w:jc w:val="center"/>
        <w:rPr>
          <w:b/>
          <w:sz w:val="32"/>
          <w:szCs w:val="28"/>
        </w:rPr>
      </w:pPr>
      <w:bookmarkStart w:id="0" w:name="_GoBack"/>
      <w:bookmarkEnd w:id="0"/>
    </w:p>
    <w:p w14:paraId="6722CAD1" w14:textId="77777777" w:rsidR="00C4454D" w:rsidRPr="00A735B4" w:rsidRDefault="00C4454D" w:rsidP="00C4454D">
      <w:pPr>
        <w:jc w:val="center"/>
        <w:rPr>
          <w:sz w:val="28"/>
        </w:rPr>
      </w:pPr>
      <w:r w:rsidRPr="00A735B4">
        <w:rPr>
          <w:b/>
          <w:sz w:val="32"/>
          <w:szCs w:val="28"/>
        </w:rPr>
        <w:t>Regional Trade Integration in Africa</w:t>
      </w:r>
    </w:p>
    <w:p w14:paraId="3CCBAAEA" w14:textId="77777777" w:rsidR="00C4454D" w:rsidRPr="00A735B4" w:rsidRDefault="00C4454D" w:rsidP="00C4454D">
      <w:pPr>
        <w:jc w:val="center"/>
      </w:pPr>
    </w:p>
    <w:p w14:paraId="6C689791" w14:textId="77777777" w:rsidR="00C4454D" w:rsidRPr="00A735B4" w:rsidRDefault="00C4454D" w:rsidP="00C4454D">
      <w:pPr>
        <w:jc w:val="center"/>
      </w:pPr>
    </w:p>
    <w:p w14:paraId="038B773D" w14:textId="77777777" w:rsidR="00C4454D" w:rsidRPr="00A735B4" w:rsidRDefault="00C4454D" w:rsidP="00C4454D">
      <w:pPr>
        <w:jc w:val="center"/>
      </w:pPr>
    </w:p>
    <w:p w14:paraId="1869FF75" w14:textId="77777777" w:rsidR="00C4454D" w:rsidRPr="00A735B4" w:rsidRDefault="00C4454D" w:rsidP="00C4454D">
      <w:pPr>
        <w:jc w:val="center"/>
      </w:pPr>
    </w:p>
    <w:p w14:paraId="3579E9FF" w14:textId="77777777" w:rsidR="00C4454D" w:rsidRPr="00A735B4" w:rsidRDefault="00C4454D" w:rsidP="00C4454D">
      <w:pPr>
        <w:jc w:val="center"/>
      </w:pPr>
    </w:p>
    <w:p w14:paraId="2112A1D9" w14:textId="77777777" w:rsidR="00C4454D" w:rsidRPr="00A735B4" w:rsidRDefault="00C4454D" w:rsidP="00C4454D">
      <w:pPr>
        <w:jc w:val="center"/>
      </w:pPr>
    </w:p>
    <w:p w14:paraId="62D7BCE0" w14:textId="77777777" w:rsidR="00C4454D" w:rsidRPr="00A735B4" w:rsidRDefault="00C4454D" w:rsidP="00C4454D">
      <w:pPr>
        <w:jc w:val="center"/>
      </w:pPr>
    </w:p>
    <w:p w14:paraId="0975BC50" w14:textId="77777777" w:rsidR="00C4454D" w:rsidRPr="00A735B4" w:rsidRDefault="00C4454D" w:rsidP="00C4454D">
      <w:pPr>
        <w:jc w:val="center"/>
      </w:pPr>
      <w:r w:rsidRPr="00A735B4">
        <w:rPr>
          <w:noProof/>
        </w:rPr>
        <w:drawing>
          <wp:inline distT="0" distB="0" distL="0" distR="0" wp14:anchorId="3B723E80" wp14:editId="28D49742">
            <wp:extent cx="2743200" cy="2743200"/>
            <wp:effectExtent l="0" t="0" r="0" b="0"/>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rica3-360x360.png"/>
                    <pic:cNvPicPr/>
                  </pic:nvPicPr>
                  <pic:blipFill>
                    <a:blip r:embed="rId7">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p>
    <w:p w14:paraId="04C601DD" w14:textId="77777777" w:rsidR="00C4454D" w:rsidRPr="00A735B4" w:rsidRDefault="00C4454D" w:rsidP="00C4454D">
      <w:pPr>
        <w:jc w:val="center"/>
      </w:pPr>
    </w:p>
    <w:p w14:paraId="3B4222A0" w14:textId="77777777" w:rsidR="00C4454D" w:rsidRPr="00A735B4" w:rsidRDefault="00C4454D" w:rsidP="00C4454D">
      <w:pPr>
        <w:jc w:val="center"/>
      </w:pPr>
    </w:p>
    <w:p w14:paraId="73371576" w14:textId="77777777" w:rsidR="00C4454D" w:rsidRPr="00A735B4" w:rsidRDefault="00C4454D" w:rsidP="00C4454D">
      <w:pPr>
        <w:jc w:val="center"/>
      </w:pPr>
    </w:p>
    <w:p w14:paraId="233F38B2" w14:textId="77777777" w:rsidR="00C4454D" w:rsidRPr="00A735B4" w:rsidRDefault="00C4454D" w:rsidP="00C4454D">
      <w:pPr>
        <w:jc w:val="center"/>
      </w:pPr>
    </w:p>
    <w:p w14:paraId="4B6EBCA3" w14:textId="77777777" w:rsidR="00C4454D" w:rsidRPr="00A735B4" w:rsidRDefault="00C4454D" w:rsidP="00C4454D">
      <w:pPr>
        <w:jc w:val="center"/>
      </w:pPr>
    </w:p>
    <w:p w14:paraId="724786FD" w14:textId="77777777" w:rsidR="00C4454D" w:rsidRPr="00A735B4" w:rsidRDefault="00C4454D" w:rsidP="00C4454D">
      <w:pPr>
        <w:jc w:val="center"/>
      </w:pPr>
    </w:p>
    <w:p w14:paraId="3D128694" w14:textId="77777777" w:rsidR="00C4454D" w:rsidRPr="00A735B4" w:rsidRDefault="00C4454D" w:rsidP="00C4454D">
      <w:pPr>
        <w:jc w:val="center"/>
      </w:pPr>
    </w:p>
    <w:p w14:paraId="0AC1C08C" w14:textId="77777777" w:rsidR="00C4454D" w:rsidRPr="00A735B4" w:rsidRDefault="00C4454D" w:rsidP="00C4454D">
      <w:pPr>
        <w:jc w:val="center"/>
      </w:pPr>
    </w:p>
    <w:p w14:paraId="46047A19" w14:textId="77777777" w:rsidR="00C4454D" w:rsidRPr="00A735B4" w:rsidRDefault="00C4454D" w:rsidP="00C4454D">
      <w:pPr>
        <w:jc w:val="center"/>
      </w:pPr>
    </w:p>
    <w:p w14:paraId="34CCF69C" w14:textId="77777777" w:rsidR="00C4454D" w:rsidRPr="00A735B4" w:rsidRDefault="00C4454D" w:rsidP="00C4454D">
      <w:pPr>
        <w:jc w:val="center"/>
      </w:pPr>
    </w:p>
    <w:p w14:paraId="361D9D3B" w14:textId="77777777" w:rsidR="00C4454D" w:rsidRPr="00A735B4" w:rsidRDefault="00C4454D" w:rsidP="00C4454D">
      <w:pPr>
        <w:jc w:val="center"/>
      </w:pPr>
    </w:p>
    <w:p w14:paraId="2925C31E" w14:textId="77777777" w:rsidR="00C4454D" w:rsidRPr="00A735B4" w:rsidRDefault="00C4454D" w:rsidP="00C4454D">
      <w:pPr>
        <w:jc w:val="center"/>
      </w:pPr>
    </w:p>
    <w:p w14:paraId="28BB11D8" w14:textId="77777777" w:rsidR="00C4454D" w:rsidRPr="00A735B4" w:rsidRDefault="00C4454D" w:rsidP="00C4454D">
      <w:pPr>
        <w:jc w:val="center"/>
      </w:pPr>
    </w:p>
    <w:p w14:paraId="2BA84AEF" w14:textId="77777777" w:rsidR="00C4454D" w:rsidRPr="00A735B4" w:rsidRDefault="00C4454D" w:rsidP="00C4454D">
      <w:pPr>
        <w:jc w:val="center"/>
      </w:pPr>
    </w:p>
    <w:p w14:paraId="52A2E5F1" w14:textId="77777777" w:rsidR="00C4454D" w:rsidRPr="00A735B4" w:rsidRDefault="00C4454D" w:rsidP="00C4454D">
      <w:pPr>
        <w:jc w:val="center"/>
        <w:rPr>
          <w:rFonts w:asciiTheme="majorHAnsi" w:hAnsiTheme="majorHAnsi"/>
          <w:b/>
          <w:color w:val="365F91" w:themeColor="accent1" w:themeShade="BF"/>
          <w:sz w:val="28"/>
          <w:szCs w:val="28"/>
        </w:rPr>
      </w:pPr>
      <w:r w:rsidRPr="00A735B4">
        <w:br w:type="page"/>
      </w:r>
      <w:r w:rsidRPr="00A735B4">
        <w:lastRenderedPageBreak/>
        <w:br w:type="page"/>
      </w:r>
      <w:r w:rsidRPr="00A735B4">
        <w:rPr>
          <w:rFonts w:asciiTheme="majorHAnsi" w:hAnsiTheme="majorHAnsi"/>
          <w:b/>
          <w:color w:val="365F91" w:themeColor="accent1" w:themeShade="BF"/>
          <w:sz w:val="28"/>
          <w:szCs w:val="28"/>
        </w:rPr>
        <w:lastRenderedPageBreak/>
        <w:t>Abbreviations and Acronyms</w:t>
      </w:r>
    </w:p>
    <w:p w14:paraId="4E5C29E3" w14:textId="77777777" w:rsidR="00C4454D" w:rsidRPr="00A735B4" w:rsidRDefault="00C4454D" w:rsidP="00C4454D">
      <w:pPr>
        <w:rPr>
          <w:rFonts w:asciiTheme="majorHAnsi" w:hAnsiTheme="majorHAnsi"/>
        </w:rPr>
      </w:pPr>
    </w:p>
    <w:p w14:paraId="40BFD36A" w14:textId="77777777" w:rsidR="00C4454D" w:rsidRPr="00A735B4" w:rsidRDefault="00C4454D" w:rsidP="00C4454D">
      <w:pPr>
        <w:rPr>
          <w:rFonts w:asciiTheme="majorHAnsi" w:hAnsiTheme="majorHAnsi"/>
        </w:rPr>
      </w:pPr>
    </w:p>
    <w:p w14:paraId="1A1E5D35" w14:textId="77777777" w:rsidR="00C4454D" w:rsidRPr="00A735B4" w:rsidRDefault="00C4454D" w:rsidP="00C4454D">
      <w:r w:rsidRPr="00A735B4">
        <w:rPr>
          <w:rFonts w:asciiTheme="majorHAnsi" w:hAnsiTheme="majorHAnsi"/>
        </w:rPr>
        <w:t>ALCO</w:t>
      </w:r>
      <w:r w:rsidRPr="00A735B4">
        <w:rPr>
          <w:rFonts w:asciiTheme="majorHAnsi" w:hAnsiTheme="majorHAnsi"/>
        </w:rPr>
        <w:tab/>
      </w:r>
      <w:r w:rsidRPr="00A735B4">
        <w:rPr>
          <w:rFonts w:asciiTheme="majorHAnsi" w:hAnsiTheme="majorHAnsi"/>
        </w:rPr>
        <w:tab/>
        <w:t>Abidjan-Lagos Corridor Organization</w:t>
      </w:r>
    </w:p>
    <w:p w14:paraId="19EA699C" w14:textId="6196F413" w:rsidR="00C4454D" w:rsidRPr="00A735B4" w:rsidRDefault="00C4454D" w:rsidP="00C4454D">
      <w:r w:rsidRPr="00A735B4">
        <w:t>ASEAN</w:t>
      </w:r>
      <w:r w:rsidRPr="00A735B4">
        <w:tab/>
        <w:t>Association of Southeast Asian Nations</w:t>
      </w:r>
    </w:p>
    <w:p w14:paraId="50E257B8" w14:textId="77777777" w:rsidR="00C4454D" w:rsidRPr="00A735B4" w:rsidRDefault="00C4454D" w:rsidP="00C4454D">
      <w:pPr>
        <w:rPr>
          <w:rFonts w:asciiTheme="majorHAnsi" w:hAnsiTheme="majorHAnsi"/>
        </w:rPr>
      </w:pPr>
      <w:r w:rsidRPr="00A735B4">
        <w:rPr>
          <w:rFonts w:asciiTheme="majorHAnsi" w:hAnsiTheme="majorHAnsi"/>
        </w:rPr>
        <w:t>ASYCUDA</w:t>
      </w:r>
      <w:r w:rsidRPr="00A735B4">
        <w:rPr>
          <w:rFonts w:asciiTheme="majorHAnsi" w:hAnsiTheme="majorHAnsi"/>
        </w:rPr>
        <w:tab/>
      </w:r>
      <w:r w:rsidRPr="00A735B4">
        <w:t>Automated SYstem for CUstoms DAta</w:t>
      </w:r>
    </w:p>
    <w:p w14:paraId="164C03B7" w14:textId="77777777" w:rsidR="00C4454D" w:rsidRPr="00A735B4" w:rsidRDefault="00C4454D" w:rsidP="00C4454D">
      <w:pPr>
        <w:rPr>
          <w:rFonts w:asciiTheme="majorHAnsi" w:hAnsiTheme="majorHAnsi"/>
        </w:rPr>
      </w:pPr>
      <w:r w:rsidRPr="00A735B4">
        <w:rPr>
          <w:rFonts w:asciiTheme="majorHAnsi" w:hAnsiTheme="majorHAnsi"/>
        </w:rPr>
        <w:t>CET</w:t>
      </w:r>
      <w:r w:rsidRPr="00A735B4">
        <w:rPr>
          <w:rFonts w:asciiTheme="majorHAnsi" w:hAnsiTheme="majorHAnsi"/>
        </w:rPr>
        <w:tab/>
      </w:r>
      <w:r w:rsidRPr="00A735B4">
        <w:rPr>
          <w:rFonts w:asciiTheme="majorHAnsi" w:hAnsiTheme="majorHAnsi"/>
        </w:rPr>
        <w:tab/>
        <w:t>common external tariff</w:t>
      </w:r>
    </w:p>
    <w:p w14:paraId="7D373D19" w14:textId="77777777" w:rsidR="00C4454D" w:rsidRPr="00A735B4" w:rsidRDefault="00C4454D" w:rsidP="00C4454D">
      <w:r w:rsidRPr="00A735B4">
        <w:t>CIF</w:t>
      </w:r>
      <w:r w:rsidRPr="00A735B4">
        <w:tab/>
      </w:r>
      <w:r w:rsidRPr="00A735B4">
        <w:tab/>
        <w:t>cost, insurance, and freight</w:t>
      </w:r>
    </w:p>
    <w:p w14:paraId="4B2FDC12" w14:textId="77777777" w:rsidR="00C4454D" w:rsidRPr="00A735B4" w:rsidRDefault="00C4454D" w:rsidP="00C4454D">
      <w:r w:rsidRPr="00A735B4">
        <w:t>CILSS</w:t>
      </w:r>
      <w:r w:rsidRPr="00A735B4">
        <w:tab/>
      </w:r>
      <w:r w:rsidRPr="00A735B4">
        <w:tab/>
        <w:t xml:space="preserve">Permanent Interstate Committee for Drought Control in the Sahel </w:t>
      </w:r>
    </w:p>
    <w:p w14:paraId="061A7F46" w14:textId="77777777" w:rsidR="00C4454D" w:rsidRPr="00A735B4" w:rsidRDefault="00C4454D" w:rsidP="00C4454D">
      <w:pPr>
        <w:rPr>
          <w:rFonts w:asciiTheme="majorHAnsi" w:hAnsiTheme="majorHAnsi"/>
        </w:rPr>
      </w:pPr>
      <w:r w:rsidRPr="00A735B4">
        <w:rPr>
          <w:rFonts w:asciiTheme="majorHAnsi" w:hAnsiTheme="majorHAnsi"/>
        </w:rPr>
        <w:t>COMESA</w:t>
      </w:r>
      <w:r w:rsidRPr="00A735B4">
        <w:rPr>
          <w:rFonts w:asciiTheme="majorHAnsi" w:hAnsiTheme="majorHAnsi"/>
        </w:rPr>
        <w:tab/>
        <w:t>Common Market for Eastern and Southern Africa</w:t>
      </w:r>
    </w:p>
    <w:p w14:paraId="41916703" w14:textId="77777777" w:rsidR="00C4454D" w:rsidRPr="00A735B4" w:rsidRDefault="00C4454D" w:rsidP="00C4454D">
      <w:pPr>
        <w:rPr>
          <w:rFonts w:asciiTheme="majorHAnsi" w:hAnsiTheme="majorHAnsi"/>
        </w:rPr>
      </w:pPr>
      <w:r w:rsidRPr="00A735B4">
        <w:rPr>
          <w:rFonts w:asciiTheme="majorHAnsi" w:hAnsiTheme="majorHAnsi"/>
        </w:rPr>
        <w:t>EAC</w:t>
      </w:r>
      <w:r w:rsidRPr="00A735B4">
        <w:rPr>
          <w:rFonts w:asciiTheme="majorHAnsi" w:hAnsiTheme="majorHAnsi"/>
        </w:rPr>
        <w:tab/>
      </w:r>
      <w:r w:rsidRPr="00A735B4">
        <w:rPr>
          <w:rFonts w:asciiTheme="majorHAnsi" w:hAnsiTheme="majorHAnsi"/>
        </w:rPr>
        <w:tab/>
        <w:t>East African Community</w:t>
      </w:r>
    </w:p>
    <w:p w14:paraId="0229BBFB" w14:textId="77777777" w:rsidR="00C4454D" w:rsidRPr="00A735B4" w:rsidRDefault="00C4454D" w:rsidP="00C4454D">
      <w:pPr>
        <w:rPr>
          <w:rFonts w:asciiTheme="majorHAnsi" w:hAnsiTheme="majorHAnsi"/>
        </w:rPr>
      </w:pPr>
      <w:r w:rsidRPr="00A735B4">
        <w:rPr>
          <w:rFonts w:asciiTheme="majorHAnsi" w:hAnsiTheme="majorHAnsi"/>
        </w:rPr>
        <w:t>EBRD</w:t>
      </w:r>
      <w:r w:rsidRPr="00A735B4">
        <w:rPr>
          <w:rFonts w:asciiTheme="majorHAnsi" w:hAnsiTheme="majorHAnsi"/>
        </w:rPr>
        <w:tab/>
      </w:r>
      <w:r w:rsidRPr="00A735B4">
        <w:rPr>
          <w:rFonts w:asciiTheme="majorHAnsi" w:hAnsiTheme="majorHAnsi"/>
        </w:rPr>
        <w:tab/>
        <w:t>European Bank for Reconstruction and Development</w:t>
      </w:r>
    </w:p>
    <w:p w14:paraId="161D3027" w14:textId="77777777" w:rsidR="00C4454D" w:rsidRPr="00A735B4" w:rsidRDefault="00C4454D" w:rsidP="00C4454D">
      <w:pPr>
        <w:rPr>
          <w:rFonts w:asciiTheme="majorHAnsi" w:hAnsiTheme="majorHAnsi"/>
        </w:rPr>
      </w:pPr>
      <w:r w:rsidRPr="00A735B4">
        <w:rPr>
          <w:rFonts w:asciiTheme="majorHAnsi" w:hAnsiTheme="majorHAnsi"/>
        </w:rPr>
        <w:t>ECOWAS</w:t>
      </w:r>
      <w:r w:rsidRPr="00A735B4">
        <w:rPr>
          <w:rFonts w:asciiTheme="majorHAnsi" w:hAnsiTheme="majorHAnsi"/>
        </w:rPr>
        <w:tab/>
        <w:t xml:space="preserve">Economic Community of West African States </w:t>
      </w:r>
    </w:p>
    <w:p w14:paraId="78CD02D6" w14:textId="77777777" w:rsidR="00C4454D" w:rsidRPr="00A735B4" w:rsidRDefault="00C4454D" w:rsidP="00C4454D">
      <w:pPr>
        <w:rPr>
          <w:rFonts w:asciiTheme="majorHAnsi" w:hAnsiTheme="majorHAnsi"/>
        </w:rPr>
      </w:pPr>
      <w:r w:rsidRPr="00A735B4">
        <w:rPr>
          <w:rFonts w:asciiTheme="majorHAnsi" w:hAnsiTheme="majorHAnsi"/>
        </w:rPr>
        <w:t>FAO</w:t>
      </w:r>
      <w:r w:rsidRPr="00A735B4">
        <w:rPr>
          <w:rFonts w:asciiTheme="majorHAnsi" w:hAnsiTheme="majorHAnsi"/>
        </w:rPr>
        <w:tab/>
      </w:r>
      <w:r w:rsidRPr="00A735B4">
        <w:rPr>
          <w:rFonts w:asciiTheme="majorHAnsi" w:hAnsiTheme="majorHAnsi"/>
        </w:rPr>
        <w:tab/>
        <w:t>Food and Agriculture Organization</w:t>
      </w:r>
    </w:p>
    <w:p w14:paraId="6BF2C533" w14:textId="1D100A53" w:rsidR="00C4454D" w:rsidRPr="00A735B4" w:rsidRDefault="00C4454D" w:rsidP="00C4454D">
      <w:pPr>
        <w:rPr>
          <w:rFonts w:asciiTheme="majorHAnsi" w:eastAsia="Times New Roman" w:hAnsiTheme="majorHAnsi"/>
        </w:rPr>
      </w:pPr>
      <w:r w:rsidRPr="00A735B4">
        <w:rPr>
          <w:rFonts w:asciiTheme="majorHAnsi" w:hAnsiTheme="majorHAnsi"/>
        </w:rPr>
        <w:t>FAO/GIEWS</w:t>
      </w:r>
      <w:r w:rsidRPr="00A735B4">
        <w:rPr>
          <w:rFonts w:asciiTheme="majorHAnsi" w:hAnsiTheme="majorHAnsi"/>
        </w:rPr>
        <w:tab/>
        <w:t>FAO Global Information and Early Warning System</w:t>
      </w:r>
    </w:p>
    <w:p w14:paraId="5B84204C" w14:textId="77777777" w:rsidR="00C4454D" w:rsidRPr="00A735B4" w:rsidRDefault="00C4454D" w:rsidP="00C4454D">
      <w:r w:rsidRPr="00A735B4">
        <w:t>FEWSNET</w:t>
      </w:r>
      <w:r w:rsidRPr="00A735B4">
        <w:tab/>
        <w:t>Famine Early Warning Systems Network</w:t>
      </w:r>
    </w:p>
    <w:p w14:paraId="76D7FDAA" w14:textId="77777777" w:rsidR="00C4454D" w:rsidRPr="00A735B4" w:rsidRDefault="00C4454D" w:rsidP="00C4454D">
      <w:pPr>
        <w:rPr>
          <w:rFonts w:asciiTheme="majorHAnsi" w:hAnsiTheme="majorHAnsi"/>
        </w:rPr>
      </w:pPr>
      <w:r w:rsidRPr="00A735B4">
        <w:t>FDI</w:t>
      </w:r>
      <w:r w:rsidRPr="00A735B4">
        <w:tab/>
      </w:r>
      <w:r w:rsidRPr="00A735B4">
        <w:tab/>
        <w:t xml:space="preserve">foreign direct investment </w:t>
      </w:r>
    </w:p>
    <w:p w14:paraId="572B5ED7" w14:textId="77777777" w:rsidR="00C4454D" w:rsidRPr="00A735B4" w:rsidRDefault="00C4454D" w:rsidP="00C4454D">
      <w:pPr>
        <w:rPr>
          <w:rFonts w:asciiTheme="majorHAnsi" w:hAnsiTheme="majorHAnsi"/>
        </w:rPr>
      </w:pPr>
      <w:r w:rsidRPr="00A735B4">
        <w:rPr>
          <w:rFonts w:asciiTheme="majorHAnsi" w:hAnsiTheme="majorHAnsi"/>
        </w:rPr>
        <w:t>FOB</w:t>
      </w:r>
      <w:r w:rsidRPr="00A735B4">
        <w:rPr>
          <w:rFonts w:asciiTheme="majorHAnsi" w:hAnsiTheme="majorHAnsi"/>
        </w:rPr>
        <w:tab/>
      </w:r>
      <w:r w:rsidRPr="00A735B4">
        <w:rPr>
          <w:rFonts w:asciiTheme="majorHAnsi" w:hAnsiTheme="majorHAnsi"/>
        </w:rPr>
        <w:tab/>
        <w:t>free on board</w:t>
      </w:r>
    </w:p>
    <w:p w14:paraId="35E23027" w14:textId="77777777" w:rsidR="00C4454D" w:rsidRPr="00A735B4" w:rsidRDefault="00C4454D" w:rsidP="00C4454D">
      <w:pPr>
        <w:rPr>
          <w:rFonts w:asciiTheme="majorHAnsi" w:hAnsiTheme="majorHAnsi"/>
        </w:rPr>
      </w:pPr>
      <w:r w:rsidRPr="00A735B4">
        <w:rPr>
          <w:rFonts w:asciiTheme="majorHAnsi" w:hAnsiTheme="majorHAnsi"/>
        </w:rPr>
        <w:t>GATT</w:t>
      </w:r>
      <w:r w:rsidRPr="00A735B4">
        <w:rPr>
          <w:rFonts w:asciiTheme="majorHAnsi" w:hAnsiTheme="majorHAnsi"/>
        </w:rPr>
        <w:tab/>
      </w:r>
      <w:r w:rsidRPr="00A735B4">
        <w:rPr>
          <w:rFonts w:asciiTheme="majorHAnsi" w:hAnsiTheme="majorHAnsi"/>
        </w:rPr>
        <w:tab/>
      </w:r>
      <w:r w:rsidRPr="00A735B4">
        <w:rPr>
          <w:rFonts w:asciiTheme="majorHAnsi" w:hAnsiTheme="majorHAnsi"/>
          <w:bCs/>
        </w:rPr>
        <w:t>General Agreement on Tariffs and Trade</w:t>
      </w:r>
    </w:p>
    <w:p w14:paraId="415E1E09" w14:textId="77777777" w:rsidR="00C4454D" w:rsidRPr="00A735B4" w:rsidRDefault="00C4454D" w:rsidP="00C4454D">
      <w:pPr>
        <w:rPr>
          <w:rFonts w:asciiTheme="majorHAnsi" w:hAnsiTheme="majorHAnsi"/>
        </w:rPr>
      </w:pPr>
      <w:r w:rsidRPr="00A735B4">
        <w:rPr>
          <w:rFonts w:asciiTheme="majorHAnsi" w:hAnsiTheme="majorHAnsi"/>
        </w:rPr>
        <w:t>GDP</w:t>
      </w:r>
      <w:r w:rsidRPr="00A735B4">
        <w:rPr>
          <w:rFonts w:asciiTheme="majorHAnsi" w:hAnsiTheme="majorHAnsi"/>
        </w:rPr>
        <w:tab/>
      </w:r>
      <w:r w:rsidRPr="00A735B4">
        <w:rPr>
          <w:rFonts w:asciiTheme="majorHAnsi" w:hAnsiTheme="majorHAnsi"/>
        </w:rPr>
        <w:tab/>
        <w:t xml:space="preserve">gross domestic product </w:t>
      </w:r>
    </w:p>
    <w:p w14:paraId="52B31F40" w14:textId="77777777" w:rsidR="00C4454D" w:rsidRPr="00A735B4" w:rsidRDefault="00C4454D" w:rsidP="00C4454D">
      <w:pPr>
        <w:rPr>
          <w:rFonts w:asciiTheme="majorHAnsi" w:hAnsiTheme="majorHAnsi"/>
        </w:rPr>
      </w:pPr>
      <w:r w:rsidRPr="00A735B4">
        <w:rPr>
          <w:rFonts w:asciiTheme="majorHAnsi" w:hAnsiTheme="majorHAnsi"/>
        </w:rPr>
        <w:t>HIV/AIDS</w:t>
      </w:r>
      <w:r w:rsidRPr="00A735B4">
        <w:rPr>
          <w:rFonts w:asciiTheme="majorHAnsi" w:hAnsiTheme="majorHAnsi"/>
        </w:rPr>
        <w:tab/>
        <w:t>human immunodeficiency virus/</w:t>
      </w:r>
      <w:r w:rsidRPr="00A735B4">
        <w:rPr>
          <w:rFonts w:asciiTheme="majorHAnsi" w:eastAsia="MS Mincho" w:hAnsiTheme="majorHAnsi" w:cs="Arial"/>
        </w:rPr>
        <w:t>acquired immunodeficiency syndrome</w:t>
      </w:r>
    </w:p>
    <w:p w14:paraId="3CC2CE3D" w14:textId="77777777" w:rsidR="00C4454D" w:rsidRPr="00A735B4" w:rsidRDefault="00C4454D" w:rsidP="00C4454D">
      <w:pPr>
        <w:rPr>
          <w:rFonts w:asciiTheme="majorHAnsi" w:hAnsiTheme="majorHAnsi"/>
        </w:rPr>
      </w:pPr>
      <w:r w:rsidRPr="00A735B4">
        <w:rPr>
          <w:rFonts w:asciiTheme="majorHAnsi" w:hAnsiTheme="majorHAnsi"/>
        </w:rPr>
        <w:t>HS</w:t>
      </w:r>
      <w:r w:rsidRPr="00A735B4">
        <w:rPr>
          <w:rFonts w:asciiTheme="majorHAnsi" w:hAnsiTheme="majorHAnsi"/>
        </w:rPr>
        <w:tab/>
      </w:r>
      <w:r w:rsidRPr="00A735B4">
        <w:rPr>
          <w:rFonts w:asciiTheme="majorHAnsi" w:hAnsiTheme="majorHAnsi"/>
        </w:rPr>
        <w:tab/>
        <w:t>Harmonized System</w:t>
      </w:r>
    </w:p>
    <w:p w14:paraId="186EDAE5" w14:textId="77777777" w:rsidR="00C4454D" w:rsidRPr="00A735B4" w:rsidRDefault="00C4454D" w:rsidP="00C4454D">
      <w:pPr>
        <w:rPr>
          <w:rFonts w:asciiTheme="majorHAnsi" w:hAnsiTheme="majorHAnsi"/>
        </w:rPr>
      </w:pPr>
      <w:r w:rsidRPr="00A735B4">
        <w:rPr>
          <w:rFonts w:asciiTheme="majorHAnsi" w:hAnsiTheme="majorHAnsi"/>
        </w:rPr>
        <w:t>IDB</w:t>
      </w:r>
      <w:r w:rsidRPr="00A735B4">
        <w:rPr>
          <w:rFonts w:asciiTheme="majorHAnsi" w:hAnsiTheme="majorHAnsi"/>
        </w:rPr>
        <w:tab/>
      </w:r>
      <w:r w:rsidRPr="00A735B4">
        <w:rPr>
          <w:rFonts w:asciiTheme="majorHAnsi" w:hAnsiTheme="majorHAnsi"/>
        </w:rPr>
        <w:tab/>
        <w:t>Inter-American Development Bank</w:t>
      </w:r>
    </w:p>
    <w:p w14:paraId="6FD049C5" w14:textId="77777777" w:rsidR="00C4454D" w:rsidRPr="00A735B4" w:rsidRDefault="00C4454D" w:rsidP="00C4454D">
      <w:pPr>
        <w:rPr>
          <w:rFonts w:asciiTheme="majorHAnsi" w:hAnsiTheme="majorHAnsi"/>
        </w:rPr>
      </w:pPr>
      <w:r w:rsidRPr="00A735B4">
        <w:rPr>
          <w:rFonts w:asciiTheme="majorHAnsi" w:hAnsiTheme="majorHAnsi"/>
        </w:rPr>
        <w:t>IMF</w:t>
      </w:r>
      <w:r w:rsidRPr="00A735B4">
        <w:rPr>
          <w:rFonts w:asciiTheme="majorHAnsi" w:hAnsiTheme="majorHAnsi"/>
        </w:rPr>
        <w:tab/>
      </w:r>
      <w:r w:rsidRPr="00A735B4">
        <w:rPr>
          <w:rFonts w:asciiTheme="majorHAnsi" w:hAnsiTheme="majorHAnsi"/>
        </w:rPr>
        <w:tab/>
        <w:t>International Monetary Fund</w:t>
      </w:r>
    </w:p>
    <w:p w14:paraId="24AB0ED1" w14:textId="77777777" w:rsidR="00C4454D" w:rsidRPr="00A735B4" w:rsidRDefault="00C4454D" w:rsidP="00C4454D">
      <w:pPr>
        <w:rPr>
          <w:rFonts w:asciiTheme="majorHAnsi" w:hAnsiTheme="majorHAnsi"/>
        </w:rPr>
      </w:pPr>
      <w:r w:rsidRPr="00A735B4">
        <w:rPr>
          <w:rFonts w:asciiTheme="majorHAnsi" w:hAnsiTheme="majorHAnsi"/>
        </w:rPr>
        <w:t>IMF DoTS</w:t>
      </w:r>
      <w:r w:rsidRPr="00A735B4">
        <w:rPr>
          <w:rFonts w:asciiTheme="majorHAnsi" w:hAnsiTheme="majorHAnsi"/>
        </w:rPr>
        <w:tab/>
        <w:t>IMF Direction of Trade Statistics</w:t>
      </w:r>
    </w:p>
    <w:p w14:paraId="51643254" w14:textId="77777777" w:rsidR="00C4454D" w:rsidRPr="00A735B4" w:rsidRDefault="00C4454D" w:rsidP="00C4454D">
      <w:pPr>
        <w:rPr>
          <w:rFonts w:asciiTheme="majorHAnsi" w:hAnsiTheme="majorHAnsi"/>
        </w:rPr>
      </w:pPr>
      <w:r w:rsidRPr="00A735B4">
        <w:rPr>
          <w:rFonts w:asciiTheme="majorHAnsi" w:hAnsiTheme="majorHAnsi"/>
        </w:rPr>
        <w:t>ITC</w:t>
      </w:r>
      <w:r w:rsidRPr="00A735B4">
        <w:rPr>
          <w:rFonts w:asciiTheme="majorHAnsi" w:hAnsiTheme="majorHAnsi"/>
        </w:rPr>
        <w:tab/>
      </w:r>
      <w:r w:rsidRPr="00A735B4">
        <w:rPr>
          <w:rFonts w:asciiTheme="majorHAnsi" w:hAnsiTheme="majorHAnsi"/>
        </w:rPr>
        <w:tab/>
        <w:t>International Trade Centre</w:t>
      </w:r>
    </w:p>
    <w:p w14:paraId="0BEBA885" w14:textId="77777777" w:rsidR="00C4454D" w:rsidRPr="00A735B4" w:rsidRDefault="00C4454D" w:rsidP="00C4454D">
      <w:pPr>
        <w:rPr>
          <w:rFonts w:asciiTheme="majorHAnsi" w:hAnsiTheme="majorHAnsi"/>
        </w:rPr>
      </w:pPr>
      <w:r w:rsidRPr="00A735B4">
        <w:rPr>
          <w:rFonts w:asciiTheme="majorHAnsi" w:hAnsiTheme="majorHAnsi"/>
        </w:rPr>
        <w:t>kg</w:t>
      </w:r>
      <w:r w:rsidRPr="00A735B4">
        <w:rPr>
          <w:rFonts w:asciiTheme="majorHAnsi" w:hAnsiTheme="majorHAnsi"/>
        </w:rPr>
        <w:tab/>
      </w:r>
      <w:r w:rsidRPr="00A735B4">
        <w:rPr>
          <w:rFonts w:asciiTheme="majorHAnsi" w:hAnsiTheme="majorHAnsi"/>
        </w:rPr>
        <w:tab/>
        <w:t>kilogram</w:t>
      </w:r>
    </w:p>
    <w:p w14:paraId="6AACAE49" w14:textId="77777777" w:rsidR="00C4454D" w:rsidRPr="00A735B4" w:rsidRDefault="00C4454D" w:rsidP="00C4454D">
      <w:pPr>
        <w:rPr>
          <w:rFonts w:asciiTheme="majorHAnsi" w:hAnsiTheme="majorHAnsi"/>
        </w:rPr>
      </w:pPr>
      <w:r w:rsidRPr="00A735B4">
        <w:rPr>
          <w:rFonts w:asciiTheme="majorHAnsi" w:hAnsiTheme="majorHAnsi"/>
        </w:rPr>
        <w:t>km</w:t>
      </w:r>
      <w:r w:rsidRPr="00A735B4">
        <w:rPr>
          <w:rFonts w:asciiTheme="majorHAnsi" w:hAnsiTheme="majorHAnsi"/>
        </w:rPr>
        <w:tab/>
      </w:r>
      <w:r w:rsidRPr="00A735B4">
        <w:rPr>
          <w:rFonts w:asciiTheme="majorHAnsi" w:hAnsiTheme="majorHAnsi"/>
        </w:rPr>
        <w:tab/>
        <w:t>kilometer</w:t>
      </w:r>
    </w:p>
    <w:p w14:paraId="7DA71AA8" w14:textId="77777777" w:rsidR="00C4454D" w:rsidRPr="00A735B4" w:rsidRDefault="00C4454D" w:rsidP="00C4454D">
      <w:pPr>
        <w:rPr>
          <w:rFonts w:asciiTheme="majorHAnsi" w:hAnsiTheme="majorHAnsi"/>
        </w:rPr>
      </w:pPr>
      <w:r w:rsidRPr="00A735B4">
        <w:rPr>
          <w:rFonts w:asciiTheme="majorHAnsi" w:hAnsiTheme="majorHAnsi"/>
        </w:rPr>
        <w:lastRenderedPageBreak/>
        <w:t>LC</w:t>
      </w:r>
      <w:r w:rsidRPr="00A735B4">
        <w:rPr>
          <w:rFonts w:asciiTheme="majorHAnsi" w:hAnsiTheme="majorHAnsi"/>
        </w:rPr>
        <w:tab/>
      </w:r>
      <w:r w:rsidRPr="00A735B4">
        <w:rPr>
          <w:rFonts w:asciiTheme="majorHAnsi" w:hAnsiTheme="majorHAnsi"/>
        </w:rPr>
        <w:tab/>
        <w:t>letter of credit</w:t>
      </w:r>
    </w:p>
    <w:p w14:paraId="0EB68DB4" w14:textId="77777777" w:rsidR="00C4454D" w:rsidRPr="00A735B4" w:rsidRDefault="00C4454D" w:rsidP="00C4454D">
      <w:pPr>
        <w:rPr>
          <w:rFonts w:asciiTheme="majorHAnsi" w:hAnsiTheme="majorHAnsi"/>
        </w:rPr>
      </w:pPr>
      <w:r w:rsidRPr="00A735B4">
        <w:rPr>
          <w:rFonts w:asciiTheme="majorHAnsi" w:hAnsiTheme="majorHAnsi"/>
        </w:rPr>
        <w:t>LPI</w:t>
      </w:r>
      <w:r w:rsidRPr="00A735B4">
        <w:rPr>
          <w:rFonts w:asciiTheme="majorHAnsi" w:hAnsiTheme="majorHAnsi"/>
        </w:rPr>
        <w:tab/>
      </w:r>
      <w:r w:rsidRPr="00A735B4">
        <w:rPr>
          <w:rFonts w:asciiTheme="majorHAnsi" w:hAnsiTheme="majorHAnsi"/>
        </w:rPr>
        <w:tab/>
        <w:t>Logistics Performance Index</w:t>
      </w:r>
    </w:p>
    <w:p w14:paraId="0C66F0CF" w14:textId="77777777" w:rsidR="00C4454D" w:rsidRPr="00A735B4" w:rsidRDefault="00C4454D" w:rsidP="00C4454D">
      <w:pPr>
        <w:rPr>
          <w:rFonts w:asciiTheme="majorHAnsi" w:hAnsiTheme="majorHAnsi"/>
        </w:rPr>
      </w:pPr>
      <w:r w:rsidRPr="00A735B4">
        <w:rPr>
          <w:rFonts w:asciiTheme="majorHAnsi" w:hAnsiTheme="majorHAnsi"/>
        </w:rPr>
        <w:t>MFN</w:t>
      </w:r>
      <w:r w:rsidRPr="00A735B4">
        <w:rPr>
          <w:rFonts w:asciiTheme="majorHAnsi" w:hAnsiTheme="majorHAnsi"/>
        </w:rPr>
        <w:tab/>
      </w:r>
      <w:r w:rsidRPr="00A735B4">
        <w:rPr>
          <w:rFonts w:asciiTheme="majorHAnsi" w:hAnsiTheme="majorHAnsi"/>
        </w:rPr>
        <w:tab/>
        <w:t>most-favored nation</w:t>
      </w:r>
    </w:p>
    <w:p w14:paraId="6430F470" w14:textId="77777777" w:rsidR="00C4454D" w:rsidRPr="00A735B4" w:rsidRDefault="00C4454D" w:rsidP="00C4454D">
      <w:pPr>
        <w:rPr>
          <w:rFonts w:asciiTheme="majorHAnsi" w:hAnsiTheme="majorHAnsi"/>
        </w:rPr>
      </w:pPr>
      <w:r w:rsidRPr="00A735B4">
        <w:rPr>
          <w:rFonts w:asciiTheme="majorHAnsi" w:hAnsiTheme="majorHAnsi"/>
        </w:rPr>
        <w:t>MMEs</w:t>
      </w:r>
      <w:r w:rsidRPr="00A735B4">
        <w:rPr>
          <w:rFonts w:asciiTheme="majorHAnsi" w:hAnsiTheme="majorHAnsi"/>
        </w:rPr>
        <w:tab/>
      </w:r>
      <w:r w:rsidRPr="00A735B4">
        <w:rPr>
          <w:rFonts w:asciiTheme="majorHAnsi" w:hAnsiTheme="majorHAnsi"/>
        </w:rPr>
        <w:tab/>
        <w:t>cost of mobile money transfers</w:t>
      </w:r>
    </w:p>
    <w:p w14:paraId="451E5237" w14:textId="77777777" w:rsidR="00C4454D" w:rsidRPr="00A735B4" w:rsidRDefault="00C4454D" w:rsidP="00C4454D">
      <w:pPr>
        <w:rPr>
          <w:rFonts w:asciiTheme="majorHAnsi" w:hAnsiTheme="majorHAnsi"/>
        </w:rPr>
      </w:pPr>
      <w:r w:rsidRPr="00A735B4">
        <w:rPr>
          <w:rFonts w:asciiTheme="majorHAnsi" w:hAnsiTheme="majorHAnsi"/>
        </w:rPr>
        <w:t>MRAs</w:t>
      </w:r>
      <w:r w:rsidRPr="00A735B4">
        <w:rPr>
          <w:rFonts w:asciiTheme="majorHAnsi" w:hAnsiTheme="majorHAnsi"/>
        </w:rPr>
        <w:tab/>
      </w:r>
      <w:r w:rsidRPr="00A735B4">
        <w:rPr>
          <w:rFonts w:asciiTheme="majorHAnsi" w:hAnsiTheme="majorHAnsi"/>
        </w:rPr>
        <w:tab/>
        <w:t>mutual recognition agreements</w:t>
      </w:r>
    </w:p>
    <w:p w14:paraId="3744E68A" w14:textId="4F60ECEA" w:rsidR="00C4454D" w:rsidRPr="00A735B4" w:rsidRDefault="00C4454D" w:rsidP="00C4454D">
      <w:pPr>
        <w:rPr>
          <w:rFonts w:asciiTheme="majorHAnsi" w:hAnsiTheme="majorHAnsi"/>
        </w:rPr>
      </w:pPr>
      <w:r w:rsidRPr="00A735B4">
        <w:rPr>
          <w:rFonts w:asciiTheme="majorHAnsi" w:hAnsiTheme="majorHAnsi"/>
        </w:rPr>
        <w:t>MSMEs</w:t>
      </w:r>
      <w:r w:rsidRPr="00A735B4">
        <w:rPr>
          <w:rFonts w:asciiTheme="majorHAnsi" w:hAnsiTheme="majorHAnsi"/>
        </w:rPr>
        <w:tab/>
        <w:t>micro and small enterprises</w:t>
      </w:r>
    </w:p>
    <w:p w14:paraId="694D1ED0" w14:textId="77777777" w:rsidR="00C4454D" w:rsidRPr="00A735B4" w:rsidRDefault="00C4454D" w:rsidP="00C4454D">
      <w:pPr>
        <w:rPr>
          <w:rFonts w:asciiTheme="majorHAnsi" w:hAnsiTheme="majorHAnsi"/>
        </w:rPr>
      </w:pPr>
      <w:r w:rsidRPr="00A735B4">
        <w:rPr>
          <w:rFonts w:asciiTheme="majorHAnsi" w:hAnsiTheme="majorHAnsi"/>
        </w:rPr>
        <w:t>NTBs</w:t>
      </w:r>
      <w:r w:rsidRPr="00A735B4">
        <w:rPr>
          <w:rFonts w:asciiTheme="majorHAnsi" w:hAnsiTheme="majorHAnsi"/>
        </w:rPr>
        <w:tab/>
      </w:r>
      <w:r w:rsidRPr="00A735B4">
        <w:rPr>
          <w:rFonts w:asciiTheme="majorHAnsi" w:hAnsiTheme="majorHAnsi"/>
        </w:rPr>
        <w:tab/>
        <w:t xml:space="preserve">non-tariff barriers </w:t>
      </w:r>
    </w:p>
    <w:p w14:paraId="4EA3F3DE" w14:textId="77777777" w:rsidR="00C4454D" w:rsidRPr="00A735B4" w:rsidRDefault="00C4454D" w:rsidP="00C4454D">
      <w:pPr>
        <w:rPr>
          <w:rFonts w:asciiTheme="majorHAnsi" w:hAnsiTheme="majorHAnsi"/>
        </w:rPr>
      </w:pPr>
      <w:r w:rsidRPr="00A735B4">
        <w:rPr>
          <w:rFonts w:asciiTheme="majorHAnsi" w:hAnsiTheme="majorHAnsi"/>
        </w:rPr>
        <w:t>OECD</w:t>
      </w:r>
      <w:r w:rsidRPr="00A735B4">
        <w:rPr>
          <w:rFonts w:asciiTheme="majorHAnsi" w:hAnsiTheme="majorHAnsi"/>
        </w:rPr>
        <w:tab/>
      </w:r>
      <w:r w:rsidRPr="00A735B4">
        <w:rPr>
          <w:rFonts w:asciiTheme="majorHAnsi" w:hAnsiTheme="majorHAnsi"/>
        </w:rPr>
        <w:tab/>
        <w:t xml:space="preserve">Organisation for Economic Co-operation and Development </w:t>
      </w:r>
    </w:p>
    <w:p w14:paraId="02CF717B" w14:textId="77777777" w:rsidR="00C4454D" w:rsidRPr="00A735B4" w:rsidRDefault="00C4454D" w:rsidP="00C4454D">
      <w:pPr>
        <w:rPr>
          <w:rFonts w:asciiTheme="majorHAnsi" w:hAnsiTheme="majorHAnsi"/>
        </w:rPr>
      </w:pPr>
      <w:r w:rsidRPr="00A735B4">
        <w:rPr>
          <w:rFonts w:asciiTheme="majorHAnsi" w:hAnsiTheme="majorHAnsi"/>
        </w:rPr>
        <w:t>OPA</w:t>
      </w:r>
      <w:r w:rsidRPr="00A735B4">
        <w:rPr>
          <w:rFonts w:asciiTheme="majorHAnsi" w:hAnsiTheme="majorHAnsi"/>
        </w:rPr>
        <w:tab/>
      </w:r>
      <w:r w:rsidRPr="00A735B4">
        <w:rPr>
          <w:rFonts w:asciiTheme="majorHAnsi" w:hAnsiTheme="majorHAnsi"/>
        </w:rPr>
        <w:tab/>
        <w:t>Observatory for Abnormal Practices</w:t>
      </w:r>
    </w:p>
    <w:p w14:paraId="6B412963" w14:textId="77777777" w:rsidR="00C4454D" w:rsidRPr="00A735B4" w:rsidRDefault="00C4454D" w:rsidP="00C4454D">
      <w:pPr>
        <w:rPr>
          <w:rFonts w:asciiTheme="majorHAnsi" w:hAnsiTheme="majorHAnsi"/>
        </w:rPr>
      </w:pPr>
      <w:r w:rsidRPr="00A735B4">
        <w:rPr>
          <w:rFonts w:asciiTheme="majorHAnsi" w:hAnsiTheme="majorHAnsi"/>
        </w:rPr>
        <w:t>OPVs</w:t>
      </w:r>
      <w:r w:rsidRPr="00A735B4">
        <w:rPr>
          <w:rFonts w:asciiTheme="majorHAnsi" w:hAnsiTheme="majorHAnsi"/>
        </w:rPr>
        <w:tab/>
      </w:r>
      <w:r w:rsidRPr="00A735B4">
        <w:rPr>
          <w:rFonts w:asciiTheme="majorHAnsi" w:hAnsiTheme="majorHAnsi"/>
        </w:rPr>
        <w:tab/>
        <w:t>open-pollinated varieties</w:t>
      </w:r>
    </w:p>
    <w:p w14:paraId="3DDDB387" w14:textId="77777777" w:rsidR="00C4454D" w:rsidRPr="00A735B4" w:rsidRDefault="00C4454D" w:rsidP="00C4454D">
      <w:pPr>
        <w:rPr>
          <w:rFonts w:asciiTheme="majorHAnsi" w:hAnsiTheme="majorHAnsi"/>
        </w:rPr>
      </w:pPr>
      <w:r w:rsidRPr="00A735B4">
        <w:rPr>
          <w:rFonts w:asciiTheme="majorHAnsi" w:hAnsiTheme="majorHAnsi"/>
        </w:rPr>
        <w:t>PPPs</w:t>
      </w:r>
      <w:r w:rsidRPr="00A735B4">
        <w:rPr>
          <w:rFonts w:asciiTheme="majorHAnsi" w:hAnsiTheme="majorHAnsi"/>
        </w:rPr>
        <w:tab/>
      </w:r>
      <w:r w:rsidRPr="00A735B4">
        <w:rPr>
          <w:rFonts w:asciiTheme="majorHAnsi" w:hAnsiTheme="majorHAnsi"/>
        </w:rPr>
        <w:tab/>
        <w:t>public-private partnerships</w:t>
      </w:r>
    </w:p>
    <w:p w14:paraId="7D3D167C" w14:textId="77777777" w:rsidR="00C4454D" w:rsidRPr="00A735B4" w:rsidRDefault="00C4454D" w:rsidP="00C4454D">
      <w:pPr>
        <w:rPr>
          <w:rFonts w:asciiTheme="majorHAnsi" w:hAnsiTheme="majorHAnsi"/>
        </w:rPr>
      </w:pPr>
      <w:r w:rsidRPr="00A735B4">
        <w:rPr>
          <w:rFonts w:asciiTheme="majorHAnsi" w:hAnsiTheme="majorHAnsi"/>
        </w:rPr>
        <w:t>REC</w:t>
      </w:r>
      <w:r w:rsidRPr="00A735B4">
        <w:rPr>
          <w:rFonts w:asciiTheme="majorHAnsi" w:hAnsiTheme="majorHAnsi"/>
        </w:rPr>
        <w:tab/>
      </w:r>
      <w:r w:rsidRPr="00A735B4">
        <w:rPr>
          <w:rFonts w:asciiTheme="majorHAnsi" w:hAnsiTheme="majorHAnsi"/>
        </w:rPr>
        <w:tab/>
        <w:t>Regional Economic Community</w:t>
      </w:r>
    </w:p>
    <w:p w14:paraId="2B948816" w14:textId="77777777" w:rsidR="00C4454D" w:rsidRPr="00A735B4" w:rsidRDefault="00C4454D" w:rsidP="00C4454D">
      <w:pPr>
        <w:rPr>
          <w:rFonts w:asciiTheme="majorHAnsi" w:hAnsiTheme="majorHAnsi"/>
        </w:rPr>
      </w:pPr>
      <w:r w:rsidRPr="00A735B4">
        <w:rPr>
          <w:rFonts w:asciiTheme="majorHAnsi" w:hAnsiTheme="majorHAnsi"/>
        </w:rPr>
        <w:t>RSA</w:t>
      </w:r>
      <w:r w:rsidRPr="00A735B4">
        <w:rPr>
          <w:rFonts w:asciiTheme="majorHAnsi" w:hAnsiTheme="majorHAnsi"/>
        </w:rPr>
        <w:tab/>
      </w:r>
      <w:r w:rsidRPr="00A735B4">
        <w:rPr>
          <w:rFonts w:asciiTheme="majorHAnsi" w:hAnsiTheme="majorHAnsi"/>
        </w:rPr>
        <w:tab/>
        <w:t>Research Solutions Africa</w:t>
      </w:r>
    </w:p>
    <w:p w14:paraId="7C358330" w14:textId="77777777" w:rsidR="00C4454D" w:rsidRPr="00A735B4" w:rsidRDefault="00C4454D" w:rsidP="00C4454D">
      <w:pPr>
        <w:rPr>
          <w:rFonts w:asciiTheme="majorHAnsi" w:hAnsiTheme="majorHAnsi"/>
        </w:rPr>
      </w:pPr>
      <w:r w:rsidRPr="00A735B4">
        <w:rPr>
          <w:rFonts w:asciiTheme="majorHAnsi" w:hAnsiTheme="majorHAnsi"/>
        </w:rPr>
        <w:t>RTA</w:t>
      </w:r>
      <w:r w:rsidRPr="00A735B4">
        <w:rPr>
          <w:rFonts w:asciiTheme="majorHAnsi" w:hAnsiTheme="majorHAnsi"/>
        </w:rPr>
        <w:tab/>
      </w:r>
      <w:r w:rsidRPr="00A735B4">
        <w:rPr>
          <w:rFonts w:asciiTheme="majorHAnsi" w:hAnsiTheme="majorHAnsi"/>
        </w:rPr>
        <w:tab/>
        <w:t>regional trade agreement</w:t>
      </w:r>
    </w:p>
    <w:p w14:paraId="2BF6C86B" w14:textId="77777777" w:rsidR="00C4454D" w:rsidRPr="00A735B4" w:rsidRDefault="00C4454D" w:rsidP="00C4454D">
      <w:pPr>
        <w:rPr>
          <w:rFonts w:asciiTheme="majorHAnsi" w:hAnsiTheme="majorHAnsi"/>
        </w:rPr>
      </w:pPr>
      <w:r w:rsidRPr="00A735B4">
        <w:rPr>
          <w:rFonts w:asciiTheme="majorHAnsi" w:hAnsiTheme="majorHAnsi"/>
        </w:rPr>
        <w:t>RTGS</w:t>
      </w:r>
      <w:r w:rsidRPr="00A735B4">
        <w:rPr>
          <w:rFonts w:asciiTheme="majorHAnsi" w:hAnsiTheme="majorHAnsi"/>
        </w:rPr>
        <w:tab/>
      </w:r>
      <w:r w:rsidRPr="00A735B4">
        <w:rPr>
          <w:rFonts w:asciiTheme="majorHAnsi" w:hAnsiTheme="majorHAnsi"/>
        </w:rPr>
        <w:tab/>
        <w:t xml:space="preserve">real-time gross settlement </w:t>
      </w:r>
    </w:p>
    <w:p w14:paraId="35736DA4" w14:textId="77777777" w:rsidR="00C4454D" w:rsidRPr="00A735B4" w:rsidRDefault="00C4454D" w:rsidP="00C4454D">
      <w:pPr>
        <w:rPr>
          <w:rFonts w:asciiTheme="majorHAnsi" w:hAnsiTheme="majorHAnsi"/>
        </w:rPr>
      </w:pPr>
      <w:r w:rsidRPr="00A735B4">
        <w:rPr>
          <w:rFonts w:asciiTheme="majorHAnsi" w:hAnsiTheme="majorHAnsi"/>
        </w:rPr>
        <w:t>SADC</w:t>
      </w:r>
      <w:r w:rsidRPr="00A735B4">
        <w:rPr>
          <w:rFonts w:asciiTheme="majorHAnsi" w:hAnsiTheme="majorHAnsi"/>
        </w:rPr>
        <w:tab/>
      </w:r>
      <w:r w:rsidRPr="00A735B4">
        <w:rPr>
          <w:rFonts w:asciiTheme="majorHAnsi" w:hAnsiTheme="majorHAnsi"/>
        </w:rPr>
        <w:tab/>
        <w:t xml:space="preserve">Southern African Development Community </w:t>
      </w:r>
    </w:p>
    <w:p w14:paraId="2841EBF8" w14:textId="77777777" w:rsidR="00C4454D" w:rsidRPr="00A735B4" w:rsidRDefault="00C4454D" w:rsidP="00C4454D">
      <w:pPr>
        <w:rPr>
          <w:rFonts w:asciiTheme="majorHAnsi" w:hAnsiTheme="majorHAnsi"/>
        </w:rPr>
      </w:pPr>
      <w:r w:rsidRPr="00A735B4">
        <w:rPr>
          <w:rFonts w:asciiTheme="majorHAnsi" w:hAnsiTheme="majorHAnsi"/>
        </w:rPr>
        <w:t>SITC</w:t>
      </w:r>
      <w:r w:rsidRPr="00A735B4">
        <w:rPr>
          <w:rFonts w:asciiTheme="majorHAnsi" w:hAnsiTheme="majorHAnsi"/>
        </w:rPr>
        <w:tab/>
      </w:r>
      <w:r w:rsidRPr="00A735B4">
        <w:rPr>
          <w:rFonts w:asciiTheme="majorHAnsi" w:hAnsiTheme="majorHAnsi"/>
        </w:rPr>
        <w:tab/>
        <w:t>Standard International Trade Classification</w:t>
      </w:r>
    </w:p>
    <w:p w14:paraId="04065633" w14:textId="77777777" w:rsidR="00C4454D" w:rsidRPr="00A735B4" w:rsidRDefault="00C4454D" w:rsidP="00C4454D">
      <w:pPr>
        <w:rPr>
          <w:rFonts w:asciiTheme="majorHAnsi" w:hAnsiTheme="majorHAnsi"/>
        </w:rPr>
      </w:pPr>
      <w:r w:rsidRPr="00A735B4">
        <w:rPr>
          <w:rFonts w:asciiTheme="majorHAnsi" w:hAnsiTheme="majorHAnsi"/>
        </w:rPr>
        <w:t>SMEs</w:t>
      </w:r>
      <w:r w:rsidRPr="00A735B4">
        <w:rPr>
          <w:rFonts w:asciiTheme="majorHAnsi" w:hAnsiTheme="majorHAnsi"/>
        </w:rPr>
        <w:tab/>
      </w:r>
      <w:r w:rsidRPr="00A735B4">
        <w:rPr>
          <w:rFonts w:asciiTheme="majorHAnsi" w:hAnsiTheme="majorHAnsi"/>
        </w:rPr>
        <w:tab/>
        <w:t xml:space="preserve">small and medium enterprises </w:t>
      </w:r>
    </w:p>
    <w:p w14:paraId="0225927C" w14:textId="77777777" w:rsidR="00C4454D" w:rsidRPr="00A735B4" w:rsidRDefault="00C4454D" w:rsidP="00C4454D">
      <w:pPr>
        <w:rPr>
          <w:rFonts w:asciiTheme="majorHAnsi" w:hAnsiTheme="majorHAnsi"/>
        </w:rPr>
      </w:pPr>
      <w:r w:rsidRPr="00A735B4">
        <w:rPr>
          <w:rFonts w:asciiTheme="majorHAnsi" w:hAnsiTheme="majorHAnsi"/>
        </w:rPr>
        <w:t>SMS</w:t>
      </w:r>
      <w:r w:rsidRPr="00A735B4">
        <w:rPr>
          <w:rFonts w:asciiTheme="majorHAnsi" w:hAnsiTheme="majorHAnsi"/>
        </w:rPr>
        <w:tab/>
      </w:r>
      <w:r w:rsidRPr="00A735B4">
        <w:rPr>
          <w:rFonts w:asciiTheme="majorHAnsi" w:hAnsiTheme="majorHAnsi"/>
        </w:rPr>
        <w:tab/>
        <w:t>short message service</w:t>
      </w:r>
    </w:p>
    <w:p w14:paraId="76715C1C" w14:textId="77777777" w:rsidR="00C4454D" w:rsidRPr="00A735B4" w:rsidRDefault="00C4454D" w:rsidP="00C4454D">
      <w:pPr>
        <w:rPr>
          <w:rFonts w:asciiTheme="majorHAnsi" w:hAnsiTheme="majorHAnsi"/>
        </w:rPr>
      </w:pPr>
      <w:r w:rsidRPr="00A735B4">
        <w:rPr>
          <w:rFonts w:asciiTheme="majorHAnsi" w:hAnsiTheme="majorHAnsi"/>
        </w:rPr>
        <w:t>SPS</w:t>
      </w:r>
      <w:r w:rsidRPr="00A735B4">
        <w:rPr>
          <w:rFonts w:asciiTheme="majorHAnsi" w:hAnsiTheme="majorHAnsi"/>
        </w:rPr>
        <w:tab/>
      </w:r>
      <w:r w:rsidRPr="00A735B4">
        <w:rPr>
          <w:rFonts w:asciiTheme="majorHAnsi" w:hAnsiTheme="majorHAnsi"/>
        </w:rPr>
        <w:tab/>
        <w:t xml:space="preserve">sanitary and phytosanitary </w:t>
      </w:r>
    </w:p>
    <w:p w14:paraId="75E79FCC" w14:textId="77777777" w:rsidR="00C4454D" w:rsidRPr="00A735B4" w:rsidRDefault="00C4454D" w:rsidP="00C4454D">
      <w:pPr>
        <w:rPr>
          <w:rFonts w:asciiTheme="majorHAnsi" w:hAnsiTheme="majorHAnsi"/>
        </w:rPr>
      </w:pPr>
      <w:r w:rsidRPr="00A735B4">
        <w:rPr>
          <w:rFonts w:asciiTheme="majorHAnsi" w:hAnsiTheme="majorHAnsi"/>
        </w:rPr>
        <w:t>SSA</w:t>
      </w:r>
      <w:r w:rsidRPr="00A735B4">
        <w:rPr>
          <w:rFonts w:asciiTheme="majorHAnsi" w:hAnsiTheme="majorHAnsi"/>
        </w:rPr>
        <w:tab/>
      </w:r>
      <w:r w:rsidRPr="00A735B4">
        <w:rPr>
          <w:rFonts w:asciiTheme="majorHAnsi" w:hAnsiTheme="majorHAnsi"/>
        </w:rPr>
        <w:tab/>
        <w:t>Sub-Saharan Africa</w:t>
      </w:r>
    </w:p>
    <w:p w14:paraId="51EA4F04" w14:textId="77777777" w:rsidR="00C4454D" w:rsidRPr="00A735B4" w:rsidRDefault="00C4454D" w:rsidP="00C4454D">
      <w:pPr>
        <w:rPr>
          <w:rFonts w:asciiTheme="majorHAnsi" w:hAnsiTheme="majorHAnsi"/>
        </w:rPr>
      </w:pPr>
      <w:r w:rsidRPr="00A735B4">
        <w:rPr>
          <w:rFonts w:asciiTheme="majorHAnsi" w:hAnsiTheme="majorHAnsi"/>
        </w:rPr>
        <w:t>SSATP</w:t>
      </w:r>
      <w:r w:rsidRPr="00A735B4">
        <w:rPr>
          <w:rFonts w:asciiTheme="majorHAnsi" w:hAnsiTheme="majorHAnsi"/>
        </w:rPr>
        <w:tab/>
      </w:r>
      <w:r w:rsidRPr="00A735B4">
        <w:rPr>
          <w:rFonts w:asciiTheme="majorHAnsi" w:hAnsiTheme="majorHAnsi"/>
        </w:rPr>
        <w:tab/>
        <w:t>Sub-Saharan Africa Transport Policy Program</w:t>
      </w:r>
    </w:p>
    <w:p w14:paraId="24E63AAD" w14:textId="77777777" w:rsidR="00C4454D" w:rsidRPr="00A735B4" w:rsidRDefault="00C4454D" w:rsidP="00C4454D">
      <w:pPr>
        <w:rPr>
          <w:rFonts w:asciiTheme="majorHAnsi" w:eastAsia="Times New Roman" w:hAnsiTheme="majorHAnsi"/>
        </w:rPr>
      </w:pPr>
      <w:r w:rsidRPr="00A735B4">
        <w:rPr>
          <w:rFonts w:asciiTheme="majorHAnsi" w:hAnsiTheme="majorHAnsi"/>
        </w:rPr>
        <w:t>STRI</w:t>
      </w:r>
      <w:r w:rsidRPr="00A735B4">
        <w:rPr>
          <w:rFonts w:asciiTheme="majorHAnsi" w:hAnsiTheme="majorHAnsi"/>
        </w:rPr>
        <w:tab/>
      </w:r>
      <w:r w:rsidRPr="00A735B4">
        <w:rPr>
          <w:rFonts w:asciiTheme="majorHAnsi" w:hAnsiTheme="majorHAnsi"/>
        </w:rPr>
        <w:tab/>
        <w:t xml:space="preserve">Services Trade Restrictiveness Index </w:t>
      </w:r>
    </w:p>
    <w:p w14:paraId="2F65B9BE" w14:textId="77777777" w:rsidR="00C4454D" w:rsidRPr="00A735B4" w:rsidRDefault="00C4454D" w:rsidP="00C4454D">
      <w:pPr>
        <w:rPr>
          <w:rFonts w:asciiTheme="majorHAnsi" w:hAnsiTheme="majorHAnsi"/>
        </w:rPr>
      </w:pPr>
      <w:r w:rsidRPr="00A735B4">
        <w:rPr>
          <w:rFonts w:asciiTheme="majorHAnsi" w:hAnsiTheme="majorHAnsi"/>
        </w:rPr>
        <w:t>TBT</w:t>
      </w:r>
      <w:r w:rsidRPr="00A735B4">
        <w:rPr>
          <w:rFonts w:asciiTheme="majorHAnsi" w:hAnsiTheme="majorHAnsi"/>
        </w:rPr>
        <w:tab/>
      </w:r>
      <w:r w:rsidRPr="00A735B4">
        <w:rPr>
          <w:rFonts w:asciiTheme="majorHAnsi" w:hAnsiTheme="majorHAnsi"/>
        </w:rPr>
        <w:tab/>
        <w:t>technical barriers to trade</w:t>
      </w:r>
    </w:p>
    <w:p w14:paraId="6C937F05" w14:textId="77777777" w:rsidR="00C4454D" w:rsidRPr="00A735B4" w:rsidRDefault="00C4454D" w:rsidP="00C4454D">
      <w:pPr>
        <w:rPr>
          <w:rFonts w:asciiTheme="majorHAnsi" w:hAnsiTheme="majorHAnsi"/>
        </w:rPr>
      </w:pPr>
      <w:r w:rsidRPr="00A735B4">
        <w:rPr>
          <w:rFonts w:asciiTheme="majorHAnsi" w:hAnsiTheme="majorHAnsi"/>
        </w:rPr>
        <w:t>TiVA</w:t>
      </w:r>
      <w:r w:rsidRPr="00A735B4">
        <w:rPr>
          <w:rFonts w:asciiTheme="majorHAnsi" w:hAnsiTheme="majorHAnsi"/>
        </w:rPr>
        <w:tab/>
      </w:r>
      <w:r w:rsidRPr="00A735B4">
        <w:rPr>
          <w:rFonts w:asciiTheme="majorHAnsi" w:hAnsiTheme="majorHAnsi"/>
        </w:rPr>
        <w:tab/>
        <w:t>trade in value-added</w:t>
      </w:r>
    </w:p>
    <w:p w14:paraId="717CCA37" w14:textId="77777777" w:rsidR="00C4454D" w:rsidRPr="00A735B4" w:rsidRDefault="00C4454D" w:rsidP="00C4454D">
      <w:pPr>
        <w:rPr>
          <w:rFonts w:asciiTheme="majorHAnsi" w:hAnsiTheme="majorHAnsi"/>
        </w:rPr>
      </w:pPr>
      <w:r w:rsidRPr="00A735B4">
        <w:rPr>
          <w:rFonts w:asciiTheme="majorHAnsi" w:hAnsiTheme="majorHAnsi"/>
        </w:rPr>
        <w:t>UEMOA</w:t>
      </w:r>
      <w:r w:rsidRPr="00A735B4">
        <w:rPr>
          <w:rFonts w:asciiTheme="majorHAnsi" w:hAnsiTheme="majorHAnsi"/>
        </w:rPr>
        <w:tab/>
        <w:t>West African Economic and Monetary Union</w:t>
      </w:r>
    </w:p>
    <w:p w14:paraId="5B66934B" w14:textId="77777777" w:rsidR="00C4454D" w:rsidRPr="00A735B4" w:rsidRDefault="00C4454D" w:rsidP="00C4454D">
      <w:pPr>
        <w:rPr>
          <w:rFonts w:asciiTheme="majorHAnsi" w:hAnsiTheme="majorHAnsi"/>
        </w:rPr>
      </w:pPr>
      <w:r w:rsidRPr="00A735B4">
        <w:rPr>
          <w:rFonts w:asciiTheme="majorHAnsi" w:hAnsiTheme="majorHAnsi"/>
        </w:rPr>
        <w:t>UNCTAD</w:t>
      </w:r>
      <w:r w:rsidRPr="00A735B4">
        <w:rPr>
          <w:rFonts w:asciiTheme="majorHAnsi" w:hAnsiTheme="majorHAnsi"/>
        </w:rPr>
        <w:tab/>
        <w:t xml:space="preserve">United Nations Conference on Trade and Development </w:t>
      </w:r>
    </w:p>
    <w:p w14:paraId="092D9312" w14:textId="1097C2A0" w:rsidR="00C4454D" w:rsidRPr="00A735B4" w:rsidRDefault="00C4454D" w:rsidP="00C4454D">
      <w:pPr>
        <w:rPr>
          <w:rFonts w:asciiTheme="majorHAnsi" w:hAnsiTheme="majorHAnsi"/>
        </w:rPr>
      </w:pPr>
      <w:r w:rsidRPr="00A735B4">
        <w:rPr>
          <w:rFonts w:asciiTheme="majorHAnsi" w:hAnsiTheme="majorHAnsi"/>
        </w:rPr>
        <w:t>UNECA</w:t>
      </w:r>
      <w:r w:rsidRPr="00A735B4">
        <w:rPr>
          <w:rFonts w:asciiTheme="majorHAnsi" w:hAnsiTheme="majorHAnsi"/>
        </w:rPr>
        <w:tab/>
        <w:t>United Nations Economic Commission for Africa</w:t>
      </w:r>
    </w:p>
    <w:p w14:paraId="346FBF74" w14:textId="77777777" w:rsidR="00C4454D" w:rsidRPr="00A735B4" w:rsidRDefault="00C4454D" w:rsidP="00C4454D">
      <w:pPr>
        <w:rPr>
          <w:rFonts w:asciiTheme="majorHAnsi" w:hAnsiTheme="majorHAnsi"/>
        </w:rPr>
      </w:pPr>
      <w:r w:rsidRPr="00A735B4">
        <w:rPr>
          <w:rFonts w:asciiTheme="majorHAnsi" w:hAnsiTheme="majorHAnsi"/>
        </w:rPr>
        <w:t>US$</w:t>
      </w:r>
      <w:r w:rsidRPr="00A735B4">
        <w:rPr>
          <w:rFonts w:asciiTheme="majorHAnsi" w:hAnsiTheme="majorHAnsi"/>
        </w:rPr>
        <w:tab/>
      </w:r>
      <w:r w:rsidRPr="00A735B4">
        <w:rPr>
          <w:rFonts w:asciiTheme="majorHAnsi" w:hAnsiTheme="majorHAnsi"/>
        </w:rPr>
        <w:tab/>
        <w:t>U.S. dollar</w:t>
      </w:r>
    </w:p>
    <w:p w14:paraId="3E109B89" w14:textId="77777777" w:rsidR="00C4454D" w:rsidRPr="00A735B4" w:rsidRDefault="00C4454D" w:rsidP="00C4454D">
      <w:pPr>
        <w:rPr>
          <w:rFonts w:asciiTheme="majorHAnsi" w:hAnsiTheme="majorHAnsi"/>
        </w:rPr>
      </w:pPr>
      <w:r w:rsidRPr="00A735B4">
        <w:rPr>
          <w:rFonts w:asciiTheme="majorHAnsi" w:hAnsiTheme="majorHAnsi"/>
        </w:rPr>
        <w:lastRenderedPageBreak/>
        <w:t>USAID</w:t>
      </w:r>
      <w:r w:rsidRPr="00A735B4">
        <w:rPr>
          <w:rFonts w:asciiTheme="majorHAnsi" w:hAnsiTheme="majorHAnsi"/>
        </w:rPr>
        <w:tab/>
      </w:r>
      <w:r w:rsidRPr="00A735B4">
        <w:rPr>
          <w:rFonts w:asciiTheme="majorHAnsi" w:hAnsiTheme="majorHAnsi"/>
        </w:rPr>
        <w:tab/>
        <w:t xml:space="preserve">U.S. Agency for International Development </w:t>
      </w:r>
    </w:p>
    <w:p w14:paraId="1E2B9ACF" w14:textId="77777777" w:rsidR="00C4454D" w:rsidRPr="00A735B4" w:rsidRDefault="00C4454D" w:rsidP="00C4454D">
      <w:pPr>
        <w:rPr>
          <w:rFonts w:asciiTheme="majorHAnsi" w:hAnsiTheme="majorHAnsi"/>
        </w:rPr>
      </w:pPr>
      <w:r w:rsidRPr="00A735B4">
        <w:rPr>
          <w:rFonts w:asciiTheme="majorHAnsi" w:hAnsiTheme="majorHAnsi"/>
        </w:rPr>
        <w:t>WAEMU</w:t>
      </w:r>
      <w:r w:rsidRPr="00A735B4">
        <w:rPr>
          <w:rFonts w:asciiTheme="majorHAnsi" w:hAnsiTheme="majorHAnsi"/>
        </w:rPr>
        <w:tab/>
        <w:t>West African Economic and Monetary Union</w:t>
      </w:r>
      <w:r w:rsidRPr="00A735B4">
        <w:rPr>
          <w:rFonts w:asciiTheme="majorHAnsi" w:hAnsiTheme="majorHAnsi"/>
        </w:rPr>
        <w:tab/>
      </w:r>
    </w:p>
    <w:p w14:paraId="09DEA7FB" w14:textId="77777777" w:rsidR="00C4454D" w:rsidRPr="00A735B4" w:rsidRDefault="00C4454D" w:rsidP="00C4454D">
      <w:pPr>
        <w:rPr>
          <w:rFonts w:asciiTheme="majorHAnsi" w:hAnsiTheme="majorHAnsi"/>
        </w:rPr>
      </w:pPr>
      <w:r w:rsidRPr="00A735B4">
        <w:rPr>
          <w:rFonts w:asciiTheme="majorHAnsi" w:hAnsiTheme="majorHAnsi"/>
        </w:rPr>
        <w:t>WITS</w:t>
      </w:r>
      <w:r w:rsidRPr="00A735B4">
        <w:rPr>
          <w:rFonts w:asciiTheme="majorHAnsi" w:hAnsiTheme="majorHAnsi"/>
        </w:rPr>
        <w:tab/>
      </w:r>
      <w:r w:rsidRPr="00A735B4">
        <w:rPr>
          <w:rFonts w:asciiTheme="majorHAnsi" w:hAnsiTheme="majorHAnsi"/>
        </w:rPr>
        <w:tab/>
        <w:t>World Integrated Trade Solution</w:t>
      </w:r>
    </w:p>
    <w:p w14:paraId="3DDF052D" w14:textId="77777777" w:rsidR="00C4454D" w:rsidRPr="00A735B4" w:rsidRDefault="00C4454D" w:rsidP="00C4454D">
      <w:pPr>
        <w:rPr>
          <w:rFonts w:asciiTheme="majorHAnsi" w:hAnsiTheme="majorHAnsi"/>
        </w:rPr>
      </w:pPr>
      <w:r w:rsidRPr="00A735B4">
        <w:rPr>
          <w:rFonts w:asciiTheme="majorHAnsi" w:hAnsiTheme="majorHAnsi"/>
        </w:rPr>
        <w:t>WTO</w:t>
      </w:r>
      <w:r w:rsidRPr="00A735B4">
        <w:rPr>
          <w:rFonts w:asciiTheme="majorHAnsi" w:hAnsiTheme="majorHAnsi"/>
        </w:rPr>
        <w:tab/>
      </w:r>
      <w:r w:rsidRPr="00A735B4">
        <w:rPr>
          <w:rFonts w:asciiTheme="majorHAnsi" w:hAnsiTheme="majorHAnsi"/>
        </w:rPr>
        <w:tab/>
      </w:r>
      <w:r w:rsidRPr="00A735B4">
        <w:rPr>
          <w:rFonts w:asciiTheme="majorHAnsi" w:hAnsiTheme="majorHAnsi" w:cstheme="minorHAnsi"/>
        </w:rPr>
        <w:t>World Trade Organization</w:t>
      </w:r>
    </w:p>
    <w:p w14:paraId="2FD663A5" w14:textId="77777777" w:rsidR="00C4454D" w:rsidRPr="00A735B4" w:rsidRDefault="00C4454D" w:rsidP="00C4454D">
      <w:pPr>
        <w:rPr>
          <w:rFonts w:asciiTheme="majorHAnsi" w:hAnsiTheme="majorHAnsi"/>
        </w:rPr>
      </w:pPr>
    </w:p>
    <w:p w14:paraId="03596D60" w14:textId="77777777" w:rsidR="00C4454D" w:rsidRPr="00A735B4" w:rsidRDefault="00C4454D">
      <w:pPr>
        <w:spacing w:after="200" w:line="276" w:lineRule="auto"/>
        <w:rPr>
          <w:rFonts w:asciiTheme="majorHAnsi" w:eastAsiaTheme="majorEastAsia" w:hAnsiTheme="majorHAnsi" w:cstheme="majorBidi"/>
          <w:b/>
          <w:bCs/>
          <w:color w:val="365F91" w:themeColor="accent1" w:themeShade="BF"/>
          <w:sz w:val="28"/>
          <w:szCs w:val="28"/>
          <w:lang w:eastAsia="ja-JP"/>
        </w:rPr>
      </w:pPr>
    </w:p>
    <w:p w14:paraId="3B4AF7A7" w14:textId="77777777" w:rsidR="00C4454D" w:rsidRPr="00A735B4" w:rsidRDefault="00C4454D">
      <w:pPr>
        <w:spacing w:after="200" w:line="276" w:lineRule="auto"/>
        <w:rPr>
          <w:rFonts w:eastAsia="Times New Roman"/>
          <w:b/>
          <w:color w:val="1F497D" w:themeColor="text2"/>
          <w:lang w:eastAsia="en-GB"/>
        </w:rPr>
      </w:pPr>
      <w:r w:rsidRPr="00A735B4">
        <w:rPr>
          <w:rFonts w:eastAsia="Times New Roman"/>
          <w:bCs/>
          <w:color w:val="1F497D" w:themeColor="text2"/>
          <w:lang w:eastAsia="en-GB"/>
        </w:rPr>
        <w:br w:type="page"/>
      </w:r>
    </w:p>
    <w:p w14:paraId="31782840" w14:textId="6597AEAC" w:rsidR="00C4454D" w:rsidRPr="00A735B4" w:rsidRDefault="00C4454D" w:rsidP="00C4454D">
      <w:pPr>
        <w:jc w:val="center"/>
        <w:rPr>
          <w:rFonts w:eastAsia="Times New Roman" w:cs="Times New Roman"/>
          <w:color w:val="1F497D" w:themeColor="text2"/>
          <w:lang w:eastAsia="en-GB"/>
        </w:rPr>
      </w:pPr>
      <w:r w:rsidRPr="00A735B4">
        <w:rPr>
          <w:rFonts w:eastAsia="Times New Roman" w:cs="Times New Roman"/>
          <w:color w:val="1F497D" w:themeColor="text2"/>
          <w:lang w:eastAsia="en-GB"/>
        </w:rPr>
        <w:lastRenderedPageBreak/>
        <w:t>Contents</w:t>
      </w:r>
    </w:p>
    <w:p w14:paraId="724F86E4" w14:textId="285061E5" w:rsidR="00C4454D" w:rsidRPr="00A735B4" w:rsidRDefault="00C4454D">
      <w:pPr>
        <w:spacing w:after="200" w:line="276" w:lineRule="auto"/>
      </w:pPr>
    </w:p>
    <w:p w14:paraId="10DD169D" w14:textId="309BADD2" w:rsidR="00C4454D" w:rsidRPr="00A735B4" w:rsidRDefault="00C4454D" w:rsidP="00C4454D">
      <w:pPr>
        <w:tabs>
          <w:tab w:val="right" w:leader="dot" w:pos="9170"/>
        </w:tabs>
        <w:rPr>
          <w:noProof/>
        </w:rPr>
      </w:pPr>
      <w:r w:rsidRPr="00A735B4">
        <w:fldChar w:fldCharType="begin"/>
      </w:r>
      <w:r w:rsidRPr="00A735B4">
        <w:instrText xml:space="preserve"> TOC \o "1-1" \h \z \u \t "Heading 2,1,Heading 3,1,Heading 4,1" </w:instrText>
      </w:r>
      <w:r w:rsidRPr="00A735B4">
        <w:fldChar w:fldCharType="separate"/>
      </w:r>
      <w:hyperlink w:anchor="_Toc417463357" w:history="1">
        <w:r w:rsidRPr="00A735B4">
          <w:rPr>
            <w:noProof/>
            <w14:scene3d>
              <w14:camera w14:prst="orthographicFront"/>
              <w14:lightRig w14:rig="threePt" w14:dir="t">
                <w14:rot w14:lat="0" w14:lon="0" w14:rev="0"/>
              </w14:lightRig>
            </w14:scene3d>
          </w:rPr>
          <w:t>1.</w:t>
        </w:r>
        <w:r w:rsidRPr="00A735B4">
          <w:rPr>
            <w:noProof/>
          </w:rPr>
          <w:t xml:space="preserve"> Introduction</w:t>
        </w:r>
        <w:r w:rsidRPr="00A735B4">
          <w:rPr>
            <w:noProof/>
            <w:webHidden/>
          </w:rPr>
          <w:tab/>
          <w:t>11</w:t>
        </w:r>
      </w:hyperlink>
    </w:p>
    <w:p w14:paraId="0CB93751" w14:textId="75E93D45" w:rsidR="00C4454D" w:rsidRPr="00A735B4" w:rsidRDefault="00BD55CF" w:rsidP="00C4454D">
      <w:pPr>
        <w:tabs>
          <w:tab w:val="right" w:leader="dot" w:pos="9170"/>
        </w:tabs>
        <w:rPr>
          <w:noProof/>
        </w:rPr>
      </w:pPr>
      <w:hyperlink w:anchor="_Toc417463358" w:history="1">
        <w:r w:rsidR="00C4454D" w:rsidRPr="00A735B4">
          <w:rPr>
            <w:noProof/>
            <w14:scene3d>
              <w14:camera w14:prst="orthographicFront"/>
              <w14:lightRig w14:rig="threePt" w14:dir="t">
                <w14:rot w14:lat="0" w14:lon="0" w14:rev="0"/>
              </w14:lightRig>
            </w14:scene3d>
          </w:rPr>
          <w:t>2.</w:t>
        </w:r>
        <w:r w:rsidR="00C4454D" w:rsidRPr="00A735B4">
          <w:rPr>
            <w:noProof/>
          </w:rPr>
          <w:t xml:space="preserve"> Indicators to monitor regional integration</w:t>
        </w:r>
        <w:r w:rsidR="00C4454D" w:rsidRPr="00A735B4">
          <w:rPr>
            <w:noProof/>
            <w:webHidden/>
          </w:rPr>
          <w:tab/>
          <w:t>14</w:t>
        </w:r>
      </w:hyperlink>
    </w:p>
    <w:p w14:paraId="388BCD55" w14:textId="0B35C257" w:rsidR="00C4454D" w:rsidRPr="00A735B4" w:rsidRDefault="00BD55CF" w:rsidP="00C4454D">
      <w:pPr>
        <w:tabs>
          <w:tab w:val="right" w:leader="dot" w:pos="9170"/>
        </w:tabs>
        <w:ind w:left="360"/>
        <w:rPr>
          <w:noProof/>
        </w:rPr>
      </w:pPr>
      <w:hyperlink w:anchor="_Toc417463359" w:history="1">
        <w:r w:rsidR="00C4454D" w:rsidRPr="00A735B4">
          <w:rPr>
            <w:noProof/>
          </w:rPr>
          <w:t>2.1 Monitoring regional integration</w:t>
        </w:r>
        <w:r w:rsidR="00C4454D" w:rsidRPr="00A735B4">
          <w:rPr>
            <w:noProof/>
            <w:webHidden/>
          </w:rPr>
          <w:tab/>
          <w:t>14</w:t>
        </w:r>
      </w:hyperlink>
    </w:p>
    <w:p w14:paraId="6651047A" w14:textId="02F4FAA3" w:rsidR="00C4454D" w:rsidRPr="00A735B4" w:rsidRDefault="00BD55CF" w:rsidP="00C4454D">
      <w:pPr>
        <w:tabs>
          <w:tab w:val="right" w:leader="dot" w:pos="9170"/>
        </w:tabs>
        <w:ind w:left="360"/>
        <w:rPr>
          <w:noProof/>
        </w:rPr>
      </w:pPr>
      <w:hyperlink w:anchor="_Toc417463360" w:history="1">
        <w:r w:rsidR="00C4454D" w:rsidRPr="00A735B4">
          <w:rPr>
            <w:noProof/>
          </w:rPr>
          <w:t>2.2 Trade cost indicators</w:t>
        </w:r>
        <w:r w:rsidR="00C4454D" w:rsidRPr="00A735B4">
          <w:rPr>
            <w:noProof/>
            <w:webHidden/>
          </w:rPr>
          <w:tab/>
          <w:t>16</w:t>
        </w:r>
      </w:hyperlink>
    </w:p>
    <w:p w14:paraId="4D25AAEA" w14:textId="31340C1F" w:rsidR="00C4454D" w:rsidRPr="00A735B4" w:rsidRDefault="00BD55CF" w:rsidP="00C4454D">
      <w:pPr>
        <w:tabs>
          <w:tab w:val="right" w:leader="dot" w:pos="9170"/>
        </w:tabs>
        <w:rPr>
          <w:noProof/>
        </w:rPr>
      </w:pPr>
      <w:hyperlink w:anchor="_Toc417463361" w:history="1">
        <w:r w:rsidR="00C4454D" w:rsidRPr="00A735B4">
          <w:rPr>
            <w:noProof/>
            <w14:scene3d>
              <w14:camera w14:prst="orthographicFront"/>
              <w14:lightRig w14:rig="threePt" w14:dir="t">
                <w14:rot w14:lat="0" w14:lon="0" w14:rev="0"/>
              </w14:lightRig>
            </w14:scene3d>
          </w:rPr>
          <w:t>3.</w:t>
        </w:r>
        <w:r w:rsidR="00C4454D" w:rsidRPr="00A735B4">
          <w:rPr>
            <w:noProof/>
          </w:rPr>
          <w:t xml:space="preserve"> Indicators that are currently used in Africa</w:t>
        </w:r>
        <w:r w:rsidR="00C4454D" w:rsidRPr="00A735B4">
          <w:rPr>
            <w:noProof/>
            <w:webHidden/>
          </w:rPr>
          <w:tab/>
          <w:t>21</w:t>
        </w:r>
      </w:hyperlink>
    </w:p>
    <w:p w14:paraId="391AB0BE" w14:textId="28EA343E" w:rsidR="00C4454D" w:rsidRPr="00A735B4" w:rsidRDefault="00BD55CF" w:rsidP="00C4454D">
      <w:pPr>
        <w:tabs>
          <w:tab w:val="right" w:leader="dot" w:pos="9170"/>
        </w:tabs>
        <w:ind w:left="360"/>
        <w:rPr>
          <w:noProof/>
        </w:rPr>
      </w:pPr>
      <w:hyperlink w:anchor="_Toc417463362" w:history="1">
        <w:r w:rsidR="00C4454D" w:rsidRPr="00A735B4">
          <w:rPr>
            <w:noProof/>
          </w:rPr>
          <w:t>3.1 Compliance and tariff monitoring</w:t>
        </w:r>
        <w:r w:rsidR="00C4454D" w:rsidRPr="00A735B4">
          <w:rPr>
            <w:noProof/>
            <w:webHidden/>
          </w:rPr>
          <w:tab/>
          <w:t>23</w:t>
        </w:r>
      </w:hyperlink>
    </w:p>
    <w:p w14:paraId="4FFB4BC7" w14:textId="41FCD634" w:rsidR="00C4454D" w:rsidRPr="00A735B4" w:rsidRDefault="00BD55CF" w:rsidP="00C4454D">
      <w:pPr>
        <w:tabs>
          <w:tab w:val="right" w:leader="dot" w:pos="9170"/>
        </w:tabs>
        <w:ind w:left="360"/>
        <w:rPr>
          <w:noProof/>
        </w:rPr>
      </w:pPr>
      <w:hyperlink w:anchor="_Toc417463363" w:history="1">
        <w:r w:rsidR="00C4454D" w:rsidRPr="00A735B4">
          <w:rPr>
            <w:noProof/>
          </w:rPr>
          <w:t>3.2 Non-tariff barriers</w:t>
        </w:r>
        <w:r w:rsidR="00C4454D" w:rsidRPr="00A735B4">
          <w:rPr>
            <w:noProof/>
            <w:webHidden/>
          </w:rPr>
          <w:tab/>
          <w:t>25</w:t>
        </w:r>
      </w:hyperlink>
    </w:p>
    <w:p w14:paraId="7696FA90" w14:textId="656499C1" w:rsidR="00C4454D" w:rsidRPr="00A735B4" w:rsidRDefault="00BD55CF" w:rsidP="00C4454D">
      <w:pPr>
        <w:tabs>
          <w:tab w:val="right" w:leader="dot" w:pos="9170"/>
        </w:tabs>
        <w:ind w:left="360"/>
        <w:rPr>
          <w:noProof/>
        </w:rPr>
      </w:pPr>
      <w:hyperlink w:anchor="_Toc417463364" w:history="1">
        <w:r w:rsidR="00C4454D" w:rsidRPr="00A735B4">
          <w:rPr>
            <w:noProof/>
          </w:rPr>
          <w:t>3.3 Regulatory barriers to trade in services</w:t>
        </w:r>
        <w:r w:rsidR="00C4454D" w:rsidRPr="00A735B4">
          <w:rPr>
            <w:noProof/>
            <w:webHidden/>
          </w:rPr>
          <w:tab/>
          <w:t>27</w:t>
        </w:r>
      </w:hyperlink>
    </w:p>
    <w:p w14:paraId="19176E63" w14:textId="475BF337" w:rsidR="00C4454D" w:rsidRPr="00A735B4" w:rsidRDefault="00BD55CF" w:rsidP="00C4454D">
      <w:pPr>
        <w:tabs>
          <w:tab w:val="right" w:leader="dot" w:pos="9170"/>
        </w:tabs>
        <w:rPr>
          <w:noProof/>
        </w:rPr>
      </w:pPr>
      <w:hyperlink w:anchor="_Toc417463368" w:history="1">
        <w:r w:rsidR="00C4454D" w:rsidRPr="00A735B4">
          <w:rPr>
            <w:noProof/>
            <w14:scene3d>
              <w14:camera w14:prst="orthographicFront"/>
              <w14:lightRig w14:rig="threePt" w14:dir="t">
                <w14:rot w14:lat="0" w14:lon="0" w14:rev="0"/>
              </w14:lightRig>
            </w14:scene3d>
          </w:rPr>
          <w:t>4.</w:t>
        </w:r>
        <w:r w:rsidR="00C4454D" w:rsidRPr="00A735B4">
          <w:rPr>
            <w:noProof/>
          </w:rPr>
          <w:t xml:space="preserve"> Generating new indicators from existing data sources</w:t>
        </w:r>
        <w:r w:rsidR="00C4454D" w:rsidRPr="00A735B4">
          <w:rPr>
            <w:noProof/>
            <w:webHidden/>
          </w:rPr>
          <w:tab/>
          <w:t>29</w:t>
        </w:r>
      </w:hyperlink>
    </w:p>
    <w:p w14:paraId="32F27A0C" w14:textId="498DB353" w:rsidR="00C4454D" w:rsidRPr="00A735B4" w:rsidRDefault="00BD55CF" w:rsidP="00C4454D">
      <w:pPr>
        <w:tabs>
          <w:tab w:val="right" w:leader="dot" w:pos="9170"/>
        </w:tabs>
        <w:ind w:left="360"/>
        <w:rPr>
          <w:noProof/>
        </w:rPr>
      </w:pPr>
      <w:hyperlink w:anchor="_Toc417463369" w:history="1">
        <w:r w:rsidR="00C4454D" w:rsidRPr="00A735B4">
          <w:rPr>
            <w:noProof/>
          </w:rPr>
          <w:t>4.1 Information from transport corridor monitoring</w:t>
        </w:r>
        <w:r w:rsidR="00C4454D" w:rsidRPr="00A735B4">
          <w:rPr>
            <w:noProof/>
            <w:webHidden/>
          </w:rPr>
          <w:tab/>
          <w:t>30</w:t>
        </w:r>
      </w:hyperlink>
    </w:p>
    <w:p w14:paraId="1B40ED09" w14:textId="79CBEAB8" w:rsidR="00C4454D" w:rsidRPr="00A735B4" w:rsidRDefault="00BD55CF" w:rsidP="00C4454D">
      <w:pPr>
        <w:tabs>
          <w:tab w:val="right" w:leader="dot" w:pos="9170"/>
        </w:tabs>
        <w:ind w:left="360"/>
        <w:rPr>
          <w:noProof/>
        </w:rPr>
      </w:pPr>
      <w:hyperlink w:anchor="_Toc417463370" w:history="1">
        <w:r w:rsidR="00C4454D" w:rsidRPr="00A735B4">
          <w:rPr>
            <w:noProof/>
          </w:rPr>
          <w:t>4.2 Transactions-level data from customs</w:t>
        </w:r>
        <w:r w:rsidR="00C4454D" w:rsidRPr="00A735B4">
          <w:rPr>
            <w:noProof/>
            <w:webHidden/>
          </w:rPr>
          <w:tab/>
          <w:t>36</w:t>
        </w:r>
      </w:hyperlink>
    </w:p>
    <w:p w14:paraId="24D24179" w14:textId="7BF27B70" w:rsidR="00C4454D" w:rsidRPr="00A735B4" w:rsidRDefault="00BD55CF" w:rsidP="00C4454D">
      <w:pPr>
        <w:tabs>
          <w:tab w:val="right" w:leader="dot" w:pos="9170"/>
        </w:tabs>
        <w:ind w:left="360"/>
        <w:rPr>
          <w:noProof/>
        </w:rPr>
      </w:pPr>
      <w:hyperlink w:anchor="_Toc417463371" w:history="1">
        <w:r w:rsidR="00C4454D" w:rsidRPr="00A735B4">
          <w:rPr>
            <w:noProof/>
          </w:rPr>
          <w:t>4.3 Information on product price differences</w:t>
        </w:r>
        <w:r w:rsidR="00C4454D" w:rsidRPr="00A735B4">
          <w:rPr>
            <w:noProof/>
            <w:webHidden/>
          </w:rPr>
          <w:tab/>
          <w:t>38</w:t>
        </w:r>
      </w:hyperlink>
    </w:p>
    <w:p w14:paraId="31267236" w14:textId="2F107320" w:rsidR="00C4454D" w:rsidRPr="00A735B4" w:rsidRDefault="00BD55CF" w:rsidP="00C4454D">
      <w:pPr>
        <w:tabs>
          <w:tab w:val="right" w:leader="dot" w:pos="9170"/>
        </w:tabs>
        <w:ind w:left="360"/>
        <w:rPr>
          <w:noProof/>
        </w:rPr>
      </w:pPr>
      <w:hyperlink w:anchor="_Toc417463372" w:history="1">
        <w:r w:rsidR="00C4454D" w:rsidRPr="00A735B4">
          <w:rPr>
            <w:noProof/>
          </w:rPr>
          <w:t>4.4 Trade in value-added data</w:t>
        </w:r>
        <w:r w:rsidR="00C4454D" w:rsidRPr="00A735B4">
          <w:rPr>
            <w:noProof/>
            <w:webHidden/>
          </w:rPr>
          <w:tab/>
          <w:t>39</w:t>
        </w:r>
      </w:hyperlink>
    </w:p>
    <w:p w14:paraId="2AF83E63" w14:textId="46950527" w:rsidR="00C4454D" w:rsidRPr="00A735B4" w:rsidRDefault="00BD55CF" w:rsidP="00C4454D">
      <w:pPr>
        <w:tabs>
          <w:tab w:val="right" w:leader="dot" w:pos="9170"/>
        </w:tabs>
        <w:rPr>
          <w:noProof/>
        </w:rPr>
      </w:pPr>
      <w:hyperlink w:anchor="_Toc417463373" w:history="1">
        <w:r w:rsidR="00C4454D" w:rsidRPr="00A735B4">
          <w:rPr>
            <w:noProof/>
            <w14:scene3d>
              <w14:camera w14:prst="orthographicFront"/>
              <w14:lightRig w14:rig="threePt" w14:dir="t">
                <w14:rot w14:lat="0" w14:lon="0" w14:rev="0"/>
              </w14:lightRig>
            </w14:scene3d>
          </w:rPr>
          <w:t>5.</w:t>
        </w:r>
        <w:r w:rsidR="00C4454D" w:rsidRPr="00A735B4">
          <w:rPr>
            <w:noProof/>
          </w:rPr>
          <w:t xml:space="preserve"> Generating new indicators from new types of data sources</w:t>
        </w:r>
        <w:r w:rsidR="00C4454D" w:rsidRPr="00A735B4">
          <w:rPr>
            <w:noProof/>
            <w:webHidden/>
          </w:rPr>
          <w:tab/>
          <w:t>42</w:t>
        </w:r>
      </w:hyperlink>
    </w:p>
    <w:p w14:paraId="107E1B5B" w14:textId="603269B3" w:rsidR="00C4454D" w:rsidRPr="00A735B4" w:rsidRDefault="00BD55CF" w:rsidP="00C4454D">
      <w:pPr>
        <w:tabs>
          <w:tab w:val="right" w:leader="dot" w:pos="9170"/>
        </w:tabs>
        <w:ind w:left="360"/>
        <w:rPr>
          <w:noProof/>
        </w:rPr>
      </w:pPr>
      <w:hyperlink w:anchor="_Toc417463374" w:history="1">
        <w:r w:rsidR="00C4454D" w:rsidRPr="00A735B4">
          <w:rPr>
            <w:noProof/>
          </w:rPr>
          <w:t>5.1 Mystery shopping data</w:t>
        </w:r>
        <w:r w:rsidR="00C4454D" w:rsidRPr="00A735B4">
          <w:rPr>
            <w:noProof/>
            <w:webHidden/>
          </w:rPr>
          <w:tab/>
          <w:t>42</w:t>
        </w:r>
      </w:hyperlink>
    </w:p>
    <w:p w14:paraId="50EC3F29" w14:textId="77212ACD" w:rsidR="00C4454D" w:rsidRPr="00A735B4" w:rsidRDefault="00BD55CF" w:rsidP="00C4454D">
      <w:pPr>
        <w:tabs>
          <w:tab w:val="right" w:leader="dot" w:pos="9170"/>
        </w:tabs>
        <w:ind w:left="360"/>
        <w:rPr>
          <w:noProof/>
        </w:rPr>
      </w:pPr>
      <w:hyperlink w:anchor="_Toc417463375" w:history="1">
        <w:r w:rsidR="00C4454D" w:rsidRPr="00A735B4">
          <w:rPr>
            <w:noProof/>
          </w:rPr>
          <w:t>5.2 Crowdsourcing data</w:t>
        </w:r>
        <w:r w:rsidR="00C4454D" w:rsidRPr="00A735B4">
          <w:rPr>
            <w:noProof/>
            <w:webHidden/>
          </w:rPr>
          <w:tab/>
          <w:t>44</w:t>
        </w:r>
      </w:hyperlink>
    </w:p>
    <w:p w14:paraId="123FDE37" w14:textId="1C6FDE26" w:rsidR="00C4454D" w:rsidRPr="00A735B4" w:rsidRDefault="00BD55CF" w:rsidP="00C4454D">
      <w:pPr>
        <w:tabs>
          <w:tab w:val="right" w:leader="dot" w:pos="9170"/>
        </w:tabs>
        <w:rPr>
          <w:noProof/>
        </w:rPr>
      </w:pPr>
      <w:hyperlink w:anchor="_Toc417463376" w:history="1">
        <w:r w:rsidR="00C4454D" w:rsidRPr="00A735B4">
          <w:rPr>
            <w:noProof/>
            <w14:scene3d>
              <w14:camera w14:prst="orthographicFront"/>
              <w14:lightRig w14:rig="threePt" w14:dir="t">
                <w14:rot w14:lat="0" w14:lon="0" w14:rev="0"/>
              </w14:lightRig>
            </w14:scene3d>
          </w:rPr>
          <w:t>6.</w:t>
        </w:r>
        <w:r w:rsidR="00C4454D" w:rsidRPr="00A735B4">
          <w:rPr>
            <w:noProof/>
          </w:rPr>
          <w:t xml:space="preserve"> The way forward</w:t>
        </w:r>
        <w:r w:rsidR="00C4454D" w:rsidRPr="00A735B4">
          <w:rPr>
            <w:noProof/>
            <w:webHidden/>
          </w:rPr>
          <w:tab/>
          <w:t>50</w:t>
        </w:r>
      </w:hyperlink>
    </w:p>
    <w:p w14:paraId="373CA10C" w14:textId="25E4ED79" w:rsidR="00C4454D" w:rsidRPr="00A735B4" w:rsidRDefault="00BD55CF" w:rsidP="00C4454D">
      <w:pPr>
        <w:tabs>
          <w:tab w:val="right" w:leader="dot" w:pos="9170"/>
        </w:tabs>
        <w:ind w:left="360"/>
        <w:rPr>
          <w:noProof/>
        </w:rPr>
      </w:pPr>
      <w:hyperlink w:anchor="_Toc417463377" w:history="1">
        <w:r w:rsidR="00C4454D" w:rsidRPr="00A735B4">
          <w:rPr>
            <w:noProof/>
          </w:rPr>
          <w:t>6.1 Lessons from the review of new indicators</w:t>
        </w:r>
        <w:r w:rsidR="00C4454D" w:rsidRPr="00A735B4">
          <w:rPr>
            <w:noProof/>
            <w:webHidden/>
          </w:rPr>
          <w:tab/>
          <w:t>51</w:t>
        </w:r>
      </w:hyperlink>
    </w:p>
    <w:p w14:paraId="2BFB24A0" w14:textId="57F3694E" w:rsidR="00C4454D" w:rsidRPr="00A735B4" w:rsidRDefault="00BD55CF" w:rsidP="00C4454D">
      <w:pPr>
        <w:tabs>
          <w:tab w:val="right" w:leader="dot" w:pos="9170"/>
        </w:tabs>
        <w:ind w:left="360"/>
        <w:rPr>
          <w:noProof/>
        </w:rPr>
      </w:pPr>
      <w:hyperlink w:anchor="_Toc417463378" w:history="1">
        <w:r w:rsidR="00C4454D" w:rsidRPr="00A735B4">
          <w:rPr>
            <w:noProof/>
          </w:rPr>
          <w:t>6.2 Frequency and structure of integration monitoring</w:t>
        </w:r>
        <w:r w:rsidR="00C4454D" w:rsidRPr="00A735B4">
          <w:rPr>
            <w:noProof/>
            <w:webHidden/>
          </w:rPr>
          <w:tab/>
          <w:t>54</w:t>
        </w:r>
      </w:hyperlink>
    </w:p>
    <w:p w14:paraId="5CB8CABE" w14:textId="44D2607D" w:rsidR="00C4454D" w:rsidRPr="00A735B4" w:rsidRDefault="00BD55CF" w:rsidP="00C4454D">
      <w:pPr>
        <w:tabs>
          <w:tab w:val="right" w:leader="dot" w:pos="9170"/>
        </w:tabs>
        <w:ind w:left="360"/>
        <w:rPr>
          <w:noProof/>
        </w:rPr>
      </w:pPr>
      <w:hyperlink w:anchor="_Toc417463379" w:history="1">
        <w:r w:rsidR="00C4454D" w:rsidRPr="00A735B4">
          <w:rPr>
            <w:noProof/>
          </w:rPr>
          <w:t>6.3 Role of development partners</w:t>
        </w:r>
        <w:r w:rsidR="00C4454D" w:rsidRPr="00A735B4">
          <w:rPr>
            <w:noProof/>
            <w:webHidden/>
          </w:rPr>
          <w:tab/>
          <w:t>56</w:t>
        </w:r>
      </w:hyperlink>
    </w:p>
    <w:p w14:paraId="3846B2D7" w14:textId="56CD107C" w:rsidR="00C4454D" w:rsidRPr="00A735B4" w:rsidRDefault="00BD55CF" w:rsidP="00C4454D">
      <w:pPr>
        <w:tabs>
          <w:tab w:val="right" w:leader="dot" w:pos="9170"/>
        </w:tabs>
        <w:ind w:left="360"/>
        <w:rPr>
          <w:noProof/>
        </w:rPr>
      </w:pPr>
      <w:hyperlink w:anchor="_Toc417463380" w:history="1">
        <w:r w:rsidR="00C4454D" w:rsidRPr="00A735B4">
          <w:rPr>
            <w:noProof/>
          </w:rPr>
          <w:t>6.4 Dissemination and next steps</w:t>
        </w:r>
        <w:r w:rsidR="00C4454D" w:rsidRPr="00A735B4">
          <w:rPr>
            <w:noProof/>
            <w:webHidden/>
          </w:rPr>
          <w:tab/>
          <w:t>58</w:t>
        </w:r>
      </w:hyperlink>
    </w:p>
    <w:p w14:paraId="0B47B774" w14:textId="213D6CDA" w:rsidR="00C4454D" w:rsidRPr="00A735B4" w:rsidRDefault="00BD55CF" w:rsidP="00C4454D">
      <w:pPr>
        <w:tabs>
          <w:tab w:val="right" w:leader="dot" w:pos="9170"/>
        </w:tabs>
        <w:rPr>
          <w:noProof/>
        </w:rPr>
      </w:pPr>
      <w:hyperlink w:anchor="_Toc417463382" w:history="1">
        <w:r w:rsidR="00C4454D" w:rsidRPr="00A735B4">
          <w:rPr>
            <w:noProof/>
          </w:rPr>
          <w:t>Annex A  Utility and limitations of official trade data</w:t>
        </w:r>
        <w:r w:rsidR="00C4454D" w:rsidRPr="00A735B4">
          <w:rPr>
            <w:noProof/>
            <w:webHidden/>
          </w:rPr>
          <w:tab/>
          <w:t>59</w:t>
        </w:r>
      </w:hyperlink>
    </w:p>
    <w:p w14:paraId="59558C58" w14:textId="573FF8A4" w:rsidR="00C4454D" w:rsidRPr="00A735B4" w:rsidRDefault="00BD55CF" w:rsidP="00C4454D">
      <w:pPr>
        <w:tabs>
          <w:tab w:val="right" w:leader="dot" w:pos="9170"/>
        </w:tabs>
        <w:ind w:left="360"/>
        <w:rPr>
          <w:noProof/>
        </w:rPr>
      </w:pPr>
      <w:hyperlink w:anchor="_Toc417463383" w:history="1">
        <w:r w:rsidR="00C4454D" w:rsidRPr="00A735B4">
          <w:rPr>
            <w:noProof/>
          </w:rPr>
          <w:t>A.1 Availability of official trade data in SSA</w:t>
        </w:r>
        <w:r w:rsidR="00C4454D" w:rsidRPr="00A735B4">
          <w:rPr>
            <w:noProof/>
            <w:webHidden/>
          </w:rPr>
          <w:tab/>
          <w:t>60</w:t>
        </w:r>
      </w:hyperlink>
    </w:p>
    <w:p w14:paraId="41F5F671" w14:textId="42E3095C" w:rsidR="00C4454D" w:rsidRPr="00A735B4" w:rsidRDefault="00BD55CF" w:rsidP="00C4454D">
      <w:pPr>
        <w:tabs>
          <w:tab w:val="right" w:leader="dot" w:pos="9170"/>
        </w:tabs>
        <w:ind w:left="360"/>
        <w:rPr>
          <w:noProof/>
        </w:rPr>
      </w:pPr>
      <w:hyperlink w:anchor="_Toc417463384" w:history="1">
        <w:r w:rsidR="00C4454D" w:rsidRPr="00A735B4">
          <w:rPr>
            <w:noProof/>
          </w:rPr>
          <w:t>A.2 Direct and mirrored data</w:t>
        </w:r>
        <w:r w:rsidR="00C4454D" w:rsidRPr="00A735B4">
          <w:rPr>
            <w:noProof/>
            <w:webHidden/>
          </w:rPr>
          <w:tab/>
          <w:t>62</w:t>
        </w:r>
      </w:hyperlink>
    </w:p>
    <w:p w14:paraId="13FC2B2A" w14:textId="048F29C8" w:rsidR="00C4454D" w:rsidRPr="00A735B4" w:rsidRDefault="00BD55CF" w:rsidP="00C4454D">
      <w:pPr>
        <w:tabs>
          <w:tab w:val="right" w:leader="dot" w:pos="9170"/>
        </w:tabs>
        <w:ind w:left="360"/>
        <w:rPr>
          <w:noProof/>
        </w:rPr>
      </w:pPr>
      <w:hyperlink w:anchor="_Toc417463385" w:history="1">
        <w:r w:rsidR="00C4454D" w:rsidRPr="00A735B4">
          <w:rPr>
            <w:noProof/>
          </w:rPr>
          <w:t>A.3 Regional integration indicators from trade data: Opportunities</w:t>
        </w:r>
        <w:r w:rsidR="00C4454D" w:rsidRPr="00A735B4">
          <w:rPr>
            <w:noProof/>
            <w:webHidden/>
          </w:rPr>
          <w:tab/>
          <w:t>65</w:t>
        </w:r>
      </w:hyperlink>
    </w:p>
    <w:p w14:paraId="4C10A321" w14:textId="551D6C03" w:rsidR="00C4454D" w:rsidRPr="00A735B4" w:rsidRDefault="00BD55CF" w:rsidP="00C4454D">
      <w:pPr>
        <w:tabs>
          <w:tab w:val="right" w:leader="dot" w:pos="9170"/>
        </w:tabs>
        <w:rPr>
          <w:noProof/>
        </w:rPr>
      </w:pPr>
      <w:hyperlink w:anchor="_Toc417463387" w:history="1">
        <w:r w:rsidR="00C4454D" w:rsidRPr="00A735B4">
          <w:rPr>
            <w:noProof/>
          </w:rPr>
          <w:t>Annex B  Corridor monitoring indicators for transaction costs and trade volumes</w:t>
        </w:r>
        <w:r w:rsidR="00C4454D" w:rsidRPr="00A735B4">
          <w:rPr>
            <w:noProof/>
            <w:webHidden/>
          </w:rPr>
          <w:tab/>
          <w:t>69</w:t>
        </w:r>
      </w:hyperlink>
    </w:p>
    <w:p w14:paraId="354EFDA9" w14:textId="4215F44D" w:rsidR="00C4454D" w:rsidRPr="00A735B4" w:rsidRDefault="00BD55CF" w:rsidP="00C4454D">
      <w:pPr>
        <w:tabs>
          <w:tab w:val="right" w:leader="dot" w:pos="9170"/>
        </w:tabs>
        <w:ind w:left="360"/>
        <w:rPr>
          <w:noProof/>
        </w:rPr>
      </w:pPr>
      <w:hyperlink w:anchor="_Toc417463388" w:history="1">
        <w:r w:rsidR="00C4454D" w:rsidRPr="00A735B4">
          <w:rPr>
            <w:noProof/>
          </w:rPr>
          <w:t>B.1 Objective</w:t>
        </w:r>
        <w:r w:rsidR="00C4454D" w:rsidRPr="00A735B4">
          <w:rPr>
            <w:noProof/>
            <w:webHidden/>
          </w:rPr>
          <w:tab/>
          <w:t>69</w:t>
        </w:r>
      </w:hyperlink>
    </w:p>
    <w:p w14:paraId="3265F99D" w14:textId="4096D2F4" w:rsidR="00C4454D" w:rsidRPr="00A735B4" w:rsidRDefault="00BD55CF" w:rsidP="00C4454D">
      <w:pPr>
        <w:tabs>
          <w:tab w:val="right" w:leader="dot" w:pos="9170"/>
        </w:tabs>
        <w:ind w:left="360"/>
        <w:rPr>
          <w:noProof/>
        </w:rPr>
      </w:pPr>
      <w:hyperlink w:anchor="_Toc417463389" w:history="1">
        <w:r w:rsidR="00C4454D" w:rsidRPr="00A735B4">
          <w:rPr>
            <w:noProof/>
          </w:rPr>
          <w:t>B.2 Context</w:t>
        </w:r>
        <w:r w:rsidR="00C4454D" w:rsidRPr="00A735B4">
          <w:rPr>
            <w:noProof/>
            <w:webHidden/>
          </w:rPr>
          <w:tab/>
          <w:t>69</w:t>
        </w:r>
      </w:hyperlink>
    </w:p>
    <w:p w14:paraId="0D25BEE0" w14:textId="30C6D63C" w:rsidR="00C4454D" w:rsidRPr="00A735B4" w:rsidRDefault="00BD55CF" w:rsidP="00C4454D">
      <w:pPr>
        <w:tabs>
          <w:tab w:val="right" w:leader="dot" w:pos="9170"/>
        </w:tabs>
        <w:ind w:left="360"/>
        <w:rPr>
          <w:noProof/>
        </w:rPr>
      </w:pPr>
      <w:hyperlink w:anchor="_Toc417463390" w:history="1">
        <w:r w:rsidR="00C4454D" w:rsidRPr="00A735B4">
          <w:rPr>
            <w:noProof/>
          </w:rPr>
          <w:t>B.3 Monitoring and performance indicators</w:t>
        </w:r>
        <w:r w:rsidR="00C4454D" w:rsidRPr="00A735B4">
          <w:rPr>
            <w:noProof/>
            <w:webHidden/>
          </w:rPr>
          <w:tab/>
          <w:t>69</w:t>
        </w:r>
      </w:hyperlink>
    </w:p>
    <w:p w14:paraId="7C184BBF" w14:textId="263058B7" w:rsidR="00C4454D" w:rsidRPr="00A735B4" w:rsidRDefault="00BD55CF" w:rsidP="00C4454D">
      <w:pPr>
        <w:tabs>
          <w:tab w:val="right" w:leader="dot" w:pos="9170"/>
        </w:tabs>
        <w:ind w:left="360"/>
        <w:rPr>
          <w:noProof/>
        </w:rPr>
      </w:pPr>
      <w:hyperlink w:anchor="_Toc417463391" w:history="1">
        <w:r w:rsidR="00C4454D" w:rsidRPr="00A735B4">
          <w:rPr>
            <w:noProof/>
          </w:rPr>
          <w:t>B.4 Corridor monitoring Indicators</w:t>
        </w:r>
        <w:r w:rsidR="00C4454D" w:rsidRPr="00A735B4">
          <w:rPr>
            <w:noProof/>
            <w:webHidden/>
          </w:rPr>
          <w:tab/>
          <w:t>70</w:t>
        </w:r>
      </w:hyperlink>
    </w:p>
    <w:p w14:paraId="4B1EDD51" w14:textId="1F3ABF80" w:rsidR="00C4454D" w:rsidRPr="00A735B4" w:rsidRDefault="00BD55CF" w:rsidP="00C4454D">
      <w:pPr>
        <w:tabs>
          <w:tab w:val="right" w:leader="dot" w:pos="9170"/>
        </w:tabs>
        <w:ind w:left="360"/>
        <w:rPr>
          <w:noProof/>
        </w:rPr>
      </w:pPr>
      <w:hyperlink w:anchor="_Toc417463392" w:history="1">
        <w:r w:rsidR="00C4454D" w:rsidRPr="00A735B4">
          <w:rPr>
            <w:noProof/>
          </w:rPr>
          <w:t>B.5 Baseline monitoring indicators</w:t>
        </w:r>
        <w:r w:rsidR="00C4454D" w:rsidRPr="00A735B4">
          <w:rPr>
            <w:noProof/>
            <w:webHidden/>
          </w:rPr>
          <w:tab/>
          <w:t>70</w:t>
        </w:r>
      </w:hyperlink>
    </w:p>
    <w:p w14:paraId="7A1D3AB9" w14:textId="0D5F2560" w:rsidR="00C4454D" w:rsidRPr="00A735B4" w:rsidRDefault="00BD55CF" w:rsidP="00C4454D">
      <w:pPr>
        <w:tabs>
          <w:tab w:val="right" w:leader="dot" w:pos="9170"/>
        </w:tabs>
        <w:ind w:left="360"/>
        <w:rPr>
          <w:noProof/>
        </w:rPr>
      </w:pPr>
      <w:hyperlink w:anchor="_Toc417463393" w:history="1">
        <w:r w:rsidR="00C4454D" w:rsidRPr="00A735B4">
          <w:rPr>
            <w:noProof/>
          </w:rPr>
          <w:t>B.6 Indicators from selected corridors</w:t>
        </w:r>
        <w:r w:rsidR="00C4454D" w:rsidRPr="00A735B4">
          <w:rPr>
            <w:noProof/>
            <w:webHidden/>
          </w:rPr>
          <w:tab/>
          <w:t>71</w:t>
        </w:r>
      </w:hyperlink>
    </w:p>
    <w:p w14:paraId="4E62C44A" w14:textId="28F9B684" w:rsidR="00C4454D" w:rsidRPr="00A735B4" w:rsidRDefault="00BD55CF" w:rsidP="00C4454D">
      <w:pPr>
        <w:tabs>
          <w:tab w:val="right" w:leader="dot" w:pos="9170"/>
        </w:tabs>
        <w:ind w:left="360"/>
        <w:rPr>
          <w:noProof/>
        </w:rPr>
      </w:pPr>
      <w:hyperlink w:anchor="_Toc417463394" w:history="1">
        <w:r w:rsidR="00C4454D" w:rsidRPr="00A735B4">
          <w:rPr>
            <w:noProof/>
          </w:rPr>
          <w:t>B.7 Northern Corridor</w:t>
        </w:r>
        <w:r w:rsidR="00C4454D" w:rsidRPr="00A735B4">
          <w:rPr>
            <w:noProof/>
            <w:webHidden/>
          </w:rPr>
          <w:tab/>
          <w:t>71</w:t>
        </w:r>
      </w:hyperlink>
    </w:p>
    <w:p w14:paraId="3E11391A" w14:textId="09728F10" w:rsidR="00C4454D" w:rsidRPr="00A735B4" w:rsidRDefault="00BD55CF" w:rsidP="00C4454D">
      <w:pPr>
        <w:tabs>
          <w:tab w:val="right" w:leader="dot" w:pos="9170"/>
        </w:tabs>
        <w:ind w:left="360"/>
        <w:rPr>
          <w:noProof/>
        </w:rPr>
      </w:pPr>
      <w:hyperlink w:anchor="_Toc417463395" w:history="1">
        <w:r w:rsidR="00C4454D" w:rsidRPr="00A735B4">
          <w:rPr>
            <w:noProof/>
          </w:rPr>
          <w:t>B.8 West Africa trade and transport corridors</w:t>
        </w:r>
        <w:r w:rsidR="00C4454D" w:rsidRPr="00A735B4">
          <w:rPr>
            <w:noProof/>
            <w:webHidden/>
          </w:rPr>
          <w:tab/>
          <w:t>74</w:t>
        </w:r>
      </w:hyperlink>
    </w:p>
    <w:p w14:paraId="35C87BB4" w14:textId="030477EA" w:rsidR="00C4454D" w:rsidRPr="00A735B4" w:rsidRDefault="00BD55CF" w:rsidP="00C4454D">
      <w:pPr>
        <w:tabs>
          <w:tab w:val="right" w:leader="dot" w:pos="9170"/>
        </w:tabs>
        <w:ind w:left="360"/>
        <w:rPr>
          <w:noProof/>
        </w:rPr>
      </w:pPr>
      <w:hyperlink w:anchor="_Toc417463397" w:history="1">
        <w:r w:rsidR="00C4454D" w:rsidRPr="00A735B4">
          <w:rPr>
            <w:noProof/>
          </w:rPr>
          <w:t>B.9 Abidjan Lagos corridor indicators</w:t>
        </w:r>
        <w:r w:rsidR="00C4454D" w:rsidRPr="00A735B4">
          <w:rPr>
            <w:noProof/>
            <w:webHidden/>
          </w:rPr>
          <w:tab/>
          <w:t>76</w:t>
        </w:r>
      </w:hyperlink>
    </w:p>
    <w:p w14:paraId="673E7963" w14:textId="7EA2A1DE" w:rsidR="00C4454D" w:rsidRPr="00A735B4" w:rsidRDefault="00BD55CF" w:rsidP="00C4454D">
      <w:pPr>
        <w:tabs>
          <w:tab w:val="right" w:leader="dot" w:pos="9170"/>
        </w:tabs>
        <w:ind w:left="360"/>
        <w:rPr>
          <w:noProof/>
        </w:rPr>
      </w:pPr>
      <w:hyperlink w:anchor="_Toc417463398" w:history="1">
        <w:r w:rsidR="00C4454D" w:rsidRPr="00A735B4">
          <w:rPr>
            <w:noProof/>
          </w:rPr>
          <w:t>B.10 Logistics Cost Study of Transport Corridors in West and Central Africa</w:t>
        </w:r>
        <w:r w:rsidR="00C4454D" w:rsidRPr="00A735B4">
          <w:rPr>
            <w:noProof/>
            <w:webHidden/>
          </w:rPr>
          <w:tab/>
          <w:t>77</w:t>
        </w:r>
      </w:hyperlink>
    </w:p>
    <w:p w14:paraId="62C3B25D" w14:textId="67AC596D" w:rsidR="00C4454D" w:rsidRPr="00A735B4" w:rsidRDefault="00BD55CF" w:rsidP="00C4454D">
      <w:pPr>
        <w:tabs>
          <w:tab w:val="right" w:leader="dot" w:pos="9170"/>
        </w:tabs>
        <w:ind w:left="360"/>
        <w:rPr>
          <w:noProof/>
        </w:rPr>
      </w:pPr>
      <w:hyperlink w:anchor="_Toc417463399" w:history="1">
        <w:r w:rsidR="00C4454D" w:rsidRPr="00A735B4">
          <w:rPr>
            <w:noProof/>
          </w:rPr>
          <w:t>B.11 Indicators for transaction costs and regional trade integration</w:t>
        </w:r>
        <w:r w:rsidR="00C4454D" w:rsidRPr="00A735B4">
          <w:rPr>
            <w:noProof/>
            <w:webHidden/>
          </w:rPr>
          <w:tab/>
          <w:t>79</w:t>
        </w:r>
      </w:hyperlink>
    </w:p>
    <w:p w14:paraId="089E8D1A" w14:textId="22CE23BD" w:rsidR="00C4454D" w:rsidRPr="00A735B4" w:rsidRDefault="00BD55CF" w:rsidP="00C4454D">
      <w:pPr>
        <w:tabs>
          <w:tab w:val="right" w:leader="dot" w:pos="9170"/>
        </w:tabs>
        <w:ind w:left="360"/>
        <w:rPr>
          <w:noProof/>
        </w:rPr>
      </w:pPr>
      <w:hyperlink w:anchor="_Toc417463400" w:history="1">
        <w:r w:rsidR="00C4454D" w:rsidRPr="00A735B4">
          <w:rPr>
            <w:noProof/>
          </w:rPr>
          <w:t>B.12 Proposed monitoring indicators</w:t>
        </w:r>
        <w:r w:rsidR="00C4454D" w:rsidRPr="00A735B4">
          <w:rPr>
            <w:noProof/>
            <w:webHidden/>
          </w:rPr>
          <w:tab/>
          <w:t>81</w:t>
        </w:r>
      </w:hyperlink>
    </w:p>
    <w:p w14:paraId="4597E6D3" w14:textId="1A003DDB" w:rsidR="00C4454D" w:rsidRPr="00A735B4" w:rsidRDefault="00BD55CF" w:rsidP="00C4454D">
      <w:pPr>
        <w:tabs>
          <w:tab w:val="right" w:leader="dot" w:pos="9170"/>
        </w:tabs>
        <w:rPr>
          <w:noProof/>
        </w:rPr>
      </w:pPr>
      <w:hyperlink w:anchor="_Toc417463401" w:history="1">
        <w:r w:rsidR="00C4454D" w:rsidRPr="00A735B4">
          <w:rPr>
            <w:noProof/>
          </w:rPr>
          <w:t>Annex C  Banking, insurance, and accounting services indicator in six Sub-Saharan African countries</w:t>
        </w:r>
        <w:r w:rsidR="00C4454D" w:rsidRPr="00A735B4">
          <w:rPr>
            <w:noProof/>
            <w:webHidden/>
          </w:rPr>
          <w:tab/>
          <w:t>83</w:t>
        </w:r>
      </w:hyperlink>
    </w:p>
    <w:p w14:paraId="6F7F1852" w14:textId="5DC82154" w:rsidR="00C4454D" w:rsidRPr="00A735B4" w:rsidRDefault="00BD55CF" w:rsidP="00C4454D">
      <w:pPr>
        <w:tabs>
          <w:tab w:val="right" w:leader="dot" w:pos="9170"/>
        </w:tabs>
        <w:ind w:left="360"/>
        <w:rPr>
          <w:noProof/>
        </w:rPr>
      </w:pPr>
      <w:hyperlink w:anchor="_Toc417463402" w:history="1">
        <w:r w:rsidR="00C4454D" w:rsidRPr="00A735B4">
          <w:rPr>
            <w:noProof/>
          </w:rPr>
          <w:t>C.1 Introduction</w:t>
        </w:r>
        <w:r w:rsidR="00C4454D" w:rsidRPr="00A735B4">
          <w:rPr>
            <w:noProof/>
            <w:webHidden/>
          </w:rPr>
          <w:tab/>
          <w:t>83</w:t>
        </w:r>
      </w:hyperlink>
    </w:p>
    <w:p w14:paraId="79D502AA" w14:textId="5F509727" w:rsidR="00C4454D" w:rsidRPr="00A735B4" w:rsidRDefault="00BD55CF" w:rsidP="00C4454D">
      <w:pPr>
        <w:tabs>
          <w:tab w:val="right" w:leader="dot" w:pos="9170"/>
        </w:tabs>
        <w:ind w:left="360"/>
        <w:rPr>
          <w:noProof/>
        </w:rPr>
      </w:pPr>
      <w:hyperlink w:anchor="_Toc417463403" w:history="1">
        <w:r w:rsidR="00C4454D" w:rsidRPr="00A735B4">
          <w:rPr>
            <w:noProof/>
          </w:rPr>
          <w:t>C.2 Objectives</w:t>
        </w:r>
        <w:r w:rsidR="00C4454D" w:rsidRPr="00A735B4">
          <w:rPr>
            <w:noProof/>
            <w:webHidden/>
          </w:rPr>
          <w:tab/>
          <w:t>83</w:t>
        </w:r>
      </w:hyperlink>
    </w:p>
    <w:p w14:paraId="7BD41DC7" w14:textId="37369A8A" w:rsidR="00C4454D" w:rsidRPr="00A735B4" w:rsidRDefault="00BD55CF" w:rsidP="00C4454D">
      <w:pPr>
        <w:tabs>
          <w:tab w:val="right" w:leader="dot" w:pos="9170"/>
        </w:tabs>
        <w:ind w:left="360"/>
        <w:rPr>
          <w:noProof/>
        </w:rPr>
      </w:pPr>
      <w:hyperlink w:anchor="_Toc417463404" w:history="1">
        <w:r w:rsidR="00C4454D" w:rsidRPr="00A735B4">
          <w:rPr>
            <w:noProof/>
          </w:rPr>
          <w:t>C.3 Data collection and sample</w:t>
        </w:r>
        <w:r w:rsidR="00C4454D" w:rsidRPr="00A735B4">
          <w:rPr>
            <w:noProof/>
            <w:webHidden/>
          </w:rPr>
          <w:tab/>
          <w:t>84</w:t>
        </w:r>
      </w:hyperlink>
    </w:p>
    <w:p w14:paraId="13875C66" w14:textId="10505ACC" w:rsidR="00C4454D" w:rsidRPr="00A735B4" w:rsidRDefault="00BD55CF" w:rsidP="00C4454D">
      <w:pPr>
        <w:tabs>
          <w:tab w:val="right" w:leader="dot" w:pos="9170"/>
        </w:tabs>
        <w:ind w:left="360"/>
        <w:rPr>
          <w:noProof/>
        </w:rPr>
      </w:pPr>
      <w:hyperlink w:anchor="_Toc417463405" w:history="1">
        <w:r w:rsidR="00C4454D" w:rsidRPr="00A735B4">
          <w:rPr>
            <w:noProof/>
          </w:rPr>
          <w:t>C.4 Key results: Clients by size</w:t>
        </w:r>
        <w:r w:rsidR="00C4454D" w:rsidRPr="00A735B4">
          <w:rPr>
            <w:noProof/>
            <w:webHidden/>
          </w:rPr>
          <w:tab/>
          <w:t>86</w:t>
        </w:r>
      </w:hyperlink>
    </w:p>
    <w:p w14:paraId="4AF06755" w14:textId="091128B5" w:rsidR="00C4454D" w:rsidRPr="00A735B4" w:rsidRDefault="00BD55CF" w:rsidP="00C4454D">
      <w:pPr>
        <w:tabs>
          <w:tab w:val="right" w:leader="dot" w:pos="9170"/>
        </w:tabs>
        <w:ind w:left="360"/>
        <w:rPr>
          <w:noProof/>
        </w:rPr>
      </w:pPr>
      <w:hyperlink w:anchor="_Toc417463406" w:history="1">
        <w:r w:rsidR="00C4454D" w:rsidRPr="00A735B4">
          <w:rPr>
            <w:noProof/>
          </w:rPr>
          <w:t>C.5 Standardized services and prices by sector</w:t>
        </w:r>
        <w:r w:rsidR="00C4454D" w:rsidRPr="00A735B4">
          <w:rPr>
            <w:noProof/>
            <w:webHidden/>
          </w:rPr>
          <w:tab/>
          <w:t>87</w:t>
        </w:r>
      </w:hyperlink>
    </w:p>
    <w:p w14:paraId="03B8FD27" w14:textId="32218D8B" w:rsidR="00C4454D" w:rsidRPr="00A735B4" w:rsidRDefault="00BD55CF" w:rsidP="00C4454D">
      <w:pPr>
        <w:tabs>
          <w:tab w:val="right" w:leader="dot" w:pos="9170"/>
        </w:tabs>
        <w:ind w:left="360"/>
        <w:rPr>
          <w:noProof/>
        </w:rPr>
      </w:pPr>
      <w:hyperlink w:anchor="_Toc417463409" w:history="1">
        <w:r w:rsidR="00C4454D" w:rsidRPr="00A735B4">
          <w:rPr>
            <w:noProof/>
          </w:rPr>
          <w:t>C.6 Insurance</w:t>
        </w:r>
        <w:r w:rsidR="00C4454D" w:rsidRPr="00A735B4">
          <w:rPr>
            <w:noProof/>
            <w:webHidden/>
          </w:rPr>
          <w:tab/>
          <w:t>93</w:t>
        </w:r>
      </w:hyperlink>
    </w:p>
    <w:p w14:paraId="6AD46967" w14:textId="177A5181" w:rsidR="00C4454D" w:rsidRPr="00A735B4" w:rsidRDefault="00BD55CF" w:rsidP="00C4454D">
      <w:pPr>
        <w:tabs>
          <w:tab w:val="right" w:leader="dot" w:pos="9170"/>
        </w:tabs>
        <w:ind w:left="360"/>
        <w:rPr>
          <w:noProof/>
        </w:rPr>
      </w:pPr>
      <w:hyperlink w:anchor="_Toc417463410" w:history="1">
        <w:r w:rsidR="00C4454D" w:rsidRPr="00A735B4">
          <w:rPr>
            <w:noProof/>
          </w:rPr>
          <w:t>C.7 Accountancy</w:t>
        </w:r>
        <w:r w:rsidR="00C4454D" w:rsidRPr="00A735B4">
          <w:rPr>
            <w:noProof/>
            <w:webHidden/>
          </w:rPr>
          <w:tab/>
          <w:t>95</w:t>
        </w:r>
      </w:hyperlink>
    </w:p>
    <w:p w14:paraId="71DC8302" w14:textId="795490B0" w:rsidR="00C4454D" w:rsidRPr="00A735B4" w:rsidRDefault="00BD55CF" w:rsidP="00C4454D">
      <w:pPr>
        <w:tabs>
          <w:tab w:val="right" w:leader="dot" w:pos="9170"/>
        </w:tabs>
        <w:ind w:left="360"/>
        <w:rPr>
          <w:noProof/>
        </w:rPr>
      </w:pPr>
      <w:hyperlink w:anchor="_Toc417463411" w:history="1">
        <w:r w:rsidR="00C4454D" w:rsidRPr="00A735B4">
          <w:rPr>
            <w:noProof/>
          </w:rPr>
          <w:t>C.8 Conclusion and next steps</w:t>
        </w:r>
        <w:r w:rsidR="00C4454D" w:rsidRPr="00A735B4">
          <w:rPr>
            <w:noProof/>
            <w:webHidden/>
          </w:rPr>
          <w:tab/>
          <w:t>97</w:t>
        </w:r>
      </w:hyperlink>
    </w:p>
    <w:p w14:paraId="339AE7D4" w14:textId="5D820597" w:rsidR="00C4454D" w:rsidRPr="00A735B4" w:rsidRDefault="00BD55CF" w:rsidP="00C4454D">
      <w:pPr>
        <w:tabs>
          <w:tab w:val="right" w:leader="dot" w:pos="9170"/>
        </w:tabs>
        <w:rPr>
          <w:noProof/>
        </w:rPr>
      </w:pPr>
      <w:hyperlink w:anchor="_Toc417463413" w:history="1">
        <w:r w:rsidR="00C4454D" w:rsidRPr="00A735B4">
          <w:rPr>
            <w:noProof/>
          </w:rPr>
          <w:t>Annex D  Crowdsourcing with SMS technology: The case of farmers in Sub-Saharan Africa</w:t>
        </w:r>
        <w:r w:rsidR="00C4454D" w:rsidRPr="00A735B4">
          <w:rPr>
            <w:noProof/>
            <w:webHidden/>
          </w:rPr>
          <w:tab/>
          <w:t>100</w:t>
        </w:r>
      </w:hyperlink>
    </w:p>
    <w:p w14:paraId="58BC6C7B" w14:textId="16930ADB" w:rsidR="00C4454D" w:rsidRPr="00A735B4" w:rsidRDefault="00BD55CF" w:rsidP="00C4454D">
      <w:pPr>
        <w:tabs>
          <w:tab w:val="right" w:leader="dot" w:pos="9170"/>
        </w:tabs>
        <w:ind w:left="360"/>
        <w:rPr>
          <w:noProof/>
        </w:rPr>
      </w:pPr>
      <w:hyperlink w:anchor="_Toc417463414" w:history="1">
        <w:r w:rsidR="00C4454D" w:rsidRPr="00A735B4">
          <w:rPr>
            <w:noProof/>
          </w:rPr>
          <w:t>D.1 Introduction</w:t>
        </w:r>
        <w:r w:rsidR="00C4454D" w:rsidRPr="00A735B4">
          <w:rPr>
            <w:noProof/>
            <w:webHidden/>
          </w:rPr>
          <w:tab/>
          <w:t>100</w:t>
        </w:r>
      </w:hyperlink>
    </w:p>
    <w:p w14:paraId="4F9A9AED" w14:textId="09D1F4FF" w:rsidR="00C4454D" w:rsidRPr="00A735B4" w:rsidRDefault="00BD55CF" w:rsidP="00C4454D">
      <w:pPr>
        <w:tabs>
          <w:tab w:val="right" w:leader="dot" w:pos="9170"/>
        </w:tabs>
        <w:ind w:left="360"/>
        <w:rPr>
          <w:noProof/>
        </w:rPr>
      </w:pPr>
      <w:hyperlink w:anchor="_Toc417463415" w:history="1">
        <w:r w:rsidR="00C4454D" w:rsidRPr="00A735B4">
          <w:rPr>
            <w:noProof/>
          </w:rPr>
          <w:t>D.2 Mobile phone applications in development</w:t>
        </w:r>
        <w:r w:rsidR="00C4454D" w:rsidRPr="00A735B4">
          <w:rPr>
            <w:noProof/>
            <w:webHidden/>
          </w:rPr>
          <w:tab/>
          <w:t>100</w:t>
        </w:r>
      </w:hyperlink>
    </w:p>
    <w:p w14:paraId="793653AE" w14:textId="58BF8010" w:rsidR="00C4454D" w:rsidRPr="00A735B4" w:rsidRDefault="00BD55CF" w:rsidP="00C4454D">
      <w:pPr>
        <w:tabs>
          <w:tab w:val="right" w:leader="dot" w:pos="9170"/>
        </w:tabs>
        <w:ind w:left="360"/>
        <w:rPr>
          <w:noProof/>
        </w:rPr>
      </w:pPr>
      <w:hyperlink w:anchor="_Toc417463416" w:history="1">
        <w:r w:rsidR="00C4454D" w:rsidRPr="00A735B4">
          <w:rPr>
            <w:noProof/>
          </w:rPr>
          <w:t>D.3 Survey research using cell phone technology</w:t>
        </w:r>
        <w:r w:rsidR="00C4454D" w:rsidRPr="00A735B4">
          <w:rPr>
            <w:noProof/>
            <w:webHidden/>
          </w:rPr>
          <w:tab/>
          <w:t>101</w:t>
        </w:r>
      </w:hyperlink>
    </w:p>
    <w:p w14:paraId="34353565" w14:textId="5063BC7B" w:rsidR="00C4454D" w:rsidRPr="00A735B4" w:rsidRDefault="00BD55CF" w:rsidP="00C4454D">
      <w:pPr>
        <w:tabs>
          <w:tab w:val="right" w:leader="dot" w:pos="9170"/>
        </w:tabs>
        <w:ind w:left="360"/>
        <w:rPr>
          <w:noProof/>
        </w:rPr>
      </w:pPr>
      <w:hyperlink w:anchor="_Toc417463417" w:history="1">
        <w:r w:rsidR="00C4454D" w:rsidRPr="00A735B4">
          <w:rPr>
            <w:rFonts w:eastAsia="Times New Roman"/>
            <w:noProof/>
          </w:rPr>
          <w:t>D.4 Farmers’ pilot study using SMS survey</w:t>
        </w:r>
        <w:r w:rsidR="00C4454D" w:rsidRPr="00A735B4">
          <w:rPr>
            <w:noProof/>
            <w:webHidden/>
          </w:rPr>
          <w:tab/>
          <w:t>102</w:t>
        </w:r>
      </w:hyperlink>
    </w:p>
    <w:p w14:paraId="784E2ED7" w14:textId="244D02CF" w:rsidR="00C4454D" w:rsidRPr="00A735B4" w:rsidRDefault="00BD55CF" w:rsidP="00C4454D">
      <w:pPr>
        <w:tabs>
          <w:tab w:val="right" w:leader="dot" w:pos="9170"/>
        </w:tabs>
        <w:ind w:left="360"/>
        <w:rPr>
          <w:noProof/>
        </w:rPr>
      </w:pPr>
      <w:hyperlink w:anchor="_Toc417463418" w:history="1">
        <w:r w:rsidR="00C4454D" w:rsidRPr="00A735B4">
          <w:rPr>
            <w:rFonts w:eastAsia="Times New Roman"/>
            <w:noProof/>
          </w:rPr>
          <w:t>D.5 Results</w:t>
        </w:r>
        <w:r w:rsidR="00C4454D" w:rsidRPr="00A735B4">
          <w:rPr>
            <w:noProof/>
            <w:webHidden/>
          </w:rPr>
          <w:tab/>
          <w:t>103</w:t>
        </w:r>
      </w:hyperlink>
    </w:p>
    <w:p w14:paraId="6A67F56C" w14:textId="3C94603E" w:rsidR="00C4454D" w:rsidRPr="00A735B4" w:rsidRDefault="00BD55CF" w:rsidP="00C4454D">
      <w:pPr>
        <w:tabs>
          <w:tab w:val="right" w:leader="dot" w:pos="9170"/>
        </w:tabs>
        <w:rPr>
          <w:noProof/>
        </w:rPr>
      </w:pPr>
      <w:hyperlink w:anchor="_Toc417463419" w:history="1">
        <w:r w:rsidR="00C4454D" w:rsidRPr="00A735B4">
          <w:rPr>
            <w:noProof/>
          </w:rPr>
          <w:t>Annex E  Education and health services indicators</w:t>
        </w:r>
        <w:r w:rsidR="00C4454D" w:rsidRPr="00A735B4">
          <w:rPr>
            <w:noProof/>
            <w:webHidden/>
          </w:rPr>
          <w:tab/>
          <w:t>107</w:t>
        </w:r>
      </w:hyperlink>
    </w:p>
    <w:p w14:paraId="313F3216" w14:textId="193CB8AF" w:rsidR="00C4454D" w:rsidRPr="00A735B4" w:rsidRDefault="00BD55CF" w:rsidP="00C4454D">
      <w:pPr>
        <w:tabs>
          <w:tab w:val="right" w:leader="dot" w:pos="9170"/>
        </w:tabs>
        <w:ind w:left="360"/>
        <w:rPr>
          <w:noProof/>
        </w:rPr>
      </w:pPr>
      <w:hyperlink w:anchor="_Toc417463420" w:history="1">
        <w:r w:rsidR="00C4454D" w:rsidRPr="00A735B4">
          <w:rPr>
            <w:noProof/>
          </w:rPr>
          <w:t>E.1 Introduction</w:t>
        </w:r>
        <w:r w:rsidR="00C4454D" w:rsidRPr="00A735B4">
          <w:rPr>
            <w:noProof/>
            <w:webHidden/>
          </w:rPr>
          <w:tab/>
          <w:t>107</w:t>
        </w:r>
      </w:hyperlink>
    </w:p>
    <w:p w14:paraId="60714783" w14:textId="002C5FB7" w:rsidR="00C4454D" w:rsidRPr="00A735B4" w:rsidRDefault="00BD55CF" w:rsidP="00C4454D">
      <w:pPr>
        <w:tabs>
          <w:tab w:val="right" w:leader="dot" w:pos="9170"/>
        </w:tabs>
        <w:ind w:left="360"/>
        <w:rPr>
          <w:noProof/>
        </w:rPr>
      </w:pPr>
      <w:hyperlink w:anchor="_Toc417463421" w:history="1">
        <w:r w:rsidR="00C4454D" w:rsidRPr="00A735B4">
          <w:rPr>
            <w:noProof/>
          </w:rPr>
          <w:t>E.2 Objectives</w:t>
        </w:r>
        <w:r w:rsidR="00C4454D" w:rsidRPr="00A735B4">
          <w:rPr>
            <w:noProof/>
            <w:webHidden/>
          </w:rPr>
          <w:tab/>
          <w:t>107</w:t>
        </w:r>
      </w:hyperlink>
    </w:p>
    <w:p w14:paraId="74D15E67" w14:textId="0C12137E" w:rsidR="00C4454D" w:rsidRPr="00A735B4" w:rsidRDefault="00BD55CF" w:rsidP="00C4454D">
      <w:pPr>
        <w:tabs>
          <w:tab w:val="right" w:leader="dot" w:pos="9170"/>
        </w:tabs>
        <w:ind w:left="360"/>
        <w:rPr>
          <w:noProof/>
        </w:rPr>
      </w:pPr>
      <w:hyperlink w:anchor="_Toc417463422" w:history="1">
        <w:r w:rsidR="00C4454D" w:rsidRPr="00A735B4">
          <w:rPr>
            <w:noProof/>
          </w:rPr>
          <w:t>E.3 Data collection and sample</w:t>
        </w:r>
        <w:r w:rsidR="00C4454D" w:rsidRPr="00A735B4">
          <w:rPr>
            <w:noProof/>
            <w:webHidden/>
          </w:rPr>
          <w:tab/>
          <w:t>108</w:t>
        </w:r>
      </w:hyperlink>
    </w:p>
    <w:p w14:paraId="1F1F9240" w14:textId="6EA5BDF9" w:rsidR="00C4454D" w:rsidRPr="00A735B4" w:rsidRDefault="00BD55CF" w:rsidP="00C4454D">
      <w:pPr>
        <w:tabs>
          <w:tab w:val="right" w:leader="dot" w:pos="9170"/>
        </w:tabs>
        <w:ind w:left="360"/>
        <w:rPr>
          <w:noProof/>
        </w:rPr>
      </w:pPr>
      <w:hyperlink w:anchor="_Toc417463423" w:history="1">
        <w:r w:rsidR="00C4454D" w:rsidRPr="00A735B4">
          <w:rPr>
            <w:noProof/>
          </w:rPr>
          <w:t>E.4 Key results: Trade in health services</w:t>
        </w:r>
        <w:r w:rsidR="00C4454D" w:rsidRPr="00A735B4">
          <w:rPr>
            <w:noProof/>
            <w:webHidden/>
          </w:rPr>
          <w:tab/>
          <w:t>109</w:t>
        </w:r>
      </w:hyperlink>
    </w:p>
    <w:p w14:paraId="193A6C42" w14:textId="654D8266" w:rsidR="00C4454D" w:rsidRPr="00A735B4" w:rsidRDefault="00BD55CF" w:rsidP="00C4454D">
      <w:pPr>
        <w:tabs>
          <w:tab w:val="right" w:leader="dot" w:pos="9170"/>
        </w:tabs>
        <w:ind w:left="360"/>
        <w:rPr>
          <w:noProof/>
        </w:rPr>
      </w:pPr>
      <w:hyperlink w:anchor="_Toc417463424" w:history="1">
        <w:r w:rsidR="00C4454D" w:rsidRPr="00A735B4">
          <w:rPr>
            <w:noProof/>
          </w:rPr>
          <w:t>E.5 Determinants of trade in health services</w:t>
        </w:r>
        <w:r w:rsidR="00C4454D" w:rsidRPr="00A735B4">
          <w:rPr>
            <w:noProof/>
            <w:webHidden/>
          </w:rPr>
          <w:tab/>
          <w:t>111</w:t>
        </w:r>
      </w:hyperlink>
    </w:p>
    <w:p w14:paraId="7157CCA2" w14:textId="602301E1" w:rsidR="00C4454D" w:rsidRPr="00A735B4" w:rsidRDefault="00BD55CF" w:rsidP="00C4454D">
      <w:pPr>
        <w:tabs>
          <w:tab w:val="right" w:leader="dot" w:pos="9170"/>
        </w:tabs>
        <w:ind w:left="360"/>
        <w:rPr>
          <w:noProof/>
        </w:rPr>
      </w:pPr>
      <w:hyperlink w:anchor="_Toc417463425" w:history="1">
        <w:r w:rsidR="00C4454D" w:rsidRPr="00A735B4">
          <w:rPr>
            <w:noProof/>
          </w:rPr>
          <w:t>E.6 Barriers to trade in health services</w:t>
        </w:r>
        <w:r w:rsidR="00C4454D" w:rsidRPr="00A735B4">
          <w:rPr>
            <w:noProof/>
            <w:webHidden/>
          </w:rPr>
          <w:tab/>
          <w:t>114</w:t>
        </w:r>
      </w:hyperlink>
    </w:p>
    <w:p w14:paraId="50524695" w14:textId="48F2C2E3" w:rsidR="00C4454D" w:rsidRPr="00A735B4" w:rsidRDefault="00BD55CF" w:rsidP="00C4454D">
      <w:pPr>
        <w:tabs>
          <w:tab w:val="right" w:leader="dot" w:pos="9170"/>
        </w:tabs>
        <w:ind w:left="360"/>
        <w:rPr>
          <w:noProof/>
        </w:rPr>
      </w:pPr>
      <w:hyperlink w:anchor="_Toc417463426" w:history="1">
        <w:r w:rsidR="00C4454D" w:rsidRPr="00A735B4">
          <w:rPr>
            <w:noProof/>
          </w:rPr>
          <w:t>E.7 Key results: Trade in education services</w:t>
        </w:r>
        <w:r w:rsidR="00C4454D" w:rsidRPr="00A735B4">
          <w:rPr>
            <w:noProof/>
            <w:webHidden/>
          </w:rPr>
          <w:tab/>
          <w:t>115</w:t>
        </w:r>
      </w:hyperlink>
    </w:p>
    <w:p w14:paraId="7F6A92F9" w14:textId="1AE36117" w:rsidR="00C4454D" w:rsidRPr="00A735B4" w:rsidRDefault="00BD55CF" w:rsidP="00C4454D">
      <w:pPr>
        <w:tabs>
          <w:tab w:val="right" w:leader="dot" w:pos="9170"/>
        </w:tabs>
        <w:ind w:left="360"/>
        <w:rPr>
          <w:noProof/>
        </w:rPr>
      </w:pPr>
      <w:hyperlink w:anchor="_Toc417463427" w:history="1">
        <w:r w:rsidR="00C4454D" w:rsidRPr="00A735B4">
          <w:rPr>
            <w:noProof/>
          </w:rPr>
          <w:t>E.8 Determinants of trade in education services</w:t>
        </w:r>
        <w:r w:rsidR="00C4454D" w:rsidRPr="00A735B4">
          <w:rPr>
            <w:noProof/>
            <w:webHidden/>
          </w:rPr>
          <w:tab/>
          <w:t>117</w:t>
        </w:r>
      </w:hyperlink>
    </w:p>
    <w:p w14:paraId="36955A49" w14:textId="235B5845" w:rsidR="00C4454D" w:rsidRPr="00A735B4" w:rsidRDefault="00BD55CF" w:rsidP="00C4454D">
      <w:pPr>
        <w:tabs>
          <w:tab w:val="right" w:leader="dot" w:pos="9170"/>
        </w:tabs>
        <w:ind w:left="360"/>
        <w:rPr>
          <w:noProof/>
        </w:rPr>
      </w:pPr>
      <w:hyperlink w:anchor="_Toc417463428" w:history="1">
        <w:r w:rsidR="00C4454D" w:rsidRPr="00A735B4">
          <w:rPr>
            <w:noProof/>
          </w:rPr>
          <w:t>E.9 Conclusion and next steps</w:t>
        </w:r>
        <w:r w:rsidR="00C4454D" w:rsidRPr="00A735B4">
          <w:rPr>
            <w:noProof/>
            <w:webHidden/>
          </w:rPr>
          <w:tab/>
          <w:t>120</w:t>
        </w:r>
      </w:hyperlink>
    </w:p>
    <w:p w14:paraId="165ADB7C" w14:textId="1D141559" w:rsidR="00C4454D" w:rsidRPr="00A735B4" w:rsidRDefault="00BD55CF" w:rsidP="00C4454D">
      <w:pPr>
        <w:tabs>
          <w:tab w:val="right" w:leader="dot" w:pos="9170"/>
        </w:tabs>
        <w:rPr>
          <w:noProof/>
        </w:rPr>
      </w:pPr>
      <w:hyperlink w:anchor="_Toc417463429" w:history="1">
        <w:r w:rsidR="00C4454D" w:rsidRPr="00A735B4">
          <w:rPr>
            <w:noProof/>
          </w:rPr>
          <w:t>Annex F  Indicators currently used outside Africa</w:t>
        </w:r>
        <w:r w:rsidR="00C4454D" w:rsidRPr="00A735B4">
          <w:rPr>
            <w:noProof/>
            <w:webHidden/>
          </w:rPr>
          <w:tab/>
          <w:t>122</w:t>
        </w:r>
      </w:hyperlink>
    </w:p>
    <w:p w14:paraId="52DD7EEB" w14:textId="200FE3A3" w:rsidR="00C4454D" w:rsidRPr="00A735B4" w:rsidRDefault="00BD55CF" w:rsidP="00C4454D">
      <w:pPr>
        <w:tabs>
          <w:tab w:val="right" w:leader="dot" w:pos="9170"/>
        </w:tabs>
        <w:rPr>
          <w:noProof/>
        </w:rPr>
      </w:pPr>
      <w:hyperlink w:anchor="_Toc417463429" w:history="1">
        <w:r w:rsidR="00C4454D" w:rsidRPr="00A735B4">
          <w:rPr>
            <w:noProof/>
          </w:rPr>
          <w:t>Endnotes</w:t>
        </w:r>
        <w:r w:rsidR="00C4454D" w:rsidRPr="00A735B4">
          <w:rPr>
            <w:noProof/>
            <w:webHidden/>
          </w:rPr>
          <w:tab/>
          <w:t>129</w:t>
        </w:r>
      </w:hyperlink>
    </w:p>
    <w:p w14:paraId="3EBE6F1D" w14:textId="0E764166" w:rsidR="00C4454D" w:rsidRPr="00A735B4" w:rsidRDefault="00BD55CF" w:rsidP="00C4454D">
      <w:pPr>
        <w:tabs>
          <w:tab w:val="right" w:leader="dot" w:pos="9170"/>
        </w:tabs>
        <w:rPr>
          <w:noProof/>
        </w:rPr>
      </w:pPr>
      <w:hyperlink w:anchor="_Toc417463429" w:history="1">
        <w:r w:rsidR="00C4454D" w:rsidRPr="00A735B4">
          <w:rPr>
            <w:noProof/>
          </w:rPr>
          <w:t>References</w:t>
        </w:r>
        <w:r w:rsidR="00C4454D" w:rsidRPr="00A735B4">
          <w:rPr>
            <w:noProof/>
            <w:webHidden/>
          </w:rPr>
          <w:tab/>
          <w:t>131</w:t>
        </w:r>
      </w:hyperlink>
    </w:p>
    <w:p w14:paraId="648CCCDE" w14:textId="46415FBA" w:rsidR="00C4454D" w:rsidRPr="00A735B4" w:rsidRDefault="00C4454D" w:rsidP="00C4454D">
      <w:r w:rsidRPr="00A735B4">
        <w:fldChar w:fldCharType="end"/>
      </w:r>
    </w:p>
    <w:p w14:paraId="644B281F" w14:textId="77777777" w:rsidR="00C4454D" w:rsidRPr="00A735B4" w:rsidRDefault="00C4454D" w:rsidP="00C4454D">
      <w:pPr>
        <w:tabs>
          <w:tab w:val="right" w:leader="dot" w:pos="9350"/>
        </w:tabs>
        <w:jc w:val="center"/>
        <w:rPr>
          <w:b/>
          <w:color w:val="1F497D" w:themeColor="text2"/>
        </w:rPr>
      </w:pPr>
      <w:r w:rsidRPr="00A735B4">
        <w:rPr>
          <w:b/>
          <w:color w:val="1F497D" w:themeColor="text2"/>
        </w:rPr>
        <w:t>Figures</w:t>
      </w:r>
    </w:p>
    <w:p w14:paraId="324F1231" w14:textId="77777777" w:rsidR="00C4454D" w:rsidRPr="00A735B4" w:rsidRDefault="00C4454D" w:rsidP="00C4454D">
      <w:pPr>
        <w:tabs>
          <w:tab w:val="right" w:leader="dot" w:pos="9170"/>
        </w:tabs>
        <w:rPr>
          <w:noProof/>
        </w:rPr>
      </w:pPr>
      <w:r w:rsidRPr="00A735B4">
        <w:fldChar w:fldCharType="begin"/>
      </w:r>
      <w:r w:rsidRPr="00A735B4">
        <w:instrText xml:space="preserve"> TOC \h \z \c "Figure" </w:instrText>
      </w:r>
      <w:r w:rsidRPr="00A735B4">
        <w:fldChar w:fldCharType="separate"/>
      </w:r>
    </w:p>
    <w:p w14:paraId="42874E3A" w14:textId="08A77000" w:rsidR="00C4454D" w:rsidRPr="00A735B4" w:rsidRDefault="00BD55CF" w:rsidP="00C4454D">
      <w:pPr>
        <w:tabs>
          <w:tab w:val="right" w:leader="dot" w:pos="9170"/>
        </w:tabs>
        <w:rPr>
          <w:noProof/>
        </w:rPr>
      </w:pPr>
      <w:hyperlink w:anchor="_Toc410823484" w:history="1">
        <w:r w:rsidR="00C4454D" w:rsidRPr="00A735B4">
          <w:rPr>
            <w:rFonts w:eastAsiaTheme="majorEastAsia"/>
            <w:noProof/>
          </w:rPr>
          <w:t xml:space="preserve">Figure 2.1 RTA implementation and related monitoring </w:t>
        </w:r>
        <w:r w:rsidR="00C4454D" w:rsidRPr="00A735B4">
          <w:rPr>
            <w:noProof/>
            <w:webHidden/>
          </w:rPr>
          <w:tab/>
          <w:t>15</w:t>
        </w:r>
      </w:hyperlink>
    </w:p>
    <w:p w14:paraId="593B350E" w14:textId="1BAF2906" w:rsidR="00C4454D" w:rsidRPr="00A735B4" w:rsidRDefault="00BD55CF" w:rsidP="00C4454D">
      <w:pPr>
        <w:tabs>
          <w:tab w:val="right" w:leader="dot" w:pos="9170"/>
        </w:tabs>
        <w:rPr>
          <w:noProof/>
        </w:rPr>
      </w:pPr>
      <w:hyperlink w:anchor="_Toc410823484" w:history="1">
        <w:r w:rsidR="00C4454D" w:rsidRPr="00A735B4">
          <w:rPr>
            <w:rFonts w:eastAsiaTheme="majorEastAsia"/>
            <w:noProof/>
          </w:rPr>
          <w:t xml:space="preserve">Figure 2.2 Overview of trade cost measurement </w:t>
        </w:r>
        <w:r w:rsidR="00C4454D" w:rsidRPr="00A735B4">
          <w:rPr>
            <w:noProof/>
            <w:webHidden/>
          </w:rPr>
          <w:tab/>
          <w:t>16</w:t>
        </w:r>
      </w:hyperlink>
    </w:p>
    <w:p w14:paraId="4F6F4921" w14:textId="1BAC6145" w:rsidR="00C4454D" w:rsidRPr="00A735B4" w:rsidRDefault="00BD55CF" w:rsidP="00C4454D">
      <w:pPr>
        <w:tabs>
          <w:tab w:val="right" w:leader="dot" w:pos="9170"/>
        </w:tabs>
        <w:rPr>
          <w:noProof/>
        </w:rPr>
      </w:pPr>
      <w:hyperlink w:anchor="_Toc410823484" w:history="1">
        <w:r w:rsidR="00C4454D" w:rsidRPr="00A735B4">
          <w:rPr>
            <w:rFonts w:eastAsiaTheme="majorEastAsia"/>
            <w:noProof/>
          </w:rPr>
          <w:t xml:space="preserve">Figure 3.1 </w:t>
        </w:r>
        <w:r w:rsidR="00C4454D" w:rsidRPr="00A735B4">
          <w:t>Average extra costs incurred as a result of not being adequately informed about new/changed regulations on quality</w:t>
        </w:r>
        <w:r w:rsidR="00C4454D" w:rsidRPr="00A735B4">
          <w:rPr>
            <w:rFonts w:eastAsiaTheme="majorEastAsia"/>
            <w:noProof/>
          </w:rPr>
          <w:t xml:space="preserve">  </w:t>
        </w:r>
        <w:r w:rsidR="00C4454D" w:rsidRPr="00A735B4">
          <w:rPr>
            <w:noProof/>
            <w:webHidden/>
          </w:rPr>
          <w:tab/>
          <w:t>27</w:t>
        </w:r>
      </w:hyperlink>
    </w:p>
    <w:p w14:paraId="7B55582B" w14:textId="31ACD0F6" w:rsidR="00C4454D" w:rsidRPr="00A735B4" w:rsidRDefault="00BD55CF" w:rsidP="00C4454D">
      <w:pPr>
        <w:tabs>
          <w:tab w:val="right" w:leader="dot" w:pos="9170"/>
        </w:tabs>
        <w:rPr>
          <w:noProof/>
        </w:rPr>
      </w:pPr>
      <w:hyperlink w:anchor="_Toc410823484" w:history="1">
        <w:r w:rsidR="00C4454D" w:rsidRPr="00A735B4">
          <w:rPr>
            <w:rFonts w:eastAsiaTheme="majorEastAsia"/>
            <w:noProof/>
          </w:rPr>
          <w:t xml:space="preserve">Figure 4.1 Data for regional integration monitoring </w:t>
        </w:r>
        <w:r w:rsidR="00C4454D" w:rsidRPr="00A735B4">
          <w:rPr>
            <w:noProof/>
            <w:webHidden/>
          </w:rPr>
          <w:tab/>
          <w:t>29</w:t>
        </w:r>
      </w:hyperlink>
    </w:p>
    <w:p w14:paraId="2886EAA6" w14:textId="208290FA" w:rsidR="00C4454D" w:rsidRPr="00A735B4" w:rsidRDefault="00BD55CF" w:rsidP="00C4454D">
      <w:pPr>
        <w:tabs>
          <w:tab w:val="right" w:leader="dot" w:pos="9170"/>
        </w:tabs>
        <w:rPr>
          <w:noProof/>
        </w:rPr>
      </w:pPr>
      <w:hyperlink w:anchor="_Toc410823484" w:history="1">
        <w:r w:rsidR="00C4454D" w:rsidRPr="00A735B4">
          <w:rPr>
            <w:rFonts w:eastAsiaTheme="majorEastAsia"/>
            <w:noProof/>
          </w:rPr>
          <w:t xml:space="preserve">Figure 4.2 Road transport governance indicators in West Africa </w:t>
        </w:r>
        <w:r w:rsidR="00C4454D" w:rsidRPr="00A735B4">
          <w:rPr>
            <w:noProof/>
            <w:webHidden/>
          </w:rPr>
          <w:tab/>
          <w:t>33</w:t>
        </w:r>
      </w:hyperlink>
    </w:p>
    <w:p w14:paraId="5BD0F0A5" w14:textId="49F320AF" w:rsidR="00C4454D" w:rsidRPr="00A735B4" w:rsidRDefault="00BD55CF" w:rsidP="00C4454D">
      <w:pPr>
        <w:tabs>
          <w:tab w:val="right" w:leader="dot" w:pos="9170"/>
        </w:tabs>
        <w:rPr>
          <w:noProof/>
        </w:rPr>
      </w:pPr>
      <w:hyperlink w:anchor="_Toc410823485" w:history="1">
        <w:r w:rsidR="00C4454D" w:rsidRPr="00A735B4">
          <w:rPr>
            <w:rFonts w:eastAsiaTheme="majorEastAsia"/>
            <w:noProof/>
          </w:rPr>
          <w:t xml:space="preserve">Figure 4.3 Number of controls in West Africa </w:t>
        </w:r>
        <w:r w:rsidR="00C4454D" w:rsidRPr="00A735B4">
          <w:rPr>
            <w:noProof/>
            <w:webHidden/>
          </w:rPr>
          <w:tab/>
          <w:t>34</w:t>
        </w:r>
      </w:hyperlink>
    </w:p>
    <w:p w14:paraId="79ACC128" w14:textId="3692F96D" w:rsidR="00C4454D" w:rsidRPr="00A735B4" w:rsidRDefault="00BD55CF" w:rsidP="00C4454D">
      <w:pPr>
        <w:tabs>
          <w:tab w:val="right" w:leader="dot" w:pos="9170"/>
        </w:tabs>
        <w:rPr>
          <w:noProof/>
        </w:rPr>
      </w:pPr>
      <w:hyperlink w:anchor="_Toc410823486" w:history="1">
        <w:r w:rsidR="00C4454D" w:rsidRPr="00A735B4">
          <w:rPr>
            <w:rFonts w:eastAsiaTheme="majorEastAsia"/>
            <w:noProof/>
          </w:rPr>
          <w:t xml:space="preserve">Figure 4.4 Delays caused by road controls in West Africa </w:t>
        </w:r>
        <w:r w:rsidR="00C4454D" w:rsidRPr="00A735B4">
          <w:rPr>
            <w:noProof/>
            <w:webHidden/>
          </w:rPr>
          <w:tab/>
          <w:t>34</w:t>
        </w:r>
      </w:hyperlink>
    </w:p>
    <w:p w14:paraId="737B05DA" w14:textId="6BA45197" w:rsidR="00C4454D" w:rsidRPr="00A735B4" w:rsidRDefault="00BD55CF" w:rsidP="00C4454D">
      <w:pPr>
        <w:tabs>
          <w:tab w:val="right" w:leader="dot" w:pos="9170"/>
        </w:tabs>
        <w:rPr>
          <w:noProof/>
        </w:rPr>
      </w:pPr>
      <w:hyperlink w:anchor="_Toc410823487" w:history="1">
        <w:r w:rsidR="00C4454D" w:rsidRPr="00A735B4">
          <w:rPr>
            <w:rFonts w:eastAsiaTheme="majorEastAsia"/>
            <w:noProof/>
          </w:rPr>
          <w:t>Figure 4.5 Number of markets supplied by exporters oriented toward global or regional partners, 2007–12</w:t>
        </w:r>
        <w:r w:rsidR="00C4454D" w:rsidRPr="00A735B4">
          <w:rPr>
            <w:noProof/>
            <w:webHidden/>
          </w:rPr>
          <w:tab/>
          <w:t>37</w:t>
        </w:r>
      </w:hyperlink>
    </w:p>
    <w:p w14:paraId="519C72CE" w14:textId="01D71CB9" w:rsidR="00C4454D" w:rsidRPr="00A735B4" w:rsidRDefault="00BD55CF" w:rsidP="00C4454D">
      <w:pPr>
        <w:tabs>
          <w:tab w:val="right" w:leader="dot" w:pos="9170"/>
        </w:tabs>
        <w:rPr>
          <w:noProof/>
        </w:rPr>
      </w:pPr>
      <w:hyperlink w:anchor="_Toc410823488" w:history="1">
        <w:r w:rsidR="00C4454D" w:rsidRPr="00A735B4">
          <w:rPr>
            <w:rFonts w:eastAsiaTheme="majorEastAsia"/>
            <w:noProof/>
          </w:rPr>
          <w:t>Figure 4.6 Average export values to regional markets, global markets, or both</w:t>
        </w:r>
        <w:r w:rsidR="00C4454D" w:rsidRPr="00A735B4">
          <w:rPr>
            <w:noProof/>
            <w:webHidden/>
          </w:rPr>
          <w:tab/>
          <w:t>37</w:t>
        </w:r>
      </w:hyperlink>
    </w:p>
    <w:p w14:paraId="79ED375A" w14:textId="3D466A53" w:rsidR="00C4454D" w:rsidRPr="00A735B4" w:rsidRDefault="00BD55CF" w:rsidP="00C4454D">
      <w:pPr>
        <w:tabs>
          <w:tab w:val="right" w:leader="dot" w:pos="9170"/>
        </w:tabs>
        <w:rPr>
          <w:noProof/>
        </w:rPr>
      </w:pPr>
      <w:hyperlink w:anchor="_Toc410823489" w:history="1">
        <w:r w:rsidR="00C4454D" w:rsidRPr="00A735B4">
          <w:rPr>
            <w:rFonts w:eastAsiaTheme="majorEastAsia"/>
            <w:noProof/>
          </w:rPr>
          <w:t>Figure 4.7 Monthly maize prices in Zambia</w:t>
        </w:r>
        <w:r w:rsidR="00C4454D" w:rsidRPr="00A735B4">
          <w:rPr>
            <w:noProof/>
            <w:webHidden/>
          </w:rPr>
          <w:tab/>
          <w:t>39</w:t>
        </w:r>
      </w:hyperlink>
    </w:p>
    <w:p w14:paraId="1C7174D4" w14:textId="7E0955B9" w:rsidR="00C4454D" w:rsidRPr="00A735B4" w:rsidRDefault="00BD55CF" w:rsidP="00C4454D">
      <w:pPr>
        <w:tabs>
          <w:tab w:val="right" w:leader="dot" w:pos="9170"/>
        </w:tabs>
        <w:rPr>
          <w:noProof/>
        </w:rPr>
      </w:pPr>
      <w:hyperlink w:anchor="_Toc410823490" w:history="1">
        <w:r w:rsidR="00C4454D" w:rsidRPr="00A735B4">
          <w:rPr>
            <w:rFonts w:eastAsiaTheme="majorEastAsia"/>
            <w:noProof/>
          </w:rPr>
          <w:t>Figure 4.8 Share in Bulgaria’s total exports, 2011</w:t>
        </w:r>
        <w:r w:rsidR="00C4454D" w:rsidRPr="00A735B4">
          <w:rPr>
            <w:noProof/>
            <w:webHidden/>
          </w:rPr>
          <w:tab/>
          <w:t>40</w:t>
        </w:r>
      </w:hyperlink>
    </w:p>
    <w:p w14:paraId="479BA987" w14:textId="3AF5B178" w:rsidR="00C4454D" w:rsidRPr="00A735B4" w:rsidRDefault="00BD55CF" w:rsidP="00C4454D">
      <w:pPr>
        <w:tabs>
          <w:tab w:val="right" w:leader="dot" w:pos="9170"/>
        </w:tabs>
        <w:rPr>
          <w:noProof/>
        </w:rPr>
      </w:pPr>
      <w:hyperlink w:anchor="_Toc410823491" w:history="1">
        <w:r w:rsidR="00C4454D" w:rsidRPr="00A735B4">
          <w:rPr>
            <w:rFonts w:eastAsiaTheme="majorEastAsia"/>
            <w:noProof/>
          </w:rPr>
          <w:t>Figure 5.1 Mystery shopping: Range of prices for selected domestic banking services</w:t>
        </w:r>
        <w:r w:rsidR="00C4454D" w:rsidRPr="00A735B4">
          <w:rPr>
            <w:noProof/>
            <w:webHidden/>
          </w:rPr>
          <w:tab/>
          <w:t>43</w:t>
        </w:r>
      </w:hyperlink>
    </w:p>
    <w:p w14:paraId="39C388F1" w14:textId="45503BD5" w:rsidR="00C4454D" w:rsidRPr="00A735B4" w:rsidRDefault="00BD55CF" w:rsidP="00C4454D">
      <w:pPr>
        <w:tabs>
          <w:tab w:val="right" w:leader="dot" w:pos="9170"/>
        </w:tabs>
        <w:rPr>
          <w:noProof/>
        </w:rPr>
      </w:pPr>
      <w:hyperlink w:anchor="_Toc410823492" w:history="1">
        <w:r w:rsidR="00C4454D" w:rsidRPr="00A735B4">
          <w:rPr>
            <w:rFonts w:eastAsiaTheme="majorEastAsia"/>
            <w:noProof/>
          </w:rPr>
          <w:t>Figure 5.2 Penetration and growth of mobile broadband subscriptions</w:t>
        </w:r>
        <w:r w:rsidR="00C4454D" w:rsidRPr="00A735B4">
          <w:rPr>
            <w:noProof/>
            <w:webHidden/>
          </w:rPr>
          <w:tab/>
          <w:t>44</w:t>
        </w:r>
      </w:hyperlink>
    </w:p>
    <w:p w14:paraId="1D696AC8" w14:textId="4EECF9F1" w:rsidR="00C4454D" w:rsidRPr="00A735B4" w:rsidRDefault="00BD55CF" w:rsidP="00C4454D">
      <w:pPr>
        <w:tabs>
          <w:tab w:val="right" w:leader="dot" w:pos="9170"/>
        </w:tabs>
        <w:rPr>
          <w:noProof/>
        </w:rPr>
      </w:pPr>
      <w:hyperlink w:anchor="_Toc410823493" w:history="1">
        <w:r w:rsidR="00C4454D" w:rsidRPr="00A735B4">
          <w:rPr>
            <w:rFonts w:eastAsiaTheme="majorEastAsia"/>
            <w:noProof/>
          </w:rPr>
          <w:t xml:space="preserve">Figure 5.3 Price of maize in survey countries </w:t>
        </w:r>
        <w:r w:rsidR="00C4454D" w:rsidRPr="00A735B4">
          <w:rPr>
            <w:noProof/>
            <w:webHidden/>
          </w:rPr>
          <w:tab/>
          <w:t>45</w:t>
        </w:r>
      </w:hyperlink>
    </w:p>
    <w:p w14:paraId="70323D57" w14:textId="7573B2FA" w:rsidR="00C4454D" w:rsidRPr="00A735B4" w:rsidRDefault="00BD55CF" w:rsidP="00C4454D">
      <w:pPr>
        <w:tabs>
          <w:tab w:val="right" w:leader="dot" w:pos="9170"/>
        </w:tabs>
        <w:rPr>
          <w:noProof/>
        </w:rPr>
      </w:pPr>
      <w:hyperlink w:anchor="_Toc410823494" w:history="1">
        <w:r w:rsidR="00C4454D" w:rsidRPr="00A735B4">
          <w:rPr>
            <w:rFonts w:eastAsiaTheme="majorEastAsia"/>
            <w:noProof/>
          </w:rPr>
          <w:t>Figure 5.4 Price of fertilizers, by type</w:t>
        </w:r>
        <w:r w:rsidR="00C4454D" w:rsidRPr="00A735B4">
          <w:rPr>
            <w:noProof/>
            <w:webHidden/>
          </w:rPr>
          <w:tab/>
          <w:t>46</w:t>
        </w:r>
      </w:hyperlink>
    </w:p>
    <w:p w14:paraId="526825C5" w14:textId="698A3DB8" w:rsidR="00C4454D" w:rsidRPr="00A735B4" w:rsidRDefault="00BD55CF" w:rsidP="00C4454D">
      <w:pPr>
        <w:tabs>
          <w:tab w:val="right" w:leader="dot" w:pos="9170"/>
        </w:tabs>
        <w:rPr>
          <w:noProof/>
        </w:rPr>
      </w:pPr>
      <w:hyperlink w:anchor="_Toc410823495" w:history="1">
        <w:r w:rsidR="00C4454D" w:rsidRPr="00A735B4">
          <w:rPr>
            <w:rFonts w:eastAsiaTheme="majorEastAsia"/>
            <w:noProof/>
          </w:rPr>
          <w:t>Figure 5.5 Average level of satisfaction, by type of seed</w:t>
        </w:r>
        <w:r w:rsidR="00C4454D" w:rsidRPr="00A735B4">
          <w:rPr>
            <w:noProof/>
            <w:webHidden/>
          </w:rPr>
          <w:tab/>
          <w:t>46</w:t>
        </w:r>
      </w:hyperlink>
    </w:p>
    <w:p w14:paraId="007DD774" w14:textId="6B2E8CB0" w:rsidR="00C4454D" w:rsidRPr="00A735B4" w:rsidRDefault="00BD55CF" w:rsidP="00C4454D">
      <w:pPr>
        <w:tabs>
          <w:tab w:val="right" w:leader="dot" w:pos="9170"/>
        </w:tabs>
        <w:rPr>
          <w:noProof/>
        </w:rPr>
      </w:pPr>
      <w:hyperlink w:anchor="_Toc410823496" w:history="1">
        <w:r w:rsidR="00C4454D" w:rsidRPr="00A735B4">
          <w:rPr>
            <w:rFonts w:eastAsiaTheme="majorEastAsia"/>
            <w:noProof/>
          </w:rPr>
          <w:t>Figure 5.6 Time required to recognize medical degrees obtained abroad</w:t>
        </w:r>
        <w:r w:rsidR="00C4454D" w:rsidRPr="00A735B4">
          <w:rPr>
            <w:noProof/>
            <w:webHidden/>
          </w:rPr>
          <w:tab/>
          <w:t>47</w:t>
        </w:r>
      </w:hyperlink>
    </w:p>
    <w:p w14:paraId="76BF2B4B" w14:textId="48405191" w:rsidR="00C4454D" w:rsidRPr="00A735B4" w:rsidRDefault="00BD55CF" w:rsidP="00C4454D">
      <w:pPr>
        <w:tabs>
          <w:tab w:val="right" w:leader="dot" w:pos="9170"/>
        </w:tabs>
        <w:rPr>
          <w:noProof/>
        </w:rPr>
      </w:pPr>
      <w:hyperlink w:anchor="_Toc410823497" w:history="1">
        <w:r w:rsidR="00C4454D" w:rsidRPr="00A735B4">
          <w:rPr>
            <w:rFonts w:eastAsiaTheme="majorEastAsia"/>
            <w:noProof/>
          </w:rPr>
          <w:t>Figure 5.7 Reported time to cross border</w:t>
        </w:r>
        <w:r w:rsidR="00C4454D" w:rsidRPr="00A735B4">
          <w:rPr>
            <w:noProof/>
            <w:webHidden/>
          </w:rPr>
          <w:tab/>
          <w:t>48</w:t>
        </w:r>
      </w:hyperlink>
    </w:p>
    <w:p w14:paraId="1EECD842" w14:textId="405C1AF3" w:rsidR="00C4454D" w:rsidRPr="00A735B4" w:rsidRDefault="00BD55CF" w:rsidP="00C4454D">
      <w:pPr>
        <w:tabs>
          <w:tab w:val="right" w:leader="dot" w:pos="9170"/>
        </w:tabs>
        <w:rPr>
          <w:noProof/>
        </w:rPr>
      </w:pPr>
      <w:hyperlink w:anchor="_Toc410823498" w:history="1">
        <w:r w:rsidR="00C4454D" w:rsidRPr="00A735B4">
          <w:rPr>
            <w:rFonts w:eastAsiaTheme="majorEastAsia"/>
            <w:noProof/>
          </w:rPr>
          <w:t>Figure 5.8 Proportion of traders reporting bribes and harassment</w:t>
        </w:r>
        <w:r w:rsidR="00C4454D" w:rsidRPr="00A735B4">
          <w:rPr>
            <w:noProof/>
            <w:webHidden/>
          </w:rPr>
          <w:tab/>
          <w:t>48</w:t>
        </w:r>
      </w:hyperlink>
      <w:hyperlink w:anchor="_Toc410823499" w:history="1"/>
    </w:p>
    <w:p w14:paraId="7F310C27" w14:textId="4991F2F5" w:rsidR="00C4454D" w:rsidRPr="00A735B4" w:rsidRDefault="00BD55CF" w:rsidP="00C4454D">
      <w:pPr>
        <w:tabs>
          <w:tab w:val="right" w:leader="dot" w:pos="9170"/>
        </w:tabs>
        <w:rPr>
          <w:noProof/>
        </w:rPr>
      </w:pPr>
      <w:hyperlink w:anchor="_Toc410823500" w:history="1">
        <w:r w:rsidR="00C4454D" w:rsidRPr="00A735B4">
          <w:rPr>
            <w:rFonts w:eastAsiaTheme="majorEastAsia"/>
            <w:noProof/>
          </w:rPr>
          <w:t>Figure A.1 Intraregional Trade Relative to World Trade, 2001-2011</w:t>
        </w:r>
        <w:r w:rsidR="00C4454D" w:rsidRPr="00A735B4">
          <w:rPr>
            <w:noProof/>
            <w:webHidden/>
          </w:rPr>
          <w:tab/>
          <w:t>66</w:t>
        </w:r>
      </w:hyperlink>
    </w:p>
    <w:p w14:paraId="428096C7" w14:textId="6B4505D1" w:rsidR="00C4454D" w:rsidRPr="00A735B4" w:rsidRDefault="00BD55CF" w:rsidP="00C4454D">
      <w:pPr>
        <w:tabs>
          <w:tab w:val="right" w:leader="dot" w:pos="9170"/>
        </w:tabs>
        <w:rPr>
          <w:noProof/>
        </w:rPr>
      </w:pPr>
      <w:hyperlink w:anchor="_Toc410823500" w:history="1">
        <w:r w:rsidR="00C4454D" w:rsidRPr="00A735B4">
          <w:rPr>
            <w:rFonts w:eastAsiaTheme="majorEastAsia"/>
            <w:noProof/>
          </w:rPr>
          <w:t xml:space="preserve">Figure A.2 </w:t>
        </w:r>
        <w:r w:rsidR="00C4454D" w:rsidRPr="00A735B4">
          <w:t>ECOWAS intraregional trade rates</w:t>
        </w:r>
        <w:r w:rsidR="00C4454D" w:rsidRPr="00A735B4">
          <w:rPr>
            <w:noProof/>
            <w:webHidden/>
          </w:rPr>
          <w:tab/>
          <w:t>68</w:t>
        </w:r>
      </w:hyperlink>
    </w:p>
    <w:p w14:paraId="5A25312D" w14:textId="7425DE2B" w:rsidR="00C4454D" w:rsidRPr="00A735B4" w:rsidRDefault="00BD55CF" w:rsidP="00C4454D">
      <w:pPr>
        <w:tabs>
          <w:tab w:val="right" w:leader="dot" w:pos="9170"/>
        </w:tabs>
        <w:rPr>
          <w:noProof/>
        </w:rPr>
      </w:pPr>
      <w:hyperlink w:anchor="_Toc410823500" w:history="1">
        <w:r w:rsidR="00C4454D" w:rsidRPr="00A735B4">
          <w:rPr>
            <w:rFonts w:eastAsiaTheme="majorEastAsia"/>
            <w:noProof/>
          </w:rPr>
          <w:t xml:space="preserve">Figure A.3 </w:t>
        </w:r>
        <w:r w:rsidR="00C4454D" w:rsidRPr="00A735B4">
          <w:t>EAC intraregional trade rates</w:t>
        </w:r>
        <w:r w:rsidR="00C4454D" w:rsidRPr="00A735B4">
          <w:rPr>
            <w:noProof/>
            <w:webHidden/>
          </w:rPr>
          <w:tab/>
          <w:t>68</w:t>
        </w:r>
      </w:hyperlink>
    </w:p>
    <w:p w14:paraId="5FDC5FDD" w14:textId="1A5C4594" w:rsidR="00C4454D" w:rsidRPr="00A735B4" w:rsidRDefault="00BD55CF" w:rsidP="00C4454D">
      <w:pPr>
        <w:tabs>
          <w:tab w:val="right" w:leader="dot" w:pos="9170"/>
        </w:tabs>
        <w:rPr>
          <w:noProof/>
        </w:rPr>
      </w:pPr>
      <w:hyperlink w:anchor="_Toc410823500" w:history="1">
        <w:r w:rsidR="00C4454D" w:rsidRPr="00A735B4">
          <w:rPr>
            <w:rFonts w:eastAsiaTheme="majorEastAsia"/>
            <w:noProof/>
          </w:rPr>
          <w:t xml:space="preserve">Figure A.4 </w:t>
        </w:r>
        <w:r w:rsidR="00C4454D" w:rsidRPr="00A735B4">
          <w:t>COMESA intraregional trade rates</w:t>
        </w:r>
        <w:r w:rsidR="00C4454D" w:rsidRPr="00A735B4">
          <w:rPr>
            <w:noProof/>
            <w:webHidden/>
          </w:rPr>
          <w:tab/>
          <w:t>68</w:t>
        </w:r>
      </w:hyperlink>
    </w:p>
    <w:p w14:paraId="1974942B" w14:textId="751FD16D" w:rsidR="00C4454D" w:rsidRPr="00A735B4" w:rsidRDefault="00BD55CF" w:rsidP="00C4454D">
      <w:pPr>
        <w:tabs>
          <w:tab w:val="right" w:leader="dot" w:pos="9170"/>
        </w:tabs>
        <w:rPr>
          <w:noProof/>
        </w:rPr>
      </w:pPr>
      <w:hyperlink w:anchor="_Toc410823500" w:history="1">
        <w:r w:rsidR="00C4454D" w:rsidRPr="00A735B4">
          <w:rPr>
            <w:rFonts w:eastAsiaTheme="majorEastAsia"/>
            <w:noProof/>
          </w:rPr>
          <w:t xml:space="preserve">Figure A.5 </w:t>
        </w:r>
        <w:r w:rsidR="00C4454D" w:rsidRPr="00A735B4">
          <w:t>SADC intraregional trade rates</w:t>
        </w:r>
        <w:r w:rsidR="00C4454D" w:rsidRPr="00A735B4">
          <w:rPr>
            <w:noProof/>
            <w:webHidden/>
          </w:rPr>
          <w:tab/>
          <w:t>68</w:t>
        </w:r>
      </w:hyperlink>
      <w:hyperlink w:anchor="_Toc410823501" w:history="1"/>
    </w:p>
    <w:p w14:paraId="595757AD" w14:textId="32A5399E" w:rsidR="00C4454D" w:rsidRPr="00A735B4" w:rsidRDefault="00BD55CF" w:rsidP="00C4454D">
      <w:pPr>
        <w:tabs>
          <w:tab w:val="right" w:leader="dot" w:pos="9170"/>
        </w:tabs>
        <w:rPr>
          <w:noProof/>
        </w:rPr>
      </w:pPr>
      <w:hyperlink w:anchor="_Toc410823500" w:history="1">
        <w:r w:rsidR="00C4454D" w:rsidRPr="00A735B4">
          <w:rPr>
            <w:rFonts w:eastAsiaTheme="majorEastAsia"/>
            <w:noProof/>
          </w:rPr>
          <w:t xml:space="preserve">Figure D.1 </w:t>
        </w:r>
        <w:r w:rsidR="00C4454D" w:rsidRPr="00A735B4">
          <w:t xml:space="preserve">Price of maize </w:t>
        </w:r>
        <w:r w:rsidR="00C4454D" w:rsidRPr="00A735B4">
          <w:rPr>
            <w:noProof/>
            <w:webHidden/>
          </w:rPr>
          <w:tab/>
          <w:t>103</w:t>
        </w:r>
      </w:hyperlink>
      <w:hyperlink w:anchor="_Toc410823501" w:history="1"/>
    </w:p>
    <w:p w14:paraId="06CB5E3E" w14:textId="2587CC20" w:rsidR="00C4454D" w:rsidRPr="00A735B4" w:rsidRDefault="00BD55CF" w:rsidP="00C4454D">
      <w:pPr>
        <w:tabs>
          <w:tab w:val="right" w:leader="dot" w:pos="9170"/>
        </w:tabs>
        <w:rPr>
          <w:noProof/>
        </w:rPr>
      </w:pPr>
      <w:hyperlink w:anchor="_Toc410823500" w:history="1">
        <w:r w:rsidR="00C4454D" w:rsidRPr="00A735B4">
          <w:rPr>
            <w:rFonts w:eastAsiaTheme="majorEastAsia"/>
            <w:noProof/>
          </w:rPr>
          <w:t xml:space="preserve">Figure D.2 </w:t>
        </w:r>
        <w:r w:rsidR="00C4454D" w:rsidRPr="00A735B4">
          <w:t xml:space="preserve">Maize: Average country price </w:t>
        </w:r>
        <w:r w:rsidR="00C4454D" w:rsidRPr="00A735B4">
          <w:rPr>
            <w:noProof/>
            <w:webHidden/>
          </w:rPr>
          <w:tab/>
          <w:t>103</w:t>
        </w:r>
      </w:hyperlink>
      <w:hyperlink w:anchor="_Toc410823501" w:history="1"/>
    </w:p>
    <w:p w14:paraId="42EB348F" w14:textId="772A9E7C" w:rsidR="00C4454D" w:rsidRPr="00A735B4" w:rsidRDefault="00BD55CF" w:rsidP="00C4454D">
      <w:pPr>
        <w:tabs>
          <w:tab w:val="right" w:leader="dot" w:pos="9170"/>
        </w:tabs>
        <w:rPr>
          <w:noProof/>
        </w:rPr>
      </w:pPr>
      <w:hyperlink w:anchor="_Toc410823500" w:history="1">
        <w:r w:rsidR="00C4454D" w:rsidRPr="00A735B4">
          <w:rPr>
            <w:rFonts w:eastAsiaTheme="majorEastAsia"/>
            <w:noProof/>
          </w:rPr>
          <w:t>Figure D.3 Price of fertilizers</w:t>
        </w:r>
        <w:r w:rsidR="00C4454D" w:rsidRPr="00A735B4">
          <w:rPr>
            <w:noProof/>
          </w:rPr>
          <w:t xml:space="preserve"> </w:t>
        </w:r>
        <w:r w:rsidR="00C4454D" w:rsidRPr="00A735B4">
          <w:rPr>
            <w:noProof/>
            <w:webHidden/>
          </w:rPr>
          <w:tab/>
          <w:t>104</w:t>
        </w:r>
      </w:hyperlink>
      <w:hyperlink w:anchor="_Toc410823501" w:history="1"/>
    </w:p>
    <w:p w14:paraId="4ADEDA20" w14:textId="0CC70F13" w:rsidR="00C4454D" w:rsidRPr="00A735B4" w:rsidRDefault="00BD55CF" w:rsidP="00C4454D">
      <w:pPr>
        <w:tabs>
          <w:tab w:val="right" w:leader="dot" w:pos="9170"/>
        </w:tabs>
        <w:rPr>
          <w:noProof/>
        </w:rPr>
      </w:pPr>
      <w:hyperlink w:anchor="_Toc410823500" w:history="1">
        <w:r w:rsidR="00C4454D" w:rsidRPr="00A735B4">
          <w:rPr>
            <w:rFonts w:eastAsiaTheme="majorEastAsia"/>
            <w:noProof/>
          </w:rPr>
          <w:t xml:space="preserve">Figure D.4 </w:t>
        </w:r>
        <w:r w:rsidR="00C4454D" w:rsidRPr="00A735B4">
          <w:t xml:space="preserve">Prices of basal and urea </w:t>
        </w:r>
        <w:r w:rsidR="00C4454D" w:rsidRPr="00A735B4">
          <w:rPr>
            <w:noProof/>
            <w:webHidden/>
          </w:rPr>
          <w:tab/>
          <w:t>104</w:t>
        </w:r>
      </w:hyperlink>
      <w:hyperlink w:anchor="_Toc410823501" w:history="1"/>
    </w:p>
    <w:p w14:paraId="55749B66" w14:textId="6F260F8D" w:rsidR="00C4454D" w:rsidRPr="00A735B4" w:rsidRDefault="00BD55CF" w:rsidP="00C4454D">
      <w:pPr>
        <w:tabs>
          <w:tab w:val="right" w:leader="dot" w:pos="9170"/>
        </w:tabs>
        <w:rPr>
          <w:noProof/>
        </w:rPr>
      </w:pPr>
      <w:hyperlink w:anchor="_Toc410823504" w:history="1">
        <w:r w:rsidR="00C4454D" w:rsidRPr="00A735B4">
          <w:rPr>
            <w:rFonts w:eastAsiaTheme="majorEastAsia"/>
            <w:noProof/>
          </w:rPr>
          <w:t>Figure D.5 Price of seeds</w:t>
        </w:r>
        <w:r w:rsidR="00C4454D" w:rsidRPr="00A735B4">
          <w:rPr>
            <w:noProof/>
            <w:webHidden/>
          </w:rPr>
          <w:tab/>
          <w:t>105</w:t>
        </w:r>
      </w:hyperlink>
    </w:p>
    <w:p w14:paraId="757A7124" w14:textId="16BCC701" w:rsidR="00C4454D" w:rsidRPr="00A735B4" w:rsidRDefault="00BD55CF" w:rsidP="00C4454D">
      <w:pPr>
        <w:tabs>
          <w:tab w:val="right" w:leader="dot" w:pos="9170"/>
        </w:tabs>
        <w:rPr>
          <w:noProof/>
        </w:rPr>
      </w:pPr>
      <w:hyperlink w:anchor="_Toc410823505" w:history="1">
        <w:r w:rsidR="00C4454D" w:rsidRPr="00A735B4">
          <w:rPr>
            <w:rFonts w:eastAsiaTheme="majorEastAsia"/>
            <w:noProof/>
          </w:rPr>
          <w:t>Figure D.6 Price of seeds by type of venue for purchase</w:t>
        </w:r>
        <w:r w:rsidR="00C4454D" w:rsidRPr="00A735B4">
          <w:rPr>
            <w:noProof/>
            <w:webHidden/>
          </w:rPr>
          <w:tab/>
          <w:t>106</w:t>
        </w:r>
      </w:hyperlink>
    </w:p>
    <w:p w14:paraId="1D02D637" w14:textId="0BBDA06D" w:rsidR="00C4454D" w:rsidRPr="00A735B4" w:rsidRDefault="00BD55CF" w:rsidP="00C4454D">
      <w:pPr>
        <w:tabs>
          <w:tab w:val="right" w:leader="dot" w:pos="9170"/>
        </w:tabs>
        <w:rPr>
          <w:noProof/>
        </w:rPr>
      </w:pPr>
      <w:hyperlink w:anchor="_Toc410823508" w:history="1">
        <w:r w:rsidR="00C4454D" w:rsidRPr="00A735B4">
          <w:rPr>
            <w:rFonts w:eastAsiaTheme="majorEastAsia"/>
            <w:noProof/>
          </w:rPr>
          <w:t>Figure E.1 Use of telemedicine</w:t>
        </w:r>
        <w:r w:rsidR="00C4454D" w:rsidRPr="00A735B4">
          <w:rPr>
            <w:noProof/>
            <w:webHidden/>
          </w:rPr>
          <w:tab/>
          <w:t>110</w:t>
        </w:r>
      </w:hyperlink>
    </w:p>
    <w:p w14:paraId="368E984B" w14:textId="58AD09D3" w:rsidR="00C4454D" w:rsidRPr="00A735B4" w:rsidRDefault="00BD55CF" w:rsidP="00C4454D">
      <w:pPr>
        <w:tabs>
          <w:tab w:val="right" w:leader="dot" w:pos="9170"/>
        </w:tabs>
        <w:rPr>
          <w:noProof/>
        </w:rPr>
      </w:pPr>
      <w:hyperlink w:anchor="_Toc410823508" w:history="1">
        <w:r w:rsidR="00C4454D" w:rsidRPr="00A735B4">
          <w:rPr>
            <w:rFonts w:eastAsiaTheme="majorEastAsia"/>
            <w:noProof/>
          </w:rPr>
          <w:t xml:space="preserve">Figure E.2 </w:t>
        </w:r>
        <w:r w:rsidR="00C4454D" w:rsidRPr="00A735B4">
          <w:t>Frequency of use of telemedicine</w:t>
        </w:r>
        <w:r w:rsidR="00C4454D" w:rsidRPr="00A735B4">
          <w:rPr>
            <w:rFonts w:eastAsiaTheme="majorEastAsia"/>
            <w:noProof/>
          </w:rPr>
          <w:t xml:space="preserve"> </w:t>
        </w:r>
        <w:r w:rsidR="00C4454D" w:rsidRPr="00A735B4">
          <w:rPr>
            <w:noProof/>
            <w:webHidden/>
          </w:rPr>
          <w:tab/>
          <w:t>110</w:t>
        </w:r>
      </w:hyperlink>
    </w:p>
    <w:p w14:paraId="45503B1F" w14:textId="2F2A47D0" w:rsidR="00C4454D" w:rsidRPr="00A735B4" w:rsidRDefault="00BD55CF" w:rsidP="00C4454D">
      <w:pPr>
        <w:tabs>
          <w:tab w:val="right" w:leader="dot" w:pos="9170"/>
        </w:tabs>
        <w:rPr>
          <w:noProof/>
        </w:rPr>
      </w:pPr>
      <w:hyperlink w:anchor="_Toc410823507" w:history="1">
        <w:r w:rsidR="00C4454D" w:rsidRPr="00A735B4">
          <w:rPr>
            <w:rFonts w:eastAsiaTheme="majorEastAsia"/>
            <w:noProof/>
          </w:rPr>
          <w:t>Figure E.3 Proportion of foreign patients treated by hospitals</w:t>
        </w:r>
        <w:r w:rsidR="00C4454D" w:rsidRPr="00A735B4">
          <w:rPr>
            <w:noProof/>
            <w:webHidden/>
          </w:rPr>
          <w:tab/>
          <w:t>110</w:t>
        </w:r>
      </w:hyperlink>
    </w:p>
    <w:p w14:paraId="31F8E3D6" w14:textId="363EED17" w:rsidR="00C4454D" w:rsidRPr="00A735B4" w:rsidRDefault="00BD55CF" w:rsidP="00C4454D">
      <w:pPr>
        <w:tabs>
          <w:tab w:val="right" w:leader="dot" w:pos="9170"/>
        </w:tabs>
        <w:rPr>
          <w:noProof/>
        </w:rPr>
      </w:pPr>
      <w:hyperlink w:anchor="_Toc410823508" w:history="1">
        <w:r w:rsidR="00C4454D" w:rsidRPr="00A735B4">
          <w:rPr>
            <w:rFonts w:eastAsiaTheme="majorEastAsia"/>
            <w:noProof/>
          </w:rPr>
          <w:t>Figure E.4 Cost of treatment received by foreigners in the examined countries</w:t>
        </w:r>
        <w:r w:rsidR="00C4454D" w:rsidRPr="00A735B4">
          <w:rPr>
            <w:noProof/>
            <w:webHidden/>
          </w:rPr>
          <w:tab/>
          <w:t>112</w:t>
        </w:r>
      </w:hyperlink>
    </w:p>
    <w:p w14:paraId="34495ED6" w14:textId="3D68B645" w:rsidR="00C4454D" w:rsidRPr="00A735B4" w:rsidRDefault="00BD55CF" w:rsidP="00C4454D">
      <w:pPr>
        <w:tabs>
          <w:tab w:val="right" w:leader="dot" w:pos="9170"/>
        </w:tabs>
        <w:rPr>
          <w:noProof/>
        </w:rPr>
      </w:pPr>
      <w:hyperlink w:anchor="_Toc410823509" w:history="1">
        <w:r w:rsidR="00C4454D" w:rsidRPr="00A735B4">
          <w:rPr>
            <w:rFonts w:eastAsiaTheme="majorEastAsia"/>
            <w:noProof/>
          </w:rPr>
          <w:t>Figure E.5 Cost of treatment received by patients from the examined countries abroad</w:t>
        </w:r>
        <w:r w:rsidR="00C4454D" w:rsidRPr="00A735B4">
          <w:rPr>
            <w:noProof/>
            <w:webHidden/>
          </w:rPr>
          <w:tab/>
          <w:t>112</w:t>
        </w:r>
      </w:hyperlink>
    </w:p>
    <w:p w14:paraId="7DC80643" w14:textId="315142F9" w:rsidR="00C4454D" w:rsidRPr="00A735B4" w:rsidRDefault="00BD55CF" w:rsidP="00C4454D">
      <w:pPr>
        <w:tabs>
          <w:tab w:val="right" w:leader="dot" w:pos="9170"/>
        </w:tabs>
        <w:rPr>
          <w:noProof/>
        </w:rPr>
      </w:pPr>
      <w:hyperlink w:anchor="_Toc410823510" w:history="1">
        <w:r w:rsidR="00C4454D" w:rsidRPr="00A735B4">
          <w:rPr>
            <w:rFonts w:eastAsiaTheme="majorEastAsia"/>
            <w:noProof/>
          </w:rPr>
          <w:t>Figure E.6 Reasons for foreign patients to seek treatment in the examined countries</w:t>
        </w:r>
        <w:r w:rsidR="00C4454D" w:rsidRPr="00A735B4">
          <w:rPr>
            <w:noProof/>
            <w:webHidden/>
          </w:rPr>
          <w:tab/>
          <w:t>113</w:t>
        </w:r>
      </w:hyperlink>
    </w:p>
    <w:p w14:paraId="7DA54653" w14:textId="63B5420A" w:rsidR="00C4454D" w:rsidRPr="00A735B4" w:rsidRDefault="00BD55CF" w:rsidP="00C4454D">
      <w:pPr>
        <w:tabs>
          <w:tab w:val="right" w:leader="dot" w:pos="9170"/>
        </w:tabs>
        <w:rPr>
          <w:noProof/>
        </w:rPr>
      </w:pPr>
      <w:hyperlink w:anchor="_Toc410823511" w:history="1">
        <w:r w:rsidR="00C4454D" w:rsidRPr="00A735B4">
          <w:rPr>
            <w:rFonts w:eastAsiaTheme="majorEastAsia"/>
            <w:noProof/>
          </w:rPr>
          <w:t>Figure E.7 Reasons for domestic patients from the selected countries to seek treatment abroad</w:t>
        </w:r>
        <w:r w:rsidR="00C4454D" w:rsidRPr="00A735B4">
          <w:rPr>
            <w:noProof/>
            <w:webHidden/>
          </w:rPr>
          <w:tab/>
          <w:t>113</w:t>
        </w:r>
      </w:hyperlink>
    </w:p>
    <w:p w14:paraId="4887E672" w14:textId="696DDC70" w:rsidR="00C4454D" w:rsidRPr="00A735B4" w:rsidRDefault="00BD55CF" w:rsidP="00C4454D">
      <w:pPr>
        <w:tabs>
          <w:tab w:val="right" w:leader="dot" w:pos="9170"/>
        </w:tabs>
        <w:rPr>
          <w:noProof/>
        </w:rPr>
      </w:pPr>
      <w:hyperlink w:anchor="_Toc410823512" w:history="1">
        <w:r w:rsidR="00C4454D" w:rsidRPr="00A735B4">
          <w:rPr>
            <w:rFonts w:eastAsiaTheme="majorEastAsia"/>
            <w:noProof/>
          </w:rPr>
          <w:t>Figure E.8 Reasons for medical professionals working abroad</w:t>
        </w:r>
        <w:r w:rsidR="00C4454D" w:rsidRPr="00A735B4">
          <w:rPr>
            <w:noProof/>
            <w:webHidden/>
          </w:rPr>
          <w:tab/>
          <w:t>113</w:t>
        </w:r>
      </w:hyperlink>
    </w:p>
    <w:p w14:paraId="20A08CD7" w14:textId="6473021F" w:rsidR="00C4454D" w:rsidRPr="00A735B4" w:rsidRDefault="00BD55CF" w:rsidP="00C4454D">
      <w:pPr>
        <w:tabs>
          <w:tab w:val="right" w:leader="dot" w:pos="9170"/>
        </w:tabs>
        <w:rPr>
          <w:noProof/>
        </w:rPr>
      </w:pPr>
      <w:hyperlink w:anchor="_Toc410823513" w:history="1">
        <w:r w:rsidR="00C4454D" w:rsidRPr="00A735B4">
          <w:rPr>
            <w:rFonts w:eastAsiaTheme="majorEastAsia"/>
            <w:noProof/>
          </w:rPr>
          <w:t>Figure E.9 Cost of travel and visa for foreign patients seeking treatment in the selected countries</w:t>
        </w:r>
        <w:r w:rsidR="00C4454D" w:rsidRPr="00A735B4">
          <w:rPr>
            <w:noProof/>
            <w:webHidden/>
          </w:rPr>
          <w:tab/>
          <w:t>114</w:t>
        </w:r>
      </w:hyperlink>
    </w:p>
    <w:p w14:paraId="4A47DD63" w14:textId="53536F55" w:rsidR="00C4454D" w:rsidRPr="00A735B4" w:rsidRDefault="00BD55CF" w:rsidP="00C4454D">
      <w:pPr>
        <w:tabs>
          <w:tab w:val="right" w:leader="dot" w:pos="9170"/>
        </w:tabs>
        <w:rPr>
          <w:noProof/>
        </w:rPr>
      </w:pPr>
      <w:hyperlink w:anchor="_Toc410823514" w:history="1">
        <w:r w:rsidR="00C4454D" w:rsidRPr="00A735B4">
          <w:rPr>
            <w:rFonts w:eastAsiaTheme="majorEastAsia"/>
            <w:noProof/>
          </w:rPr>
          <w:t>Figure E.10 Cost of travel and visa for domestic patients originating in the selected countries seeking treatment abroad</w:t>
        </w:r>
        <w:r w:rsidR="00C4454D" w:rsidRPr="00A735B4">
          <w:rPr>
            <w:noProof/>
            <w:webHidden/>
          </w:rPr>
          <w:tab/>
          <w:t>114</w:t>
        </w:r>
      </w:hyperlink>
    </w:p>
    <w:p w14:paraId="4204EB2B" w14:textId="190CE869" w:rsidR="00C4454D" w:rsidRPr="00A735B4" w:rsidRDefault="00BD55CF" w:rsidP="00C4454D">
      <w:pPr>
        <w:tabs>
          <w:tab w:val="right" w:leader="dot" w:pos="9170"/>
        </w:tabs>
        <w:rPr>
          <w:noProof/>
        </w:rPr>
      </w:pPr>
      <w:hyperlink w:anchor="_Toc410823515" w:history="1">
        <w:r w:rsidR="00C4454D" w:rsidRPr="00A735B4">
          <w:rPr>
            <w:rFonts w:eastAsiaTheme="majorEastAsia"/>
            <w:noProof/>
          </w:rPr>
          <w:t>Figure E.11 Percentage of treatment covered by insurance for the foreign patients seeking treatment in the examined countries</w:t>
        </w:r>
        <w:r w:rsidR="00C4454D" w:rsidRPr="00A735B4">
          <w:rPr>
            <w:noProof/>
            <w:webHidden/>
          </w:rPr>
          <w:tab/>
          <w:t>114</w:t>
        </w:r>
      </w:hyperlink>
    </w:p>
    <w:p w14:paraId="51BEA00B" w14:textId="7A2BC019" w:rsidR="00C4454D" w:rsidRPr="00A735B4" w:rsidRDefault="00BD55CF" w:rsidP="00C4454D">
      <w:pPr>
        <w:tabs>
          <w:tab w:val="right" w:leader="dot" w:pos="9170"/>
        </w:tabs>
        <w:rPr>
          <w:noProof/>
        </w:rPr>
      </w:pPr>
      <w:hyperlink w:anchor="_Toc410823516" w:history="1">
        <w:r w:rsidR="00C4454D" w:rsidRPr="00A735B4">
          <w:rPr>
            <w:rFonts w:eastAsiaTheme="majorEastAsia"/>
            <w:noProof/>
          </w:rPr>
          <w:t>Figure E.12 Percentage of treatment covered by insurance for domestic patients originating in the selected countries seeking treatment abroad</w:t>
        </w:r>
        <w:r w:rsidR="00C4454D" w:rsidRPr="00A735B4">
          <w:rPr>
            <w:noProof/>
            <w:webHidden/>
          </w:rPr>
          <w:tab/>
          <w:t>114</w:t>
        </w:r>
      </w:hyperlink>
    </w:p>
    <w:p w14:paraId="190EB485" w14:textId="66645C78" w:rsidR="00C4454D" w:rsidRPr="00A735B4" w:rsidRDefault="00BD55CF" w:rsidP="00C4454D">
      <w:pPr>
        <w:tabs>
          <w:tab w:val="right" w:leader="dot" w:pos="9170"/>
        </w:tabs>
        <w:rPr>
          <w:noProof/>
        </w:rPr>
      </w:pPr>
      <w:hyperlink w:anchor="_Toc410823517" w:history="1">
        <w:r w:rsidR="00C4454D" w:rsidRPr="00A735B4">
          <w:rPr>
            <w:rFonts w:eastAsiaTheme="majorEastAsia"/>
            <w:noProof/>
          </w:rPr>
          <w:t>Figure E.13 Weeks required to recognize medical degrees obtained abroad</w:t>
        </w:r>
        <w:r w:rsidR="00C4454D" w:rsidRPr="00A735B4">
          <w:rPr>
            <w:noProof/>
            <w:webHidden/>
          </w:rPr>
          <w:tab/>
          <w:t>115</w:t>
        </w:r>
      </w:hyperlink>
    </w:p>
    <w:p w14:paraId="643002B8" w14:textId="2EA35794" w:rsidR="00C4454D" w:rsidRPr="00A735B4" w:rsidRDefault="00BD55CF" w:rsidP="00C4454D">
      <w:pPr>
        <w:tabs>
          <w:tab w:val="right" w:leader="dot" w:pos="9170"/>
        </w:tabs>
        <w:rPr>
          <w:noProof/>
        </w:rPr>
      </w:pPr>
      <w:hyperlink w:anchor="_Toc410823518" w:history="1">
        <w:r w:rsidR="00C4454D" w:rsidRPr="00A735B4">
          <w:rPr>
            <w:rFonts w:eastAsiaTheme="majorEastAsia"/>
            <w:noProof/>
          </w:rPr>
          <w:t>Figure E.14 Additional training required for recognition of degrees obtained abroad</w:t>
        </w:r>
        <w:r w:rsidR="00C4454D" w:rsidRPr="00A735B4">
          <w:rPr>
            <w:noProof/>
            <w:webHidden/>
          </w:rPr>
          <w:tab/>
          <w:t>115</w:t>
        </w:r>
      </w:hyperlink>
    </w:p>
    <w:p w14:paraId="20E533B9" w14:textId="445154CC" w:rsidR="00C4454D" w:rsidRPr="00A735B4" w:rsidRDefault="00BD55CF" w:rsidP="00C4454D">
      <w:pPr>
        <w:tabs>
          <w:tab w:val="right" w:leader="dot" w:pos="9170"/>
        </w:tabs>
        <w:rPr>
          <w:noProof/>
        </w:rPr>
      </w:pPr>
      <w:hyperlink w:anchor="_Toc410823519" w:history="1">
        <w:r w:rsidR="00C4454D" w:rsidRPr="00A735B4">
          <w:rPr>
            <w:rFonts w:eastAsiaTheme="majorEastAsia"/>
            <w:noProof/>
          </w:rPr>
          <w:t>Figure E.15 Cost of courses required for recognition of degrees obtained abroad</w:t>
        </w:r>
        <w:r w:rsidR="00C4454D" w:rsidRPr="00A735B4">
          <w:rPr>
            <w:noProof/>
            <w:webHidden/>
          </w:rPr>
          <w:tab/>
          <w:t>115</w:t>
        </w:r>
      </w:hyperlink>
    </w:p>
    <w:p w14:paraId="13FE02BF" w14:textId="4600173A" w:rsidR="00C4454D" w:rsidRPr="00A735B4" w:rsidRDefault="00BD55CF" w:rsidP="00C4454D">
      <w:pPr>
        <w:tabs>
          <w:tab w:val="right" w:leader="dot" w:pos="9170"/>
        </w:tabs>
        <w:rPr>
          <w:noProof/>
        </w:rPr>
      </w:pPr>
      <w:hyperlink w:anchor="_Toc410823520" w:history="1">
        <w:r w:rsidR="00C4454D" w:rsidRPr="00A735B4">
          <w:rPr>
            <w:rFonts w:eastAsiaTheme="majorEastAsia"/>
            <w:noProof/>
          </w:rPr>
          <w:t>Figure E.16 Main source countries of foreign students</w:t>
        </w:r>
        <w:r w:rsidR="00C4454D" w:rsidRPr="00A735B4">
          <w:rPr>
            <w:noProof/>
            <w:webHidden/>
          </w:rPr>
          <w:tab/>
          <w:t>116</w:t>
        </w:r>
      </w:hyperlink>
    </w:p>
    <w:p w14:paraId="12BC1841" w14:textId="53C2B65E" w:rsidR="00C4454D" w:rsidRPr="00A735B4" w:rsidRDefault="00BD55CF" w:rsidP="00C4454D">
      <w:pPr>
        <w:tabs>
          <w:tab w:val="right" w:leader="dot" w:pos="9170"/>
        </w:tabs>
        <w:rPr>
          <w:noProof/>
        </w:rPr>
      </w:pPr>
      <w:hyperlink w:anchor="_Toc410823521" w:history="1">
        <w:r w:rsidR="00C4454D" w:rsidRPr="00A735B4">
          <w:rPr>
            <w:rFonts w:eastAsiaTheme="majorEastAsia"/>
            <w:noProof/>
          </w:rPr>
          <w:t>Figure E.17 Top degrees pursued by domestic and foreign students</w:t>
        </w:r>
        <w:r w:rsidR="00C4454D" w:rsidRPr="00A735B4">
          <w:rPr>
            <w:noProof/>
            <w:webHidden/>
          </w:rPr>
          <w:tab/>
          <w:t>116</w:t>
        </w:r>
      </w:hyperlink>
    </w:p>
    <w:p w14:paraId="54FB384C" w14:textId="449FD2F5" w:rsidR="00C4454D" w:rsidRPr="00A735B4" w:rsidRDefault="00BD55CF" w:rsidP="00C4454D">
      <w:pPr>
        <w:tabs>
          <w:tab w:val="right" w:leader="dot" w:pos="9170"/>
        </w:tabs>
        <w:rPr>
          <w:noProof/>
        </w:rPr>
      </w:pPr>
      <w:hyperlink w:anchor="_Toc410823522" w:history="1">
        <w:r w:rsidR="00C4454D" w:rsidRPr="00A735B4">
          <w:rPr>
            <w:rFonts w:eastAsiaTheme="majorEastAsia"/>
            <w:noProof/>
          </w:rPr>
          <w:t>Figure E.18 Where do foreign students look for jobs?</w:t>
        </w:r>
        <w:r w:rsidR="00C4454D" w:rsidRPr="00A735B4">
          <w:rPr>
            <w:noProof/>
            <w:webHidden/>
          </w:rPr>
          <w:tab/>
          <w:t>117</w:t>
        </w:r>
      </w:hyperlink>
    </w:p>
    <w:p w14:paraId="44ABAEC6" w14:textId="656A9E42" w:rsidR="00C4454D" w:rsidRPr="00A735B4" w:rsidRDefault="00BD55CF" w:rsidP="00C4454D">
      <w:pPr>
        <w:tabs>
          <w:tab w:val="right" w:leader="dot" w:pos="9170"/>
        </w:tabs>
        <w:rPr>
          <w:noProof/>
        </w:rPr>
      </w:pPr>
      <w:hyperlink w:anchor="_Toc410823523" w:history="1">
        <w:r w:rsidR="00C4454D" w:rsidRPr="00A735B4">
          <w:rPr>
            <w:rFonts w:eastAsiaTheme="majorEastAsia"/>
            <w:noProof/>
          </w:rPr>
          <w:t>Figure E.19 Cost of tuition by degree</w:t>
        </w:r>
        <w:r w:rsidR="00C4454D" w:rsidRPr="00A735B4">
          <w:rPr>
            <w:noProof/>
            <w:webHidden/>
          </w:rPr>
          <w:tab/>
          <w:t>118</w:t>
        </w:r>
      </w:hyperlink>
    </w:p>
    <w:p w14:paraId="095CC2BE" w14:textId="103FA7E8" w:rsidR="00C4454D" w:rsidRPr="00A735B4" w:rsidRDefault="00BD55CF" w:rsidP="00C4454D">
      <w:pPr>
        <w:tabs>
          <w:tab w:val="right" w:leader="dot" w:pos="9170"/>
        </w:tabs>
        <w:rPr>
          <w:noProof/>
        </w:rPr>
      </w:pPr>
      <w:hyperlink w:anchor="_Toc410823524" w:history="1">
        <w:r w:rsidR="00C4454D" w:rsidRPr="00A735B4">
          <w:rPr>
            <w:rFonts w:eastAsiaTheme="majorEastAsia"/>
            <w:noProof/>
          </w:rPr>
          <w:t>Figure E.20 Cost of tuition for local and domestic students</w:t>
        </w:r>
        <w:r w:rsidR="00C4454D" w:rsidRPr="00A735B4">
          <w:rPr>
            <w:noProof/>
            <w:webHidden/>
          </w:rPr>
          <w:tab/>
          <w:t>118</w:t>
        </w:r>
      </w:hyperlink>
    </w:p>
    <w:p w14:paraId="46A79A36" w14:textId="5FA5062A" w:rsidR="00C4454D" w:rsidRPr="00A735B4" w:rsidRDefault="00BD55CF" w:rsidP="00C4454D">
      <w:pPr>
        <w:tabs>
          <w:tab w:val="right" w:leader="dot" w:pos="9170"/>
        </w:tabs>
        <w:rPr>
          <w:noProof/>
        </w:rPr>
      </w:pPr>
      <w:hyperlink w:anchor="_Toc410823525" w:history="1">
        <w:r w:rsidR="00C4454D" w:rsidRPr="00A735B4">
          <w:rPr>
            <w:rFonts w:eastAsiaTheme="majorEastAsia"/>
            <w:noProof/>
          </w:rPr>
          <w:t>Figure E.21 Cost of tuition by university type</w:t>
        </w:r>
        <w:r w:rsidR="00C4454D" w:rsidRPr="00A735B4">
          <w:rPr>
            <w:noProof/>
            <w:webHidden/>
          </w:rPr>
          <w:tab/>
          <w:t>118</w:t>
        </w:r>
      </w:hyperlink>
    </w:p>
    <w:p w14:paraId="26D3E362" w14:textId="343D0CD2" w:rsidR="00C4454D" w:rsidRPr="00A735B4" w:rsidRDefault="00BD55CF" w:rsidP="00C4454D">
      <w:pPr>
        <w:tabs>
          <w:tab w:val="right" w:leader="dot" w:pos="9170"/>
        </w:tabs>
        <w:rPr>
          <w:noProof/>
        </w:rPr>
      </w:pPr>
      <w:hyperlink w:anchor="_Toc410823526" w:history="1">
        <w:r w:rsidR="00C4454D" w:rsidRPr="00A735B4">
          <w:rPr>
            <w:rFonts w:eastAsiaTheme="majorEastAsia"/>
            <w:noProof/>
          </w:rPr>
          <w:t>Figure E.22 Cost of books for local and foreign students</w:t>
        </w:r>
        <w:r w:rsidR="00C4454D" w:rsidRPr="00A735B4">
          <w:rPr>
            <w:noProof/>
            <w:webHidden/>
          </w:rPr>
          <w:tab/>
          <w:t>119</w:t>
        </w:r>
      </w:hyperlink>
    </w:p>
    <w:p w14:paraId="29C6F14F" w14:textId="143F6669" w:rsidR="00C4454D" w:rsidRPr="00A735B4" w:rsidRDefault="00BD55CF" w:rsidP="00C4454D">
      <w:pPr>
        <w:tabs>
          <w:tab w:val="right" w:leader="dot" w:pos="9170"/>
        </w:tabs>
        <w:rPr>
          <w:noProof/>
        </w:rPr>
      </w:pPr>
      <w:hyperlink w:anchor="_Toc410823527" w:history="1">
        <w:r w:rsidR="00C4454D" w:rsidRPr="00A735B4">
          <w:rPr>
            <w:rFonts w:eastAsiaTheme="majorEastAsia"/>
            <w:noProof/>
          </w:rPr>
          <w:t>Figure E.23 Cost of food for local and foreign students</w:t>
        </w:r>
        <w:r w:rsidR="00C4454D" w:rsidRPr="00A735B4">
          <w:rPr>
            <w:noProof/>
            <w:webHidden/>
          </w:rPr>
          <w:tab/>
          <w:t>119</w:t>
        </w:r>
      </w:hyperlink>
    </w:p>
    <w:p w14:paraId="50241AD9" w14:textId="7BEE0416" w:rsidR="00C4454D" w:rsidRPr="00A735B4" w:rsidRDefault="00BD55CF" w:rsidP="00C4454D">
      <w:pPr>
        <w:tabs>
          <w:tab w:val="right" w:leader="dot" w:pos="9170"/>
        </w:tabs>
        <w:rPr>
          <w:noProof/>
        </w:rPr>
      </w:pPr>
      <w:hyperlink w:anchor="_Toc410823528" w:history="1">
        <w:r w:rsidR="00C4454D" w:rsidRPr="00A735B4">
          <w:rPr>
            <w:rFonts w:eastAsiaTheme="majorEastAsia"/>
            <w:noProof/>
          </w:rPr>
          <w:t>Figure E.24 Cost of housing for local and foreign students</w:t>
        </w:r>
        <w:r w:rsidR="00C4454D" w:rsidRPr="00A735B4">
          <w:rPr>
            <w:noProof/>
            <w:webHidden/>
          </w:rPr>
          <w:tab/>
          <w:t>119</w:t>
        </w:r>
      </w:hyperlink>
    </w:p>
    <w:p w14:paraId="1426C4AF" w14:textId="5AA1F800" w:rsidR="00C4454D" w:rsidRPr="00A735B4" w:rsidRDefault="00BD55CF" w:rsidP="00C4454D">
      <w:pPr>
        <w:tabs>
          <w:tab w:val="right" w:leader="dot" w:pos="9170"/>
        </w:tabs>
        <w:rPr>
          <w:noProof/>
        </w:rPr>
      </w:pPr>
      <w:hyperlink w:anchor="_Toc410823529" w:history="1">
        <w:r w:rsidR="00C4454D" w:rsidRPr="00A735B4">
          <w:rPr>
            <w:rFonts w:eastAsiaTheme="majorEastAsia"/>
            <w:noProof/>
          </w:rPr>
          <w:t>Figure E.25 Cost of transportation for local and foreign students</w:t>
        </w:r>
        <w:r w:rsidR="00C4454D" w:rsidRPr="00A735B4">
          <w:rPr>
            <w:noProof/>
            <w:webHidden/>
          </w:rPr>
          <w:tab/>
          <w:t>119</w:t>
        </w:r>
      </w:hyperlink>
    </w:p>
    <w:p w14:paraId="2E543CDA" w14:textId="3FA24339" w:rsidR="00C4454D" w:rsidRPr="00A735B4" w:rsidRDefault="00BD55CF" w:rsidP="00C4454D">
      <w:pPr>
        <w:tabs>
          <w:tab w:val="right" w:leader="dot" w:pos="9170"/>
        </w:tabs>
        <w:rPr>
          <w:noProof/>
        </w:rPr>
      </w:pPr>
      <w:hyperlink w:anchor="_Toc410823530" w:history="1">
        <w:r w:rsidR="00C4454D" w:rsidRPr="00A735B4">
          <w:rPr>
            <w:rFonts w:eastAsiaTheme="majorEastAsia"/>
            <w:noProof/>
          </w:rPr>
          <w:t>Figure E.26 Costs shares across categories, foreign vs. domestic students</w:t>
        </w:r>
        <w:r w:rsidR="00C4454D" w:rsidRPr="00A735B4">
          <w:rPr>
            <w:noProof/>
            <w:webHidden/>
          </w:rPr>
          <w:tab/>
          <w:t>120</w:t>
        </w:r>
      </w:hyperlink>
    </w:p>
    <w:p w14:paraId="0F8E3625" w14:textId="5DF5D785" w:rsidR="00C4454D" w:rsidRPr="00A735B4" w:rsidRDefault="00BD55CF" w:rsidP="00C4454D">
      <w:pPr>
        <w:tabs>
          <w:tab w:val="right" w:leader="dot" w:pos="9170"/>
        </w:tabs>
        <w:rPr>
          <w:noProof/>
        </w:rPr>
      </w:pPr>
      <w:hyperlink w:anchor="_Toc410823523" w:history="1">
        <w:r w:rsidR="00C4454D" w:rsidRPr="00A735B4">
          <w:rPr>
            <w:rFonts w:eastAsiaTheme="majorEastAsia"/>
            <w:noProof/>
          </w:rPr>
          <w:t xml:space="preserve">Figure F.1 </w:t>
        </w:r>
        <w:r w:rsidR="00C4454D" w:rsidRPr="00A735B4">
          <w:t>Goods solely exported within the Eurasian Economic Community</w:t>
        </w:r>
        <w:r w:rsidR="00C4454D" w:rsidRPr="00A735B4">
          <w:rPr>
            <w:noProof/>
            <w:webHidden/>
          </w:rPr>
          <w:tab/>
          <w:t>123</w:t>
        </w:r>
      </w:hyperlink>
    </w:p>
    <w:p w14:paraId="5DBFDAD1" w14:textId="0634FBA0" w:rsidR="00C4454D" w:rsidRPr="00A735B4" w:rsidRDefault="00BD55CF" w:rsidP="00C4454D">
      <w:pPr>
        <w:tabs>
          <w:tab w:val="right" w:leader="dot" w:pos="9170"/>
        </w:tabs>
        <w:rPr>
          <w:noProof/>
        </w:rPr>
      </w:pPr>
      <w:hyperlink w:anchor="_Toc410823523" w:history="1">
        <w:r w:rsidR="00C4454D" w:rsidRPr="00A735B4">
          <w:rPr>
            <w:rFonts w:eastAsiaTheme="majorEastAsia"/>
            <w:noProof/>
          </w:rPr>
          <w:t xml:space="preserve">Figure F.2 </w:t>
        </w:r>
        <w:r w:rsidR="00C4454D" w:rsidRPr="00A735B4">
          <w:t>Technology content of intraregional trade in the Andean Community</w:t>
        </w:r>
        <w:r w:rsidR="00C4454D" w:rsidRPr="00A735B4">
          <w:rPr>
            <w:noProof/>
            <w:webHidden/>
          </w:rPr>
          <w:tab/>
          <w:t>124</w:t>
        </w:r>
      </w:hyperlink>
    </w:p>
    <w:p w14:paraId="243A78AB" w14:textId="29D37FB7" w:rsidR="00C4454D" w:rsidRPr="00A735B4" w:rsidRDefault="00BD55CF" w:rsidP="00C4454D">
      <w:pPr>
        <w:tabs>
          <w:tab w:val="right" w:leader="dot" w:pos="9170"/>
        </w:tabs>
        <w:rPr>
          <w:noProof/>
        </w:rPr>
      </w:pPr>
      <w:hyperlink w:anchor="_Toc410823523" w:history="1">
        <w:r w:rsidR="00C4454D" w:rsidRPr="00A735B4">
          <w:rPr>
            <w:rFonts w:eastAsiaTheme="majorEastAsia"/>
            <w:noProof/>
          </w:rPr>
          <w:t xml:space="preserve">Figure F.3 </w:t>
        </w:r>
        <w:r w:rsidR="00C4454D" w:rsidRPr="00A735B4">
          <w:t>Number of products exported with the Andean Community and to external partners</w:t>
        </w:r>
        <w:r w:rsidR="00C4454D" w:rsidRPr="00A735B4">
          <w:rPr>
            <w:noProof/>
            <w:webHidden/>
          </w:rPr>
          <w:tab/>
          <w:t>125</w:t>
        </w:r>
      </w:hyperlink>
    </w:p>
    <w:p w14:paraId="7233EB72" w14:textId="2E32B482" w:rsidR="00C4454D" w:rsidRPr="00A735B4" w:rsidRDefault="00BD55CF" w:rsidP="00C4454D">
      <w:pPr>
        <w:tabs>
          <w:tab w:val="right" w:leader="dot" w:pos="9170"/>
        </w:tabs>
        <w:rPr>
          <w:noProof/>
        </w:rPr>
      </w:pPr>
      <w:hyperlink w:anchor="_Toc410823523" w:history="1">
        <w:r w:rsidR="00C4454D" w:rsidRPr="00A735B4">
          <w:rPr>
            <w:rFonts w:eastAsiaTheme="majorEastAsia"/>
            <w:noProof/>
          </w:rPr>
          <w:t xml:space="preserve">Figure F.4 </w:t>
        </w:r>
        <w:r w:rsidR="00C4454D" w:rsidRPr="00A735B4">
          <w:t>Percentage of Russian firms viewing cross-border trade regulations and customs as serious obstacles</w:t>
        </w:r>
        <w:r w:rsidR="00C4454D" w:rsidRPr="00A735B4">
          <w:rPr>
            <w:noProof/>
            <w:webHidden/>
          </w:rPr>
          <w:tab/>
          <w:t>125</w:t>
        </w:r>
      </w:hyperlink>
    </w:p>
    <w:p w14:paraId="4CDC5E83" w14:textId="410BCAC6" w:rsidR="00C4454D" w:rsidRPr="00A735B4" w:rsidRDefault="00BD55CF" w:rsidP="00C4454D">
      <w:pPr>
        <w:tabs>
          <w:tab w:val="right" w:leader="dot" w:pos="9170"/>
        </w:tabs>
        <w:rPr>
          <w:noProof/>
        </w:rPr>
      </w:pPr>
      <w:hyperlink w:anchor="_Toc410823523" w:history="1">
        <w:r w:rsidR="00C4454D" w:rsidRPr="00A735B4">
          <w:rPr>
            <w:rFonts w:eastAsiaTheme="majorEastAsia"/>
            <w:noProof/>
          </w:rPr>
          <w:t xml:space="preserve">Figure F.5 </w:t>
        </w:r>
        <w:r w:rsidR="00C4454D" w:rsidRPr="00A735B4">
          <w:t>Export standards monitoring in Latin America</w:t>
        </w:r>
        <w:r w:rsidR="00C4454D" w:rsidRPr="00A735B4">
          <w:rPr>
            <w:noProof/>
            <w:webHidden/>
          </w:rPr>
          <w:tab/>
          <w:t>126</w:t>
        </w:r>
      </w:hyperlink>
    </w:p>
    <w:p w14:paraId="3D22A939" w14:textId="44F22B6C" w:rsidR="00C4454D" w:rsidRPr="00A735B4" w:rsidRDefault="00BD55CF" w:rsidP="00C4454D">
      <w:pPr>
        <w:tabs>
          <w:tab w:val="right" w:leader="dot" w:pos="9170"/>
        </w:tabs>
        <w:rPr>
          <w:noProof/>
        </w:rPr>
      </w:pPr>
      <w:hyperlink w:anchor="_Toc410823523" w:history="1">
        <w:r w:rsidR="00C4454D" w:rsidRPr="00A735B4">
          <w:rPr>
            <w:rFonts w:eastAsiaTheme="majorEastAsia"/>
            <w:noProof/>
          </w:rPr>
          <w:t xml:space="preserve">Figure F.6 </w:t>
        </w:r>
        <w:r w:rsidR="00C4454D" w:rsidRPr="00A735B4">
          <w:t>Intra-ASEAN services imports</w:t>
        </w:r>
        <w:r w:rsidR="00C4454D" w:rsidRPr="00A735B4">
          <w:rPr>
            <w:noProof/>
            <w:webHidden/>
          </w:rPr>
          <w:tab/>
          <w:t>127</w:t>
        </w:r>
      </w:hyperlink>
    </w:p>
    <w:p w14:paraId="75C2BD2E" w14:textId="42A14BEC" w:rsidR="00C4454D" w:rsidRPr="00A735B4" w:rsidRDefault="00BD55CF" w:rsidP="00C4454D">
      <w:pPr>
        <w:tabs>
          <w:tab w:val="right" w:leader="dot" w:pos="9170"/>
        </w:tabs>
        <w:rPr>
          <w:noProof/>
        </w:rPr>
      </w:pPr>
      <w:hyperlink w:anchor="_Toc410823523" w:history="1">
        <w:r w:rsidR="00C4454D" w:rsidRPr="00A735B4">
          <w:rPr>
            <w:rFonts w:eastAsiaTheme="majorEastAsia"/>
            <w:noProof/>
          </w:rPr>
          <w:t xml:space="preserve">Figure F.7 </w:t>
        </w:r>
        <w:r w:rsidR="00C4454D" w:rsidRPr="00A735B4">
          <w:t>Changes in services trade restrictiveness between 2007/08 and 2010</w:t>
        </w:r>
        <w:r w:rsidR="00C4454D" w:rsidRPr="00A735B4">
          <w:rPr>
            <w:noProof/>
            <w:webHidden/>
          </w:rPr>
          <w:tab/>
          <w:t>127</w:t>
        </w:r>
      </w:hyperlink>
    </w:p>
    <w:p w14:paraId="4AE086DF" w14:textId="7E12F43A" w:rsidR="00C4454D" w:rsidRPr="00A735B4" w:rsidRDefault="00BD55CF" w:rsidP="00C4454D">
      <w:pPr>
        <w:tabs>
          <w:tab w:val="right" w:leader="dot" w:pos="9170"/>
        </w:tabs>
        <w:rPr>
          <w:noProof/>
        </w:rPr>
      </w:pPr>
      <w:hyperlink w:anchor="_Toc410823523" w:history="1">
        <w:r w:rsidR="00C4454D" w:rsidRPr="00A735B4">
          <w:rPr>
            <w:rFonts w:eastAsiaTheme="majorEastAsia"/>
            <w:noProof/>
          </w:rPr>
          <w:t xml:space="preserve">Figure F.8 </w:t>
        </w:r>
        <w:r w:rsidR="00C4454D" w:rsidRPr="00A735B4">
          <w:t>Comparison of services trade commitments and policies</w:t>
        </w:r>
        <w:r w:rsidR="00C4454D" w:rsidRPr="00A735B4">
          <w:rPr>
            <w:noProof/>
            <w:webHidden/>
          </w:rPr>
          <w:tab/>
          <w:t>128</w:t>
        </w:r>
      </w:hyperlink>
    </w:p>
    <w:p w14:paraId="1C58D602" w14:textId="77777777" w:rsidR="00C4454D" w:rsidRPr="00A735B4" w:rsidRDefault="00C4454D" w:rsidP="00C4454D">
      <w:pPr>
        <w:rPr>
          <w:lang w:eastAsia="en-GB"/>
        </w:rPr>
      </w:pPr>
    </w:p>
    <w:p w14:paraId="719E914E" w14:textId="1A6D484A" w:rsidR="00C4454D" w:rsidRPr="00A735B4" w:rsidRDefault="00C4454D" w:rsidP="00C4454D">
      <w:r w:rsidRPr="00A735B4">
        <w:fldChar w:fldCharType="end"/>
      </w:r>
    </w:p>
    <w:p w14:paraId="6B395B23" w14:textId="77777777" w:rsidR="00C4454D" w:rsidRPr="00A735B4" w:rsidRDefault="00C4454D" w:rsidP="00C4454D">
      <w:pPr>
        <w:tabs>
          <w:tab w:val="right" w:leader="dot" w:pos="9350"/>
        </w:tabs>
        <w:jc w:val="center"/>
        <w:rPr>
          <w:b/>
          <w:color w:val="1F497D" w:themeColor="text2"/>
        </w:rPr>
      </w:pPr>
      <w:r w:rsidRPr="00A735B4">
        <w:rPr>
          <w:b/>
          <w:color w:val="1F497D" w:themeColor="text2"/>
        </w:rPr>
        <w:t>Tables</w:t>
      </w:r>
    </w:p>
    <w:p w14:paraId="126A4D05" w14:textId="2F1C4902" w:rsidR="00C4454D" w:rsidRPr="00A735B4" w:rsidRDefault="00C4454D" w:rsidP="00C4454D">
      <w:pPr>
        <w:tabs>
          <w:tab w:val="right" w:leader="dot" w:pos="9170"/>
        </w:tabs>
        <w:rPr>
          <w:noProof/>
        </w:rPr>
      </w:pPr>
      <w:r w:rsidRPr="00A735B4">
        <w:fldChar w:fldCharType="begin"/>
      </w:r>
      <w:r w:rsidRPr="00A735B4">
        <w:instrText xml:space="preserve"> TOC \h \z \c "Table" </w:instrText>
      </w:r>
      <w:r w:rsidRPr="00A735B4">
        <w:fldChar w:fldCharType="separate"/>
      </w:r>
      <w:hyperlink w:anchor="_Toc410823531" w:history="1">
        <w:r w:rsidRPr="00A735B4">
          <w:rPr>
            <w:rFonts w:eastAsiaTheme="majorEastAsia"/>
            <w:noProof/>
          </w:rPr>
          <w:t>Table 2.1 Examples of indirect, aggregate trade cost indicators</w:t>
        </w:r>
        <w:r w:rsidRPr="00A735B4">
          <w:rPr>
            <w:noProof/>
            <w:webHidden/>
          </w:rPr>
          <w:tab/>
          <w:t>17</w:t>
        </w:r>
      </w:hyperlink>
    </w:p>
    <w:p w14:paraId="131983AC" w14:textId="3779D8ED" w:rsidR="00C4454D" w:rsidRPr="00A735B4" w:rsidRDefault="00BD55CF" w:rsidP="00C4454D">
      <w:pPr>
        <w:tabs>
          <w:tab w:val="right" w:leader="dot" w:pos="9170"/>
        </w:tabs>
        <w:rPr>
          <w:noProof/>
        </w:rPr>
      </w:pPr>
      <w:hyperlink w:anchor="_Toc410823532" w:history="1">
        <w:r w:rsidR="00C4454D" w:rsidRPr="00A735B4">
          <w:rPr>
            <w:rFonts w:eastAsiaTheme="majorEastAsia"/>
            <w:noProof/>
          </w:rPr>
          <w:t>Table 2.2 Examples of tariff-centered trade cost indicators</w:t>
        </w:r>
        <w:r w:rsidR="00C4454D" w:rsidRPr="00A735B4">
          <w:rPr>
            <w:noProof/>
            <w:webHidden/>
          </w:rPr>
          <w:tab/>
          <w:t>18</w:t>
        </w:r>
      </w:hyperlink>
    </w:p>
    <w:p w14:paraId="54DD2291" w14:textId="563FD803" w:rsidR="00C4454D" w:rsidRPr="00A735B4" w:rsidRDefault="00BD55CF" w:rsidP="00C4454D">
      <w:pPr>
        <w:tabs>
          <w:tab w:val="right" w:leader="dot" w:pos="9170"/>
        </w:tabs>
        <w:rPr>
          <w:noProof/>
        </w:rPr>
      </w:pPr>
      <w:hyperlink w:anchor="_Toc410823533" w:history="1">
        <w:r w:rsidR="00C4454D" w:rsidRPr="00A735B4">
          <w:rPr>
            <w:rFonts w:eastAsiaTheme="majorEastAsia"/>
            <w:noProof/>
          </w:rPr>
          <w:t>Table 2.3 Examples of NTB-centered trade cost indicators</w:t>
        </w:r>
        <w:r w:rsidR="00C4454D" w:rsidRPr="00A735B4">
          <w:rPr>
            <w:noProof/>
            <w:webHidden/>
          </w:rPr>
          <w:tab/>
          <w:t>18</w:t>
        </w:r>
      </w:hyperlink>
    </w:p>
    <w:p w14:paraId="428400A6" w14:textId="37BDA08F" w:rsidR="00C4454D" w:rsidRPr="00A735B4" w:rsidRDefault="00BD55CF" w:rsidP="00C4454D">
      <w:pPr>
        <w:tabs>
          <w:tab w:val="right" w:leader="dot" w:pos="9170"/>
        </w:tabs>
        <w:rPr>
          <w:noProof/>
        </w:rPr>
      </w:pPr>
      <w:hyperlink w:anchor="_Toc410823534" w:history="1">
        <w:r w:rsidR="00C4454D" w:rsidRPr="00A735B4">
          <w:rPr>
            <w:rFonts w:eastAsiaTheme="majorEastAsia"/>
            <w:noProof/>
          </w:rPr>
          <w:t>Table 2.4 Examples of trade facilitation–centered trade cost indicators</w:t>
        </w:r>
        <w:r w:rsidR="00C4454D" w:rsidRPr="00A735B4">
          <w:rPr>
            <w:noProof/>
            <w:webHidden/>
          </w:rPr>
          <w:tab/>
          <w:t>19</w:t>
        </w:r>
      </w:hyperlink>
    </w:p>
    <w:p w14:paraId="5D19B054" w14:textId="2D6861DF" w:rsidR="00C4454D" w:rsidRPr="00A735B4" w:rsidRDefault="00BD55CF" w:rsidP="00C4454D">
      <w:pPr>
        <w:tabs>
          <w:tab w:val="right" w:leader="dot" w:pos="9170"/>
        </w:tabs>
        <w:rPr>
          <w:noProof/>
        </w:rPr>
      </w:pPr>
      <w:hyperlink w:anchor="_Toc410823535" w:history="1">
        <w:r w:rsidR="00C4454D" w:rsidRPr="00A735B4">
          <w:rPr>
            <w:rFonts w:eastAsiaTheme="majorEastAsia"/>
            <w:noProof/>
          </w:rPr>
          <w:t>Table 2.5 Examples of services trade–centered trade cost indicators</w:t>
        </w:r>
        <w:r w:rsidR="00C4454D" w:rsidRPr="00A735B4">
          <w:rPr>
            <w:noProof/>
            <w:webHidden/>
          </w:rPr>
          <w:tab/>
          <w:t>20</w:t>
        </w:r>
      </w:hyperlink>
    </w:p>
    <w:p w14:paraId="3D8E600E" w14:textId="6B470C2A" w:rsidR="00C4454D" w:rsidRPr="00A735B4" w:rsidRDefault="00BD55CF" w:rsidP="00C4454D">
      <w:pPr>
        <w:tabs>
          <w:tab w:val="right" w:leader="dot" w:pos="9170"/>
        </w:tabs>
        <w:rPr>
          <w:noProof/>
        </w:rPr>
      </w:pPr>
      <w:hyperlink w:anchor="_Toc410823536" w:history="1">
        <w:r w:rsidR="00C4454D" w:rsidRPr="00A735B4">
          <w:rPr>
            <w:rFonts w:eastAsiaTheme="majorEastAsia"/>
            <w:noProof/>
          </w:rPr>
          <w:t>Table 3.1 COMESA’s proposal for a set of regional trade integration indicators</w:t>
        </w:r>
        <w:r w:rsidR="00C4454D" w:rsidRPr="00A735B4">
          <w:rPr>
            <w:noProof/>
            <w:webHidden/>
          </w:rPr>
          <w:tab/>
          <w:t>22</w:t>
        </w:r>
      </w:hyperlink>
    </w:p>
    <w:p w14:paraId="1A07D540" w14:textId="6E959634" w:rsidR="00C4454D" w:rsidRPr="00A735B4" w:rsidRDefault="00BD55CF" w:rsidP="00C4454D">
      <w:pPr>
        <w:tabs>
          <w:tab w:val="right" w:leader="dot" w:pos="9170"/>
        </w:tabs>
        <w:rPr>
          <w:noProof/>
        </w:rPr>
      </w:pPr>
      <w:hyperlink w:anchor="_Toc410823537" w:history="1">
        <w:r w:rsidR="00C4454D" w:rsidRPr="00A735B4">
          <w:rPr>
            <w:rFonts w:eastAsiaTheme="majorEastAsia"/>
            <w:noProof/>
          </w:rPr>
          <w:t>Table 3.2 Abuja Treaty scorecard of regional integration in Africa</w:t>
        </w:r>
        <w:r w:rsidR="00C4454D" w:rsidRPr="00A735B4">
          <w:rPr>
            <w:noProof/>
            <w:webHidden/>
          </w:rPr>
          <w:tab/>
          <w:t>23</w:t>
        </w:r>
      </w:hyperlink>
    </w:p>
    <w:p w14:paraId="398CBBC3" w14:textId="3566CA17" w:rsidR="00C4454D" w:rsidRPr="00A735B4" w:rsidRDefault="00BD55CF" w:rsidP="00C4454D">
      <w:pPr>
        <w:tabs>
          <w:tab w:val="right" w:leader="dot" w:pos="9170"/>
        </w:tabs>
        <w:rPr>
          <w:noProof/>
        </w:rPr>
      </w:pPr>
      <w:hyperlink w:anchor="_Toc410823538" w:history="1">
        <w:r w:rsidR="00C4454D" w:rsidRPr="00A735B4">
          <w:rPr>
            <w:rFonts w:eastAsiaTheme="majorEastAsia"/>
            <w:noProof/>
          </w:rPr>
          <w:t>Table 3.3 SADC trade integration monitoring matrix</w:t>
        </w:r>
        <w:r w:rsidR="00C4454D" w:rsidRPr="00A735B4">
          <w:rPr>
            <w:noProof/>
            <w:webHidden/>
          </w:rPr>
          <w:tab/>
          <w:t>25</w:t>
        </w:r>
      </w:hyperlink>
    </w:p>
    <w:p w14:paraId="670BF490" w14:textId="5FBD2140" w:rsidR="00C4454D" w:rsidRPr="00A735B4" w:rsidRDefault="00BD55CF" w:rsidP="00C4454D">
      <w:pPr>
        <w:tabs>
          <w:tab w:val="right" w:leader="dot" w:pos="9170"/>
        </w:tabs>
        <w:rPr>
          <w:noProof/>
        </w:rPr>
      </w:pPr>
      <w:hyperlink w:anchor="_Toc410823539" w:history="1">
        <w:r w:rsidR="00C4454D" w:rsidRPr="00A735B4">
          <w:rPr>
            <w:rFonts w:eastAsiaTheme="majorEastAsia"/>
            <w:noProof/>
          </w:rPr>
          <w:t>Table 3.4 NTB resolution in the EAC</w:t>
        </w:r>
        <w:r w:rsidR="00C4454D" w:rsidRPr="00A735B4">
          <w:rPr>
            <w:noProof/>
            <w:webHidden/>
          </w:rPr>
          <w:tab/>
          <w:t>26</w:t>
        </w:r>
      </w:hyperlink>
    </w:p>
    <w:p w14:paraId="50B23884" w14:textId="373A4797" w:rsidR="00C4454D" w:rsidRPr="00A735B4" w:rsidRDefault="00BD55CF" w:rsidP="00C4454D">
      <w:pPr>
        <w:tabs>
          <w:tab w:val="right" w:leader="dot" w:pos="9170"/>
        </w:tabs>
        <w:rPr>
          <w:noProof/>
        </w:rPr>
      </w:pPr>
      <w:hyperlink w:anchor="_Toc410823540" w:history="1">
        <w:r w:rsidR="00C4454D" w:rsidRPr="00A735B4">
          <w:rPr>
            <w:rFonts w:eastAsiaTheme="majorEastAsia"/>
            <w:noProof/>
          </w:rPr>
          <w:t>Table 3.5 Matrix of services trade monitoring indicators in COMESA</w:t>
        </w:r>
        <w:r w:rsidR="00C4454D" w:rsidRPr="00A735B4">
          <w:rPr>
            <w:noProof/>
            <w:webHidden/>
          </w:rPr>
          <w:tab/>
          <w:t>28</w:t>
        </w:r>
      </w:hyperlink>
    </w:p>
    <w:p w14:paraId="602EF1A0" w14:textId="17DD8922" w:rsidR="00C4454D" w:rsidRPr="00A735B4" w:rsidRDefault="00BD55CF" w:rsidP="00C4454D">
      <w:pPr>
        <w:tabs>
          <w:tab w:val="right" w:leader="dot" w:pos="9170"/>
        </w:tabs>
        <w:rPr>
          <w:noProof/>
        </w:rPr>
      </w:pPr>
      <w:hyperlink w:anchor="_Toc410823543" w:history="1">
        <w:r w:rsidR="00C4454D" w:rsidRPr="00A735B4">
          <w:rPr>
            <w:rFonts w:eastAsiaTheme="majorEastAsia"/>
            <w:noProof/>
          </w:rPr>
          <w:t>Table 6.1 Potential for new indicators from different data sources</w:t>
        </w:r>
        <w:r w:rsidR="00C4454D" w:rsidRPr="00A735B4">
          <w:rPr>
            <w:noProof/>
            <w:webHidden/>
          </w:rPr>
          <w:tab/>
          <w:t>52</w:t>
        </w:r>
      </w:hyperlink>
    </w:p>
    <w:p w14:paraId="03F86085" w14:textId="15E3B1D0" w:rsidR="00C4454D" w:rsidRPr="00A735B4" w:rsidRDefault="00BD55CF" w:rsidP="00C4454D">
      <w:pPr>
        <w:tabs>
          <w:tab w:val="right" w:leader="dot" w:pos="9170"/>
        </w:tabs>
        <w:rPr>
          <w:noProof/>
        </w:rPr>
      </w:pPr>
      <w:hyperlink w:anchor="_Toc410823544" w:history="1">
        <w:r w:rsidR="00C4454D" w:rsidRPr="00A735B4">
          <w:rPr>
            <w:rFonts w:eastAsiaTheme="majorEastAsia"/>
            <w:noProof/>
          </w:rPr>
          <w:t>Table 6.2 Data sources for trade transaction cost indicators</w:t>
        </w:r>
        <w:r w:rsidR="00C4454D" w:rsidRPr="00A735B4">
          <w:rPr>
            <w:noProof/>
            <w:webHidden/>
          </w:rPr>
          <w:tab/>
          <w:t>53</w:t>
        </w:r>
      </w:hyperlink>
    </w:p>
    <w:p w14:paraId="6A9B762D" w14:textId="56D8BE4D" w:rsidR="00C4454D" w:rsidRPr="00A735B4" w:rsidRDefault="00BD55CF" w:rsidP="00C4454D">
      <w:pPr>
        <w:tabs>
          <w:tab w:val="right" w:leader="dot" w:pos="9170"/>
        </w:tabs>
        <w:rPr>
          <w:noProof/>
        </w:rPr>
      </w:pPr>
      <w:hyperlink w:anchor="_Toc410823545" w:history="1">
        <w:r w:rsidR="00C4454D" w:rsidRPr="00A735B4">
          <w:rPr>
            <w:rFonts w:eastAsiaTheme="majorEastAsia"/>
            <w:noProof/>
          </w:rPr>
          <w:t>Table 6.3 Data sources for trade outcome indicators</w:t>
        </w:r>
        <w:r w:rsidR="00C4454D" w:rsidRPr="00A735B4">
          <w:rPr>
            <w:noProof/>
            <w:webHidden/>
          </w:rPr>
          <w:tab/>
          <w:t>54</w:t>
        </w:r>
      </w:hyperlink>
    </w:p>
    <w:p w14:paraId="69118E76" w14:textId="0B353F52" w:rsidR="00C4454D" w:rsidRPr="00A735B4" w:rsidRDefault="00BD55CF" w:rsidP="00C4454D">
      <w:pPr>
        <w:tabs>
          <w:tab w:val="right" w:leader="dot" w:pos="9170"/>
        </w:tabs>
        <w:rPr>
          <w:noProof/>
        </w:rPr>
      </w:pPr>
      <w:hyperlink w:anchor="_Toc410823546" w:history="1">
        <w:r w:rsidR="00C4454D" w:rsidRPr="00A735B4">
          <w:rPr>
            <w:rFonts w:eastAsiaTheme="majorEastAsia"/>
            <w:noProof/>
          </w:rPr>
          <w:t>Table 6.4 Template for an Annual Integration Monitoring Report</w:t>
        </w:r>
        <w:r w:rsidR="00C4454D" w:rsidRPr="00A735B4">
          <w:rPr>
            <w:noProof/>
            <w:webHidden/>
          </w:rPr>
          <w:tab/>
          <w:t>56</w:t>
        </w:r>
      </w:hyperlink>
    </w:p>
    <w:p w14:paraId="61933735" w14:textId="45F36369" w:rsidR="00C4454D" w:rsidRPr="00A735B4" w:rsidRDefault="00BD55CF" w:rsidP="00C4454D">
      <w:pPr>
        <w:tabs>
          <w:tab w:val="right" w:leader="dot" w:pos="9170"/>
        </w:tabs>
        <w:rPr>
          <w:noProof/>
        </w:rPr>
      </w:pPr>
      <w:hyperlink w:anchor="_Toc410823547" w:history="1">
        <w:r w:rsidR="00C4454D" w:rsidRPr="00A735B4">
          <w:rPr>
            <w:rFonts w:eastAsiaTheme="majorEastAsia"/>
            <w:noProof/>
          </w:rPr>
          <w:t xml:space="preserve">Table A.1 Availability of import/export data, Sub-Saharan Africa </w:t>
        </w:r>
        <w:r w:rsidR="00C4454D" w:rsidRPr="00A735B4">
          <w:rPr>
            <w:noProof/>
            <w:webHidden/>
          </w:rPr>
          <w:tab/>
          <w:t>61</w:t>
        </w:r>
      </w:hyperlink>
    </w:p>
    <w:p w14:paraId="67B9CD22" w14:textId="2B023B4F" w:rsidR="00C4454D" w:rsidRPr="00A735B4" w:rsidRDefault="00BD55CF" w:rsidP="00C4454D">
      <w:pPr>
        <w:tabs>
          <w:tab w:val="right" w:leader="dot" w:pos="9170"/>
        </w:tabs>
        <w:rPr>
          <w:noProof/>
        </w:rPr>
      </w:pPr>
      <w:hyperlink w:anchor="_Toc410823548" w:history="1">
        <w:r w:rsidR="00C4454D" w:rsidRPr="00A735B4">
          <w:rPr>
            <w:rFonts w:eastAsiaTheme="majorEastAsia"/>
            <w:noProof/>
          </w:rPr>
          <w:t>Table A.2 Non-reporting countries by REC, 2011</w:t>
        </w:r>
        <w:r w:rsidR="00C4454D" w:rsidRPr="00A735B4">
          <w:rPr>
            <w:noProof/>
            <w:webHidden/>
          </w:rPr>
          <w:tab/>
          <w:t>62</w:t>
        </w:r>
      </w:hyperlink>
    </w:p>
    <w:p w14:paraId="5DFF8C3C" w14:textId="08E56CB6" w:rsidR="00C4454D" w:rsidRPr="00A735B4" w:rsidRDefault="00BD55CF" w:rsidP="00C4454D">
      <w:pPr>
        <w:tabs>
          <w:tab w:val="right" w:leader="dot" w:pos="9170"/>
        </w:tabs>
        <w:rPr>
          <w:noProof/>
        </w:rPr>
      </w:pPr>
      <w:hyperlink w:anchor="_Toc410823549" w:history="1">
        <w:r w:rsidR="00C4454D" w:rsidRPr="00A735B4">
          <w:rPr>
            <w:rFonts w:eastAsiaTheme="majorEastAsia"/>
            <w:noProof/>
          </w:rPr>
          <w:t xml:space="preserve">Table A.3 Difference between exports and mirrored data in ECOWAS </w:t>
        </w:r>
        <w:r w:rsidR="00C4454D" w:rsidRPr="00A735B4">
          <w:rPr>
            <w:noProof/>
            <w:webHidden/>
          </w:rPr>
          <w:tab/>
          <w:t>63</w:t>
        </w:r>
      </w:hyperlink>
    </w:p>
    <w:p w14:paraId="2FB3AF71" w14:textId="574C2799" w:rsidR="00C4454D" w:rsidRPr="00A735B4" w:rsidRDefault="00BD55CF" w:rsidP="00C4454D">
      <w:pPr>
        <w:tabs>
          <w:tab w:val="right" w:leader="dot" w:pos="9170"/>
        </w:tabs>
        <w:rPr>
          <w:noProof/>
        </w:rPr>
      </w:pPr>
      <w:hyperlink w:anchor="_Toc410823550" w:history="1">
        <w:r w:rsidR="00C4454D" w:rsidRPr="00A735B4">
          <w:rPr>
            <w:rFonts w:eastAsiaTheme="majorEastAsia"/>
            <w:noProof/>
          </w:rPr>
          <w:t>Table A.4 Missing trade data within RECs, 2011</w:t>
        </w:r>
        <w:r w:rsidR="00C4454D" w:rsidRPr="00A735B4">
          <w:rPr>
            <w:noProof/>
            <w:webHidden/>
          </w:rPr>
          <w:tab/>
          <w:t>64</w:t>
        </w:r>
      </w:hyperlink>
    </w:p>
    <w:p w14:paraId="1B5E4D22" w14:textId="2563D214" w:rsidR="00C4454D" w:rsidRPr="00A735B4" w:rsidRDefault="00BD55CF" w:rsidP="00C4454D">
      <w:pPr>
        <w:tabs>
          <w:tab w:val="right" w:leader="dot" w:pos="9170"/>
        </w:tabs>
        <w:rPr>
          <w:noProof/>
        </w:rPr>
      </w:pPr>
      <w:hyperlink w:anchor="_Toc410823551" w:history="1">
        <w:r w:rsidR="00C4454D" w:rsidRPr="00A735B4">
          <w:rPr>
            <w:rFonts w:eastAsiaTheme="majorEastAsia"/>
            <w:noProof/>
          </w:rPr>
          <w:t>Table A.5 Intra-REC trade, primarily direct vs. mirrored trade data, 2011</w:t>
        </w:r>
        <w:r w:rsidR="00C4454D" w:rsidRPr="00A735B4">
          <w:rPr>
            <w:noProof/>
            <w:webHidden/>
          </w:rPr>
          <w:tab/>
          <w:t>64</w:t>
        </w:r>
      </w:hyperlink>
    </w:p>
    <w:p w14:paraId="0BC1C4FB" w14:textId="01C97EA5" w:rsidR="00C4454D" w:rsidRPr="00A735B4" w:rsidRDefault="00BD55CF" w:rsidP="00C4454D">
      <w:pPr>
        <w:tabs>
          <w:tab w:val="right" w:leader="dot" w:pos="9170"/>
        </w:tabs>
        <w:rPr>
          <w:noProof/>
        </w:rPr>
      </w:pPr>
      <w:hyperlink w:anchor="_Toc410823552" w:history="1">
        <w:r w:rsidR="00C4454D" w:rsidRPr="00A735B4">
          <w:rPr>
            <w:rFonts w:eastAsiaTheme="majorEastAsia"/>
            <w:noProof/>
          </w:rPr>
          <w:t xml:space="preserve">Table A.6 SSA intraregional trade and intraregional trade rates by source </w:t>
        </w:r>
        <w:r w:rsidR="00C4454D" w:rsidRPr="00A735B4">
          <w:rPr>
            <w:noProof/>
            <w:webHidden/>
          </w:rPr>
          <w:tab/>
          <w:t>65</w:t>
        </w:r>
      </w:hyperlink>
    </w:p>
    <w:p w14:paraId="23AE8A6E" w14:textId="3128EC87" w:rsidR="00C4454D" w:rsidRPr="00A735B4" w:rsidRDefault="00BD55CF" w:rsidP="00C4454D">
      <w:pPr>
        <w:tabs>
          <w:tab w:val="right" w:leader="dot" w:pos="9170"/>
        </w:tabs>
        <w:rPr>
          <w:noProof/>
        </w:rPr>
      </w:pPr>
      <w:hyperlink w:anchor="_Toc410823553" w:history="1">
        <w:r w:rsidR="00C4454D" w:rsidRPr="00A735B4">
          <w:rPr>
            <w:rFonts w:eastAsiaTheme="majorEastAsia"/>
            <w:noProof/>
          </w:rPr>
          <w:t>Table A.7 Intraregional and world trade growth, 2001–11</w:t>
        </w:r>
        <w:r w:rsidR="00C4454D" w:rsidRPr="00A735B4">
          <w:rPr>
            <w:noProof/>
            <w:webHidden/>
          </w:rPr>
          <w:tab/>
          <w:t>66</w:t>
        </w:r>
      </w:hyperlink>
    </w:p>
    <w:p w14:paraId="7A016F1B" w14:textId="3EBE1B6C" w:rsidR="00C4454D" w:rsidRPr="00A735B4" w:rsidRDefault="00BD55CF" w:rsidP="00C4454D">
      <w:pPr>
        <w:tabs>
          <w:tab w:val="right" w:leader="dot" w:pos="9170"/>
        </w:tabs>
        <w:rPr>
          <w:noProof/>
        </w:rPr>
      </w:pPr>
      <w:hyperlink w:anchor="_Toc410823558" w:history="1">
        <w:r w:rsidR="00C4454D" w:rsidRPr="00A735B4">
          <w:rPr>
            <w:rFonts w:eastAsiaTheme="majorEastAsia"/>
            <w:noProof/>
          </w:rPr>
          <w:t xml:space="preserve">Table B.1 Total logistics costs for transport along Abidjan-Ouagadougou by road and rail and to Bamako by road for each case study </w:t>
        </w:r>
        <w:r w:rsidR="00C4454D" w:rsidRPr="00A735B4">
          <w:rPr>
            <w:noProof/>
            <w:webHidden/>
          </w:rPr>
          <w:tab/>
          <w:t>79</w:t>
        </w:r>
      </w:hyperlink>
    </w:p>
    <w:p w14:paraId="24105426" w14:textId="04AA239F" w:rsidR="00C4454D" w:rsidRPr="00A735B4" w:rsidRDefault="00BD55CF" w:rsidP="00C4454D">
      <w:pPr>
        <w:tabs>
          <w:tab w:val="right" w:leader="dot" w:pos="9170"/>
        </w:tabs>
        <w:rPr>
          <w:noProof/>
        </w:rPr>
      </w:pPr>
      <w:hyperlink w:anchor="_Toc410823559" w:history="1">
        <w:r w:rsidR="00C4454D" w:rsidRPr="00A735B4">
          <w:rPr>
            <w:rFonts w:eastAsiaTheme="majorEastAsia"/>
            <w:noProof/>
          </w:rPr>
          <w:t>Table C.1 Sample distribution: Services providers</w:t>
        </w:r>
        <w:r w:rsidR="00C4454D" w:rsidRPr="00A735B4">
          <w:rPr>
            <w:noProof/>
            <w:webHidden/>
          </w:rPr>
          <w:tab/>
          <w:t>84</w:t>
        </w:r>
      </w:hyperlink>
    </w:p>
    <w:p w14:paraId="2178FA84" w14:textId="46FF4E41" w:rsidR="00C4454D" w:rsidRPr="00A735B4" w:rsidRDefault="00BD55CF" w:rsidP="00C4454D">
      <w:pPr>
        <w:tabs>
          <w:tab w:val="right" w:leader="dot" w:pos="9170"/>
        </w:tabs>
        <w:rPr>
          <w:noProof/>
        </w:rPr>
      </w:pPr>
      <w:hyperlink w:anchor="_Toc410823560" w:history="1">
        <w:r w:rsidR="00C4454D" w:rsidRPr="00A735B4">
          <w:rPr>
            <w:rFonts w:eastAsiaTheme="majorEastAsia"/>
            <w:noProof/>
          </w:rPr>
          <w:t>Table C.2 Sample distribution: Services users</w:t>
        </w:r>
        <w:r w:rsidR="00C4454D" w:rsidRPr="00A735B4">
          <w:rPr>
            <w:noProof/>
            <w:webHidden/>
          </w:rPr>
          <w:tab/>
          <w:t>85</w:t>
        </w:r>
      </w:hyperlink>
    </w:p>
    <w:p w14:paraId="392F6315" w14:textId="381B0015" w:rsidR="00C4454D" w:rsidRPr="00A735B4" w:rsidRDefault="00BD55CF" w:rsidP="00C4454D">
      <w:pPr>
        <w:tabs>
          <w:tab w:val="right" w:leader="dot" w:pos="9170"/>
        </w:tabs>
        <w:rPr>
          <w:noProof/>
        </w:rPr>
      </w:pPr>
      <w:hyperlink w:anchor="_Toc410823561" w:history="1">
        <w:r w:rsidR="00C4454D" w:rsidRPr="00A735B4">
          <w:rPr>
            <w:rFonts w:eastAsiaTheme="majorEastAsia"/>
            <w:noProof/>
          </w:rPr>
          <w:t>Table C.3 Level of engagement with micro enterprises</w:t>
        </w:r>
        <w:r w:rsidR="00C4454D" w:rsidRPr="00A735B4">
          <w:rPr>
            <w:noProof/>
            <w:webHidden/>
          </w:rPr>
          <w:tab/>
          <w:t>86</w:t>
        </w:r>
      </w:hyperlink>
    </w:p>
    <w:p w14:paraId="69F90141" w14:textId="4BF2D0A7" w:rsidR="00C4454D" w:rsidRPr="00A735B4" w:rsidRDefault="00BD55CF" w:rsidP="00C4454D">
      <w:pPr>
        <w:tabs>
          <w:tab w:val="right" w:leader="dot" w:pos="9170"/>
        </w:tabs>
        <w:rPr>
          <w:noProof/>
        </w:rPr>
      </w:pPr>
      <w:hyperlink w:anchor="_Toc410823562" w:history="1">
        <w:r w:rsidR="00C4454D" w:rsidRPr="00A735B4">
          <w:rPr>
            <w:rFonts w:eastAsiaTheme="majorEastAsia"/>
            <w:noProof/>
          </w:rPr>
          <w:t>Table C.4 Level of engagement with small enterprises</w:t>
        </w:r>
        <w:r w:rsidR="00C4454D" w:rsidRPr="00A735B4">
          <w:rPr>
            <w:noProof/>
            <w:webHidden/>
          </w:rPr>
          <w:tab/>
          <w:t>86</w:t>
        </w:r>
      </w:hyperlink>
    </w:p>
    <w:p w14:paraId="10B218A5" w14:textId="2E23E835" w:rsidR="00C4454D" w:rsidRPr="00A735B4" w:rsidRDefault="00BD55CF" w:rsidP="00C4454D">
      <w:pPr>
        <w:tabs>
          <w:tab w:val="right" w:leader="dot" w:pos="9170"/>
        </w:tabs>
        <w:rPr>
          <w:noProof/>
        </w:rPr>
      </w:pPr>
      <w:hyperlink w:anchor="_Toc410823563" w:history="1">
        <w:r w:rsidR="00C4454D" w:rsidRPr="00A735B4">
          <w:rPr>
            <w:rFonts w:eastAsiaTheme="majorEastAsia"/>
            <w:noProof/>
          </w:rPr>
          <w:t>Table C.5 Services offered by banks</w:t>
        </w:r>
        <w:r w:rsidR="00C4454D" w:rsidRPr="00A735B4">
          <w:rPr>
            <w:noProof/>
            <w:webHidden/>
          </w:rPr>
          <w:tab/>
          <w:t>87</w:t>
        </w:r>
      </w:hyperlink>
    </w:p>
    <w:p w14:paraId="1B68395A" w14:textId="5B141E95" w:rsidR="00C4454D" w:rsidRPr="00A735B4" w:rsidRDefault="00BD55CF" w:rsidP="00C4454D">
      <w:pPr>
        <w:tabs>
          <w:tab w:val="right" w:leader="dot" w:pos="9170"/>
        </w:tabs>
        <w:rPr>
          <w:noProof/>
        </w:rPr>
      </w:pPr>
      <w:hyperlink w:anchor="_Toc410823564" w:history="1">
        <w:r w:rsidR="00C4454D" w:rsidRPr="00A735B4">
          <w:rPr>
            <w:rFonts w:eastAsiaTheme="majorEastAsia"/>
            <w:noProof/>
          </w:rPr>
          <w:t>Table C.6 Prices for selected domestic transactions</w:t>
        </w:r>
        <w:r w:rsidR="00C4454D" w:rsidRPr="00A735B4">
          <w:rPr>
            <w:noProof/>
            <w:webHidden/>
          </w:rPr>
          <w:tab/>
          <w:t>89</w:t>
        </w:r>
      </w:hyperlink>
    </w:p>
    <w:p w14:paraId="086CE925" w14:textId="6A8CBDA7" w:rsidR="00C4454D" w:rsidRPr="00A735B4" w:rsidRDefault="00BD55CF" w:rsidP="00C4454D">
      <w:pPr>
        <w:tabs>
          <w:tab w:val="right" w:leader="dot" w:pos="9170"/>
        </w:tabs>
        <w:rPr>
          <w:noProof/>
        </w:rPr>
      </w:pPr>
      <w:hyperlink w:anchor="_Toc410823565" w:history="1">
        <w:r w:rsidR="00C4454D" w:rsidRPr="00A735B4">
          <w:rPr>
            <w:rFonts w:eastAsiaTheme="majorEastAsia"/>
            <w:noProof/>
          </w:rPr>
          <w:t>Table C.7 Prices for foreign funds transfers</w:t>
        </w:r>
        <w:r w:rsidR="00C4454D" w:rsidRPr="00A735B4">
          <w:rPr>
            <w:noProof/>
            <w:webHidden/>
          </w:rPr>
          <w:tab/>
          <w:t>90</w:t>
        </w:r>
      </w:hyperlink>
    </w:p>
    <w:p w14:paraId="5538F3CD" w14:textId="2C9EB5B5" w:rsidR="00C4454D" w:rsidRPr="00A735B4" w:rsidRDefault="00BD55CF" w:rsidP="00C4454D">
      <w:pPr>
        <w:tabs>
          <w:tab w:val="right" w:leader="dot" w:pos="9170"/>
        </w:tabs>
        <w:rPr>
          <w:noProof/>
        </w:rPr>
      </w:pPr>
      <w:hyperlink w:anchor="_Toc410823566" w:history="1">
        <w:r w:rsidR="00C4454D" w:rsidRPr="00A735B4">
          <w:rPr>
            <w:rFonts w:eastAsiaTheme="majorEastAsia"/>
            <w:noProof/>
          </w:rPr>
          <w:t xml:space="preserve">Table C.8 Prices charged by banks for a business accounts transaction </w:t>
        </w:r>
        <w:r w:rsidR="00C4454D" w:rsidRPr="00A735B4">
          <w:rPr>
            <w:noProof/>
            <w:webHidden/>
          </w:rPr>
          <w:tab/>
          <w:t>91</w:t>
        </w:r>
      </w:hyperlink>
    </w:p>
    <w:p w14:paraId="04EDE4A1" w14:textId="2463C758" w:rsidR="00C4454D" w:rsidRPr="00A735B4" w:rsidRDefault="00BD55CF" w:rsidP="00C4454D">
      <w:pPr>
        <w:tabs>
          <w:tab w:val="right" w:leader="dot" w:pos="9170"/>
        </w:tabs>
        <w:rPr>
          <w:noProof/>
        </w:rPr>
      </w:pPr>
      <w:hyperlink w:anchor="_Toc410823567" w:history="1">
        <w:r w:rsidR="00C4454D" w:rsidRPr="00A735B4">
          <w:rPr>
            <w:rFonts w:eastAsiaTheme="majorEastAsia"/>
            <w:noProof/>
          </w:rPr>
          <w:t>Table C.9 Prices charged by banks for savings account transactions</w:t>
        </w:r>
        <w:r w:rsidR="00C4454D" w:rsidRPr="00A735B4">
          <w:rPr>
            <w:noProof/>
            <w:webHidden/>
          </w:rPr>
          <w:tab/>
          <w:t>92</w:t>
        </w:r>
      </w:hyperlink>
    </w:p>
    <w:p w14:paraId="3568B035" w14:textId="040BB3F7" w:rsidR="00C4454D" w:rsidRPr="00A735B4" w:rsidRDefault="00BD55CF" w:rsidP="00C4454D">
      <w:pPr>
        <w:tabs>
          <w:tab w:val="right" w:leader="dot" w:pos="9170"/>
        </w:tabs>
        <w:rPr>
          <w:noProof/>
        </w:rPr>
      </w:pPr>
      <w:hyperlink w:anchor="_Toc410823568" w:history="1">
        <w:r w:rsidR="00C4454D" w:rsidRPr="00A735B4">
          <w:rPr>
            <w:rFonts w:eastAsiaTheme="majorEastAsia"/>
            <w:noProof/>
          </w:rPr>
          <w:t xml:space="preserve">Table C.10 Services offered by insurance companies </w:t>
        </w:r>
        <w:r w:rsidR="00C4454D" w:rsidRPr="00A735B4">
          <w:rPr>
            <w:noProof/>
            <w:webHidden/>
          </w:rPr>
          <w:tab/>
          <w:t>93</w:t>
        </w:r>
      </w:hyperlink>
    </w:p>
    <w:p w14:paraId="0C3CB22E" w14:textId="39A7D44F" w:rsidR="00C4454D" w:rsidRPr="00A735B4" w:rsidRDefault="00BD55CF" w:rsidP="00C4454D">
      <w:pPr>
        <w:tabs>
          <w:tab w:val="right" w:leader="dot" w:pos="9170"/>
        </w:tabs>
        <w:rPr>
          <w:noProof/>
        </w:rPr>
      </w:pPr>
      <w:hyperlink w:anchor="_Toc410823569" w:history="1">
        <w:r w:rsidR="00C4454D" w:rsidRPr="00A735B4">
          <w:rPr>
            <w:rFonts w:eastAsiaTheme="majorEastAsia"/>
            <w:noProof/>
          </w:rPr>
          <w:t>Table C.11 Annual premia charged by insurance companies</w:t>
        </w:r>
        <w:r w:rsidR="00C4454D" w:rsidRPr="00A735B4">
          <w:rPr>
            <w:noProof/>
            <w:webHidden/>
          </w:rPr>
          <w:tab/>
          <w:t>94</w:t>
        </w:r>
      </w:hyperlink>
    </w:p>
    <w:p w14:paraId="0F8C48C9" w14:textId="724CC8CA" w:rsidR="00C4454D" w:rsidRPr="00A735B4" w:rsidRDefault="00BD55CF" w:rsidP="00C4454D">
      <w:pPr>
        <w:tabs>
          <w:tab w:val="right" w:leader="dot" w:pos="9170"/>
        </w:tabs>
        <w:rPr>
          <w:noProof/>
        </w:rPr>
      </w:pPr>
      <w:hyperlink w:anchor="_Toc410823570" w:history="1">
        <w:r w:rsidR="00C4454D" w:rsidRPr="00A735B4">
          <w:rPr>
            <w:rFonts w:eastAsiaTheme="majorEastAsia"/>
            <w:noProof/>
          </w:rPr>
          <w:t>Table C.12 Fees for accountancy services offered to clients with a turnover of US$5,000</w:t>
        </w:r>
        <w:r w:rsidR="00C4454D" w:rsidRPr="00A735B4">
          <w:rPr>
            <w:noProof/>
            <w:webHidden/>
          </w:rPr>
          <w:tab/>
          <w:t>96</w:t>
        </w:r>
      </w:hyperlink>
    </w:p>
    <w:p w14:paraId="13D0F1BB" w14:textId="0A60F862" w:rsidR="00C4454D" w:rsidRPr="00A735B4" w:rsidRDefault="00BD55CF" w:rsidP="00C4454D">
      <w:pPr>
        <w:tabs>
          <w:tab w:val="right" w:leader="dot" w:pos="9170"/>
        </w:tabs>
        <w:rPr>
          <w:noProof/>
        </w:rPr>
      </w:pPr>
      <w:hyperlink w:anchor="_Toc410823571" w:history="1">
        <w:r w:rsidR="00C4454D" w:rsidRPr="00A735B4">
          <w:rPr>
            <w:rFonts w:eastAsiaTheme="majorEastAsia"/>
            <w:noProof/>
          </w:rPr>
          <w:t>Table C.13 Fees for accountancy services offered to clients with a turnover of US$100,000</w:t>
        </w:r>
        <w:r w:rsidR="00C4454D" w:rsidRPr="00A735B4">
          <w:rPr>
            <w:noProof/>
            <w:webHidden/>
          </w:rPr>
          <w:tab/>
          <w:t>96</w:t>
        </w:r>
      </w:hyperlink>
    </w:p>
    <w:p w14:paraId="51D65AF0" w14:textId="4A541B69" w:rsidR="00C4454D" w:rsidRPr="00A735B4" w:rsidRDefault="00BD55CF" w:rsidP="00C4454D">
      <w:pPr>
        <w:tabs>
          <w:tab w:val="right" w:leader="dot" w:pos="9170"/>
        </w:tabs>
        <w:rPr>
          <w:noProof/>
        </w:rPr>
      </w:pPr>
      <w:hyperlink w:anchor="_Toc410823572" w:history="1">
        <w:r w:rsidR="00C4454D" w:rsidRPr="00A735B4">
          <w:rPr>
            <w:rFonts w:eastAsiaTheme="majorEastAsia"/>
            <w:noProof/>
          </w:rPr>
          <w:t>Table C.14 Crosschecks by mystery visits and branch interviews</w:t>
        </w:r>
        <w:r w:rsidR="00C4454D" w:rsidRPr="00A735B4">
          <w:rPr>
            <w:noProof/>
            <w:webHidden/>
          </w:rPr>
          <w:tab/>
          <w:t>99</w:t>
        </w:r>
      </w:hyperlink>
    </w:p>
    <w:p w14:paraId="276B9862" w14:textId="4CFB3A16" w:rsidR="00C4454D" w:rsidRPr="00A735B4" w:rsidRDefault="00BD55CF" w:rsidP="00C4454D">
      <w:pPr>
        <w:tabs>
          <w:tab w:val="right" w:leader="dot" w:pos="9170"/>
        </w:tabs>
        <w:rPr>
          <w:noProof/>
        </w:rPr>
      </w:pPr>
      <w:hyperlink w:anchor="_Toc410823573" w:history="1">
        <w:r w:rsidR="00C4454D" w:rsidRPr="00A735B4">
          <w:rPr>
            <w:rFonts w:eastAsiaTheme="majorEastAsia"/>
            <w:noProof/>
          </w:rPr>
          <w:t>Table D.1 Price of seeds by type of seed</w:t>
        </w:r>
        <w:r w:rsidR="00C4454D" w:rsidRPr="00A735B4">
          <w:rPr>
            <w:noProof/>
            <w:webHidden/>
          </w:rPr>
          <w:tab/>
          <w:t>105</w:t>
        </w:r>
      </w:hyperlink>
    </w:p>
    <w:p w14:paraId="5F1C036A" w14:textId="0904BC40" w:rsidR="00C4454D" w:rsidRPr="00A735B4" w:rsidRDefault="00BD55CF" w:rsidP="00C4454D">
      <w:pPr>
        <w:tabs>
          <w:tab w:val="right" w:leader="dot" w:pos="9170"/>
        </w:tabs>
        <w:rPr>
          <w:noProof/>
        </w:rPr>
      </w:pPr>
      <w:hyperlink w:anchor="_Toc410823573" w:history="1">
        <w:r w:rsidR="00C4454D" w:rsidRPr="00A735B4">
          <w:rPr>
            <w:rFonts w:eastAsiaTheme="majorEastAsia"/>
            <w:noProof/>
          </w:rPr>
          <w:t xml:space="preserve">Table D.2 </w:t>
        </w:r>
        <w:r w:rsidR="00C4454D" w:rsidRPr="00A735B4">
          <w:t>Seed prices by place of purchase</w:t>
        </w:r>
        <w:r w:rsidR="00C4454D" w:rsidRPr="00A735B4">
          <w:rPr>
            <w:noProof/>
            <w:webHidden/>
          </w:rPr>
          <w:tab/>
          <w:t>106</w:t>
        </w:r>
      </w:hyperlink>
    </w:p>
    <w:p w14:paraId="52977B35" w14:textId="1823165C" w:rsidR="00C4454D" w:rsidRPr="00A735B4" w:rsidRDefault="00BD55CF" w:rsidP="00C4454D">
      <w:pPr>
        <w:tabs>
          <w:tab w:val="right" w:leader="dot" w:pos="9170"/>
        </w:tabs>
        <w:rPr>
          <w:noProof/>
        </w:rPr>
      </w:pPr>
      <w:hyperlink w:anchor="_Toc410823574" w:history="1">
        <w:r w:rsidR="00C4454D" w:rsidRPr="00A735B4">
          <w:rPr>
            <w:rFonts w:eastAsiaTheme="majorEastAsia"/>
            <w:noProof/>
          </w:rPr>
          <w:t>Table E.1 Sample distribution: Health services</w:t>
        </w:r>
        <w:r w:rsidR="00C4454D" w:rsidRPr="00A735B4">
          <w:rPr>
            <w:noProof/>
            <w:webHidden/>
          </w:rPr>
          <w:tab/>
          <w:t>108</w:t>
        </w:r>
      </w:hyperlink>
    </w:p>
    <w:p w14:paraId="185E8C87" w14:textId="26684215" w:rsidR="00C4454D" w:rsidRPr="00A735B4" w:rsidRDefault="00BD55CF" w:rsidP="00C4454D">
      <w:pPr>
        <w:tabs>
          <w:tab w:val="right" w:leader="dot" w:pos="9170"/>
        </w:tabs>
        <w:rPr>
          <w:noProof/>
        </w:rPr>
      </w:pPr>
      <w:hyperlink w:anchor="_Toc410823575" w:history="1">
        <w:r w:rsidR="00C4454D" w:rsidRPr="00A735B4">
          <w:rPr>
            <w:rFonts w:eastAsiaTheme="majorEastAsia"/>
            <w:noProof/>
          </w:rPr>
          <w:t>Table E.2 Sample distribution: Education services</w:t>
        </w:r>
        <w:r w:rsidR="00C4454D" w:rsidRPr="00A735B4">
          <w:rPr>
            <w:noProof/>
            <w:webHidden/>
          </w:rPr>
          <w:tab/>
          <w:t>108</w:t>
        </w:r>
      </w:hyperlink>
    </w:p>
    <w:p w14:paraId="7E41DC93" w14:textId="2C89B759" w:rsidR="00C4454D" w:rsidRPr="00A735B4" w:rsidRDefault="00BD55CF" w:rsidP="00C4454D">
      <w:pPr>
        <w:tabs>
          <w:tab w:val="right" w:leader="dot" w:pos="9170"/>
        </w:tabs>
        <w:rPr>
          <w:noProof/>
        </w:rPr>
      </w:pPr>
      <w:hyperlink w:anchor="_Toc410823576" w:history="1">
        <w:r w:rsidR="00C4454D" w:rsidRPr="00A735B4">
          <w:rPr>
            <w:rFonts w:eastAsiaTheme="majorEastAsia"/>
            <w:noProof/>
          </w:rPr>
          <w:t>Table E.3 Main source and destination countries for exports and imports of health services</w:t>
        </w:r>
        <w:r w:rsidR="00C4454D" w:rsidRPr="00A735B4">
          <w:rPr>
            <w:noProof/>
            <w:webHidden/>
          </w:rPr>
          <w:tab/>
          <w:t>111</w:t>
        </w:r>
      </w:hyperlink>
    </w:p>
    <w:p w14:paraId="0DCA0AB6" w14:textId="010FC9E6" w:rsidR="00C4454D" w:rsidRPr="00A735B4" w:rsidRDefault="00BD55CF" w:rsidP="00C4454D">
      <w:pPr>
        <w:tabs>
          <w:tab w:val="right" w:leader="dot" w:pos="9170"/>
        </w:tabs>
        <w:rPr>
          <w:noProof/>
        </w:rPr>
      </w:pPr>
      <w:hyperlink w:anchor="_Toc410823573" w:history="1">
        <w:r w:rsidR="00C4454D" w:rsidRPr="00A735B4">
          <w:rPr>
            <w:rFonts w:eastAsiaTheme="majorEastAsia"/>
            <w:noProof/>
          </w:rPr>
          <w:t xml:space="preserve">Table F.1 </w:t>
        </w:r>
        <w:r w:rsidR="00C4454D" w:rsidRPr="00A735B4">
          <w:t>ASEAN Economic Community scorecar</w:t>
        </w:r>
        <w:r w:rsidR="00C4454D" w:rsidRPr="00A735B4">
          <w:rPr>
            <w:noProof/>
            <w:webHidden/>
          </w:rPr>
          <w:tab/>
          <w:t>122</w:t>
        </w:r>
      </w:hyperlink>
    </w:p>
    <w:p w14:paraId="1B09AC14" w14:textId="6D096F59" w:rsidR="00C4454D" w:rsidRPr="00A735B4" w:rsidRDefault="00BD55CF" w:rsidP="00C4454D">
      <w:pPr>
        <w:tabs>
          <w:tab w:val="right" w:leader="dot" w:pos="9170"/>
        </w:tabs>
        <w:rPr>
          <w:noProof/>
        </w:rPr>
      </w:pPr>
      <w:hyperlink w:anchor="_Toc410823573" w:history="1">
        <w:r w:rsidR="00C4454D" w:rsidRPr="00A735B4">
          <w:rPr>
            <w:rFonts w:eastAsiaTheme="majorEastAsia"/>
            <w:noProof/>
          </w:rPr>
          <w:t>Table F.2 Ind</w:t>
        </w:r>
        <w:r w:rsidR="00C4454D" w:rsidRPr="00A735B4">
          <w:t>icators of market integration in the Eurasian Economic Community</w:t>
        </w:r>
        <w:r w:rsidR="00C4454D" w:rsidRPr="00A735B4">
          <w:rPr>
            <w:noProof/>
            <w:webHidden/>
          </w:rPr>
          <w:tab/>
          <w:t>123</w:t>
        </w:r>
      </w:hyperlink>
    </w:p>
    <w:p w14:paraId="7157FC82" w14:textId="77777777" w:rsidR="00C4454D" w:rsidRPr="00A735B4" w:rsidRDefault="00C4454D" w:rsidP="00C4454D">
      <w:pPr>
        <w:rPr>
          <w:lang w:eastAsia="en-GB"/>
        </w:rPr>
      </w:pPr>
    </w:p>
    <w:p w14:paraId="762778EF" w14:textId="77777777" w:rsidR="00C4454D" w:rsidRPr="00A735B4" w:rsidRDefault="00C4454D" w:rsidP="00C4454D">
      <w:pPr>
        <w:rPr>
          <w:rFonts w:eastAsia="Calibri"/>
          <w:b/>
          <w:noProof/>
        </w:rPr>
      </w:pPr>
      <w:r w:rsidRPr="00A735B4">
        <w:fldChar w:fldCharType="end"/>
      </w:r>
      <w:r w:rsidRPr="00A735B4">
        <w:rPr>
          <w:rFonts w:eastAsia="Calibri"/>
          <w:b/>
          <w:noProof/>
        </w:rPr>
        <w:t xml:space="preserve"> </w:t>
      </w:r>
    </w:p>
    <w:p w14:paraId="63575219" w14:textId="77777777" w:rsidR="00C4454D" w:rsidRPr="00A735B4" w:rsidRDefault="00C4454D" w:rsidP="00C4454D">
      <w:pPr>
        <w:tabs>
          <w:tab w:val="right" w:leader="dot" w:pos="9350"/>
        </w:tabs>
        <w:jc w:val="center"/>
        <w:rPr>
          <w:b/>
          <w:color w:val="1F497D" w:themeColor="text2"/>
        </w:rPr>
      </w:pPr>
      <w:r w:rsidRPr="00A735B4">
        <w:rPr>
          <w:b/>
          <w:color w:val="1F497D" w:themeColor="text2"/>
        </w:rPr>
        <w:t>Maps</w:t>
      </w:r>
    </w:p>
    <w:p w14:paraId="27F56ADE" w14:textId="77777777" w:rsidR="00C4454D" w:rsidRPr="00A735B4" w:rsidRDefault="00C4454D" w:rsidP="00C4454D">
      <w:pPr>
        <w:tabs>
          <w:tab w:val="right" w:leader="dot" w:pos="9170"/>
        </w:tabs>
        <w:rPr>
          <w:noProof/>
        </w:rPr>
      </w:pPr>
      <w:r w:rsidRPr="00A735B4">
        <w:fldChar w:fldCharType="begin"/>
      </w:r>
      <w:r w:rsidRPr="00A735B4">
        <w:instrText xml:space="preserve"> TOC \h \z \c "Table" </w:instrText>
      </w:r>
      <w:r w:rsidRPr="00A735B4">
        <w:fldChar w:fldCharType="separate"/>
      </w:r>
    </w:p>
    <w:p w14:paraId="72C34C94" w14:textId="3E145E12" w:rsidR="00C4454D" w:rsidRPr="00A735B4" w:rsidRDefault="00BD55CF" w:rsidP="00C4454D">
      <w:pPr>
        <w:tabs>
          <w:tab w:val="right" w:leader="dot" w:pos="9170"/>
        </w:tabs>
        <w:rPr>
          <w:rFonts w:eastAsiaTheme="majorEastAsia"/>
          <w:noProof/>
          <w:color w:val="0000FF" w:themeColor="hyperlink"/>
          <w:u w:val="single"/>
        </w:rPr>
      </w:pPr>
      <w:hyperlink w:anchor="_Toc410823576" w:history="1">
        <w:r w:rsidR="00C4454D" w:rsidRPr="00A735B4">
          <w:rPr>
            <w:rFonts w:eastAsiaTheme="majorEastAsia"/>
            <w:noProof/>
          </w:rPr>
          <w:t>Map 4.1 Transport corridors in Africa</w:t>
        </w:r>
        <w:r w:rsidR="00C4454D" w:rsidRPr="00A735B4">
          <w:rPr>
            <w:noProof/>
            <w:webHidden/>
          </w:rPr>
          <w:tab/>
          <w:t>30</w:t>
        </w:r>
      </w:hyperlink>
    </w:p>
    <w:p w14:paraId="484612DF" w14:textId="2A1D8BB1" w:rsidR="00C4454D" w:rsidRPr="00A735B4" w:rsidRDefault="00BD55CF" w:rsidP="00C4454D">
      <w:pPr>
        <w:tabs>
          <w:tab w:val="right" w:leader="dot" w:pos="9170"/>
        </w:tabs>
        <w:rPr>
          <w:rFonts w:eastAsiaTheme="majorEastAsia"/>
          <w:noProof/>
          <w:color w:val="0000FF" w:themeColor="hyperlink"/>
          <w:u w:val="single"/>
        </w:rPr>
      </w:pPr>
      <w:hyperlink w:anchor="_Toc410823576" w:history="1">
        <w:r w:rsidR="00C4454D" w:rsidRPr="00A735B4">
          <w:rPr>
            <w:rFonts w:eastAsiaTheme="majorEastAsia"/>
            <w:noProof/>
          </w:rPr>
          <w:t>Map B.1 East Africa Northern Corridor</w:t>
        </w:r>
        <w:r w:rsidR="00C4454D" w:rsidRPr="00A735B4">
          <w:rPr>
            <w:noProof/>
            <w:webHidden/>
          </w:rPr>
          <w:tab/>
          <w:t>72</w:t>
        </w:r>
      </w:hyperlink>
    </w:p>
    <w:p w14:paraId="42C6C2D5" w14:textId="66AD9708" w:rsidR="00C4454D" w:rsidRPr="00A735B4" w:rsidRDefault="00BD55CF" w:rsidP="00C4454D">
      <w:pPr>
        <w:tabs>
          <w:tab w:val="right" w:leader="dot" w:pos="9170"/>
        </w:tabs>
        <w:rPr>
          <w:rFonts w:eastAsiaTheme="majorEastAsia"/>
          <w:noProof/>
          <w:color w:val="0000FF" w:themeColor="hyperlink"/>
          <w:u w:val="single"/>
        </w:rPr>
      </w:pPr>
      <w:hyperlink w:anchor="_Toc410823576" w:history="1">
        <w:r w:rsidR="00C4454D" w:rsidRPr="00A735B4">
          <w:rPr>
            <w:rFonts w:eastAsiaTheme="majorEastAsia"/>
            <w:noProof/>
          </w:rPr>
          <w:t xml:space="preserve">Map B.2 </w:t>
        </w:r>
        <w:r w:rsidR="00C4454D" w:rsidRPr="00A735B4">
          <w:t>West and Central African corridors that have some monitoring indicators</w:t>
        </w:r>
        <w:r w:rsidR="00C4454D" w:rsidRPr="00A735B4">
          <w:rPr>
            <w:noProof/>
            <w:webHidden/>
          </w:rPr>
          <w:tab/>
          <w:t>74</w:t>
        </w:r>
      </w:hyperlink>
    </w:p>
    <w:p w14:paraId="06F66F01" w14:textId="79084B8F" w:rsidR="00C4454D" w:rsidRPr="00A735B4" w:rsidRDefault="00BD55CF" w:rsidP="00C4454D">
      <w:pPr>
        <w:tabs>
          <w:tab w:val="right" w:leader="dot" w:pos="9170"/>
        </w:tabs>
        <w:rPr>
          <w:rFonts w:eastAsiaTheme="majorEastAsia"/>
          <w:noProof/>
          <w:color w:val="0000FF" w:themeColor="hyperlink"/>
          <w:u w:val="single"/>
        </w:rPr>
      </w:pPr>
      <w:hyperlink w:anchor="_Toc410823576" w:history="1">
        <w:r w:rsidR="00C4454D" w:rsidRPr="00A735B4">
          <w:rPr>
            <w:rFonts w:eastAsiaTheme="majorEastAsia"/>
            <w:noProof/>
          </w:rPr>
          <w:t xml:space="preserve">Map B.3 </w:t>
        </w:r>
        <w:r w:rsidR="00C4454D" w:rsidRPr="00A735B4">
          <w:t>Example of presentation of some monitoring indicators in 2013</w:t>
        </w:r>
        <w:r w:rsidR="00C4454D" w:rsidRPr="00A735B4">
          <w:rPr>
            <w:noProof/>
            <w:webHidden/>
          </w:rPr>
          <w:tab/>
          <w:t>75</w:t>
        </w:r>
      </w:hyperlink>
    </w:p>
    <w:p w14:paraId="10EDF53A" w14:textId="2D18765F" w:rsidR="00C4454D" w:rsidRPr="00A735B4" w:rsidRDefault="00BD55CF" w:rsidP="00C4454D">
      <w:pPr>
        <w:tabs>
          <w:tab w:val="right" w:leader="dot" w:pos="9170"/>
        </w:tabs>
        <w:rPr>
          <w:rFonts w:eastAsiaTheme="majorEastAsia"/>
          <w:noProof/>
          <w:color w:val="0000FF" w:themeColor="hyperlink"/>
          <w:u w:val="single"/>
        </w:rPr>
      </w:pPr>
      <w:hyperlink w:anchor="_Toc410823576" w:history="1">
        <w:r w:rsidR="00C4454D" w:rsidRPr="00A735B4">
          <w:rPr>
            <w:rFonts w:eastAsiaTheme="majorEastAsia"/>
            <w:noProof/>
          </w:rPr>
          <w:t xml:space="preserve">Map B.4 </w:t>
        </w:r>
        <w:r w:rsidR="00C4454D" w:rsidRPr="00A735B4">
          <w:t>Abidjan-Lagos Corridor</w:t>
        </w:r>
        <w:r w:rsidR="00C4454D" w:rsidRPr="00A735B4">
          <w:rPr>
            <w:noProof/>
            <w:webHidden/>
          </w:rPr>
          <w:tab/>
          <w:t>76</w:t>
        </w:r>
      </w:hyperlink>
    </w:p>
    <w:p w14:paraId="2260BEB5" w14:textId="77777777" w:rsidR="00C4454D" w:rsidRPr="00A735B4" w:rsidRDefault="00C4454D" w:rsidP="00C4454D">
      <w:pPr>
        <w:rPr>
          <w:lang w:eastAsia="en-GB"/>
        </w:rPr>
      </w:pPr>
    </w:p>
    <w:p w14:paraId="5E5D01AA" w14:textId="77777777" w:rsidR="00C4454D" w:rsidRPr="00A735B4" w:rsidRDefault="00C4454D" w:rsidP="00C4454D">
      <w:r w:rsidRPr="00A735B4">
        <w:fldChar w:fldCharType="end"/>
      </w:r>
    </w:p>
    <w:p w14:paraId="3115B89E" w14:textId="77777777" w:rsidR="00C4454D" w:rsidRPr="00A735B4" w:rsidRDefault="00C4454D" w:rsidP="00C4454D">
      <w:pPr>
        <w:tabs>
          <w:tab w:val="right" w:leader="dot" w:pos="9350"/>
        </w:tabs>
        <w:jc w:val="center"/>
        <w:rPr>
          <w:b/>
          <w:color w:val="1F497D" w:themeColor="text2"/>
        </w:rPr>
      </w:pPr>
      <w:r w:rsidRPr="00A735B4">
        <w:rPr>
          <w:b/>
          <w:color w:val="1F497D" w:themeColor="text2"/>
        </w:rPr>
        <w:t>Boxes</w:t>
      </w:r>
    </w:p>
    <w:p w14:paraId="2958416B" w14:textId="77777777" w:rsidR="00C4454D" w:rsidRPr="00A735B4" w:rsidRDefault="00C4454D" w:rsidP="00C4454D">
      <w:pPr>
        <w:tabs>
          <w:tab w:val="right" w:leader="dot" w:pos="9170"/>
        </w:tabs>
        <w:rPr>
          <w:noProof/>
        </w:rPr>
      </w:pPr>
      <w:r w:rsidRPr="00A735B4">
        <w:fldChar w:fldCharType="begin"/>
      </w:r>
      <w:r w:rsidRPr="00A735B4">
        <w:instrText xml:space="preserve"> TOC \h \z \c "Table" </w:instrText>
      </w:r>
      <w:r w:rsidRPr="00A735B4">
        <w:fldChar w:fldCharType="separate"/>
      </w:r>
    </w:p>
    <w:p w14:paraId="39D26C4E" w14:textId="75FBC6BE" w:rsidR="00C4454D" w:rsidRPr="00A735B4" w:rsidRDefault="00BD55CF" w:rsidP="00C4454D">
      <w:pPr>
        <w:tabs>
          <w:tab w:val="right" w:leader="dot" w:pos="9170"/>
        </w:tabs>
        <w:rPr>
          <w:noProof/>
        </w:rPr>
      </w:pPr>
      <w:hyperlink w:anchor="_Toc410823576" w:history="1">
        <w:r w:rsidR="00C4454D" w:rsidRPr="00A735B4">
          <w:rPr>
            <w:rFonts w:eastAsiaTheme="majorEastAsia"/>
            <w:noProof/>
          </w:rPr>
          <w:t>Box B.1 Specification of four case studies for the West Africa Corridor Logistics Study</w:t>
        </w:r>
        <w:r w:rsidR="00C4454D" w:rsidRPr="00A735B4">
          <w:rPr>
            <w:noProof/>
            <w:webHidden/>
          </w:rPr>
          <w:tab/>
          <w:t>78</w:t>
        </w:r>
      </w:hyperlink>
    </w:p>
    <w:p w14:paraId="74BB4F7B" w14:textId="5C106F3C" w:rsidR="00C4454D" w:rsidRPr="00A735B4" w:rsidRDefault="00BD55CF" w:rsidP="00C4454D">
      <w:pPr>
        <w:tabs>
          <w:tab w:val="right" w:leader="dot" w:pos="9170"/>
        </w:tabs>
        <w:rPr>
          <w:rFonts w:eastAsiaTheme="majorEastAsia"/>
          <w:noProof/>
          <w:color w:val="0000FF" w:themeColor="hyperlink"/>
          <w:u w:val="single"/>
        </w:rPr>
      </w:pPr>
      <w:hyperlink w:anchor="_Toc410823576" w:history="1">
        <w:r w:rsidR="00C4454D" w:rsidRPr="00A735B4">
          <w:rPr>
            <w:rFonts w:eastAsiaTheme="majorEastAsia"/>
            <w:noProof/>
          </w:rPr>
          <w:t>Box C.1 Survey methodology</w:t>
        </w:r>
        <w:r w:rsidR="00C4454D" w:rsidRPr="00A735B4">
          <w:rPr>
            <w:noProof/>
            <w:webHidden/>
          </w:rPr>
          <w:tab/>
          <w:t>85</w:t>
        </w:r>
      </w:hyperlink>
    </w:p>
    <w:p w14:paraId="086DBB69" w14:textId="77777777" w:rsidR="00C4454D" w:rsidRPr="00A735B4" w:rsidRDefault="00C4454D" w:rsidP="00C4454D">
      <w:pPr>
        <w:rPr>
          <w:lang w:eastAsia="en-GB"/>
        </w:rPr>
      </w:pPr>
    </w:p>
    <w:p w14:paraId="1321C05B" w14:textId="5D2B3F5D" w:rsidR="00C4454D" w:rsidRPr="00A735B4" w:rsidRDefault="00C4454D" w:rsidP="00C4454D">
      <w:pPr>
        <w:spacing w:after="200" w:line="276" w:lineRule="auto"/>
      </w:pPr>
      <w:r w:rsidRPr="00A735B4">
        <w:fldChar w:fldCharType="end"/>
      </w:r>
    </w:p>
    <w:p w14:paraId="48EE5CEA" w14:textId="1E485783" w:rsidR="00C4454D" w:rsidRPr="00A735B4" w:rsidRDefault="00C4454D" w:rsidP="00C4454D">
      <w:pPr>
        <w:numPr>
          <w:ilvl w:val="0"/>
          <w:numId w:val="1"/>
        </w:numPr>
      </w:pPr>
      <w:bookmarkStart w:id="1" w:name="_Toc419565225"/>
      <w:r w:rsidRPr="00A735B4">
        <w:t>Introduction</w:t>
      </w:r>
      <w:bookmarkEnd w:id="1"/>
      <w:r w:rsidRPr="00A735B4">
        <w:endnoteReference w:id="1"/>
      </w:r>
    </w:p>
    <w:p w14:paraId="7B6F6A1A" w14:textId="0E03B54B" w:rsidR="00C4454D" w:rsidRPr="00A735B4" w:rsidRDefault="00C4454D" w:rsidP="00C4454D">
      <w:pPr>
        <w:numPr>
          <w:ilvl w:val="0"/>
          <w:numId w:val="2"/>
        </w:numPr>
        <w:spacing w:before="240" w:after="240"/>
        <w:ind w:left="0" w:firstLine="0"/>
        <w:jc w:val="both"/>
      </w:pPr>
      <w:r w:rsidRPr="00A735B4">
        <w:t>Stronger regional integration has been a policy priority in Africa for several decades. Closer trade links with neighboring countries promise to stabilize food markets, enhance profitable exchanges in light manufactures, reduce consumer prices, and help develop regional production networks. However, the implementation of existing integration initiatives has often been lackluster, so that the economic development and poverty reduction potential from expanded intraregional trade has remained untapped. Markets remain fragmented by a range of barriers to trade and competition along the value chain of traded goods and services (see Brenton and Isik 2012a). Countries in Africa have committed to a process of deeper integration, but have made little progress in implementing commitments and removing barriers.</w:t>
      </w:r>
    </w:p>
    <w:p w14:paraId="7C465344" w14:textId="77777777" w:rsidR="00C4454D" w:rsidRPr="00A735B4" w:rsidRDefault="00C4454D" w:rsidP="00C4454D">
      <w:pPr>
        <w:spacing w:before="240" w:after="240"/>
        <w:jc w:val="both"/>
      </w:pPr>
    </w:p>
    <w:p w14:paraId="30F5403B" w14:textId="06E702B5" w:rsidR="00C4454D" w:rsidRPr="00A735B4" w:rsidRDefault="00C4454D" w:rsidP="00C4454D">
      <w:pPr>
        <w:numPr>
          <w:ilvl w:val="0"/>
          <w:numId w:val="2"/>
        </w:numPr>
        <w:spacing w:before="240" w:after="240"/>
        <w:ind w:left="0" w:firstLine="0"/>
        <w:jc w:val="both"/>
      </w:pPr>
      <w:r w:rsidRPr="00A735B4">
        <w:t xml:space="preserve">This report looks at the monitoring of regional integration in Africa and argues that more effective monitoring processes for existing integration arrangements could help to raise the profile of the prevailing implementation deficits and provide policy makers and civil society with the necessary information to push for corrective action. Currently, most integration monitoring systems are scorecard-based compliance assessments. These processes are useful in determining which member countries have transposed their regional-level reform commitments into national law, but say little about changes in trade practices on the ground. Where outcome indicators are used, these generally are of an aggregate nature, such as measuring changes in the volume of intraregional trade, or focus on tariff liberalization, the original centerpiece of most regional trade agreements. </w:t>
      </w:r>
    </w:p>
    <w:p w14:paraId="4BADD9E5" w14:textId="77777777" w:rsidR="00C4454D" w:rsidRPr="00A735B4" w:rsidRDefault="00C4454D" w:rsidP="00C4454D"/>
    <w:p w14:paraId="678D0473" w14:textId="77777777" w:rsidR="00C4454D" w:rsidRPr="00A735B4" w:rsidRDefault="00C4454D" w:rsidP="00C4454D">
      <w:pPr>
        <w:numPr>
          <w:ilvl w:val="0"/>
          <w:numId w:val="2"/>
        </w:numPr>
        <w:spacing w:before="240" w:after="240"/>
        <w:ind w:left="0" w:firstLine="0"/>
        <w:jc w:val="both"/>
      </w:pPr>
      <w:r w:rsidRPr="00A735B4">
        <w:t>To obtain information on the impact of integration policies on ordinary traders, indicators of trade transaction costs are required. These can be indirect measures of trade volume changes or price differences, or direct estimates of the various trade cost components. The latter tend to be more specific and can more easily be related to changes in particular policy measures.</w:t>
      </w:r>
    </w:p>
    <w:p w14:paraId="27F09CF3" w14:textId="77777777" w:rsidR="00C4454D" w:rsidRPr="00A735B4" w:rsidRDefault="00C4454D" w:rsidP="00C4454D"/>
    <w:p w14:paraId="54C1E2B4" w14:textId="675F8596" w:rsidR="00C4454D" w:rsidRPr="00A735B4" w:rsidRDefault="00C4454D" w:rsidP="00C4454D">
      <w:pPr>
        <w:numPr>
          <w:ilvl w:val="0"/>
          <w:numId w:val="2"/>
        </w:numPr>
        <w:spacing w:before="240" w:after="240"/>
        <w:ind w:left="0" w:firstLine="0"/>
        <w:jc w:val="both"/>
      </w:pPr>
      <w:r w:rsidRPr="00A735B4">
        <w:t>Such indicators and monitoring will support implementation of commitments to reform rules and regulations governing trade that are politically difficult to implement. Politicians and officials can be held more accountable for commitments they have made, but also need credit for positive outcomes that result from politically difficult decisions. It is easier to take credit for building a new road and with it a photo-op to cut a ribbon to open it on television than it is to take credit for difficult policy reforms, whose impact may not be so physically obvious. Relatedly, stakeholders need to be able to see progress being made and to reap the benefits of opening up to regional trade to allow politicians to garner their support for further, deeper integration steps. A key objective of this project has been to derive indicators that show impacts on poor traders and producers of tradable goods. For example, given the poor conditions often faced by small, informal traders, many of whom are women, there is a need to monitor harassment by officials when crossing the border.</w:t>
      </w:r>
    </w:p>
    <w:p w14:paraId="2D22F7B9" w14:textId="77777777" w:rsidR="00C4454D" w:rsidRPr="00A735B4" w:rsidRDefault="00C4454D" w:rsidP="00C4454D"/>
    <w:p w14:paraId="31863000" w14:textId="5CE4602B" w:rsidR="00C4454D" w:rsidRPr="00A735B4" w:rsidRDefault="00C4454D" w:rsidP="00C4454D">
      <w:pPr>
        <w:numPr>
          <w:ilvl w:val="0"/>
          <w:numId w:val="2"/>
        </w:numPr>
        <w:spacing w:before="240" w:after="240"/>
        <w:ind w:left="0" w:firstLine="0"/>
        <w:jc w:val="both"/>
      </w:pPr>
      <w:r w:rsidRPr="00A735B4">
        <w:t xml:space="preserve">Better monitoring of progress in reducing trade costs along infrastructure linkages, such as trade corridors linking landlocked countries to ports or those joining producers to markets, can help more directly connect investment projects, development outcomes, and donor support for regional integration. “Aid for Trade” programs have so far not given enough attention to improving policies and regulations affecting trade. According to data collected by the Organisation for Economic Co-operation and Development (OECD), on average from 2006 to 2010, just 2 percent of disbursements went to trade policies and regulations, with over 52 percent going to economic infrastructure and 46 percent going to building productive capacities. Better indicators may therefore help to bring better balance to the Aid for Trade portfolio in Africa. </w:t>
      </w:r>
    </w:p>
    <w:p w14:paraId="03EC47E5" w14:textId="77777777" w:rsidR="00C4454D" w:rsidRPr="00A735B4" w:rsidRDefault="00C4454D" w:rsidP="00C4454D"/>
    <w:p w14:paraId="1A8ED224" w14:textId="2EE2C1C1" w:rsidR="00C4454D" w:rsidRPr="00A735B4" w:rsidRDefault="00C4454D" w:rsidP="00C4454D">
      <w:pPr>
        <w:numPr>
          <w:ilvl w:val="0"/>
          <w:numId w:val="2"/>
        </w:numPr>
        <w:spacing w:before="240" w:after="240"/>
        <w:ind w:left="0" w:firstLine="0"/>
        <w:jc w:val="both"/>
      </w:pPr>
      <w:r w:rsidRPr="00A735B4">
        <w:t xml:space="preserve">In addition to better targeted donor support, indicators that capture the implementation of policy reforms may encourage greater private sector involvement in the provision of infrastructure in Africa. Policy and regulatory constraints to trade along key connective infrastructure investments undermine the returns to those investments. An increased focus on policy reforms and capacity to monitor their implementation could underpin greater use of public-private partnerships (PPPs) and private sector investment in infrastructure and offer an opportunity to link implementation of policy reforms and such investments. </w:t>
      </w:r>
    </w:p>
    <w:p w14:paraId="74208086" w14:textId="77777777" w:rsidR="00C4454D" w:rsidRPr="00A735B4" w:rsidRDefault="00C4454D" w:rsidP="00C4454D"/>
    <w:p w14:paraId="1DEF7F88" w14:textId="5F78A247" w:rsidR="00C4454D" w:rsidRPr="00A735B4" w:rsidRDefault="00C4454D" w:rsidP="00C4454D">
      <w:pPr>
        <w:numPr>
          <w:ilvl w:val="0"/>
          <w:numId w:val="2"/>
        </w:numPr>
        <w:spacing w:before="240" w:after="240"/>
        <w:ind w:left="0" w:firstLine="0"/>
        <w:jc w:val="both"/>
      </w:pPr>
      <w:r w:rsidRPr="00A735B4">
        <w:t xml:space="preserve">The overall aim of this report is to explore indicators that capture the impact of regional policy reforms on trade transaction costs for ordinary traders, with a focus on indicators that can be linked to the implementation of specific policy measures. The type of policy reforms that we have in mind include measures to simplify trade procedures, including for small informal traders; measures to improve customs procedures through common nomenclature and operating procedures, one-stop border posts, improved training, and performance targets for officials; measures such as harmonization, mutual </w:t>
      </w:r>
      <w:r w:rsidRPr="00A735B4">
        <w:lastRenderedPageBreak/>
        <w:t>recognition, or equivalence that reduce the costs of conforming and proving conformity with health and safety standards in overseas markets; measures to allow the freedom of movement of service provides across borders, including mutual recognition of qualifications for professionals, recognition of insurance and driving licenses for truck drivers, and harmonization of vehicle weight and axle load requirements; and measures to reduce the cost and ensure recognition of certificates of origin.</w:t>
      </w:r>
    </w:p>
    <w:p w14:paraId="07FC38C9" w14:textId="77777777" w:rsidR="00C4454D" w:rsidRPr="00A735B4" w:rsidRDefault="00C4454D" w:rsidP="00C4454D"/>
    <w:p w14:paraId="721B2938" w14:textId="77777777" w:rsidR="00C4454D" w:rsidRPr="00A735B4" w:rsidRDefault="00C4454D" w:rsidP="00C4454D">
      <w:pPr>
        <w:numPr>
          <w:ilvl w:val="0"/>
          <w:numId w:val="2"/>
        </w:numPr>
        <w:spacing w:before="240" w:after="240"/>
        <w:ind w:left="0" w:firstLine="0"/>
        <w:jc w:val="both"/>
      </w:pPr>
      <w:r w:rsidRPr="00A735B4">
        <w:t>The rationale for each of these measures is to reduce barriers that increase trade transaction costs. For regional integration to have an impact on poverty, reductions in transaction costs must be passed on to producers and consumers. This necessitates obtaining information on outcomes and places attention on competition in the domestic distribution chain.</w:t>
      </w:r>
    </w:p>
    <w:p w14:paraId="17093E03" w14:textId="77777777" w:rsidR="00C4454D" w:rsidRPr="00A735B4" w:rsidRDefault="00C4454D" w:rsidP="00C4454D"/>
    <w:p w14:paraId="589CA585" w14:textId="31F67169" w:rsidR="00C4454D" w:rsidRPr="00A735B4" w:rsidRDefault="00C4454D" w:rsidP="00C4454D">
      <w:pPr>
        <w:numPr>
          <w:ilvl w:val="0"/>
          <w:numId w:val="2"/>
        </w:numPr>
        <w:spacing w:before="240" w:after="240"/>
        <w:ind w:left="0" w:firstLine="0"/>
        <w:jc w:val="both"/>
      </w:pPr>
      <w:r w:rsidRPr="00A735B4">
        <w:t xml:space="preserve">Outside Africa, there are some regional integration initiatives that have started to monitor trade outcomes systematically through indicators that cover not only aggregate trade evolution and tariff reductions, but also non-tariff measures, trade facilitation, and services trade. Regional trade initiatives in Africa could usefully adopt similar processes and complement their monitoring systems with indirect goods and services trade volume information, as well as specific indicators on trade costs related to tariffs, non-tariff barriers, trade logistics obstacles, and services market regulation. </w:t>
      </w:r>
    </w:p>
    <w:p w14:paraId="0C86D482" w14:textId="77777777" w:rsidR="00C4454D" w:rsidRPr="00A735B4" w:rsidRDefault="00C4454D" w:rsidP="00C4454D"/>
    <w:p w14:paraId="2B933600" w14:textId="77777777" w:rsidR="00C4454D" w:rsidRPr="00A735B4" w:rsidRDefault="00C4454D" w:rsidP="00C4454D">
      <w:pPr>
        <w:numPr>
          <w:ilvl w:val="0"/>
          <w:numId w:val="2"/>
        </w:numPr>
        <w:spacing w:before="240" w:after="240"/>
        <w:ind w:left="0" w:firstLine="0"/>
        <w:jc w:val="both"/>
      </w:pPr>
      <w:r w:rsidRPr="00A735B4">
        <w:t>Some of the data necessary to construct more discerning trade outcome indicators are already available, while additional information that is missing might be relatively easy to generate. The scope of the indicator set and the selection of the particular range of indicators will be specific to each individual integration initiative and will require some consultations and negotiation, but if policy makers and public officials are serious about addressing the implementation deficit, they need to devote more attention and resources to establishing the extent to which regional integration efforts are being reflected in trading practices.</w:t>
      </w:r>
    </w:p>
    <w:p w14:paraId="498B6F5F" w14:textId="77777777" w:rsidR="00C4454D" w:rsidRPr="00A735B4" w:rsidRDefault="00C4454D" w:rsidP="00C4454D"/>
    <w:p w14:paraId="053C7365" w14:textId="05854785" w:rsidR="00C4454D" w:rsidRPr="00A735B4" w:rsidRDefault="00C4454D" w:rsidP="00C4454D">
      <w:pPr>
        <w:numPr>
          <w:ilvl w:val="0"/>
          <w:numId w:val="2"/>
        </w:numPr>
        <w:spacing w:before="240" w:after="240"/>
        <w:ind w:left="0" w:firstLine="0"/>
        <w:jc w:val="both"/>
      </w:pPr>
      <w:r w:rsidRPr="00A735B4">
        <w:t>The remainder of the study falls into six sections. Section 2 briefly discusses integration monitoring systems and related indicators in general. Section 3 presents an overview of regional trade indicators that are currently used by policy makers in Sub-Saharan Africa. Section 4 discusses the three main types of indicators, those measuring compliance with integration commitments, those measuring outcomes indirectly and at an aggregate level, and those capturing specific trade cost components either directly or indirectly. The usefulness of the indicator categories tends to be negatively related to the ease of obtaining the respective data and information. Thus, a trade-off has to be made during the indicator selection process.</w:t>
      </w:r>
    </w:p>
    <w:p w14:paraId="7B23A209" w14:textId="77777777" w:rsidR="00C4454D" w:rsidRPr="00A735B4" w:rsidRDefault="00C4454D" w:rsidP="00C4454D"/>
    <w:p w14:paraId="210C23E4" w14:textId="717C98D3" w:rsidR="00C4454D" w:rsidRPr="00A735B4" w:rsidRDefault="00C4454D" w:rsidP="00C4454D">
      <w:pPr>
        <w:numPr>
          <w:ilvl w:val="0"/>
          <w:numId w:val="2"/>
        </w:numPr>
        <w:spacing w:before="240" w:after="240"/>
        <w:ind w:left="0" w:firstLine="0"/>
        <w:jc w:val="both"/>
      </w:pPr>
      <w:r w:rsidRPr="00A735B4">
        <w:lastRenderedPageBreak/>
        <w:t>Section 5 looks at possible indicators from data that are currently being collected, including data collected by transport corridor monitoring committees (section 5.1), detailed trade data collected by customs (5.2), information on product prices (5.3), and data on value-added (5.4). Section 6 discusses indicators that can be derived from data that can be obtained from new approaches, including mystery shopping (section 6.1) and crowdsourcing (6.2). Finally, section 7 concludes with suggestions for the way forward, including a basic template for a monitoring report and a discussion of how donors could support an invigorated approach to monitoring regional integration in Africa.</w:t>
      </w:r>
    </w:p>
    <w:p w14:paraId="6AFDFD62" w14:textId="77777777" w:rsidR="00C4454D" w:rsidRPr="00A735B4" w:rsidRDefault="00C4454D" w:rsidP="00C4454D"/>
    <w:p w14:paraId="68D26873" w14:textId="48224E2A" w:rsidR="00C4454D" w:rsidRPr="00A735B4" w:rsidRDefault="00C4454D">
      <w:pPr>
        <w:spacing w:after="200" w:line="276" w:lineRule="auto"/>
      </w:pPr>
      <w:r w:rsidRPr="00A735B4">
        <w:br w:type="page"/>
      </w:r>
    </w:p>
    <w:p w14:paraId="69C9959A" w14:textId="77777777" w:rsidR="00C4454D" w:rsidRPr="00A735B4" w:rsidRDefault="00C4454D" w:rsidP="00C4454D">
      <w:pPr>
        <w:spacing w:before="360" w:after="220"/>
      </w:pPr>
      <w:bookmarkStart w:id="2" w:name="_Toc363830851"/>
      <w:bookmarkStart w:id="3" w:name="_Toc419565226"/>
      <w:r w:rsidRPr="00A735B4">
        <w:lastRenderedPageBreak/>
        <w:t>Indicators to monitor regional integration</w:t>
      </w:r>
      <w:bookmarkEnd w:id="2"/>
      <w:bookmarkEnd w:id="3"/>
    </w:p>
    <w:p w14:paraId="757D227D" w14:textId="0527A10D" w:rsidR="00C4454D" w:rsidRPr="00A735B4" w:rsidRDefault="00C4454D" w:rsidP="00C4454D">
      <w:pPr>
        <w:numPr>
          <w:ilvl w:val="0"/>
          <w:numId w:val="2"/>
        </w:numPr>
        <w:spacing w:before="240" w:after="240"/>
        <w:ind w:left="0" w:firstLine="0"/>
        <w:jc w:val="both"/>
      </w:pPr>
      <w:r w:rsidRPr="00A735B4">
        <w:t>Light-weight, institutionalized monitoring processes to scrutinize the progress in adopting key features of regional integration commitments can be very valuable to address implementation deficits. Monitoring provides a feedback mechanism for policy makers as well as information for the general public on the progress achieved. Moreover, it constitutes an institutionalized channel of regular information-sharing among the members of a regional trade agreement (RTA) that can help to build trust, and as such enhance the willingness of partners to envisage steps toward deeper integration. In view of these benefits, several international organizations have put forward formal monitoring systems (De Lombaerde, Pietrangeli, and Weeratunge 2008), which vary widely in terms of integration area coverage and the number of indicators they are proposing to follow. Moreover, in some cases, such as the EU-CARICOM Economic Partnership Agreement, monitoring processes have been explicitly anchored in the RTAs. The purpose of the monitoring exercise is therefore to determine the progress made toward the stated integration objectives (“reflexive monitoring”), and/or to benchmark the state of integration vis-à-vis third countries or groupings (“comparative monitoring”) (De Lombaerde and van Langenhove 2005).</w:t>
      </w:r>
    </w:p>
    <w:p w14:paraId="5CA104AD" w14:textId="77777777" w:rsidR="00C4454D" w:rsidRPr="00A735B4" w:rsidRDefault="00C4454D" w:rsidP="00C4454D">
      <w:pPr>
        <w:spacing w:before="240" w:after="240"/>
        <w:jc w:val="both"/>
      </w:pPr>
    </w:p>
    <w:p w14:paraId="283D5703" w14:textId="77777777" w:rsidR="00C4454D" w:rsidRPr="00A735B4" w:rsidRDefault="00C4454D" w:rsidP="00C4454D">
      <w:bookmarkStart w:id="4" w:name="_Toc363830852"/>
      <w:bookmarkStart w:id="5" w:name="_Toc419565227"/>
      <w:r w:rsidRPr="00A735B4">
        <w:t>Monitoring regional integration</w:t>
      </w:r>
      <w:bookmarkEnd w:id="4"/>
      <w:bookmarkEnd w:id="5"/>
    </w:p>
    <w:p w14:paraId="543FD2B9" w14:textId="5C5A266B" w:rsidR="00C4454D" w:rsidRPr="00A735B4" w:rsidRDefault="00C4454D" w:rsidP="00C4454D">
      <w:pPr>
        <w:numPr>
          <w:ilvl w:val="0"/>
          <w:numId w:val="2"/>
        </w:numPr>
        <w:spacing w:before="240" w:after="240"/>
        <w:ind w:left="0" w:firstLine="0"/>
        <w:jc w:val="both"/>
      </w:pPr>
      <w:r w:rsidRPr="00A735B4">
        <w:t>Two major stages of implementation and related monitoring can be distinguished (figure 2.1). First, the provisions of a signed and ratified RTA have to be incorporated into national law, which might require some adjustment or amendment to the existing body of laws and regulations. This stage might be called “de-jure implementation” and the associated monitoring process checks on the extent of compliance of a country’s national legislation with the provisions of the RTA.</w:t>
      </w:r>
    </w:p>
    <w:p w14:paraId="2F83EBBC" w14:textId="77777777" w:rsidR="00C4454D" w:rsidRPr="00A735B4" w:rsidRDefault="00C4454D" w:rsidP="00C4454D"/>
    <w:p w14:paraId="72F74DAE" w14:textId="77777777" w:rsidR="00C4454D" w:rsidRPr="00A735B4" w:rsidRDefault="00C4454D" w:rsidP="00C4454D">
      <w:pPr>
        <w:numPr>
          <w:ilvl w:val="0"/>
          <w:numId w:val="2"/>
        </w:numPr>
        <w:spacing w:before="240" w:after="240"/>
        <w:ind w:left="0" w:firstLine="0"/>
        <w:jc w:val="both"/>
      </w:pPr>
      <w:r w:rsidRPr="00A735B4">
        <w:t>Second, the provisions of the RTA and national laws have to be applied to the situation on the ground. This process would involve the updating of administrative guidelines for executing agencies and ensure that the new regional trade arrangements are adhered to not only by the letter of the law, but also in its underlying spirit. For example, where an RTA implies a reduction in border tariffs, this preference should not be offset through a concurrent increase in costly technical inspections or additional demands from border officials for informal payments. This second stage might be called “de-facto implementation” and the related monitoring process would focus on integration outcomes.</w:t>
      </w:r>
    </w:p>
    <w:p w14:paraId="756319E8" w14:textId="77777777" w:rsidR="00C4454D" w:rsidRPr="00A735B4" w:rsidRDefault="00C4454D" w:rsidP="00C4454D">
      <w:pPr>
        <w:jc w:val="center"/>
        <w:rPr>
          <w:color w:val="1F497D" w:themeColor="text2"/>
        </w:rPr>
      </w:pPr>
      <w:bookmarkStart w:id="6" w:name="_Toc410823470"/>
    </w:p>
    <w:p w14:paraId="75E5E219" w14:textId="77777777" w:rsidR="00C4454D" w:rsidRPr="00A735B4" w:rsidRDefault="00C4454D" w:rsidP="00C4454D">
      <w:pPr>
        <w:jc w:val="center"/>
        <w:rPr>
          <w:color w:val="1F497D" w:themeColor="text2"/>
        </w:rPr>
      </w:pPr>
    </w:p>
    <w:p w14:paraId="0F1FCCD9" w14:textId="77777777" w:rsidR="00C4454D" w:rsidRPr="00A735B4" w:rsidRDefault="00C4454D" w:rsidP="00C4454D">
      <w:pPr>
        <w:jc w:val="center"/>
        <w:rPr>
          <w:color w:val="1F497D" w:themeColor="text2"/>
        </w:rPr>
      </w:pPr>
    </w:p>
    <w:p w14:paraId="52026CBC" w14:textId="77777777" w:rsidR="00C4454D" w:rsidRPr="00A735B4" w:rsidRDefault="00C4454D" w:rsidP="00C4454D">
      <w:pPr>
        <w:jc w:val="center"/>
        <w:rPr>
          <w:color w:val="1F497D" w:themeColor="text2"/>
        </w:rPr>
      </w:pPr>
    </w:p>
    <w:p w14:paraId="42124236" w14:textId="77777777" w:rsidR="00C4454D" w:rsidRPr="00A735B4" w:rsidRDefault="00C4454D" w:rsidP="00C4454D">
      <w:pPr>
        <w:jc w:val="center"/>
        <w:rPr>
          <w:color w:val="1F497D" w:themeColor="text2"/>
        </w:rPr>
      </w:pPr>
    </w:p>
    <w:p w14:paraId="5182EA42" w14:textId="77777777" w:rsidR="00C4454D" w:rsidRPr="00A735B4" w:rsidRDefault="00C4454D" w:rsidP="00C4454D">
      <w:pPr>
        <w:jc w:val="center"/>
        <w:rPr>
          <w:color w:val="1F497D" w:themeColor="text2"/>
        </w:rPr>
      </w:pPr>
    </w:p>
    <w:p w14:paraId="146C09DE" w14:textId="2EF8BD34" w:rsidR="00C4454D" w:rsidRPr="00A735B4" w:rsidRDefault="00C4454D" w:rsidP="00C4454D">
      <w:pPr>
        <w:jc w:val="center"/>
        <w:rPr>
          <w:color w:val="1F497D" w:themeColor="text2"/>
        </w:rPr>
      </w:pPr>
      <w:r w:rsidRPr="00A735B4">
        <w:rPr>
          <w:color w:val="1F497D" w:themeColor="text2"/>
        </w:rPr>
        <w:t>Figure 2.1 RTA implementation and related monitoring</w:t>
      </w:r>
      <w:bookmarkEnd w:id="6"/>
    </w:p>
    <w:p w14:paraId="0FC354A8" w14:textId="77777777" w:rsidR="00C4454D" w:rsidRPr="00A735B4" w:rsidRDefault="00C4454D" w:rsidP="00C4454D">
      <w:pPr>
        <w:jc w:val="center"/>
      </w:pPr>
      <w:r w:rsidRPr="00A735B4">
        <w:object w:dxaOrig="7195" w:dyaOrig="5396" w14:anchorId="7EBB81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4pt;height:252pt" o:ole="" o:bordertopcolor="#0070c0" o:borderleftcolor="#0070c0" o:borderbottomcolor="#0070c0" o:borderrightcolor="#0070c0">
            <v:imagedata r:id="rId8" o:title=""/>
            <w10:bordertop type="single" width="4"/>
            <w10:borderleft type="single" width="4"/>
            <w10:borderbottom type="single" width="4"/>
            <w10:borderright type="single" width="4"/>
          </v:shape>
          <o:OLEObject Type="Embed" ProgID="PowerPoint.Slide.12" ShapeID="_x0000_i1025" DrawAspect="Content" ObjectID="_1494415998" r:id="rId9"/>
        </w:object>
      </w:r>
    </w:p>
    <w:p w14:paraId="53935DB0" w14:textId="77777777" w:rsidR="00C4454D" w:rsidRPr="00A735B4" w:rsidRDefault="00C4454D" w:rsidP="00C4454D">
      <w:pPr>
        <w:ind w:firstLine="1080"/>
        <w:rPr>
          <w:sz w:val="20"/>
        </w:rPr>
      </w:pPr>
      <w:r w:rsidRPr="00A735B4">
        <w:rPr>
          <w:i/>
          <w:sz w:val="20"/>
        </w:rPr>
        <w:t>Source</w:t>
      </w:r>
      <w:r w:rsidRPr="00A735B4">
        <w:rPr>
          <w:sz w:val="20"/>
        </w:rPr>
        <w:t>: World Bank.</w:t>
      </w:r>
    </w:p>
    <w:p w14:paraId="577E0CAA" w14:textId="5BE631AD" w:rsidR="00C4454D" w:rsidRPr="00A735B4" w:rsidRDefault="00C4454D" w:rsidP="00C4454D">
      <w:pPr>
        <w:numPr>
          <w:ilvl w:val="0"/>
          <w:numId w:val="2"/>
        </w:numPr>
        <w:spacing w:before="240" w:after="240"/>
        <w:ind w:left="0" w:firstLine="0"/>
        <w:jc w:val="both"/>
      </w:pPr>
      <w:r w:rsidRPr="00A735B4">
        <w:t>Compliance monitoring and outcome monitoring are valuable processes and their findings are complementary. In cases where the enforcement of national laws is strong and where broad political and administrative support for the regional integration process exists, the qualitative results from the two forms of monitoring will be closely aligned. However, in countries that face severe governance challenges or administrative capacity bottlenecks, compliance and outcome monitoring might paint a rather divergent picture of the progress in regional integration. For example, reform commitments from RTAs might well have been incorporated in national legislation, but might not (yet) be reflected in the practice of traders. In these situations, outcome monitoring is clearly the more discerning approach.</w:t>
      </w:r>
    </w:p>
    <w:p w14:paraId="19B8CCE5" w14:textId="77777777" w:rsidR="00C4454D" w:rsidRPr="00A735B4" w:rsidRDefault="00C4454D" w:rsidP="00C4454D">
      <w:pPr>
        <w:spacing w:before="240" w:after="240"/>
        <w:jc w:val="both"/>
      </w:pPr>
    </w:p>
    <w:p w14:paraId="61993FB0" w14:textId="77777777" w:rsidR="00C4454D" w:rsidRPr="00A735B4" w:rsidRDefault="00C4454D" w:rsidP="00C4454D">
      <w:pPr>
        <w:numPr>
          <w:ilvl w:val="0"/>
          <w:numId w:val="2"/>
        </w:numPr>
        <w:spacing w:before="240" w:after="240"/>
        <w:ind w:left="0" w:firstLine="0"/>
        <w:jc w:val="both"/>
      </w:pPr>
      <w:r w:rsidRPr="00A735B4">
        <w:t>Compliance monitoring generally uses scorecards. These performance measurement tools show the status of country-level de-jure implementation across different integration areas and time periods. By doing so, implementation gaps can be exposed over time and offending governments pressured by their peers to act.</w:t>
      </w:r>
    </w:p>
    <w:p w14:paraId="4F2D1C40" w14:textId="77777777" w:rsidR="00C4454D" w:rsidRPr="00A735B4" w:rsidRDefault="00C4454D" w:rsidP="00C4454D"/>
    <w:p w14:paraId="10A1B0E0" w14:textId="0A74AF18" w:rsidR="00C4454D" w:rsidRPr="00A735B4" w:rsidRDefault="00C4454D" w:rsidP="00C4454D">
      <w:pPr>
        <w:numPr>
          <w:ilvl w:val="0"/>
          <w:numId w:val="2"/>
        </w:numPr>
        <w:spacing w:before="240" w:after="240"/>
        <w:ind w:left="0" w:firstLine="0"/>
        <w:jc w:val="both"/>
      </w:pPr>
      <w:r w:rsidRPr="00A735B4">
        <w:t xml:space="preserve">Outcome monitoring goes further and assesses to what extent the ultimate objective of regional integration, that is the facilitation of intraregional exchanges for traders and business people, has been achieved. It tends to be more challenging than compliance checks, as the data requirements are more </w:t>
      </w:r>
      <w:r w:rsidRPr="00A735B4">
        <w:lastRenderedPageBreak/>
        <w:t xml:space="preserve">demanding. In the case of trade integration, outcome monitoring relies on indicators that make it possible to assess reductions in overall trade costs, meaning all costs incurred in getting a good to a final user other than the marginal cost of producing the good (Anderson and van Wincoop 2004). The indicators notably comprise costs related to border tariffs, non-tariff barriers, trade-related regulations, and transport and distribution, including the costs of time, such as that spent waiting to cross borders. </w:t>
      </w:r>
    </w:p>
    <w:p w14:paraId="260B2AE3" w14:textId="77777777" w:rsidR="00C4454D" w:rsidRPr="00A735B4" w:rsidRDefault="00C4454D" w:rsidP="00C4454D">
      <w:bookmarkStart w:id="7" w:name="_Toc363830853"/>
      <w:r w:rsidRPr="00A735B4">
        <w:t xml:space="preserve"> </w:t>
      </w:r>
      <w:bookmarkStart w:id="8" w:name="_Toc419565228"/>
      <w:r w:rsidRPr="00A735B4">
        <w:t>Trade cost indicators</w:t>
      </w:r>
      <w:bookmarkEnd w:id="7"/>
      <w:bookmarkEnd w:id="8"/>
    </w:p>
    <w:p w14:paraId="15791212" w14:textId="6C86B54F" w:rsidR="00C4454D" w:rsidRPr="00A735B4" w:rsidRDefault="00C4454D" w:rsidP="00C4454D">
      <w:pPr>
        <w:numPr>
          <w:ilvl w:val="0"/>
          <w:numId w:val="2"/>
        </w:numPr>
        <w:spacing w:before="240" w:after="240"/>
        <w:ind w:left="0" w:firstLine="0"/>
        <w:jc w:val="both"/>
      </w:pPr>
      <w:r w:rsidRPr="00A735B4">
        <w:t>Similar to any good economic indicator, indicators of trade costs should be (i) relatively easy to understand, (ii) based on readily available data, and (iii) illustrative of an important phenomenon. Ideally, trade costs would be measured directly across the different cost components. However, the necessary data are not always available, so that indirect indicators often have to be used. Such indirect approaches can either rely on quantity information, for example, the share of regional trade in total trade or gross domestic product (GDP), or price information, such as cross-border differences in prices for homogeneous goods. Either economy-wide statistics or firm-level data can serve as the basis for the construction of trade cost indicators (figure 2.2).</w:t>
      </w:r>
    </w:p>
    <w:p w14:paraId="60B6FA94" w14:textId="727B2612" w:rsidR="00C4454D" w:rsidRPr="00A735B4" w:rsidRDefault="00C4454D">
      <w:pPr>
        <w:spacing w:after="200" w:line="276" w:lineRule="auto"/>
        <w:rPr>
          <w:b/>
          <w:bCs/>
          <w:color w:val="1F497D" w:themeColor="text2"/>
        </w:rPr>
      </w:pPr>
      <w:bookmarkStart w:id="9" w:name="_Toc410823471"/>
    </w:p>
    <w:p w14:paraId="66B7E8E3" w14:textId="62079648" w:rsidR="00C4454D" w:rsidRPr="00A735B4" w:rsidRDefault="00C4454D" w:rsidP="00C4454D">
      <w:pPr>
        <w:jc w:val="center"/>
        <w:rPr>
          <w:color w:val="1F497D" w:themeColor="text2"/>
          <w:sz w:val="24"/>
        </w:rPr>
      </w:pPr>
      <w:r w:rsidRPr="00A735B4">
        <w:rPr>
          <w:color w:val="1F497D" w:themeColor="text2"/>
          <w:sz w:val="24"/>
          <w:szCs w:val="24"/>
        </w:rPr>
        <w:t>Figure 2.2 Overview of</w:t>
      </w:r>
      <w:r w:rsidRPr="00A735B4">
        <w:rPr>
          <w:color w:val="1F497D" w:themeColor="text2"/>
          <w:sz w:val="24"/>
        </w:rPr>
        <w:t xml:space="preserve"> trade cost measurement</w:t>
      </w:r>
      <w:bookmarkEnd w:id="9"/>
    </w:p>
    <w:p w14:paraId="386E4699" w14:textId="77777777" w:rsidR="00C4454D" w:rsidRPr="00A735B4" w:rsidRDefault="00C4454D" w:rsidP="00C4454D">
      <w:pPr>
        <w:keepNext/>
        <w:jc w:val="center"/>
      </w:pPr>
      <w:r w:rsidRPr="00A735B4">
        <w:object w:dxaOrig="7195" w:dyaOrig="5396" w14:anchorId="7A72C32B">
          <v:shape id="_x0000_i1026" type="#_x0000_t75" style="width:367.5pt;height:266.25pt" o:ole="" o:bordertopcolor="this" o:borderleftcolor="this" o:borderbottomcolor="this" o:borderrightcolor="this">
            <v:imagedata r:id="rId10" o:title=""/>
            <w10:bordertop type="single" width="4"/>
            <w10:borderleft type="single" width="4"/>
            <w10:borderbottom type="single" width="4"/>
            <w10:borderright type="single" width="4"/>
          </v:shape>
          <o:OLEObject Type="Embed" ProgID="PowerPoint.Slide.12" ShapeID="_x0000_i1026" DrawAspect="Content" ObjectID="_1494415999" r:id="rId11"/>
        </w:object>
      </w:r>
    </w:p>
    <w:p w14:paraId="79973844" w14:textId="77777777" w:rsidR="00C4454D" w:rsidRPr="00A735B4" w:rsidRDefault="00C4454D" w:rsidP="00C4454D">
      <w:pPr>
        <w:keepNext/>
        <w:ind w:firstLine="720"/>
        <w:rPr>
          <w:sz w:val="20"/>
        </w:rPr>
      </w:pPr>
      <w:r w:rsidRPr="00A735B4">
        <w:rPr>
          <w:i/>
          <w:sz w:val="20"/>
        </w:rPr>
        <w:t>Source</w:t>
      </w:r>
      <w:r w:rsidRPr="00A735B4">
        <w:rPr>
          <w:sz w:val="20"/>
        </w:rPr>
        <w:t>: World Bank.</w:t>
      </w:r>
    </w:p>
    <w:p w14:paraId="39567CFE" w14:textId="77777777" w:rsidR="00C4454D" w:rsidRPr="00A735B4" w:rsidRDefault="00C4454D" w:rsidP="00C4454D"/>
    <w:p w14:paraId="4605F284" w14:textId="5E7F7BEE" w:rsidR="00C4454D" w:rsidRPr="00A735B4" w:rsidRDefault="00C4454D" w:rsidP="00C4454D">
      <w:pPr>
        <w:numPr>
          <w:ilvl w:val="0"/>
          <w:numId w:val="2"/>
        </w:numPr>
        <w:spacing w:after="240"/>
        <w:ind w:left="0" w:firstLine="0"/>
        <w:jc w:val="both"/>
      </w:pPr>
      <w:r w:rsidRPr="00A735B4">
        <w:lastRenderedPageBreak/>
        <w:t>Trade cost indicators do not necessarily need to be closely related to a particular policy instrument, but the attribution of results becomes more difficult as the number of factors that influence the indicator increases. For example, the share of regional trade in total trade might rise due to regional trade policy reforms, but the change in the ratio could also be due to a price drop for the country’s exports to world markets, a reduction of exports to third countries because of supply constraints, or a crop failure in a partner country that triggers higher regional food imports. Hence, attributing the change in the regional trade-to-GDP indicator to the success of regional integration policies could be misleading. This also means that defining a specific level of intraregional trade in total trade as a policy target will not be useful.</w:t>
      </w:r>
      <w:r w:rsidRPr="00A735B4">
        <w:endnoteReference w:id="2"/>
      </w:r>
    </w:p>
    <w:p w14:paraId="6D358E6A" w14:textId="77777777" w:rsidR="00C4454D" w:rsidRPr="00A735B4" w:rsidRDefault="00C4454D" w:rsidP="00C4454D">
      <w:pPr>
        <w:spacing w:after="240"/>
        <w:jc w:val="both"/>
      </w:pPr>
    </w:p>
    <w:p w14:paraId="3AA557E4" w14:textId="77777777" w:rsidR="00C4454D" w:rsidRPr="00A735B4" w:rsidRDefault="00C4454D" w:rsidP="00C4454D">
      <w:pPr>
        <w:numPr>
          <w:ilvl w:val="0"/>
          <w:numId w:val="2"/>
        </w:numPr>
        <w:spacing w:after="240"/>
        <w:ind w:left="0" w:firstLine="0"/>
        <w:jc w:val="both"/>
      </w:pPr>
      <w:r w:rsidRPr="00A735B4">
        <w:t>There are, thus, benefits to more narrowly defined, more specific indicators. Monitoring several of these specific indicators will tend to give a more accurate picture of the state of RTA implementation and provide more clear-cut feedback on particular policies than looking at one or only a few aggregate indicators. Moreover, whenever indicators based on direct measurement are available, the information will be much easier to interpret than data for indirect indicators. The latter always require an additional step of conversion to translate the quantity or price information into estimates of the costs faced by traders.</w:t>
      </w:r>
    </w:p>
    <w:p w14:paraId="7429A881" w14:textId="77777777" w:rsidR="00C4454D" w:rsidRPr="00A735B4" w:rsidRDefault="00C4454D" w:rsidP="00C4454D"/>
    <w:p w14:paraId="7D326587" w14:textId="5EB1A177" w:rsidR="00C4454D" w:rsidRPr="00A735B4" w:rsidRDefault="00C4454D" w:rsidP="00C4454D">
      <w:pPr>
        <w:numPr>
          <w:ilvl w:val="0"/>
          <w:numId w:val="2"/>
        </w:numPr>
        <w:spacing w:after="240"/>
        <w:ind w:left="0" w:firstLine="0"/>
        <w:jc w:val="both"/>
      </w:pPr>
      <w:r w:rsidRPr="00A735B4">
        <w:t xml:space="preserve">Despite their limitations, </w:t>
      </w:r>
      <w:r w:rsidRPr="00A735B4">
        <w:rPr>
          <w:i/>
        </w:rPr>
        <w:t>indirect, aggregate indicators</w:t>
      </w:r>
      <w:r w:rsidRPr="00A735B4">
        <w:t xml:space="preserve"> are widely used for trade integration monitoring because of the relative ease of obtaining near-term data that are comparable across countries and time periods. Table 2.1 shows several examples. As mentioned earlier, the interpretation of this type of indicator often poses problems. For example, an increased share of regional trade in total trade might suggest closer regional integration, but it could also mean that the country has been losing competitiveness in international markets. Moreover, in cross-country comparisons, the ratio will be heavily influenced by country size and geography.</w:t>
      </w:r>
    </w:p>
    <w:p w14:paraId="116DF83D" w14:textId="3055ACD2" w:rsidR="00C4454D" w:rsidRPr="00A735B4" w:rsidRDefault="00C4454D" w:rsidP="00C4454D">
      <w:pPr>
        <w:jc w:val="center"/>
        <w:rPr>
          <w:color w:val="1F497D" w:themeColor="text2"/>
          <w:sz w:val="24"/>
          <w:szCs w:val="24"/>
        </w:rPr>
      </w:pPr>
      <w:bookmarkStart w:id="10" w:name="_Toc410823531"/>
      <w:r w:rsidRPr="00A735B4">
        <w:rPr>
          <w:color w:val="1F497D" w:themeColor="text2"/>
          <w:sz w:val="24"/>
          <w:szCs w:val="24"/>
        </w:rPr>
        <w:t>Table 2.1 Examples of indirect, aggregate trade cost indicators</w:t>
      </w:r>
      <w:bookmarkEnd w:id="10"/>
    </w:p>
    <w:tbl>
      <w:tblPr>
        <w:tblW w:w="5000" w:type="pct"/>
        <w:tblInd w:w="10" w:type="dxa"/>
        <w:tblCellMar>
          <w:left w:w="10" w:type="dxa"/>
          <w:right w:w="10" w:type="dxa"/>
        </w:tblCellMar>
        <w:tblLook w:val="04A0" w:firstRow="1" w:lastRow="0" w:firstColumn="1" w:lastColumn="0" w:noHBand="0" w:noVBand="1"/>
      </w:tblPr>
      <w:tblGrid>
        <w:gridCol w:w="5119"/>
        <w:gridCol w:w="4061"/>
      </w:tblGrid>
      <w:tr w:rsidR="00C4454D" w:rsidRPr="00A735B4" w14:paraId="37C99B2A" w14:textId="77777777" w:rsidTr="00C4454D">
        <w:tc>
          <w:tcPr>
            <w:tcW w:w="2788" w:type="pct"/>
            <w:tcBorders>
              <w:top w:val="single" w:sz="4" w:space="0" w:color="auto"/>
            </w:tcBorders>
          </w:tcPr>
          <w:p w14:paraId="42D8E9F1" w14:textId="77777777" w:rsidR="00C4454D" w:rsidRPr="00A735B4" w:rsidRDefault="00C4454D" w:rsidP="00C4454D">
            <w:pPr>
              <w:jc w:val="center"/>
              <w:rPr>
                <w:b/>
              </w:rPr>
            </w:pPr>
            <w:r w:rsidRPr="00A735B4">
              <w:rPr>
                <w:b/>
              </w:rPr>
              <w:t>Quantity-based</w:t>
            </w:r>
          </w:p>
        </w:tc>
        <w:tc>
          <w:tcPr>
            <w:tcW w:w="2212" w:type="pct"/>
            <w:tcBorders>
              <w:top w:val="single" w:sz="4" w:space="0" w:color="auto"/>
            </w:tcBorders>
          </w:tcPr>
          <w:p w14:paraId="16939BB8" w14:textId="77777777" w:rsidR="00C4454D" w:rsidRPr="00A735B4" w:rsidRDefault="00C4454D" w:rsidP="00C4454D">
            <w:pPr>
              <w:jc w:val="center"/>
              <w:rPr>
                <w:b/>
              </w:rPr>
            </w:pPr>
            <w:r w:rsidRPr="00A735B4">
              <w:rPr>
                <w:b/>
              </w:rPr>
              <w:t>Price-based</w:t>
            </w:r>
          </w:p>
        </w:tc>
      </w:tr>
      <w:tr w:rsidR="00C4454D" w:rsidRPr="00A735B4" w14:paraId="559BA604" w14:textId="77777777" w:rsidTr="00C4454D">
        <w:tc>
          <w:tcPr>
            <w:tcW w:w="2788" w:type="pct"/>
          </w:tcPr>
          <w:p w14:paraId="4C527260" w14:textId="77777777" w:rsidR="00C4454D" w:rsidRPr="00A735B4" w:rsidRDefault="00C4454D" w:rsidP="00C4454D">
            <w:r w:rsidRPr="00A735B4">
              <w:t>Share of regional trade in total trade</w:t>
            </w:r>
          </w:p>
        </w:tc>
        <w:tc>
          <w:tcPr>
            <w:tcW w:w="2212" w:type="pct"/>
          </w:tcPr>
          <w:p w14:paraId="11FA97BB" w14:textId="77777777" w:rsidR="00C4454D" w:rsidRPr="00A735B4" w:rsidRDefault="00C4454D" w:rsidP="00C4454D">
            <w:r w:rsidRPr="00A735B4">
              <w:t>Price of staple food items (maize, rice)</w:t>
            </w:r>
          </w:p>
        </w:tc>
      </w:tr>
      <w:tr w:rsidR="00C4454D" w:rsidRPr="00A735B4" w14:paraId="53C1C94D" w14:textId="77777777" w:rsidTr="00C4454D">
        <w:tc>
          <w:tcPr>
            <w:tcW w:w="2788" w:type="pct"/>
          </w:tcPr>
          <w:p w14:paraId="4F3CD36D" w14:textId="77777777" w:rsidR="00C4454D" w:rsidRPr="00A735B4" w:rsidRDefault="00C4454D" w:rsidP="00C4454D">
            <w:r w:rsidRPr="00A735B4">
              <w:t>Share of regional trade in GDP</w:t>
            </w:r>
          </w:p>
        </w:tc>
        <w:tc>
          <w:tcPr>
            <w:tcW w:w="2212" w:type="pct"/>
          </w:tcPr>
          <w:p w14:paraId="6B87CC9E" w14:textId="77777777" w:rsidR="00C4454D" w:rsidRPr="00A735B4" w:rsidRDefault="00C4454D" w:rsidP="00C4454D">
            <w:r w:rsidRPr="00A735B4">
              <w:t xml:space="preserve">Price of a typical bag of fertilizer </w:t>
            </w:r>
          </w:p>
        </w:tc>
      </w:tr>
      <w:tr w:rsidR="00C4454D" w:rsidRPr="00A735B4" w14:paraId="2179A4B1" w14:textId="77777777" w:rsidTr="00C4454D">
        <w:tc>
          <w:tcPr>
            <w:tcW w:w="2788" w:type="pct"/>
          </w:tcPr>
          <w:p w14:paraId="4C546B35" w14:textId="04AC897C" w:rsidR="00C4454D" w:rsidRPr="00A735B4" w:rsidRDefault="00C4454D" w:rsidP="00C4454D">
            <w:pPr>
              <w:rPr>
                <w:rFonts w:eastAsia="Times New Roman"/>
              </w:rPr>
            </w:pPr>
            <w:r w:rsidRPr="00A735B4">
              <w:rPr>
                <w:rFonts w:eastAsia="Times New Roman"/>
              </w:rPr>
              <w:t>Intraregional trade intensity (i.e., ratio of regional trade share to global trade share)</w:t>
            </w:r>
          </w:p>
        </w:tc>
        <w:tc>
          <w:tcPr>
            <w:tcW w:w="2212" w:type="pct"/>
          </w:tcPr>
          <w:p w14:paraId="5DA1C118" w14:textId="77777777" w:rsidR="00C4454D" w:rsidRPr="00A735B4" w:rsidRDefault="00C4454D" w:rsidP="00C4454D">
            <w:r w:rsidRPr="00A735B4">
              <w:t>Price of a liter of diesel</w:t>
            </w:r>
          </w:p>
        </w:tc>
      </w:tr>
      <w:tr w:rsidR="00C4454D" w:rsidRPr="00A735B4" w14:paraId="1EA21A93" w14:textId="77777777" w:rsidTr="00C4454D">
        <w:trPr>
          <w:trHeight w:val="630"/>
        </w:trPr>
        <w:tc>
          <w:tcPr>
            <w:tcW w:w="2788" w:type="pct"/>
          </w:tcPr>
          <w:p w14:paraId="52AFCE26" w14:textId="5C0193EA" w:rsidR="00C4454D" w:rsidRPr="00A735B4" w:rsidRDefault="00C4454D" w:rsidP="00C4454D">
            <w:r w:rsidRPr="00A735B4">
              <w:rPr>
                <w:rFonts w:eastAsia="Times New Roman"/>
              </w:rPr>
              <w:t>Number of firms exporting to global markets, regional markets, and both</w:t>
            </w:r>
          </w:p>
        </w:tc>
        <w:tc>
          <w:tcPr>
            <w:tcW w:w="2212" w:type="pct"/>
          </w:tcPr>
          <w:p w14:paraId="3D847C52" w14:textId="77777777" w:rsidR="00C4454D" w:rsidRPr="00A735B4" w:rsidRDefault="00C4454D" w:rsidP="00C4454D">
            <w:r w:rsidRPr="00A735B4">
              <w:t>Price of homogeneous manufactures (e.g., plastic buckets, steel tubes, Ikea catalogue items)</w:t>
            </w:r>
          </w:p>
        </w:tc>
      </w:tr>
      <w:tr w:rsidR="00C4454D" w:rsidRPr="00A735B4" w14:paraId="537CE8C4" w14:textId="77777777" w:rsidTr="00C4454D">
        <w:tc>
          <w:tcPr>
            <w:tcW w:w="2788" w:type="pct"/>
          </w:tcPr>
          <w:p w14:paraId="4BE24980" w14:textId="473D7F6D" w:rsidR="00C4454D" w:rsidRPr="00A735B4" w:rsidRDefault="00C4454D" w:rsidP="00C4454D">
            <w:r w:rsidRPr="00A735B4">
              <w:rPr>
                <w:rFonts w:eastAsia="Times New Roman"/>
              </w:rPr>
              <w:lastRenderedPageBreak/>
              <w:t>Number of products exported to regional markets, global markets, and both</w:t>
            </w:r>
          </w:p>
        </w:tc>
        <w:tc>
          <w:tcPr>
            <w:tcW w:w="2212" w:type="pct"/>
          </w:tcPr>
          <w:p w14:paraId="432A9402" w14:textId="77777777" w:rsidR="00C4454D" w:rsidRPr="00A735B4" w:rsidRDefault="00C4454D" w:rsidP="00C4454D"/>
        </w:tc>
      </w:tr>
      <w:tr w:rsidR="00C4454D" w:rsidRPr="00A735B4" w14:paraId="613A93A4" w14:textId="77777777" w:rsidTr="00C4454D">
        <w:tc>
          <w:tcPr>
            <w:tcW w:w="2788" w:type="pct"/>
          </w:tcPr>
          <w:p w14:paraId="79FA9173" w14:textId="1D4E53F0" w:rsidR="00C4454D" w:rsidRPr="00A735B4" w:rsidRDefault="00C4454D" w:rsidP="00C4454D">
            <w:r w:rsidRPr="00A735B4">
              <w:rPr>
                <w:rFonts w:eastAsia="Times New Roman"/>
              </w:rPr>
              <w:t>Value of exports per firm, regional/global</w:t>
            </w:r>
          </w:p>
        </w:tc>
        <w:tc>
          <w:tcPr>
            <w:tcW w:w="2212" w:type="pct"/>
          </w:tcPr>
          <w:p w14:paraId="1CAAD859" w14:textId="77777777" w:rsidR="00C4454D" w:rsidRPr="00A735B4" w:rsidRDefault="00C4454D" w:rsidP="00C4454D"/>
        </w:tc>
      </w:tr>
      <w:tr w:rsidR="00C4454D" w:rsidRPr="00A735B4" w14:paraId="344B0CE7" w14:textId="77777777" w:rsidTr="00C4454D">
        <w:tc>
          <w:tcPr>
            <w:tcW w:w="2788" w:type="pct"/>
          </w:tcPr>
          <w:p w14:paraId="1F3ED518" w14:textId="60F6E1C5" w:rsidR="00C4454D" w:rsidRPr="00A735B4" w:rsidRDefault="00C4454D" w:rsidP="00C4454D">
            <w:r w:rsidRPr="00A735B4">
              <w:rPr>
                <w:rFonts w:eastAsia="Times New Roman"/>
              </w:rPr>
              <w:t>Employment in exporting firms, regional/global</w:t>
            </w:r>
          </w:p>
        </w:tc>
        <w:tc>
          <w:tcPr>
            <w:tcW w:w="2212" w:type="pct"/>
          </w:tcPr>
          <w:p w14:paraId="4881BD61" w14:textId="77777777" w:rsidR="00C4454D" w:rsidRPr="00A735B4" w:rsidRDefault="00C4454D" w:rsidP="00C4454D"/>
        </w:tc>
      </w:tr>
      <w:tr w:rsidR="00C4454D" w:rsidRPr="00A735B4" w14:paraId="05D78A3A" w14:textId="77777777" w:rsidTr="00C4454D">
        <w:tc>
          <w:tcPr>
            <w:tcW w:w="2788" w:type="pct"/>
          </w:tcPr>
          <w:p w14:paraId="3E3ACB84" w14:textId="77777777" w:rsidR="00C4454D" w:rsidRPr="00A735B4" w:rsidRDefault="00C4454D" w:rsidP="00C4454D">
            <w:pPr>
              <w:rPr>
                <w:rFonts w:eastAsia="Times New Roman"/>
              </w:rPr>
            </w:pPr>
            <w:r w:rsidRPr="00A735B4">
              <w:rPr>
                <w:rFonts w:eastAsia="Times New Roman"/>
              </w:rPr>
              <w:t xml:space="preserve">Number of new export products that were first traded regionally before being exported globally </w:t>
            </w:r>
          </w:p>
        </w:tc>
        <w:tc>
          <w:tcPr>
            <w:tcW w:w="2212" w:type="pct"/>
          </w:tcPr>
          <w:p w14:paraId="709E595F" w14:textId="77777777" w:rsidR="00C4454D" w:rsidRPr="00A735B4" w:rsidRDefault="00C4454D" w:rsidP="00C4454D"/>
        </w:tc>
      </w:tr>
      <w:tr w:rsidR="00C4454D" w:rsidRPr="00A735B4" w14:paraId="2F8621CA" w14:textId="77777777" w:rsidTr="00C4454D">
        <w:trPr>
          <w:trHeight w:val="80"/>
        </w:trPr>
        <w:tc>
          <w:tcPr>
            <w:tcW w:w="2788" w:type="pct"/>
            <w:tcBorders>
              <w:bottom w:val="single" w:sz="4" w:space="0" w:color="auto"/>
            </w:tcBorders>
          </w:tcPr>
          <w:p w14:paraId="38DE7829" w14:textId="77777777" w:rsidR="00C4454D" w:rsidRPr="00A735B4" w:rsidRDefault="00C4454D" w:rsidP="00C4454D">
            <w:pPr>
              <w:rPr>
                <w:rFonts w:eastAsia="Times New Roman"/>
              </w:rPr>
            </w:pPr>
            <w:r w:rsidRPr="00A735B4">
              <w:rPr>
                <w:rFonts w:eastAsia="Times New Roman"/>
              </w:rPr>
              <w:t>Number of "new" seed varieties available to farmers</w:t>
            </w:r>
          </w:p>
        </w:tc>
        <w:tc>
          <w:tcPr>
            <w:tcW w:w="2212" w:type="pct"/>
            <w:tcBorders>
              <w:bottom w:val="single" w:sz="4" w:space="0" w:color="auto"/>
            </w:tcBorders>
          </w:tcPr>
          <w:p w14:paraId="49B4935D" w14:textId="77777777" w:rsidR="00C4454D" w:rsidRPr="00A735B4" w:rsidRDefault="00C4454D" w:rsidP="00C4454D"/>
        </w:tc>
      </w:tr>
    </w:tbl>
    <w:p w14:paraId="47CB1567" w14:textId="77777777" w:rsidR="00C4454D" w:rsidRPr="00A735B4" w:rsidRDefault="00C4454D" w:rsidP="00C4454D">
      <w:pPr>
        <w:rPr>
          <w:sz w:val="20"/>
        </w:rPr>
      </w:pPr>
      <w:r w:rsidRPr="00A735B4">
        <w:rPr>
          <w:i/>
          <w:sz w:val="20"/>
        </w:rPr>
        <w:t>Source</w:t>
      </w:r>
      <w:r w:rsidRPr="00A735B4">
        <w:rPr>
          <w:sz w:val="20"/>
        </w:rPr>
        <w:t>: World Bank.</w:t>
      </w:r>
    </w:p>
    <w:p w14:paraId="5500F426" w14:textId="77777777" w:rsidR="00C4454D" w:rsidRPr="00A735B4" w:rsidRDefault="00C4454D" w:rsidP="00C4454D">
      <w:pPr>
        <w:rPr>
          <w:sz w:val="20"/>
        </w:rPr>
      </w:pPr>
      <w:r w:rsidRPr="00A735B4">
        <w:rPr>
          <w:i/>
          <w:sz w:val="20"/>
        </w:rPr>
        <w:t>Note:</w:t>
      </w:r>
      <w:r w:rsidRPr="00A735B4">
        <w:rPr>
          <w:sz w:val="20"/>
        </w:rPr>
        <w:t xml:space="preserve"> GDP = gross domestic product.</w:t>
      </w:r>
    </w:p>
    <w:p w14:paraId="20A32694" w14:textId="7A403C9F" w:rsidR="00C4454D" w:rsidRPr="00A735B4" w:rsidRDefault="00C4454D" w:rsidP="00C4454D">
      <w:pPr>
        <w:numPr>
          <w:ilvl w:val="0"/>
          <w:numId w:val="2"/>
        </w:numPr>
        <w:spacing w:before="240" w:after="240"/>
        <w:ind w:left="0" w:firstLine="0"/>
        <w:jc w:val="both"/>
      </w:pPr>
      <w:r w:rsidRPr="00A735B4">
        <w:t>Comparisons of prices for homogeneous products can also be difficult to interpret when seen in isolation. Even in a perfectly integrated market, one would not expect the prices in the supply center and the demand center to be identical, as there are transport and transaction costs to link the two markets. Hence, some knowledge of the magnitude of these trade costs (and for time-series analysis, their evolution) would be needed to make proper judgments on the degree of market integration. In addition, there are challenges with respect to the comparability of products, the degree of competition in the markets, and currency conversion.</w:t>
      </w:r>
    </w:p>
    <w:p w14:paraId="2E0BCE43" w14:textId="77777777" w:rsidR="00C4454D" w:rsidRPr="00A735B4" w:rsidRDefault="00C4454D" w:rsidP="00C4454D">
      <w:pPr>
        <w:spacing w:before="240" w:after="240"/>
        <w:jc w:val="both"/>
      </w:pPr>
    </w:p>
    <w:p w14:paraId="15F4B9A8" w14:textId="2385C0D3" w:rsidR="00C4454D" w:rsidRPr="00A735B4" w:rsidRDefault="00C4454D" w:rsidP="00C4454D">
      <w:pPr>
        <w:numPr>
          <w:ilvl w:val="0"/>
          <w:numId w:val="2"/>
        </w:numPr>
        <w:spacing w:before="240" w:after="240"/>
        <w:ind w:left="0" w:firstLine="0"/>
        <w:jc w:val="both"/>
      </w:pPr>
      <w:r w:rsidRPr="00A735B4">
        <w:t xml:space="preserve">Among partial trade cost indicators, information on </w:t>
      </w:r>
      <w:r w:rsidRPr="00A735B4">
        <w:rPr>
          <w:i/>
        </w:rPr>
        <w:t>tariff barriers</w:t>
      </w:r>
      <w:r w:rsidRPr="00A735B4">
        <w:t xml:space="preserve"> is most prevalent, since the liberalization of border taxes has been the early focus of most trade integration agreements. Various indicators can be envisioned, which use direct tariff measurement or indirect prevalence data (table 2.2).</w:t>
      </w:r>
    </w:p>
    <w:p w14:paraId="68832949" w14:textId="79707CB1" w:rsidR="00C4454D" w:rsidRPr="00A735B4" w:rsidRDefault="00C4454D">
      <w:pPr>
        <w:spacing w:after="200" w:line="276" w:lineRule="auto"/>
        <w:rPr>
          <w:b/>
          <w:bCs/>
          <w:color w:val="1F497D" w:themeColor="text2"/>
        </w:rPr>
      </w:pPr>
      <w:bookmarkStart w:id="11" w:name="_Toc410823532"/>
    </w:p>
    <w:p w14:paraId="0AD3CBC3" w14:textId="1A4B0EF3" w:rsidR="00C4454D" w:rsidRPr="00A735B4" w:rsidRDefault="00C4454D" w:rsidP="00C4454D">
      <w:pPr>
        <w:jc w:val="center"/>
        <w:rPr>
          <w:color w:val="1F497D" w:themeColor="text2"/>
          <w:sz w:val="24"/>
          <w:szCs w:val="24"/>
        </w:rPr>
      </w:pPr>
      <w:r w:rsidRPr="00A735B4">
        <w:rPr>
          <w:color w:val="1F497D" w:themeColor="text2"/>
          <w:sz w:val="24"/>
          <w:szCs w:val="24"/>
        </w:rPr>
        <w:t>Table 2.2 Examples of tariff-centered trade cost indicators</w:t>
      </w:r>
      <w:bookmarkEnd w:id="11"/>
    </w:p>
    <w:tbl>
      <w:tblPr>
        <w:tblW w:w="0" w:type="auto"/>
        <w:tblInd w:w="10" w:type="dxa"/>
        <w:tblCellMar>
          <w:left w:w="10" w:type="dxa"/>
          <w:right w:w="10" w:type="dxa"/>
        </w:tblCellMar>
        <w:tblLook w:val="04A0" w:firstRow="1" w:lastRow="0" w:firstColumn="1" w:lastColumn="0" w:noHBand="0" w:noVBand="1"/>
      </w:tblPr>
      <w:tblGrid>
        <w:gridCol w:w="4428"/>
        <w:gridCol w:w="4428"/>
      </w:tblGrid>
      <w:tr w:rsidR="00C4454D" w:rsidRPr="00A735B4" w14:paraId="281E453F" w14:textId="77777777" w:rsidTr="00C4454D">
        <w:tc>
          <w:tcPr>
            <w:tcW w:w="4428" w:type="dxa"/>
            <w:tcBorders>
              <w:top w:val="single" w:sz="4" w:space="0" w:color="auto"/>
            </w:tcBorders>
          </w:tcPr>
          <w:p w14:paraId="7A3C9D13" w14:textId="77777777" w:rsidR="00C4454D" w:rsidRPr="00A735B4" w:rsidRDefault="00C4454D" w:rsidP="00C4454D">
            <w:pPr>
              <w:keepNext/>
              <w:jc w:val="center"/>
              <w:rPr>
                <w:b/>
              </w:rPr>
            </w:pPr>
            <w:r w:rsidRPr="00A735B4">
              <w:rPr>
                <w:b/>
              </w:rPr>
              <w:lastRenderedPageBreak/>
              <w:t>Direct</w:t>
            </w:r>
          </w:p>
        </w:tc>
        <w:tc>
          <w:tcPr>
            <w:tcW w:w="4428" w:type="dxa"/>
            <w:tcBorders>
              <w:top w:val="single" w:sz="4" w:space="0" w:color="auto"/>
            </w:tcBorders>
          </w:tcPr>
          <w:p w14:paraId="0262ECAC" w14:textId="77777777" w:rsidR="00C4454D" w:rsidRPr="00A735B4" w:rsidRDefault="00C4454D" w:rsidP="00C4454D">
            <w:pPr>
              <w:keepNext/>
              <w:jc w:val="center"/>
              <w:rPr>
                <w:b/>
              </w:rPr>
            </w:pPr>
            <w:r w:rsidRPr="00A735B4">
              <w:rPr>
                <w:b/>
              </w:rPr>
              <w:t>Indirect</w:t>
            </w:r>
          </w:p>
        </w:tc>
      </w:tr>
      <w:tr w:rsidR="00C4454D" w:rsidRPr="00A735B4" w14:paraId="5EF0DB11" w14:textId="77777777" w:rsidTr="00C4454D">
        <w:tc>
          <w:tcPr>
            <w:tcW w:w="4428" w:type="dxa"/>
          </w:tcPr>
          <w:p w14:paraId="2C5355A9" w14:textId="77777777" w:rsidR="00C4454D" w:rsidRPr="00A735B4" w:rsidRDefault="00C4454D" w:rsidP="00C4454D">
            <w:pPr>
              <w:keepNext/>
            </w:pPr>
            <w:r w:rsidRPr="00A735B4">
              <w:t>Production-weighted average regional and MFN tariff</w:t>
            </w:r>
          </w:p>
        </w:tc>
        <w:tc>
          <w:tcPr>
            <w:tcW w:w="4428" w:type="dxa"/>
          </w:tcPr>
          <w:p w14:paraId="140A01B9" w14:textId="77777777" w:rsidR="00C4454D" w:rsidRPr="00A735B4" w:rsidRDefault="00C4454D" w:rsidP="00C4454D">
            <w:pPr>
              <w:keepNext/>
            </w:pPr>
            <w:r w:rsidRPr="00A735B4">
              <w:t>Share of regional trade that pays MFN duty</w:t>
            </w:r>
          </w:p>
        </w:tc>
      </w:tr>
      <w:tr w:rsidR="00C4454D" w:rsidRPr="00A735B4" w14:paraId="3AD79310" w14:textId="77777777" w:rsidTr="00C4454D">
        <w:tc>
          <w:tcPr>
            <w:tcW w:w="4428" w:type="dxa"/>
          </w:tcPr>
          <w:p w14:paraId="5910F23E" w14:textId="77777777" w:rsidR="00C4454D" w:rsidRPr="00A735B4" w:rsidRDefault="00C4454D" w:rsidP="00C4454D">
            <w:pPr>
              <w:keepNext/>
            </w:pPr>
            <w:r w:rsidRPr="00A735B4">
              <w:t>Trade-weighted average regional and MFN tariff</w:t>
            </w:r>
          </w:p>
        </w:tc>
        <w:tc>
          <w:tcPr>
            <w:tcW w:w="4428" w:type="dxa"/>
          </w:tcPr>
          <w:p w14:paraId="7A2A10E8" w14:textId="13223AF6" w:rsidR="00C4454D" w:rsidRPr="00A735B4" w:rsidRDefault="00C4454D" w:rsidP="00C4454D">
            <w:pPr>
              <w:keepNext/>
            </w:pPr>
            <w:r w:rsidRPr="00A735B4">
              <w:t>Share of nonzero intraregional and MFN tariff lines</w:t>
            </w:r>
          </w:p>
        </w:tc>
      </w:tr>
      <w:tr w:rsidR="00C4454D" w:rsidRPr="00A735B4" w14:paraId="5BEE0E51" w14:textId="77777777" w:rsidTr="00C4454D">
        <w:tc>
          <w:tcPr>
            <w:tcW w:w="4428" w:type="dxa"/>
          </w:tcPr>
          <w:p w14:paraId="7B318D2C" w14:textId="233C9CDA" w:rsidR="00C4454D" w:rsidRPr="00A735B4" w:rsidRDefault="00C4454D" w:rsidP="00C4454D">
            <w:pPr>
              <w:keepNext/>
            </w:pPr>
            <w:r w:rsidRPr="00A735B4">
              <w:t>Simple average intraregional and MFN tariff</w:t>
            </w:r>
          </w:p>
        </w:tc>
        <w:tc>
          <w:tcPr>
            <w:tcW w:w="4428" w:type="dxa"/>
          </w:tcPr>
          <w:p w14:paraId="3701D250" w14:textId="77777777" w:rsidR="00C4454D" w:rsidRPr="00A735B4" w:rsidRDefault="00C4454D" w:rsidP="00C4454D">
            <w:pPr>
              <w:keepNext/>
            </w:pPr>
            <w:r w:rsidRPr="00A735B4">
              <w:t>Share of tariff lines that are exempted from regional preferences</w:t>
            </w:r>
          </w:p>
        </w:tc>
      </w:tr>
      <w:tr w:rsidR="00C4454D" w:rsidRPr="00A735B4" w14:paraId="6BFFA5D3" w14:textId="77777777" w:rsidTr="00C4454D">
        <w:tc>
          <w:tcPr>
            <w:tcW w:w="4428" w:type="dxa"/>
            <w:tcBorders>
              <w:bottom w:val="single" w:sz="4" w:space="0" w:color="auto"/>
            </w:tcBorders>
          </w:tcPr>
          <w:p w14:paraId="56A82FA9" w14:textId="675A147C" w:rsidR="00C4454D" w:rsidRPr="00A735B4" w:rsidRDefault="00C4454D" w:rsidP="00C4454D">
            <w:pPr>
              <w:keepNext/>
            </w:pPr>
            <w:r w:rsidRPr="00A735B4">
              <w:t>Highest intraregional and MFN tariff</w:t>
            </w:r>
          </w:p>
        </w:tc>
        <w:tc>
          <w:tcPr>
            <w:tcW w:w="4428" w:type="dxa"/>
            <w:tcBorders>
              <w:bottom w:val="single" w:sz="4" w:space="0" w:color="auto"/>
            </w:tcBorders>
          </w:tcPr>
          <w:p w14:paraId="0D39585D" w14:textId="05D0C938" w:rsidR="00C4454D" w:rsidRPr="00A735B4" w:rsidRDefault="00C4454D" w:rsidP="00C4454D">
            <w:pPr>
              <w:keepNext/>
            </w:pPr>
            <w:r w:rsidRPr="00A735B4">
              <w:t>Prevalence of intraregional and MFN tariff peaks</w:t>
            </w:r>
          </w:p>
        </w:tc>
      </w:tr>
    </w:tbl>
    <w:p w14:paraId="498978C7" w14:textId="77777777" w:rsidR="00C4454D" w:rsidRPr="00A735B4" w:rsidRDefault="00C4454D" w:rsidP="00C4454D">
      <w:pPr>
        <w:keepNext/>
        <w:rPr>
          <w:sz w:val="20"/>
        </w:rPr>
      </w:pPr>
      <w:r w:rsidRPr="00A735B4">
        <w:rPr>
          <w:i/>
          <w:sz w:val="20"/>
        </w:rPr>
        <w:t>Source</w:t>
      </w:r>
      <w:r w:rsidRPr="00A735B4">
        <w:rPr>
          <w:sz w:val="20"/>
        </w:rPr>
        <w:t>: World Bank.</w:t>
      </w:r>
    </w:p>
    <w:p w14:paraId="39EB3E23" w14:textId="77777777" w:rsidR="00C4454D" w:rsidRPr="00A735B4" w:rsidRDefault="00C4454D" w:rsidP="00C4454D">
      <w:pPr>
        <w:keepNext/>
        <w:rPr>
          <w:sz w:val="20"/>
        </w:rPr>
      </w:pPr>
      <w:r w:rsidRPr="00A735B4">
        <w:rPr>
          <w:i/>
          <w:sz w:val="20"/>
        </w:rPr>
        <w:t>Note:</w:t>
      </w:r>
      <w:r w:rsidRPr="00A735B4">
        <w:rPr>
          <w:sz w:val="20"/>
        </w:rPr>
        <w:t xml:space="preserve"> MFN = most-favored nation.</w:t>
      </w:r>
    </w:p>
    <w:p w14:paraId="10BBA85F" w14:textId="77777777" w:rsidR="00C4454D" w:rsidRPr="00A735B4" w:rsidRDefault="00C4454D" w:rsidP="00C4454D"/>
    <w:p w14:paraId="0A370E52" w14:textId="1C2CCADB" w:rsidR="00C4454D" w:rsidRPr="00A735B4" w:rsidRDefault="00C4454D" w:rsidP="00C4454D">
      <w:pPr>
        <w:numPr>
          <w:ilvl w:val="0"/>
          <w:numId w:val="2"/>
        </w:numPr>
        <w:ind w:left="0" w:firstLine="0"/>
        <w:jc w:val="both"/>
      </w:pPr>
      <w:r w:rsidRPr="00A735B4">
        <w:rPr>
          <w:i/>
        </w:rPr>
        <w:t>Non-tariff measures</w:t>
      </w:r>
      <w:r w:rsidRPr="00A735B4">
        <w:t xml:space="preserve"> come in many shapes and configurations. The United Nations Conference on Trade and Development (UNCTAD) distinguishes a total of 16 different categories. These comprise technical measures (sanitary and phytosanitary (SPS) measures, technical barriers to trade, and pre-shipment inspection), nontechnical measures (contingent trade protection, non-automatic licenses, price controls, finance-related, competition-related, investment-related, distribution-related, post-sales, subsidies, government procurement, intellectual property, and rules of origin), and export-related measures (UNCTAD 2013). Most non-tariff measures have a domestic policy rationale, but if they are implemented in an overly restrictive manner, they can become barriers to trade. Table 2.3lists a selection of indicators that can be used to monitor trade and integration.</w:t>
      </w:r>
    </w:p>
    <w:p w14:paraId="7D2D100A" w14:textId="77777777" w:rsidR="00C4454D" w:rsidRPr="00A735B4" w:rsidRDefault="00C4454D" w:rsidP="00C4454D">
      <w:pPr>
        <w:jc w:val="center"/>
        <w:rPr>
          <w:color w:val="1F497D" w:themeColor="text2"/>
          <w:sz w:val="24"/>
          <w:szCs w:val="24"/>
        </w:rPr>
      </w:pPr>
    </w:p>
    <w:p w14:paraId="44CD4EF0" w14:textId="3A837DA1" w:rsidR="00C4454D" w:rsidRPr="00A735B4" w:rsidRDefault="00C4454D" w:rsidP="00C4454D">
      <w:pPr>
        <w:jc w:val="center"/>
        <w:rPr>
          <w:color w:val="1F497D" w:themeColor="text2"/>
          <w:sz w:val="24"/>
          <w:szCs w:val="24"/>
        </w:rPr>
      </w:pPr>
      <w:bookmarkStart w:id="12" w:name="_Toc410823533"/>
      <w:r w:rsidRPr="00A735B4">
        <w:rPr>
          <w:color w:val="1F497D" w:themeColor="text2"/>
          <w:sz w:val="24"/>
          <w:szCs w:val="24"/>
        </w:rPr>
        <w:t>Table 2.3 Examples of NTB-centered trade cost indicators</w:t>
      </w:r>
      <w:bookmarkEnd w:id="12"/>
    </w:p>
    <w:tbl>
      <w:tblPr>
        <w:tblW w:w="0" w:type="auto"/>
        <w:tblInd w:w="10" w:type="dxa"/>
        <w:tblCellMar>
          <w:left w:w="10" w:type="dxa"/>
          <w:right w:w="10" w:type="dxa"/>
        </w:tblCellMar>
        <w:tblLook w:val="04A0" w:firstRow="1" w:lastRow="0" w:firstColumn="1" w:lastColumn="0" w:noHBand="0" w:noVBand="1"/>
      </w:tblPr>
      <w:tblGrid>
        <w:gridCol w:w="4369"/>
        <w:gridCol w:w="4801"/>
      </w:tblGrid>
      <w:tr w:rsidR="00C4454D" w:rsidRPr="00A735B4" w14:paraId="30A3A23D" w14:textId="77777777" w:rsidTr="00C4454D">
        <w:tc>
          <w:tcPr>
            <w:tcW w:w="4428" w:type="dxa"/>
            <w:tcBorders>
              <w:top w:val="single" w:sz="4" w:space="0" w:color="auto"/>
            </w:tcBorders>
          </w:tcPr>
          <w:p w14:paraId="135A180B" w14:textId="77777777" w:rsidR="00C4454D" w:rsidRPr="00A735B4" w:rsidRDefault="00C4454D" w:rsidP="00C4454D">
            <w:pPr>
              <w:keepNext/>
              <w:jc w:val="center"/>
              <w:rPr>
                <w:b/>
              </w:rPr>
            </w:pPr>
            <w:r w:rsidRPr="00A735B4">
              <w:rPr>
                <w:b/>
              </w:rPr>
              <w:lastRenderedPageBreak/>
              <w:t>Direct</w:t>
            </w:r>
          </w:p>
        </w:tc>
        <w:tc>
          <w:tcPr>
            <w:tcW w:w="4860" w:type="dxa"/>
            <w:tcBorders>
              <w:top w:val="single" w:sz="4" w:space="0" w:color="auto"/>
            </w:tcBorders>
          </w:tcPr>
          <w:p w14:paraId="02592316" w14:textId="77777777" w:rsidR="00C4454D" w:rsidRPr="00A735B4" w:rsidRDefault="00C4454D" w:rsidP="00C4454D">
            <w:pPr>
              <w:keepNext/>
              <w:jc w:val="center"/>
              <w:rPr>
                <w:b/>
              </w:rPr>
            </w:pPr>
            <w:r w:rsidRPr="00A735B4">
              <w:rPr>
                <w:b/>
              </w:rPr>
              <w:t>Indirect</w:t>
            </w:r>
          </w:p>
        </w:tc>
      </w:tr>
      <w:tr w:rsidR="00C4454D" w:rsidRPr="00A735B4" w14:paraId="3DCB6D7F" w14:textId="77777777" w:rsidTr="00C4454D">
        <w:tc>
          <w:tcPr>
            <w:tcW w:w="4428" w:type="dxa"/>
          </w:tcPr>
          <w:p w14:paraId="1093CE30" w14:textId="77777777" w:rsidR="00C4454D" w:rsidRPr="00A735B4" w:rsidRDefault="00C4454D" w:rsidP="00C4454D">
            <w:pPr>
              <w:keepNext/>
            </w:pPr>
            <w:r w:rsidRPr="00A735B4">
              <w:t>Cost of border crossing permit/jetton</w:t>
            </w:r>
          </w:p>
        </w:tc>
        <w:tc>
          <w:tcPr>
            <w:tcW w:w="4860" w:type="dxa"/>
          </w:tcPr>
          <w:p w14:paraId="1159D19F" w14:textId="77777777" w:rsidR="00C4454D" w:rsidRPr="00A735B4" w:rsidRDefault="00C4454D" w:rsidP="00C4454D">
            <w:pPr>
              <w:keepNext/>
            </w:pPr>
            <w:r w:rsidRPr="00A735B4">
              <w:t>Time to cross border</w:t>
            </w:r>
          </w:p>
        </w:tc>
      </w:tr>
      <w:tr w:rsidR="00C4454D" w:rsidRPr="00A735B4" w14:paraId="7F68F68A" w14:textId="77777777" w:rsidTr="00C4454D">
        <w:tc>
          <w:tcPr>
            <w:tcW w:w="4428" w:type="dxa"/>
          </w:tcPr>
          <w:p w14:paraId="40346579" w14:textId="77777777" w:rsidR="00C4454D" w:rsidRPr="00A735B4" w:rsidRDefault="00C4454D" w:rsidP="00C4454D">
            <w:pPr>
              <w:keepNext/>
            </w:pPr>
            <w:r w:rsidRPr="00A735B4">
              <w:t>Cost of obtaining import/export license/permit</w:t>
            </w:r>
          </w:p>
        </w:tc>
        <w:tc>
          <w:tcPr>
            <w:tcW w:w="4860" w:type="dxa"/>
          </w:tcPr>
          <w:p w14:paraId="35259F9C" w14:textId="77777777" w:rsidR="00C4454D" w:rsidRPr="00A735B4" w:rsidRDefault="00C4454D" w:rsidP="00C4454D">
            <w:pPr>
              <w:keepNext/>
            </w:pPr>
            <w:r w:rsidRPr="00A735B4">
              <w:t>Time and predictability to obtain import/export license/permit</w:t>
            </w:r>
          </w:p>
        </w:tc>
      </w:tr>
      <w:tr w:rsidR="00C4454D" w:rsidRPr="00A735B4" w14:paraId="3D8B443F" w14:textId="77777777" w:rsidTr="00C4454D">
        <w:tc>
          <w:tcPr>
            <w:tcW w:w="4428" w:type="dxa"/>
          </w:tcPr>
          <w:p w14:paraId="78C70849" w14:textId="77777777" w:rsidR="00C4454D" w:rsidRPr="00A735B4" w:rsidRDefault="00C4454D" w:rsidP="00C4454D">
            <w:pPr>
              <w:keepNext/>
            </w:pPr>
            <w:r w:rsidRPr="00A735B4">
              <w:t>Cost of obtaining certificate of origin</w:t>
            </w:r>
          </w:p>
        </w:tc>
        <w:tc>
          <w:tcPr>
            <w:tcW w:w="4860" w:type="dxa"/>
          </w:tcPr>
          <w:p w14:paraId="0695D7FA" w14:textId="77777777" w:rsidR="00C4454D" w:rsidRPr="00A735B4" w:rsidRDefault="00C4454D" w:rsidP="00C4454D">
            <w:pPr>
              <w:keepNext/>
            </w:pPr>
            <w:r w:rsidRPr="00A735B4">
              <w:t>Time/predictability to obtain certificate of origin</w:t>
            </w:r>
          </w:p>
        </w:tc>
      </w:tr>
      <w:tr w:rsidR="00C4454D" w:rsidRPr="00A735B4" w14:paraId="5780933F" w14:textId="77777777" w:rsidTr="00C4454D">
        <w:tc>
          <w:tcPr>
            <w:tcW w:w="4428" w:type="dxa"/>
          </w:tcPr>
          <w:p w14:paraId="22C60818" w14:textId="77777777" w:rsidR="00C4454D" w:rsidRPr="00A735B4" w:rsidRDefault="00C4454D" w:rsidP="00C4454D">
            <w:pPr>
              <w:keepNext/>
            </w:pPr>
            <w:r w:rsidRPr="00A735B4">
              <w:t>Cost to obtain SPS certificate</w:t>
            </w:r>
          </w:p>
        </w:tc>
        <w:tc>
          <w:tcPr>
            <w:tcW w:w="4860" w:type="dxa"/>
          </w:tcPr>
          <w:p w14:paraId="22314714" w14:textId="77777777" w:rsidR="00C4454D" w:rsidRPr="00A735B4" w:rsidRDefault="00C4454D" w:rsidP="00C4454D">
            <w:pPr>
              <w:keepNext/>
            </w:pPr>
            <w:r w:rsidRPr="00A735B4">
              <w:t>Time/predictability to obtain SPS certificate</w:t>
            </w:r>
          </w:p>
        </w:tc>
      </w:tr>
      <w:tr w:rsidR="00C4454D" w:rsidRPr="00A735B4" w14:paraId="2C140A82" w14:textId="77777777" w:rsidTr="00C4454D">
        <w:tc>
          <w:tcPr>
            <w:tcW w:w="4428" w:type="dxa"/>
          </w:tcPr>
          <w:p w14:paraId="7A9DAE93" w14:textId="77777777" w:rsidR="00C4454D" w:rsidRPr="00A735B4" w:rsidRDefault="00C4454D" w:rsidP="00C4454D">
            <w:pPr>
              <w:keepNext/>
            </w:pPr>
            <w:r w:rsidRPr="00A735B4">
              <w:t xml:space="preserve">Amount of informal payments at border </w:t>
            </w:r>
          </w:p>
        </w:tc>
        <w:tc>
          <w:tcPr>
            <w:tcW w:w="4860" w:type="dxa"/>
          </w:tcPr>
          <w:p w14:paraId="0E3F43AD" w14:textId="77777777" w:rsidR="00C4454D" w:rsidRPr="00A735B4" w:rsidRDefault="00C4454D" w:rsidP="00C4454D">
            <w:pPr>
              <w:keepNext/>
            </w:pPr>
            <w:r w:rsidRPr="00A735B4">
              <w:t>Share of tariff lines subject to export bans</w:t>
            </w:r>
          </w:p>
        </w:tc>
      </w:tr>
      <w:tr w:rsidR="00C4454D" w:rsidRPr="00A735B4" w14:paraId="55831C21" w14:textId="77777777" w:rsidTr="00C4454D">
        <w:tc>
          <w:tcPr>
            <w:tcW w:w="4428" w:type="dxa"/>
            <w:tcBorders>
              <w:bottom w:val="single" w:sz="4" w:space="0" w:color="auto"/>
            </w:tcBorders>
          </w:tcPr>
          <w:p w14:paraId="17E3DBB8" w14:textId="77777777" w:rsidR="00C4454D" w:rsidRPr="00A735B4" w:rsidRDefault="00C4454D" w:rsidP="00C4454D">
            <w:pPr>
              <w:keepNext/>
            </w:pPr>
            <w:r w:rsidRPr="00A735B4">
              <w:t>Cost of standard tests for aflatoxin</w:t>
            </w:r>
          </w:p>
        </w:tc>
        <w:tc>
          <w:tcPr>
            <w:tcW w:w="4860" w:type="dxa"/>
            <w:tcBorders>
              <w:bottom w:val="single" w:sz="4" w:space="0" w:color="auto"/>
            </w:tcBorders>
          </w:tcPr>
          <w:p w14:paraId="1B70E80E" w14:textId="77777777" w:rsidR="00C4454D" w:rsidRPr="00A735B4" w:rsidRDefault="00C4454D" w:rsidP="00C4454D">
            <w:pPr>
              <w:keepNext/>
            </w:pPr>
          </w:p>
        </w:tc>
      </w:tr>
    </w:tbl>
    <w:p w14:paraId="21DAFCED" w14:textId="77777777" w:rsidR="00C4454D" w:rsidRPr="00A735B4" w:rsidRDefault="00C4454D" w:rsidP="00C4454D">
      <w:pPr>
        <w:keepNext/>
        <w:rPr>
          <w:sz w:val="20"/>
        </w:rPr>
      </w:pPr>
      <w:r w:rsidRPr="00A735B4">
        <w:rPr>
          <w:i/>
          <w:sz w:val="20"/>
        </w:rPr>
        <w:t>Source</w:t>
      </w:r>
      <w:r w:rsidRPr="00A735B4">
        <w:rPr>
          <w:sz w:val="20"/>
        </w:rPr>
        <w:t>: World Bank.</w:t>
      </w:r>
    </w:p>
    <w:p w14:paraId="6925C8E4" w14:textId="77777777" w:rsidR="00C4454D" w:rsidRPr="00A735B4" w:rsidRDefault="00C4454D" w:rsidP="00C4454D">
      <w:pPr>
        <w:keepNext/>
        <w:rPr>
          <w:sz w:val="20"/>
        </w:rPr>
      </w:pPr>
      <w:r w:rsidRPr="00A735B4">
        <w:rPr>
          <w:i/>
          <w:sz w:val="20"/>
        </w:rPr>
        <w:t>Note:</w:t>
      </w:r>
      <w:r w:rsidRPr="00A735B4">
        <w:rPr>
          <w:sz w:val="20"/>
        </w:rPr>
        <w:t xml:space="preserve"> NTB = non-tariff barrier; SPS = sanitary and phytosanitary. </w:t>
      </w:r>
    </w:p>
    <w:p w14:paraId="6998C6E4" w14:textId="77777777" w:rsidR="00C4454D" w:rsidRPr="00A735B4" w:rsidRDefault="00C4454D" w:rsidP="00C4454D"/>
    <w:p w14:paraId="25130088" w14:textId="35C3A38B" w:rsidR="00C4454D" w:rsidRPr="00A735B4" w:rsidRDefault="00C4454D" w:rsidP="00C4454D">
      <w:pPr>
        <w:numPr>
          <w:ilvl w:val="0"/>
          <w:numId w:val="2"/>
        </w:numPr>
        <w:ind w:left="0" w:firstLine="0"/>
      </w:pPr>
      <w:r w:rsidRPr="00A735B4">
        <w:rPr>
          <w:i/>
        </w:rPr>
        <w:t>Trade facilitation–related barriers</w:t>
      </w:r>
      <w:r w:rsidRPr="00A735B4">
        <w:t xml:space="preserve"> constitute a subset of non-tariff barriers (NTBs) that is related to the logistics of cross-border trade. These measures cover practices and procedures concerning transport and border clearance. Again, a large number of potential direct and indirect indicators can be envisaged, of which a sample is presented in table 2.4.</w:t>
      </w:r>
    </w:p>
    <w:p w14:paraId="650823DE" w14:textId="77777777" w:rsidR="00C4454D" w:rsidRPr="00A735B4" w:rsidRDefault="00C4454D" w:rsidP="00C4454D"/>
    <w:p w14:paraId="0454D9EA" w14:textId="7E710DFF" w:rsidR="00C4454D" w:rsidRPr="00A735B4" w:rsidRDefault="00C4454D" w:rsidP="00C4454D">
      <w:pPr>
        <w:numPr>
          <w:ilvl w:val="0"/>
          <w:numId w:val="2"/>
        </w:numPr>
        <w:ind w:left="0" w:firstLine="0"/>
      </w:pPr>
      <w:r w:rsidRPr="00A735B4">
        <w:t>A well-performing logistics sector is particularly important for the emergence of regional production chains. Production networks spanning across several economies have been at the center of the manufacturing export success in East Asia. Although monitoring regional and global production chains is a demanding, data-intensive undertaking, several promising approaches have recently been developed. Koopman and others (2011) calculate a global or regional participation index based on foreign value-added embodied in gross exports and the domestic value-added embodied in third countries’ gross exports. Fally (2011) takes the number of production stages as an indicator on the length of the global or regional value chain. And Antràs and others (2012) calculate an index of “upstreamness” based on industry-level input-output tables.</w:t>
      </w:r>
    </w:p>
    <w:p w14:paraId="46388674" w14:textId="77777777" w:rsidR="00C4454D" w:rsidRPr="00A735B4" w:rsidRDefault="00C4454D" w:rsidP="00C4454D">
      <w:pPr>
        <w:jc w:val="center"/>
        <w:rPr>
          <w:color w:val="1F497D" w:themeColor="text2"/>
          <w:sz w:val="24"/>
          <w:szCs w:val="24"/>
        </w:rPr>
      </w:pPr>
      <w:bookmarkStart w:id="13" w:name="_Toc410823534"/>
    </w:p>
    <w:p w14:paraId="018ADC92" w14:textId="7A18E5B5" w:rsidR="00C4454D" w:rsidRPr="00A735B4" w:rsidRDefault="00C4454D" w:rsidP="00C4454D">
      <w:pPr>
        <w:jc w:val="center"/>
        <w:rPr>
          <w:color w:val="1F497D" w:themeColor="text2"/>
          <w:sz w:val="24"/>
          <w:szCs w:val="24"/>
        </w:rPr>
      </w:pPr>
      <w:r w:rsidRPr="00A735B4">
        <w:rPr>
          <w:color w:val="1F497D" w:themeColor="text2"/>
          <w:sz w:val="24"/>
          <w:szCs w:val="24"/>
        </w:rPr>
        <w:t>Table 2.4 Examples of trade facilitation–centered trade cost indicators</w:t>
      </w:r>
      <w:bookmarkEnd w:id="13"/>
    </w:p>
    <w:tbl>
      <w:tblPr>
        <w:tblW w:w="0" w:type="auto"/>
        <w:tblInd w:w="10" w:type="dxa"/>
        <w:tblCellMar>
          <w:left w:w="10" w:type="dxa"/>
          <w:right w:w="10" w:type="dxa"/>
        </w:tblCellMar>
        <w:tblLook w:val="04A0" w:firstRow="1" w:lastRow="0" w:firstColumn="1" w:lastColumn="0" w:noHBand="0" w:noVBand="1"/>
      </w:tblPr>
      <w:tblGrid>
        <w:gridCol w:w="4428"/>
        <w:gridCol w:w="4680"/>
      </w:tblGrid>
      <w:tr w:rsidR="00C4454D" w:rsidRPr="00A735B4" w14:paraId="3434DCAC" w14:textId="77777777" w:rsidTr="00C4454D">
        <w:tc>
          <w:tcPr>
            <w:tcW w:w="4428" w:type="dxa"/>
            <w:tcBorders>
              <w:top w:val="single" w:sz="4" w:space="0" w:color="auto"/>
            </w:tcBorders>
          </w:tcPr>
          <w:p w14:paraId="473C8B01" w14:textId="77777777" w:rsidR="00C4454D" w:rsidRPr="00A735B4" w:rsidRDefault="00C4454D" w:rsidP="00C4454D">
            <w:pPr>
              <w:keepNext/>
              <w:jc w:val="center"/>
              <w:rPr>
                <w:b/>
              </w:rPr>
            </w:pPr>
            <w:r w:rsidRPr="00A735B4">
              <w:rPr>
                <w:b/>
              </w:rPr>
              <w:lastRenderedPageBreak/>
              <w:t>Direct</w:t>
            </w:r>
          </w:p>
        </w:tc>
        <w:tc>
          <w:tcPr>
            <w:tcW w:w="4680" w:type="dxa"/>
            <w:tcBorders>
              <w:top w:val="single" w:sz="4" w:space="0" w:color="auto"/>
            </w:tcBorders>
          </w:tcPr>
          <w:p w14:paraId="78AD8784" w14:textId="77777777" w:rsidR="00C4454D" w:rsidRPr="00A735B4" w:rsidRDefault="00C4454D" w:rsidP="00C4454D">
            <w:pPr>
              <w:keepNext/>
              <w:jc w:val="center"/>
              <w:rPr>
                <w:b/>
              </w:rPr>
            </w:pPr>
            <w:r w:rsidRPr="00A735B4">
              <w:rPr>
                <w:b/>
              </w:rPr>
              <w:t>Indirect</w:t>
            </w:r>
          </w:p>
        </w:tc>
      </w:tr>
      <w:tr w:rsidR="00C4454D" w:rsidRPr="00A735B4" w14:paraId="098D3911" w14:textId="77777777" w:rsidTr="00C4454D">
        <w:tc>
          <w:tcPr>
            <w:tcW w:w="4428" w:type="dxa"/>
          </w:tcPr>
          <w:p w14:paraId="6B0286ED" w14:textId="77777777" w:rsidR="00C4454D" w:rsidRPr="00A735B4" w:rsidRDefault="00C4454D" w:rsidP="00C4454D">
            <w:pPr>
              <w:keepNext/>
            </w:pPr>
            <w:r w:rsidRPr="00A735B4">
              <w:t>Average cost per mile to transport goods to neighboring markets</w:t>
            </w:r>
          </w:p>
        </w:tc>
        <w:tc>
          <w:tcPr>
            <w:tcW w:w="4680" w:type="dxa"/>
          </w:tcPr>
          <w:p w14:paraId="5AFF2722" w14:textId="0903FCB9" w:rsidR="00C4454D" w:rsidRPr="00A735B4" w:rsidRDefault="00C4454D" w:rsidP="00C4454D">
            <w:pPr>
              <w:keepNext/>
            </w:pPr>
            <w:r w:rsidRPr="00A735B4">
              <w:t>Number of roadblocks on key trade routes</w:t>
            </w:r>
          </w:p>
        </w:tc>
      </w:tr>
      <w:tr w:rsidR="00C4454D" w:rsidRPr="00A735B4" w14:paraId="6B04A0FC" w14:textId="77777777" w:rsidTr="00C4454D">
        <w:tc>
          <w:tcPr>
            <w:tcW w:w="4428" w:type="dxa"/>
          </w:tcPr>
          <w:p w14:paraId="09D3025E" w14:textId="77777777" w:rsidR="00C4454D" w:rsidRPr="00A735B4" w:rsidRDefault="00C4454D" w:rsidP="00C4454D">
            <w:pPr>
              <w:keepNext/>
            </w:pPr>
            <w:r w:rsidRPr="00A735B4">
              <w:t>Average cost of delivering a container from the port to the main consumption center</w:t>
            </w:r>
          </w:p>
        </w:tc>
        <w:tc>
          <w:tcPr>
            <w:tcW w:w="4680" w:type="dxa"/>
          </w:tcPr>
          <w:p w14:paraId="7F0E84AB" w14:textId="77777777" w:rsidR="00C4454D" w:rsidRPr="00A735B4" w:rsidRDefault="00C4454D" w:rsidP="00C4454D">
            <w:pPr>
              <w:keepNext/>
            </w:pPr>
            <w:r w:rsidRPr="00A735B4">
              <w:t>Number of weigh stations on key trade routes</w:t>
            </w:r>
          </w:p>
        </w:tc>
      </w:tr>
      <w:tr w:rsidR="00C4454D" w:rsidRPr="00A735B4" w14:paraId="52F1CB5C" w14:textId="77777777" w:rsidTr="00C4454D">
        <w:tc>
          <w:tcPr>
            <w:tcW w:w="4428" w:type="dxa"/>
          </w:tcPr>
          <w:p w14:paraId="2BA0CFF8" w14:textId="77777777" w:rsidR="00C4454D" w:rsidRPr="00A735B4" w:rsidRDefault="00C4454D" w:rsidP="00C4454D">
            <w:pPr>
              <w:keepNext/>
            </w:pPr>
          </w:p>
        </w:tc>
        <w:tc>
          <w:tcPr>
            <w:tcW w:w="4680" w:type="dxa"/>
          </w:tcPr>
          <w:p w14:paraId="535730A3" w14:textId="7902E8A5" w:rsidR="00C4454D" w:rsidRPr="00A735B4" w:rsidRDefault="00C4454D" w:rsidP="00C4454D">
            <w:pPr>
              <w:keepNext/>
            </w:pPr>
            <w:r w:rsidRPr="00A735B4">
              <w:t xml:space="preserve">Time spent at border/roadblocks/weigh stations (especially for perishable agricultural products) </w:t>
            </w:r>
          </w:p>
        </w:tc>
      </w:tr>
      <w:tr w:rsidR="00C4454D" w:rsidRPr="00A735B4" w14:paraId="523BA5D3" w14:textId="77777777" w:rsidTr="00C4454D">
        <w:tc>
          <w:tcPr>
            <w:tcW w:w="4428" w:type="dxa"/>
          </w:tcPr>
          <w:p w14:paraId="211362B6" w14:textId="77777777" w:rsidR="00C4454D" w:rsidRPr="00A735B4" w:rsidRDefault="00C4454D" w:rsidP="00C4454D">
            <w:pPr>
              <w:keepNext/>
            </w:pPr>
          </w:p>
        </w:tc>
        <w:tc>
          <w:tcPr>
            <w:tcW w:w="4680" w:type="dxa"/>
          </w:tcPr>
          <w:p w14:paraId="7FBEB53B" w14:textId="77777777" w:rsidR="00C4454D" w:rsidRPr="00A735B4" w:rsidRDefault="00C4454D" w:rsidP="00C4454D">
            <w:pPr>
              <w:keepNext/>
            </w:pPr>
            <w:r w:rsidRPr="00A735B4">
              <w:t>Number of transport operators that traders can choose from</w:t>
            </w:r>
          </w:p>
        </w:tc>
      </w:tr>
      <w:tr w:rsidR="00C4454D" w:rsidRPr="00A735B4" w14:paraId="25AD1C5D" w14:textId="77777777" w:rsidTr="00C4454D">
        <w:tc>
          <w:tcPr>
            <w:tcW w:w="4428" w:type="dxa"/>
          </w:tcPr>
          <w:p w14:paraId="55556033" w14:textId="77777777" w:rsidR="00C4454D" w:rsidRPr="00A735B4" w:rsidRDefault="00C4454D" w:rsidP="00C4454D">
            <w:pPr>
              <w:keepNext/>
            </w:pPr>
          </w:p>
        </w:tc>
        <w:tc>
          <w:tcPr>
            <w:tcW w:w="4680" w:type="dxa"/>
          </w:tcPr>
          <w:p w14:paraId="4758687B" w14:textId="77777777" w:rsidR="00C4454D" w:rsidRPr="00A735B4" w:rsidRDefault="00C4454D" w:rsidP="00C4454D">
            <w:pPr>
              <w:keepNext/>
            </w:pPr>
            <w:r w:rsidRPr="00A735B4">
              <w:t>Frequency of physical inspections at border</w:t>
            </w:r>
          </w:p>
        </w:tc>
      </w:tr>
      <w:tr w:rsidR="00C4454D" w:rsidRPr="00A735B4" w14:paraId="3702BE55" w14:textId="77777777" w:rsidTr="00C4454D">
        <w:tc>
          <w:tcPr>
            <w:tcW w:w="4428" w:type="dxa"/>
          </w:tcPr>
          <w:p w14:paraId="7D25E1EA" w14:textId="77777777" w:rsidR="00C4454D" w:rsidRPr="00A735B4" w:rsidRDefault="00C4454D" w:rsidP="00C4454D">
            <w:pPr>
              <w:keepNext/>
            </w:pPr>
          </w:p>
        </w:tc>
        <w:tc>
          <w:tcPr>
            <w:tcW w:w="4680" w:type="dxa"/>
          </w:tcPr>
          <w:p w14:paraId="3158CED0" w14:textId="77777777" w:rsidR="00C4454D" w:rsidRPr="00A735B4" w:rsidRDefault="00C4454D" w:rsidP="00C4454D">
            <w:pPr>
              <w:keepNext/>
            </w:pPr>
            <w:r w:rsidRPr="00A735B4">
              <w:t>Frequency of rejections of certificate of origin</w:t>
            </w:r>
          </w:p>
        </w:tc>
      </w:tr>
      <w:tr w:rsidR="00C4454D" w:rsidRPr="00A735B4" w14:paraId="4EDF6E03" w14:textId="77777777" w:rsidTr="00C4454D">
        <w:tc>
          <w:tcPr>
            <w:tcW w:w="4428" w:type="dxa"/>
          </w:tcPr>
          <w:p w14:paraId="7F4C8244" w14:textId="77777777" w:rsidR="00C4454D" w:rsidRPr="00A735B4" w:rsidRDefault="00C4454D" w:rsidP="00C4454D">
            <w:pPr>
              <w:keepNext/>
            </w:pPr>
          </w:p>
        </w:tc>
        <w:tc>
          <w:tcPr>
            <w:tcW w:w="4680" w:type="dxa"/>
          </w:tcPr>
          <w:p w14:paraId="352E5E2B" w14:textId="77777777" w:rsidR="00C4454D" w:rsidRPr="00A735B4" w:rsidRDefault="00C4454D" w:rsidP="00C4454D">
            <w:pPr>
              <w:keepNext/>
            </w:pPr>
            <w:r w:rsidRPr="00A735B4">
              <w:t>Share of eligible small-scale traders that benefit from simplified documentation procedures</w:t>
            </w:r>
          </w:p>
        </w:tc>
      </w:tr>
      <w:tr w:rsidR="00C4454D" w:rsidRPr="00A735B4" w14:paraId="65BA39A7" w14:textId="77777777" w:rsidTr="00C4454D">
        <w:tc>
          <w:tcPr>
            <w:tcW w:w="4428" w:type="dxa"/>
            <w:tcBorders>
              <w:bottom w:val="single" w:sz="4" w:space="0" w:color="auto"/>
            </w:tcBorders>
          </w:tcPr>
          <w:p w14:paraId="6C8C537C" w14:textId="77777777" w:rsidR="00C4454D" w:rsidRPr="00A735B4" w:rsidRDefault="00C4454D" w:rsidP="00C4454D">
            <w:pPr>
              <w:keepNext/>
            </w:pPr>
          </w:p>
        </w:tc>
        <w:tc>
          <w:tcPr>
            <w:tcW w:w="4680" w:type="dxa"/>
            <w:tcBorders>
              <w:bottom w:val="single" w:sz="4" w:space="0" w:color="auto"/>
            </w:tcBorders>
          </w:tcPr>
          <w:p w14:paraId="5E6BB98D" w14:textId="77777777" w:rsidR="00C4454D" w:rsidRPr="00A735B4" w:rsidRDefault="00C4454D" w:rsidP="00C4454D">
            <w:pPr>
              <w:keepNext/>
            </w:pPr>
            <w:r w:rsidRPr="00A735B4">
              <w:t>Share of one-stop border posts in total number of border posts</w:t>
            </w:r>
          </w:p>
        </w:tc>
      </w:tr>
    </w:tbl>
    <w:p w14:paraId="344296EF" w14:textId="77777777" w:rsidR="00C4454D" w:rsidRPr="00A735B4" w:rsidRDefault="00C4454D" w:rsidP="00C4454D">
      <w:pPr>
        <w:keepNext/>
        <w:rPr>
          <w:sz w:val="20"/>
        </w:rPr>
      </w:pPr>
      <w:r w:rsidRPr="00A735B4">
        <w:rPr>
          <w:i/>
          <w:sz w:val="20"/>
        </w:rPr>
        <w:t>Source</w:t>
      </w:r>
      <w:r w:rsidRPr="00A735B4">
        <w:rPr>
          <w:sz w:val="20"/>
        </w:rPr>
        <w:t>: World Bank.</w:t>
      </w:r>
    </w:p>
    <w:p w14:paraId="79A50B70" w14:textId="77777777" w:rsidR="00C4454D" w:rsidRPr="00A735B4" w:rsidRDefault="00C4454D" w:rsidP="00C4454D"/>
    <w:p w14:paraId="4BB4C5DE" w14:textId="4D663579" w:rsidR="00C4454D" w:rsidRPr="00A735B4" w:rsidRDefault="00C4454D" w:rsidP="00C4454D">
      <w:pPr>
        <w:numPr>
          <w:ilvl w:val="0"/>
          <w:numId w:val="2"/>
        </w:numPr>
        <w:ind w:left="0" w:firstLine="0"/>
      </w:pPr>
      <w:r w:rsidRPr="00A735B4">
        <w:rPr>
          <w:i/>
        </w:rPr>
        <w:t>Services trade</w:t>
      </w:r>
      <w:r w:rsidRPr="00A735B4">
        <w:t xml:space="preserve"> is substantially different from goods trade. Services can be delivered through four different modes, notably consumption abroad, cross-border delivery, commercial presence, and presence of natural persons, and are heavily affected by behind-the-border regulations. Concerning indicators for integration monitoring, indirect aggregate indicators based on quantity or price are similar in nature to those used for goods trade, while direct partial indicators are specific to the sector or subsector. Table 2.5 provides examples.</w:t>
      </w:r>
    </w:p>
    <w:p w14:paraId="7117AAFD" w14:textId="77777777" w:rsidR="00C4454D" w:rsidRPr="00A735B4" w:rsidRDefault="00C4454D" w:rsidP="00C4454D"/>
    <w:p w14:paraId="3407A7D8" w14:textId="77777777" w:rsidR="00C4454D" w:rsidRPr="00A735B4" w:rsidRDefault="00C4454D" w:rsidP="00C4454D"/>
    <w:p w14:paraId="24BECDBB" w14:textId="77777777" w:rsidR="00C4454D" w:rsidRPr="00A735B4" w:rsidRDefault="00C4454D" w:rsidP="00C4454D"/>
    <w:p w14:paraId="46E7449E" w14:textId="77777777" w:rsidR="00C4454D" w:rsidRPr="00A735B4" w:rsidRDefault="00C4454D" w:rsidP="00C4454D"/>
    <w:p w14:paraId="31403864" w14:textId="77777777" w:rsidR="00C4454D" w:rsidRPr="00A735B4" w:rsidRDefault="00C4454D" w:rsidP="00C4454D"/>
    <w:p w14:paraId="07C029C0" w14:textId="77777777" w:rsidR="00C4454D" w:rsidRPr="00A735B4" w:rsidRDefault="00C4454D" w:rsidP="00C4454D"/>
    <w:p w14:paraId="720E60EC" w14:textId="77777777" w:rsidR="00C4454D" w:rsidRPr="00A735B4" w:rsidRDefault="00C4454D" w:rsidP="00C4454D"/>
    <w:p w14:paraId="2CA92417" w14:textId="77777777" w:rsidR="00C4454D" w:rsidRPr="00A735B4" w:rsidRDefault="00C4454D" w:rsidP="00C4454D"/>
    <w:p w14:paraId="6FDA3EA0" w14:textId="77777777" w:rsidR="00C4454D" w:rsidRPr="00A735B4" w:rsidRDefault="00C4454D" w:rsidP="00C4454D"/>
    <w:p w14:paraId="22A169C7" w14:textId="77777777" w:rsidR="00C4454D" w:rsidRPr="00A735B4" w:rsidRDefault="00C4454D" w:rsidP="00C4454D"/>
    <w:p w14:paraId="2563AF44" w14:textId="77777777" w:rsidR="00C4454D" w:rsidRPr="00A735B4" w:rsidRDefault="00C4454D" w:rsidP="00C4454D"/>
    <w:p w14:paraId="721329FF" w14:textId="1D24FF10" w:rsidR="00C4454D" w:rsidRPr="00A735B4" w:rsidRDefault="00C4454D" w:rsidP="00C4454D">
      <w:pPr>
        <w:jc w:val="center"/>
        <w:rPr>
          <w:color w:val="1F497D" w:themeColor="text2"/>
          <w:sz w:val="24"/>
          <w:szCs w:val="24"/>
        </w:rPr>
      </w:pPr>
      <w:bookmarkStart w:id="14" w:name="_Toc410823535"/>
      <w:r w:rsidRPr="00A735B4">
        <w:rPr>
          <w:color w:val="1F497D" w:themeColor="text2"/>
          <w:sz w:val="24"/>
          <w:szCs w:val="24"/>
        </w:rPr>
        <w:t>Table 2.5 Examples of services trade–centered trade cost indicators</w:t>
      </w:r>
      <w:bookmarkEnd w:id="14"/>
    </w:p>
    <w:tbl>
      <w:tblPr>
        <w:tblW w:w="8905" w:type="dxa"/>
        <w:tblInd w:w="10" w:type="dxa"/>
        <w:tblCellMar>
          <w:left w:w="10" w:type="dxa"/>
          <w:right w:w="10" w:type="dxa"/>
        </w:tblCellMar>
        <w:tblLook w:val="04A0" w:firstRow="1" w:lastRow="0" w:firstColumn="1" w:lastColumn="0" w:noHBand="0" w:noVBand="1"/>
      </w:tblPr>
      <w:tblGrid>
        <w:gridCol w:w="1998"/>
        <w:gridCol w:w="2587"/>
        <w:gridCol w:w="2160"/>
        <w:gridCol w:w="2160"/>
      </w:tblGrid>
      <w:tr w:rsidR="00C4454D" w:rsidRPr="00A735B4" w14:paraId="37329F84" w14:textId="77777777" w:rsidTr="00C4454D">
        <w:tc>
          <w:tcPr>
            <w:tcW w:w="4585" w:type="dxa"/>
            <w:gridSpan w:val="2"/>
            <w:tcBorders>
              <w:top w:val="single" w:sz="4" w:space="0" w:color="auto"/>
            </w:tcBorders>
          </w:tcPr>
          <w:p w14:paraId="643F10E6" w14:textId="77777777" w:rsidR="00C4454D" w:rsidRPr="00A735B4" w:rsidRDefault="00C4454D" w:rsidP="00C4454D">
            <w:pPr>
              <w:keepNext/>
              <w:jc w:val="center"/>
              <w:rPr>
                <w:b/>
              </w:rPr>
            </w:pPr>
            <w:r w:rsidRPr="00A735B4">
              <w:rPr>
                <w:b/>
              </w:rPr>
              <w:t>Partial</w:t>
            </w:r>
          </w:p>
        </w:tc>
        <w:tc>
          <w:tcPr>
            <w:tcW w:w="4320" w:type="dxa"/>
            <w:gridSpan w:val="2"/>
            <w:tcBorders>
              <w:top w:val="single" w:sz="4" w:space="0" w:color="auto"/>
            </w:tcBorders>
          </w:tcPr>
          <w:p w14:paraId="62782BBB" w14:textId="77777777" w:rsidR="00C4454D" w:rsidRPr="00A735B4" w:rsidRDefault="00C4454D" w:rsidP="00C4454D">
            <w:pPr>
              <w:keepNext/>
              <w:jc w:val="center"/>
              <w:rPr>
                <w:b/>
              </w:rPr>
            </w:pPr>
            <w:r w:rsidRPr="00A735B4">
              <w:rPr>
                <w:b/>
              </w:rPr>
              <w:t>Aggregate</w:t>
            </w:r>
          </w:p>
        </w:tc>
      </w:tr>
      <w:tr w:rsidR="00C4454D" w:rsidRPr="00A735B4" w14:paraId="1358F06D" w14:textId="77777777" w:rsidTr="00C4454D">
        <w:tc>
          <w:tcPr>
            <w:tcW w:w="1998" w:type="dxa"/>
          </w:tcPr>
          <w:p w14:paraId="2C1E6B16" w14:textId="77777777" w:rsidR="00C4454D" w:rsidRPr="00A735B4" w:rsidRDefault="00C4454D" w:rsidP="00C4454D">
            <w:pPr>
              <w:keepNext/>
              <w:jc w:val="center"/>
              <w:rPr>
                <w:b/>
              </w:rPr>
            </w:pPr>
            <w:r w:rsidRPr="00A735B4">
              <w:rPr>
                <w:b/>
              </w:rPr>
              <w:t>Direct</w:t>
            </w:r>
          </w:p>
        </w:tc>
        <w:tc>
          <w:tcPr>
            <w:tcW w:w="2587" w:type="dxa"/>
          </w:tcPr>
          <w:p w14:paraId="25FF068E" w14:textId="77777777" w:rsidR="00C4454D" w:rsidRPr="00A735B4" w:rsidRDefault="00C4454D" w:rsidP="00C4454D">
            <w:pPr>
              <w:keepNext/>
              <w:jc w:val="center"/>
              <w:rPr>
                <w:b/>
              </w:rPr>
            </w:pPr>
            <w:r w:rsidRPr="00A735B4">
              <w:rPr>
                <w:b/>
              </w:rPr>
              <w:t>Indirect</w:t>
            </w:r>
          </w:p>
        </w:tc>
        <w:tc>
          <w:tcPr>
            <w:tcW w:w="2160" w:type="dxa"/>
          </w:tcPr>
          <w:p w14:paraId="43AB4E14" w14:textId="77777777" w:rsidR="00C4454D" w:rsidRPr="00A735B4" w:rsidRDefault="00C4454D" w:rsidP="00C4454D">
            <w:pPr>
              <w:keepNext/>
              <w:jc w:val="center"/>
              <w:rPr>
                <w:b/>
              </w:rPr>
            </w:pPr>
            <w:r w:rsidRPr="00A735B4">
              <w:rPr>
                <w:b/>
              </w:rPr>
              <w:t>Quantity</w:t>
            </w:r>
          </w:p>
        </w:tc>
        <w:tc>
          <w:tcPr>
            <w:tcW w:w="2160" w:type="dxa"/>
          </w:tcPr>
          <w:p w14:paraId="1DDF1C9A" w14:textId="77777777" w:rsidR="00C4454D" w:rsidRPr="00A735B4" w:rsidRDefault="00C4454D" w:rsidP="00C4454D">
            <w:pPr>
              <w:keepNext/>
              <w:jc w:val="center"/>
              <w:rPr>
                <w:b/>
              </w:rPr>
            </w:pPr>
            <w:r w:rsidRPr="00A735B4">
              <w:rPr>
                <w:b/>
              </w:rPr>
              <w:t>Price</w:t>
            </w:r>
          </w:p>
        </w:tc>
      </w:tr>
      <w:tr w:rsidR="00C4454D" w:rsidRPr="00A735B4" w14:paraId="28E62BBC" w14:textId="77777777" w:rsidTr="00C4454D">
        <w:tc>
          <w:tcPr>
            <w:tcW w:w="1998" w:type="dxa"/>
          </w:tcPr>
          <w:p w14:paraId="560C4D14" w14:textId="77777777" w:rsidR="00C4454D" w:rsidRPr="00A735B4" w:rsidRDefault="00C4454D" w:rsidP="00C4454D">
            <w:pPr>
              <w:keepNext/>
            </w:pPr>
            <w:r w:rsidRPr="00A735B4">
              <w:t>Average hourly fees charged by services providers</w:t>
            </w:r>
          </w:p>
        </w:tc>
        <w:tc>
          <w:tcPr>
            <w:tcW w:w="2587" w:type="dxa"/>
          </w:tcPr>
          <w:p w14:paraId="30F5DD0C" w14:textId="77777777" w:rsidR="00C4454D" w:rsidRPr="00A735B4" w:rsidRDefault="00C4454D" w:rsidP="00C4454D">
            <w:pPr>
              <w:keepNext/>
            </w:pPr>
            <w:r w:rsidRPr="00A735B4">
              <w:t>Number of professionals that obtain work permits under mutual recognition agreements</w:t>
            </w:r>
          </w:p>
        </w:tc>
        <w:tc>
          <w:tcPr>
            <w:tcW w:w="2160" w:type="dxa"/>
          </w:tcPr>
          <w:p w14:paraId="632DD499" w14:textId="77777777" w:rsidR="00C4454D" w:rsidRPr="00A735B4" w:rsidRDefault="00C4454D" w:rsidP="00C4454D">
            <w:pPr>
              <w:keepNext/>
            </w:pPr>
            <w:r w:rsidRPr="00A735B4">
              <w:t>Share of regional services trade in total services trade</w:t>
            </w:r>
          </w:p>
        </w:tc>
        <w:tc>
          <w:tcPr>
            <w:tcW w:w="2160" w:type="dxa"/>
          </w:tcPr>
          <w:p w14:paraId="7041D71B" w14:textId="77777777" w:rsidR="00C4454D" w:rsidRPr="00A735B4" w:rsidRDefault="00C4454D" w:rsidP="00C4454D">
            <w:pPr>
              <w:keepNext/>
            </w:pPr>
            <w:r w:rsidRPr="00A735B4">
              <w:t xml:space="preserve">Fees charged by service providers for selected standardized services </w:t>
            </w:r>
          </w:p>
        </w:tc>
      </w:tr>
      <w:tr w:rsidR="00C4454D" w:rsidRPr="00A735B4" w14:paraId="6F2796E3" w14:textId="77777777" w:rsidTr="00C4454D">
        <w:tc>
          <w:tcPr>
            <w:tcW w:w="1998" w:type="dxa"/>
          </w:tcPr>
          <w:p w14:paraId="212887C4" w14:textId="77777777" w:rsidR="00C4454D" w:rsidRPr="00A735B4" w:rsidRDefault="00C4454D" w:rsidP="00C4454D">
            <w:pPr>
              <w:keepNext/>
            </w:pPr>
          </w:p>
          <w:p w14:paraId="2AED3416" w14:textId="77777777" w:rsidR="00C4454D" w:rsidRPr="00A735B4" w:rsidRDefault="00C4454D" w:rsidP="00C4454D">
            <w:pPr>
              <w:keepNext/>
            </w:pPr>
            <w:r w:rsidRPr="00A735B4">
              <w:t>Cost to obtain business visa for neighboring markets</w:t>
            </w:r>
          </w:p>
        </w:tc>
        <w:tc>
          <w:tcPr>
            <w:tcW w:w="2587" w:type="dxa"/>
          </w:tcPr>
          <w:p w14:paraId="68F3E736" w14:textId="77777777" w:rsidR="00C4454D" w:rsidRPr="00A735B4" w:rsidRDefault="00C4454D" w:rsidP="00C4454D">
            <w:pPr>
              <w:keepNext/>
            </w:pPr>
          </w:p>
          <w:p w14:paraId="6FF9FDCC" w14:textId="77777777" w:rsidR="00C4454D" w:rsidRPr="00A735B4" w:rsidRDefault="00C4454D" w:rsidP="00C4454D">
            <w:pPr>
              <w:keepNext/>
            </w:pPr>
            <w:r w:rsidRPr="00A735B4">
              <w:t>Time to obtain a business visa for neighboring markets</w:t>
            </w:r>
          </w:p>
        </w:tc>
        <w:tc>
          <w:tcPr>
            <w:tcW w:w="2160" w:type="dxa"/>
          </w:tcPr>
          <w:p w14:paraId="648A6CA0" w14:textId="77777777" w:rsidR="00C4454D" w:rsidRPr="00A735B4" w:rsidRDefault="00C4454D" w:rsidP="00C4454D">
            <w:pPr>
              <w:keepNext/>
            </w:pPr>
          </w:p>
          <w:p w14:paraId="2D761729" w14:textId="77777777" w:rsidR="00C4454D" w:rsidRPr="00A735B4" w:rsidRDefault="00C4454D" w:rsidP="00C4454D">
            <w:pPr>
              <w:keepNext/>
            </w:pPr>
            <w:r w:rsidRPr="00A735B4">
              <w:t>Share of regional services trade in GDP</w:t>
            </w:r>
          </w:p>
        </w:tc>
        <w:tc>
          <w:tcPr>
            <w:tcW w:w="2160" w:type="dxa"/>
          </w:tcPr>
          <w:p w14:paraId="26633BFD" w14:textId="77777777" w:rsidR="00C4454D" w:rsidRPr="00A735B4" w:rsidRDefault="00C4454D" w:rsidP="00C4454D">
            <w:pPr>
              <w:keepNext/>
            </w:pPr>
          </w:p>
          <w:p w14:paraId="48012650" w14:textId="77777777" w:rsidR="00C4454D" w:rsidRPr="00A735B4" w:rsidRDefault="00C4454D" w:rsidP="00C4454D">
            <w:pPr>
              <w:keepNext/>
            </w:pPr>
            <w:r w:rsidRPr="00A735B4">
              <w:t>Cost of trade finance</w:t>
            </w:r>
          </w:p>
        </w:tc>
      </w:tr>
      <w:tr w:rsidR="00C4454D" w:rsidRPr="00A735B4" w14:paraId="45A445A9" w14:textId="77777777" w:rsidTr="00C4454D">
        <w:tc>
          <w:tcPr>
            <w:tcW w:w="1998" w:type="dxa"/>
          </w:tcPr>
          <w:p w14:paraId="5CD47BC6" w14:textId="77777777" w:rsidR="00C4454D" w:rsidRPr="00A735B4" w:rsidRDefault="00C4454D" w:rsidP="00C4454D">
            <w:pPr>
              <w:keepNext/>
            </w:pPr>
          </w:p>
          <w:p w14:paraId="5E9D37C4" w14:textId="77777777" w:rsidR="00C4454D" w:rsidRPr="00A735B4" w:rsidRDefault="00C4454D" w:rsidP="00C4454D">
            <w:pPr>
              <w:keepNext/>
            </w:pPr>
            <w:r w:rsidRPr="00A735B4">
              <w:t>Cost to obtain work permit for neighboring markets</w:t>
            </w:r>
          </w:p>
        </w:tc>
        <w:tc>
          <w:tcPr>
            <w:tcW w:w="2587" w:type="dxa"/>
          </w:tcPr>
          <w:p w14:paraId="50713611" w14:textId="77777777" w:rsidR="00C4454D" w:rsidRPr="00A735B4" w:rsidRDefault="00C4454D" w:rsidP="00C4454D">
            <w:pPr>
              <w:keepNext/>
            </w:pPr>
          </w:p>
          <w:p w14:paraId="2233F82E" w14:textId="77777777" w:rsidR="00C4454D" w:rsidRPr="00A735B4" w:rsidRDefault="00C4454D" w:rsidP="00C4454D">
            <w:pPr>
              <w:keepNext/>
            </w:pPr>
            <w:r w:rsidRPr="00A735B4">
              <w:t>Time to obtain work permit for neighboring markets</w:t>
            </w:r>
          </w:p>
        </w:tc>
        <w:tc>
          <w:tcPr>
            <w:tcW w:w="2160" w:type="dxa"/>
          </w:tcPr>
          <w:p w14:paraId="3EC4B38F" w14:textId="77777777" w:rsidR="00C4454D" w:rsidRPr="00A735B4" w:rsidRDefault="00C4454D" w:rsidP="00C4454D">
            <w:pPr>
              <w:keepNext/>
            </w:pPr>
          </w:p>
        </w:tc>
        <w:tc>
          <w:tcPr>
            <w:tcW w:w="2160" w:type="dxa"/>
          </w:tcPr>
          <w:p w14:paraId="1B294D4B" w14:textId="77777777" w:rsidR="00C4454D" w:rsidRPr="00A735B4" w:rsidRDefault="00C4454D" w:rsidP="00C4454D">
            <w:pPr>
              <w:keepNext/>
            </w:pPr>
          </w:p>
          <w:p w14:paraId="1A86EFA5" w14:textId="77777777" w:rsidR="00C4454D" w:rsidRPr="00A735B4" w:rsidRDefault="00C4454D" w:rsidP="00C4454D">
            <w:pPr>
              <w:keepNext/>
            </w:pPr>
            <w:r w:rsidRPr="00A735B4">
              <w:t>Cost of crop insurance</w:t>
            </w:r>
          </w:p>
        </w:tc>
      </w:tr>
      <w:tr w:rsidR="00C4454D" w:rsidRPr="00A735B4" w14:paraId="356A7784" w14:textId="77777777" w:rsidTr="00C4454D">
        <w:tc>
          <w:tcPr>
            <w:tcW w:w="1998" w:type="dxa"/>
            <w:tcBorders>
              <w:bottom w:val="single" w:sz="4" w:space="0" w:color="auto"/>
            </w:tcBorders>
          </w:tcPr>
          <w:p w14:paraId="4A11517D" w14:textId="77777777" w:rsidR="00C4454D" w:rsidRPr="00A735B4" w:rsidRDefault="00C4454D" w:rsidP="00C4454D">
            <w:pPr>
              <w:keepNext/>
            </w:pPr>
          </w:p>
        </w:tc>
        <w:tc>
          <w:tcPr>
            <w:tcW w:w="2587" w:type="dxa"/>
            <w:tcBorders>
              <w:bottom w:val="single" w:sz="4" w:space="0" w:color="auto"/>
            </w:tcBorders>
          </w:tcPr>
          <w:p w14:paraId="1570143C" w14:textId="77777777" w:rsidR="00C4454D" w:rsidRPr="00A735B4" w:rsidRDefault="00C4454D" w:rsidP="00C4454D">
            <w:pPr>
              <w:keepNext/>
            </w:pPr>
          </w:p>
        </w:tc>
        <w:tc>
          <w:tcPr>
            <w:tcW w:w="2160" w:type="dxa"/>
            <w:tcBorders>
              <w:bottom w:val="single" w:sz="4" w:space="0" w:color="auto"/>
            </w:tcBorders>
          </w:tcPr>
          <w:p w14:paraId="07C503E3" w14:textId="77777777" w:rsidR="00C4454D" w:rsidRPr="00A735B4" w:rsidRDefault="00C4454D" w:rsidP="00C4454D">
            <w:pPr>
              <w:keepNext/>
            </w:pPr>
          </w:p>
        </w:tc>
        <w:tc>
          <w:tcPr>
            <w:tcW w:w="2160" w:type="dxa"/>
            <w:tcBorders>
              <w:bottom w:val="single" w:sz="4" w:space="0" w:color="auto"/>
            </w:tcBorders>
          </w:tcPr>
          <w:p w14:paraId="2C32D6E2" w14:textId="77777777" w:rsidR="00C4454D" w:rsidRPr="00A735B4" w:rsidRDefault="00C4454D" w:rsidP="00C4454D">
            <w:pPr>
              <w:keepNext/>
            </w:pPr>
            <w:r w:rsidRPr="00A735B4">
              <w:t>Cost of local/international phone call</w:t>
            </w:r>
          </w:p>
        </w:tc>
      </w:tr>
    </w:tbl>
    <w:p w14:paraId="5077CD82" w14:textId="77777777" w:rsidR="00C4454D" w:rsidRPr="00A735B4" w:rsidRDefault="00C4454D" w:rsidP="00C4454D">
      <w:pPr>
        <w:keepNext/>
        <w:rPr>
          <w:sz w:val="20"/>
        </w:rPr>
      </w:pPr>
      <w:r w:rsidRPr="00A735B4">
        <w:rPr>
          <w:i/>
          <w:sz w:val="20"/>
        </w:rPr>
        <w:t>Source</w:t>
      </w:r>
      <w:r w:rsidRPr="00A735B4">
        <w:rPr>
          <w:sz w:val="20"/>
        </w:rPr>
        <w:t>: World Bank.</w:t>
      </w:r>
    </w:p>
    <w:p w14:paraId="1F13C3CE" w14:textId="77777777" w:rsidR="00C4454D" w:rsidRPr="00A735B4" w:rsidRDefault="00C4454D" w:rsidP="00C4454D">
      <w:pPr>
        <w:keepNext/>
        <w:rPr>
          <w:sz w:val="20"/>
        </w:rPr>
      </w:pPr>
      <w:r w:rsidRPr="00A735B4">
        <w:rPr>
          <w:i/>
          <w:sz w:val="20"/>
        </w:rPr>
        <w:t>Note:</w:t>
      </w:r>
      <w:r w:rsidRPr="00A735B4">
        <w:rPr>
          <w:sz w:val="20"/>
        </w:rPr>
        <w:t xml:space="preserve"> GDP = gross domestic product.</w:t>
      </w:r>
    </w:p>
    <w:p w14:paraId="6B6C91C0" w14:textId="77777777" w:rsidR="00C4454D" w:rsidRPr="00A735B4" w:rsidRDefault="00C4454D" w:rsidP="00C4454D">
      <w:pPr>
        <w:keepNext/>
        <w:rPr>
          <w:sz w:val="20"/>
        </w:rPr>
      </w:pPr>
    </w:p>
    <w:p w14:paraId="3F2071E7" w14:textId="5ABE8E32" w:rsidR="00C4454D" w:rsidRPr="00A735B4" w:rsidRDefault="00C4454D">
      <w:pPr>
        <w:spacing w:after="200" w:line="276" w:lineRule="auto"/>
        <w:rPr>
          <w:sz w:val="20"/>
        </w:rPr>
      </w:pPr>
      <w:r w:rsidRPr="00A735B4">
        <w:rPr>
          <w:sz w:val="20"/>
        </w:rPr>
        <w:br w:type="page"/>
      </w:r>
    </w:p>
    <w:p w14:paraId="544B6590" w14:textId="71840F5B" w:rsidR="00C4454D" w:rsidRPr="00A735B4" w:rsidRDefault="00C4454D" w:rsidP="00C4454D">
      <w:pPr>
        <w:spacing w:before="360" w:after="240"/>
      </w:pPr>
      <w:bookmarkStart w:id="15" w:name="_Toc363830854"/>
      <w:bookmarkStart w:id="16" w:name="_Toc419565229"/>
      <w:r w:rsidRPr="00A735B4">
        <w:lastRenderedPageBreak/>
        <w:t>Indicators that are currently used in Africa</w:t>
      </w:r>
      <w:bookmarkEnd w:id="15"/>
      <w:bookmarkEnd w:id="16"/>
    </w:p>
    <w:p w14:paraId="6B843A33" w14:textId="12DC8CE8" w:rsidR="00C4454D" w:rsidRPr="00A735B4" w:rsidRDefault="00C4454D" w:rsidP="00C4454D">
      <w:pPr>
        <w:numPr>
          <w:ilvl w:val="0"/>
          <w:numId w:val="2"/>
        </w:numPr>
        <w:spacing w:before="240" w:after="240"/>
        <w:ind w:left="0" w:firstLine="0"/>
        <w:jc w:val="both"/>
      </w:pPr>
      <w:r w:rsidRPr="00A735B4">
        <w:t xml:space="preserve">Regional integration in Africa offers substantial opportunities for growth and employment creation. Official statistics show that trade with neighboring countries in food and basic manufacturing goods is very low, but burgeoning informal markets for these products in border regions attest to the existence of price differences that can be profitably exploited.  Regional production networks are virtually nonexistent in Africa; such regional supply chains have helped countries in East Asia to boost their exports of manufactures to world markets. Recent analytical work suggests that behind-the-border barriers and anti-competitive regulations are major obstacles to mutually beneficial exchanges at the regional level in Africa, and that policy reforms in areas such as non-tariff barriers, trade logistics, and services market regulations could generate substantial benefits (Brenton and Isik 2012a). </w:t>
      </w:r>
    </w:p>
    <w:p w14:paraId="4AB99E27" w14:textId="77777777" w:rsidR="00C4454D" w:rsidRPr="00A735B4" w:rsidRDefault="00C4454D" w:rsidP="00C4454D">
      <w:pPr>
        <w:spacing w:before="240" w:after="240"/>
        <w:jc w:val="both"/>
      </w:pPr>
    </w:p>
    <w:p w14:paraId="4DF52019" w14:textId="77777777" w:rsidR="00C4454D" w:rsidRPr="00A735B4" w:rsidRDefault="00C4454D" w:rsidP="00C4454D">
      <w:pPr>
        <w:numPr>
          <w:ilvl w:val="0"/>
          <w:numId w:val="2"/>
        </w:numPr>
        <w:spacing w:before="240" w:after="240"/>
        <w:ind w:left="0" w:firstLine="0"/>
        <w:jc w:val="both"/>
      </w:pPr>
      <w:r w:rsidRPr="00A735B4">
        <w:t>Governments in Africa are aware of the growing importance of the “new issues” in regional integration, such as non-tariff measures, trade facilitation, and services trade. Corresponding chapters or protocols have been added to most existing RTAs to supplement the original focus on tariff liberalization. Yet, the operationalization and implementation of the new issue areas lags behind, such that the good integration intentions of the agreements often exist only on paper, but not in the reality of the traders.</w:t>
      </w:r>
    </w:p>
    <w:p w14:paraId="4FDD486E" w14:textId="77777777" w:rsidR="00C4454D" w:rsidRPr="00A735B4" w:rsidRDefault="00C4454D" w:rsidP="00C4454D"/>
    <w:p w14:paraId="77308CA2" w14:textId="3435A5AF" w:rsidR="00C4454D" w:rsidRPr="00A735B4" w:rsidRDefault="00C4454D" w:rsidP="00C4454D">
      <w:pPr>
        <w:numPr>
          <w:ilvl w:val="0"/>
          <w:numId w:val="2"/>
        </w:numPr>
        <w:spacing w:before="240" w:after="240"/>
        <w:ind w:left="0" w:firstLine="0"/>
        <w:jc w:val="both"/>
      </w:pPr>
      <w:r w:rsidRPr="00A735B4">
        <w:t xml:space="preserve">Furthermore, monitoring of regional trade integration in general, and of integration with respect to the removal of non-tariff barriers, trade logistics impediments, and services trade obstacles in particular, is not very well developed. The processes maintained within the different Regional Economic Communities tend to focus on compliance with integration commitments in the area of tariff integration. Other subject areas are poorly covered and de-facto implementation is rarely assessed. A laudable exception is the proposal by the Common Market for Eastern and Southern Africa (COMESA) Secretariat for a set of regional integration indicators that is comprehensive and covers all the </w:t>
      </w:r>
      <w:r w:rsidRPr="00A735B4">
        <w:rPr>
          <w:i/>
        </w:rPr>
        <w:t>new</w:t>
      </w:r>
      <w:r w:rsidRPr="00A735B4">
        <w:t xml:space="preserve"> trade integration areas (COMESA 2002). Yet, even within this proposal, more than two-thirds of all the indicators that concern trade are compliance indicators and trade integration outcomes are only considered in some of the categories (table 3.1).</w:t>
      </w:r>
      <w:r w:rsidRPr="00A735B4">
        <w:endnoteReference w:id="3"/>
      </w:r>
    </w:p>
    <w:p w14:paraId="1C90198A" w14:textId="77777777" w:rsidR="00C4454D" w:rsidRPr="00A735B4" w:rsidRDefault="00C4454D" w:rsidP="00C4454D"/>
    <w:p w14:paraId="5F30922E" w14:textId="6894658F" w:rsidR="00C4454D" w:rsidRPr="00A735B4" w:rsidRDefault="00C4454D" w:rsidP="00C4454D">
      <w:pPr>
        <w:numPr>
          <w:ilvl w:val="0"/>
          <w:numId w:val="2"/>
        </w:numPr>
        <w:spacing w:before="240" w:after="240"/>
        <w:ind w:left="0" w:firstLine="0"/>
        <w:jc w:val="both"/>
      </w:pPr>
      <w:r w:rsidRPr="00A735B4">
        <w:t xml:space="preserve">The compliance indicators on COMESA’s list illustrate some of the challenges that analysts face when assessing the status of integration based on such tools. In particular, some of the compliance indicators are defined very broadly and leave substantial discretion to the evaluator. For example, the issue whether an independent competition authority exists has, in fact, several dimensions. Has a law on the establishment of a competition authority been passed? Is the institution independent from government influence, including funding? Has the authority been provided with appropriate human and financial resources? Is there case evidence that the institution is functioning? If a “yes” to only the first question were already to trigger a full score for integration in this category, the monitoring process </w:t>
      </w:r>
      <w:r w:rsidRPr="00A735B4">
        <w:lastRenderedPageBreak/>
        <w:t>would be rather weak, as obviously a fully functioning competition authority would only have been partially established. A better way to reflect the status of integration in this case would be to record the progress made toward the integration objective by reporting, for instance, completion scores in percentage terms.</w:t>
      </w:r>
    </w:p>
    <w:p w14:paraId="6564E0C0" w14:textId="77777777" w:rsidR="00C4454D" w:rsidRPr="00A735B4" w:rsidRDefault="00C4454D" w:rsidP="00C4454D">
      <w:pPr>
        <w:spacing w:before="120" w:after="60"/>
        <w:jc w:val="center"/>
        <w:rPr>
          <w:sz w:val="24"/>
        </w:rPr>
      </w:pPr>
      <w:bookmarkStart w:id="17" w:name="_Ref359153634"/>
    </w:p>
    <w:p w14:paraId="3106B839" w14:textId="6F652600" w:rsidR="00C4454D" w:rsidRPr="00A735B4" w:rsidRDefault="00C4454D" w:rsidP="00C4454D">
      <w:pPr>
        <w:keepNext/>
        <w:jc w:val="center"/>
        <w:rPr>
          <w:b/>
          <w:color w:val="1F497D" w:themeColor="text2"/>
          <w:sz w:val="20"/>
          <w:szCs w:val="20"/>
        </w:rPr>
      </w:pPr>
      <w:r w:rsidRPr="00A735B4">
        <w:rPr>
          <w:b/>
          <w:color w:val="1F497D" w:themeColor="text2"/>
          <w:sz w:val="20"/>
          <w:szCs w:val="20"/>
        </w:rPr>
        <w:t>Table 3.1 COMESA’s proposal for a set of regional trade integration indicators</w:t>
      </w:r>
    </w:p>
    <w:tbl>
      <w:tblPr>
        <w:tblpPr w:leftFromText="180" w:rightFromText="180" w:vertAnchor="text" w:horzAnchor="page" w:tblpX="1960" w:tblpY="236"/>
        <w:tblW w:w="9277" w:type="dxa"/>
        <w:tblCellMar>
          <w:left w:w="10" w:type="dxa"/>
          <w:right w:w="10" w:type="dxa"/>
        </w:tblCellMar>
        <w:tblLook w:val="04A0" w:firstRow="1" w:lastRow="0" w:firstColumn="1" w:lastColumn="0" w:noHBand="0" w:noVBand="1"/>
      </w:tblPr>
      <w:tblGrid>
        <w:gridCol w:w="1286"/>
        <w:gridCol w:w="4450"/>
        <w:gridCol w:w="1089"/>
        <w:gridCol w:w="1090"/>
        <w:gridCol w:w="1362"/>
      </w:tblGrid>
      <w:tr w:rsidR="00C4454D" w:rsidRPr="00A735B4" w14:paraId="1C96524E" w14:textId="77777777" w:rsidTr="00C4454D">
        <w:trPr>
          <w:trHeight w:val="251"/>
        </w:trPr>
        <w:tc>
          <w:tcPr>
            <w:tcW w:w="1286" w:type="dxa"/>
            <w:vMerge w:val="restart"/>
            <w:tcBorders>
              <w:top w:val="single" w:sz="8" w:space="0" w:color="auto"/>
              <w:left w:val="single" w:sz="8" w:space="0" w:color="auto"/>
              <w:right w:val="single" w:sz="8" w:space="0" w:color="auto"/>
            </w:tcBorders>
            <w:shd w:val="clear" w:color="auto" w:fill="auto"/>
            <w:vAlign w:val="center"/>
            <w:hideMark/>
          </w:tcPr>
          <w:bookmarkEnd w:id="17"/>
          <w:p w14:paraId="69D64217" w14:textId="77777777" w:rsidR="00C4454D" w:rsidRPr="00A735B4" w:rsidRDefault="00C4454D" w:rsidP="00C4454D">
            <w:pPr>
              <w:keepNext/>
              <w:jc w:val="center"/>
              <w:rPr>
                <w:rFonts w:eastAsia="Times New Roman"/>
                <w:b/>
                <w:bCs/>
              </w:rPr>
            </w:pPr>
            <w:r w:rsidRPr="00A735B4">
              <w:rPr>
                <w:rFonts w:eastAsia="Times New Roman"/>
                <w:b/>
                <w:bCs/>
              </w:rPr>
              <w:t>Category</w:t>
            </w:r>
          </w:p>
        </w:tc>
        <w:tc>
          <w:tcPr>
            <w:tcW w:w="4450" w:type="dxa"/>
            <w:vMerge w:val="restart"/>
            <w:tcBorders>
              <w:top w:val="single" w:sz="8" w:space="0" w:color="auto"/>
              <w:left w:val="nil"/>
              <w:right w:val="single" w:sz="8" w:space="0" w:color="auto"/>
            </w:tcBorders>
            <w:shd w:val="clear" w:color="auto" w:fill="auto"/>
            <w:vAlign w:val="center"/>
            <w:hideMark/>
          </w:tcPr>
          <w:p w14:paraId="5BB24EF6" w14:textId="3779215E" w:rsidR="00C4454D" w:rsidRPr="00A735B4" w:rsidRDefault="00C4454D" w:rsidP="00C4454D">
            <w:pPr>
              <w:keepNext/>
              <w:jc w:val="center"/>
              <w:rPr>
                <w:rFonts w:eastAsia="Times New Roman"/>
                <w:b/>
                <w:bCs/>
              </w:rPr>
            </w:pPr>
            <w:r w:rsidRPr="00A735B4">
              <w:rPr>
                <w:rFonts w:eastAsia="Times New Roman"/>
                <w:b/>
                <w:bCs/>
              </w:rPr>
              <w:t>Variable</w:t>
            </w:r>
          </w:p>
        </w:tc>
        <w:tc>
          <w:tcPr>
            <w:tcW w:w="2179" w:type="dxa"/>
            <w:gridSpan w:val="2"/>
            <w:tcBorders>
              <w:top w:val="single" w:sz="8" w:space="0" w:color="auto"/>
              <w:left w:val="nil"/>
              <w:bottom w:val="single" w:sz="8" w:space="0" w:color="auto"/>
              <w:right w:val="single" w:sz="8" w:space="0" w:color="auto"/>
            </w:tcBorders>
            <w:shd w:val="clear" w:color="auto" w:fill="auto"/>
            <w:hideMark/>
          </w:tcPr>
          <w:p w14:paraId="628C0EB4" w14:textId="77777777" w:rsidR="00C4454D" w:rsidRPr="00A735B4" w:rsidRDefault="00C4454D" w:rsidP="00C4454D">
            <w:pPr>
              <w:keepNext/>
              <w:jc w:val="center"/>
              <w:rPr>
                <w:b/>
              </w:rPr>
            </w:pPr>
            <w:r w:rsidRPr="00A735B4">
              <w:rPr>
                <w:b/>
              </w:rPr>
              <w:t>Outcome indicator</w:t>
            </w:r>
          </w:p>
        </w:tc>
        <w:tc>
          <w:tcPr>
            <w:tcW w:w="1362" w:type="dxa"/>
            <w:tcBorders>
              <w:top w:val="single" w:sz="8" w:space="0" w:color="auto"/>
              <w:left w:val="nil"/>
              <w:right w:val="single" w:sz="8" w:space="0" w:color="auto"/>
            </w:tcBorders>
            <w:shd w:val="clear" w:color="auto" w:fill="auto"/>
            <w:hideMark/>
          </w:tcPr>
          <w:p w14:paraId="321CF957" w14:textId="77777777" w:rsidR="00C4454D" w:rsidRPr="00A735B4" w:rsidRDefault="00C4454D" w:rsidP="00C4454D">
            <w:pPr>
              <w:keepNext/>
              <w:jc w:val="center"/>
              <w:rPr>
                <w:b/>
              </w:rPr>
            </w:pPr>
            <w:r w:rsidRPr="00A735B4">
              <w:rPr>
                <w:b/>
              </w:rPr>
              <w:t>Indicator of</w:t>
            </w:r>
          </w:p>
        </w:tc>
      </w:tr>
      <w:tr w:rsidR="00C4454D" w:rsidRPr="00A735B4" w14:paraId="7CF2BEB6" w14:textId="77777777" w:rsidTr="00C4454D">
        <w:trPr>
          <w:trHeight w:val="251"/>
        </w:trPr>
        <w:tc>
          <w:tcPr>
            <w:tcW w:w="1286" w:type="dxa"/>
            <w:vMerge/>
            <w:tcBorders>
              <w:left w:val="single" w:sz="8" w:space="0" w:color="auto"/>
              <w:bottom w:val="single" w:sz="8" w:space="0" w:color="auto"/>
              <w:right w:val="single" w:sz="8" w:space="0" w:color="auto"/>
            </w:tcBorders>
            <w:shd w:val="clear" w:color="auto" w:fill="auto"/>
            <w:hideMark/>
          </w:tcPr>
          <w:p w14:paraId="4DE029B1" w14:textId="77777777" w:rsidR="00C4454D" w:rsidRPr="00A735B4" w:rsidRDefault="00C4454D" w:rsidP="00C4454D">
            <w:pPr>
              <w:keepNext/>
              <w:jc w:val="center"/>
              <w:rPr>
                <w:rFonts w:eastAsia="Times New Roman"/>
                <w:b/>
                <w:bCs/>
              </w:rPr>
            </w:pPr>
          </w:p>
        </w:tc>
        <w:tc>
          <w:tcPr>
            <w:tcW w:w="4450" w:type="dxa"/>
            <w:vMerge/>
            <w:tcBorders>
              <w:left w:val="nil"/>
              <w:bottom w:val="single" w:sz="8" w:space="0" w:color="auto"/>
              <w:right w:val="single" w:sz="8" w:space="0" w:color="auto"/>
            </w:tcBorders>
            <w:shd w:val="clear" w:color="auto" w:fill="auto"/>
            <w:hideMark/>
          </w:tcPr>
          <w:p w14:paraId="2BAC3D59" w14:textId="77777777" w:rsidR="00C4454D" w:rsidRPr="00A735B4" w:rsidRDefault="00C4454D" w:rsidP="00C4454D">
            <w:pPr>
              <w:keepNext/>
              <w:jc w:val="center"/>
              <w:rPr>
                <w:rFonts w:eastAsia="Times New Roman"/>
                <w:b/>
                <w:bCs/>
              </w:rPr>
            </w:pPr>
          </w:p>
        </w:tc>
        <w:tc>
          <w:tcPr>
            <w:tcW w:w="1089" w:type="dxa"/>
            <w:tcBorders>
              <w:top w:val="single" w:sz="8" w:space="0" w:color="auto"/>
              <w:left w:val="nil"/>
              <w:bottom w:val="single" w:sz="8" w:space="0" w:color="auto"/>
              <w:right w:val="single" w:sz="8" w:space="0" w:color="auto"/>
            </w:tcBorders>
            <w:shd w:val="clear" w:color="auto" w:fill="auto"/>
            <w:hideMark/>
          </w:tcPr>
          <w:p w14:paraId="09BA5534" w14:textId="77777777" w:rsidR="00C4454D" w:rsidRPr="00A735B4" w:rsidRDefault="00C4454D" w:rsidP="00C4454D">
            <w:pPr>
              <w:keepNext/>
              <w:jc w:val="center"/>
              <w:rPr>
                <w:b/>
              </w:rPr>
            </w:pPr>
            <w:r w:rsidRPr="00A735B4">
              <w:rPr>
                <w:b/>
              </w:rPr>
              <w:t>Direct</w:t>
            </w:r>
          </w:p>
        </w:tc>
        <w:tc>
          <w:tcPr>
            <w:tcW w:w="1090" w:type="dxa"/>
            <w:tcBorders>
              <w:top w:val="single" w:sz="8" w:space="0" w:color="auto"/>
              <w:left w:val="nil"/>
              <w:bottom w:val="single" w:sz="8" w:space="0" w:color="auto"/>
              <w:right w:val="single" w:sz="8" w:space="0" w:color="auto"/>
            </w:tcBorders>
            <w:shd w:val="clear" w:color="auto" w:fill="auto"/>
            <w:hideMark/>
          </w:tcPr>
          <w:p w14:paraId="4C636583" w14:textId="77777777" w:rsidR="00C4454D" w:rsidRPr="00A735B4" w:rsidRDefault="00C4454D" w:rsidP="00C4454D">
            <w:pPr>
              <w:keepNext/>
              <w:jc w:val="center"/>
              <w:rPr>
                <w:b/>
              </w:rPr>
            </w:pPr>
            <w:r w:rsidRPr="00A735B4">
              <w:rPr>
                <w:b/>
              </w:rPr>
              <w:t>Indirect</w:t>
            </w:r>
          </w:p>
        </w:tc>
        <w:tc>
          <w:tcPr>
            <w:tcW w:w="1362" w:type="dxa"/>
            <w:tcBorders>
              <w:left w:val="nil"/>
              <w:bottom w:val="single" w:sz="8" w:space="0" w:color="auto"/>
              <w:right w:val="single" w:sz="8" w:space="0" w:color="auto"/>
            </w:tcBorders>
            <w:shd w:val="clear" w:color="auto" w:fill="auto"/>
            <w:hideMark/>
          </w:tcPr>
          <w:p w14:paraId="1C3A2038" w14:textId="3D01E139" w:rsidR="00C4454D" w:rsidRPr="00A735B4" w:rsidRDefault="00C4454D" w:rsidP="00C4454D">
            <w:pPr>
              <w:keepNext/>
              <w:jc w:val="center"/>
              <w:rPr>
                <w:b/>
              </w:rPr>
            </w:pPr>
            <w:r w:rsidRPr="00A735B4">
              <w:rPr>
                <w:b/>
              </w:rPr>
              <w:t>compliance</w:t>
            </w:r>
          </w:p>
        </w:tc>
      </w:tr>
      <w:tr w:rsidR="00C4454D" w:rsidRPr="00A735B4" w14:paraId="3924D100" w14:textId="77777777" w:rsidTr="00C4454D">
        <w:trPr>
          <w:trHeight w:val="251"/>
        </w:trPr>
        <w:tc>
          <w:tcPr>
            <w:tcW w:w="1286" w:type="dxa"/>
            <w:vMerge w:val="restart"/>
            <w:tcBorders>
              <w:top w:val="nil"/>
              <w:left w:val="single" w:sz="8" w:space="0" w:color="auto"/>
              <w:bottom w:val="single" w:sz="8" w:space="0" w:color="000000"/>
              <w:right w:val="single" w:sz="8" w:space="0" w:color="auto"/>
            </w:tcBorders>
            <w:shd w:val="clear" w:color="auto" w:fill="auto"/>
            <w:hideMark/>
          </w:tcPr>
          <w:p w14:paraId="078B3911" w14:textId="77777777" w:rsidR="00C4454D" w:rsidRPr="00A735B4" w:rsidRDefault="00C4454D" w:rsidP="00C4454D">
            <w:pPr>
              <w:keepNext/>
              <w:jc w:val="both"/>
              <w:rPr>
                <w:rFonts w:eastAsia="Times New Roman"/>
                <w:b/>
                <w:sz w:val="18"/>
                <w:szCs w:val="20"/>
              </w:rPr>
            </w:pPr>
            <w:r w:rsidRPr="00A735B4">
              <w:rPr>
                <w:rFonts w:eastAsia="Times New Roman"/>
                <w:b/>
                <w:sz w:val="18"/>
                <w:szCs w:val="20"/>
              </w:rPr>
              <w:t>Trade liberalization</w:t>
            </w:r>
          </w:p>
        </w:tc>
        <w:tc>
          <w:tcPr>
            <w:tcW w:w="4450" w:type="dxa"/>
            <w:tcBorders>
              <w:top w:val="nil"/>
              <w:left w:val="nil"/>
              <w:bottom w:val="nil"/>
              <w:right w:val="single" w:sz="8" w:space="0" w:color="auto"/>
            </w:tcBorders>
            <w:shd w:val="clear" w:color="auto" w:fill="auto"/>
            <w:hideMark/>
          </w:tcPr>
          <w:p w14:paraId="0318F8DA" w14:textId="0C2A2BE4" w:rsidR="00C4454D" w:rsidRPr="00A735B4" w:rsidRDefault="00C4454D" w:rsidP="00C4454D">
            <w:pPr>
              <w:keepNext/>
              <w:rPr>
                <w:rFonts w:eastAsia="Times New Roman"/>
                <w:sz w:val="18"/>
                <w:szCs w:val="20"/>
              </w:rPr>
            </w:pPr>
            <w:r w:rsidRPr="00A735B4">
              <w:rPr>
                <w:rFonts w:eastAsia="Times New Roman"/>
                <w:sz w:val="18"/>
                <w:szCs w:val="20"/>
              </w:rPr>
              <w:t>Number of nonzero tariffs</w:t>
            </w:r>
          </w:p>
        </w:tc>
        <w:tc>
          <w:tcPr>
            <w:tcW w:w="1089" w:type="dxa"/>
            <w:tcBorders>
              <w:top w:val="nil"/>
              <w:left w:val="nil"/>
              <w:bottom w:val="nil"/>
              <w:right w:val="single" w:sz="8" w:space="0" w:color="auto"/>
            </w:tcBorders>
            <w:shd w:val="clear" w:color="auto" w:fill="auto"/>
            <w:vAlign w:val="center"/>
            <w:hideMark/>
          </w:tcPr>
          <w:p w14:paraId="700F7518" w14:textId="77777777" w:rsidR="00C4454D" w:rsidRPr="00A735B4" w:rsidRDefault="00C4454D" w:rsidP="00C4454D">
            <w:pPr>
              <w:keepNext/>
              <w:jc w:val="center"/>
              <w:rPr>
                <w:rFonts w:eastAsia="Times New Roman"/>
                <w:sz w:val="18"/>
                <w:szCs w:val="20"/>
              </w:rPr>
            </w:pPr>
          </w:p>
        </w:tc>
        <w:tc>
          <w:tcPr>
            <w:tcW w:w="1090" w:type="dxa"/>
            <w:tcBorders>
              <w:top w:val="nil"/>
              <w:left w:val="nil"/>
              <w:bottom w:val="nil"/>
              <w:right w:val="single" w:sz="8" w:space="0" w:color="auto"/>
            </w:tcBorders>
            <w:shd w:val="clear" w:color="auto" w:fill="auto"/>
            <w:vAlign w:val="center"/>
            <w:hideMark/>
          </w:tcPr>
          <w:p w14:paraId="1C0C18E0" w14:textId="77777777" w:rsidR="00C4454D" w:rsidRPr="00A735B4" w:rsidRDefault="00C4454D" w:rsidP="00C4454D">
            <w:pPr>
              <w:keepNext/>
              <w:jc w:val="center"/>
              <w:rPr>
                <w:rFonts w:eastAsia="Times New Roman"/>
                <w:sz w:val="18"/>
                <w:szCs w:val="20"/>
              </w:rPr>
            </w:pPr>
            <w:r w:rsidRPr="00A735B4">
              <w:rPr>
                <w:rFonts w:eastAsia="Times New Roman"/>
                <w:b/>
                <w:sz w:val="18"/>
                <w:szCs w:val="20"/>
              </w:rPr>
              <w:t>X</w:t>
            </w:r>
          </w:p>
        </w:tc>
        <w:tc>
          <w:tcPr>
            <w:tcW w:w="1362" w:type="dxa"/>
            <w:tcBorders>
              <w:top w:val="nil"/>
              <w:left w:val="nil"/>
              <w:bottom w:val="nil"/>
              <w:right w:val="single" w:sz="8" w:space="0" w:color="auto"/>
            </w:tcBorders>
            <w:shd w:val="clear" w:color="auto" w:fill="auto"/>
            <w:vAlign w:val="center"/>
            <w:hideMark/>
          </w:tcPr>
          <w:p w14:paraId="17231D39" w14:textId="77777777" w:rsidR="00C4454D" w:rsidRPr="00A735B4" w:rsidRDefault="00C4454D" w:rsidP="00C4454D">
            <w:pPr>
              <w:keepNext/>
              <w:jc w:val="center"/>
              <w:rPr>
                <w:rFonts w:eastAsia="Times New Roman"/>
                <w:sz w:val="18"/>
                <w:szCs w:val="20"/>
              </w:rPr>
            </w:pPr>
          </w:p>
        </w:tc>
      </w:tr>
      <w:tr w:rsidR="00C4454D" w:rsidRPr="00A735B4" w14:paraId="0D4A0013" w14:textId="77777777" w:rsidTr="00C4454D">
        <w:trPr>
          <w:trHeight w:val="251"/>
        </w:trPr>
        <w:tc>
          <w:tcPr>
            <w:tcW w:w="1286" w:type="dxa"/>
            <w:vMerge/>
            <w:tcBorders>
              <w:top w:val="nil"/>
              <w:left w:val="single" w:sz="8" w:space="0" w:color="auto"/>
              <w:bottom w:val="single" w:sz="8" w:space="0" w:color="000000"/>
              <w:right w:val="single" w:sz="8" w:space="0" w:color="auto"/>
            </w:tcBorders>
            <w:vAlign w:val="center"/>
            <w:hideMark/>
          </w:tcPr>
          <w:p w14:paraId="5472B6CE" w14:textId="77777777" w:rsidR="00C4454D" w:rsidRPr="00A735B4" w:rsidRDefault="00C4454D" w:rsidP="00C4454D">
            <w:pPr>
              <w:keepNext/>
              <w:rPr>
                <w:rFonts w:eastAsia="Times New Roman"/>
                <w:b/>
                <w:sz w:val="18"/>
                <w:szCs w:val="20"/>
              </w:rPr>
            </w:pPr>
          </w:p>
        </w:tc>
        <w:tc>
          <w:tcPr>
            <w:tcW w:w="4450" w:type="dxa"/>
            <w:tcBorders>
              <w:top w:val="nil"/>
              <w:left w:val="nil"/>
              <w:bottom w:val="nil"/>
              <w:right w:val="single" w:sz="8" w:space="0" w:color="auto"/>
            </w:tcBorders>
            <w:shd w:val="clear" w:color="auto" w:fill="auto"/>
            <w:hideMark/>
          </w:tcPr>
          <w:p w14:paraId="4FDBD374" w14:textId="77777777" w:rsidR="00C4454D" w:rsidRPr="00A735B4" w:rsidRDefault="00C4454D" w:rsidP="00C4454D">
            <w:pPr>
              <w:keepNext/>
              <w:rPr>
                <w:rFonts w:eastAsia="Times New Roman"/>
                <w:sz w:val="18"/>
                <w:szCs w:val="20"/>
              </w:rPr>
            </w:pPr>
            <w:r w:rsidRPr="00A735B4">
              <w:rPr>
                <w:rFonts w:eastAsia="Times New Roman"/>
                <w:sz w:val="18"/>
                <w:szCs w:val="20"/>
              </w:rPr>
              <w:t>Highest MFN tariff</w:t>
            </w:r>
          </w:p>
        </w:tc>
        <w:tc>
          <w:tcPr>
            <w:tcW w:w="1089" w:type="dxa"/>
            <w:tcBorders>
              <w:top w:val="nil"/>
              <w:left w:val="nil"/>
              <w:bottom w:val="nil"/>
              <w:right w:val="single" w:sz="8" w:space="0" w:color="auto"/>
            </w:tcBorders>
            <w:shd w:val="clear" w:color="auto" w:fill="auto"/>
            <w:vAlign w:val="center"/>
            <w:hideMark/>
          </w:tcPr>
          <w:p w14:paraId="3F4BE215" w14:textId="77777777" w:rsidR="00C4454D" w:rsidRPr="00A735B4" w:rsidRDefault="00C4454D" w:rsidP="00C4454D">
            <w:pPr>
              <w:keepNext/>
              <w:jc w:val="center"/>
              <w:rPr>
                <w:rFonts w:eastAsia="Times New Roman"/>
                <w:b/>
                <w:sz w:val="18"/>
                <w:szCs w:val="20"/>
              </w:rPr>
            </w:pPr>
            <w:r w:rsidRPr="00A735B4">
              <w:rPr>
                <w:rFonts w:eastAsia="Times New Roman"/>
                <w:b/>
                <w:sz w:val="18"/>
                <w:szCs w:val="20"/>
              </w:rPr>
              <w:t>X</w:t>
            </w:r>
          </w:p>
        </w:tc>
        <w:tc>
          <w:tcPr>
            <w:tcW w:w="1090" w:type="dxa"/>
            <w:tcBorders>
              <w:top w:val="nil"/>
              <w:left w:val="nil"/>
              <w:bottom w:val="nil"/>
              <w:right w:val="single" w:sz="8" w:space="0" w:color="auto"/>
            </w:tcBorders>
            <w:shd w:val="clear" w:color="auto" w:fill="auto"/>
            <w:vAlign w:val="center"/>
            <w:hideMark/>
          </w:tcPr>
          <w:p w14:paraId="5D2D0A68" w14:textId="77777777" w:rsidR="00C4454D" w:rsidRPr="00A735B4" w:rsidRDefault="00C4454D" w:rsidP="00C4454D">
            <w:pPr>
              <w:keepNext/>
              <w:jc w:val="center"/>
              <w:rPr>
                <w:rFonts w:eastAsia="Times New Roman"/>
                <w:sz w:val="18"/>
                <w:szCs w:val="20"/>
              </w:rPr>
            </w:pPr>
          </w:p>
        </w:tc>
        <w:tc>
          <w:tcPr>
            <w:tcW w:w="1362" w:type="dxa"/>
            <w:tcBorders>
              <w:top w:val="nil"/>
              <w:left w:val="nil"/>
              <w:bottom w:val="nil"/>
              <w:right w:val="single" w:sz="8" w:space="0" w:color="auto"/>
            </w:tcBorders>
            <w:shd w:val="clear" w:color="auto" w:fill="auto"/>
            <w:vAlign w:val="center"/>
            <w:hideMark/>
          </w:tcPr>
          <w:p w14:paraId="23F51C43" w14:textId="77777777" w:rsidR="00C4454D" w:rsidRPr="00A735B4" w:rsidRDefault="00C4454D" w:rsidP="00C4454D">
            <w:pPr>
              <w:keepNext/>
              <w:jc w:val="center"/>
              <w:rPr>
                <w:rFonts w:eastAsia="Times New Roman"/>
                <w:sz w:val="18"/>
                <w:szCs w:val="20"/>
              </w:rPr>
            </w:pPr>
          </w:p>
        </w:tc>
      </w:tr>
      <w:tr w:rsidR="00C4454D" w:rsidRPr="00A735B4" w14:paraId="5D453BEF" w14:textId="77777777" w:rsidTr="00C4454D">
        <w:trPr>
          <w:trHeight w:val="251"/>
        </w:trPr>
        <w:tc>
          <w:tcPr>
            <w:tcW w:w="1286" w:type="dxa"/>
            <w:vMerge/>
            <w:tcBorders>
              <w:top w:val="nil"/>
              <w:left w:val="single" w:sz="8" w:space="0" w:color="auto"/>
              <w:bottom w:val="single" w:sz="8" w:space="0" w:color="000000"/>
              <w:right w:val="single" w:sz="8" w:space="0" w:color="auto"/>
            </w:tcBorders>
            <w:vAlign w:val="center"/>
            <w:hideMark/>
          </w:tcPr>
          <w:p w14:paraId="6AF1822F" w14:textId="77777777" w:rsidR="00C4454D" w:rsidRPr="00A735B4" w:rsidRDefault="00C4454D" w:rsidP="00C4454D">
            <w:pPr>
              <w:keepNext/>
              <w:rPr>
                <w:rFonts w:eastAsia="Times New Roman"/>
                <w:b/>
                <w:sz w:val="18"/>
                <w:szCs w:val="20"/>
              </w:rPr>
            </w:pPr>
          </w:p>
        </w:tc>
        <w:tc>
          <w:tcPr>
            <w:tcW w:w="4450" w:type="dxa"/>
            <w:tcBorders>
              <w:top w:val="nil"/>
              <w:left w:val="nil"/>
              <w:bottom w:val="nil"/>
              <w:right w:val="single" w:sz="8" w:space="0" w:color="auto"/>
            </w:tcBorders>
            <w:shd w:val="clear" w:color="auto" w:fill="auto"/>
            <w:hideMark/>
          </w:tcPr>
          <w:p w14:paraId="4E1C487F" w14:textId="77777777" w:rsidR="00C4454D" w:rsidRPr="00A735B4" w:rsidRDefault="00C4454D" w:rsidP="00C4454D">
            <w:pPr>
              <w:keepNext/>
              <w:rPr>
                <w:rFonts w:eastAsia="Times New Roman"/>
                <w:sz w:val="18"/>
                <w:szCs w:val="20"/>
              </w:rPr>
            </w:pPr>
            <w:r w:rsidRPr="00A735B4">
              <w:rPr>
                <w:rFonts w:eastAsia="Times New Roman"/>
                <w:sz w:val="18"/>
                <w:szCs w:val="20"/>
              </w:rPr>
              <w:t>Highest regional tariff</w:t>
            </w:r>
          </w:p>
        </w:tc>
        <w:tc>
          <w:tcPr>
            <w:tcW w:w="1089" w:type="dxa"/>
            <w:tcBorders>
              <w:top w:val="nil"/>
              <w:left w:val="nil"/>
              <w:bottom w:val="nil"/>
              <w:right w:val="single" w:sz="8" w:space="0" w:color="auto"/>
            </w:tcBorders>
            <w:shd w:val="clear" w:color="auto" w:fill="auto"/>
            <w:vAlign w:val="center"/>
            <w:hideMark/>
          </w:tcPr>
          <w:p w14:paraId="2E16210E" w14:textId="77777777" w:rsidR="00C4454D" w:rsidRPr="00A735B4" w:rsidRDefault="00C4454D" w:rsidP="00C4454D">
            <w:pPr>
              <w:keepNext/>
              <w:jc w:val="center"/>
              <w:rPr>
                <w:rFonts w:eastAsia="Times New Roman"/>
                <w:sz w:val="18"/>
                <w:szCs w:val="20"/>
              </w:rPr>
            </w:pPr>
            <w:r w:rsidRPr="00A735B4">
              <w:rPr>
                <w:rFonts w:eastAsia="Times New Roman"/>
                <w:b/>
                <w:sz w:val="18"/>
                <w:szCs w:val="20"/>
              </w:rPr>
              <w:t>X</w:t>
            </w:r>
          </w:p>
        </w:tc>
        <w:tc>
          <w:tcPr>
            <w:tcW w:w="1090" w:type="dxa"/>
            <w:tcBorders>
              <w:top w:val="nil"/>
              <w:left w:val="nil"/>
              <w:bottom w:val="nil"/>
              <w:right w:val="single" w:sz="8" w:space="0" w:color="auto"/>
            </w:tcBorders>
            <w:shd w:val="clear" w:color="auto" w:fill="auto"/>
            <w:vAlign w:val="center"/>
            <w:hideMark/>
          </w:tcPr>
          <w:p w14:paraId="21FEE5A9" w14:textId="77777777" w:rsidR="00C4454D" w:rsidRPr="00A735B4" w:rsidRDefault="00C4454D" w:rsidP="00C4454D">
            <w:pPr>
              <w:keepNext/>
              <w:jc w:val="center"/>
              <w:rPr>
                <w:rFonts w:eastAsia="Times New Roman"/>
                <w:sz w:val="18"/>
                <w:szCs w:val="20"/>
              </w:rPr>
            </w:pPr>
          </w:p>
        </w:tc>
        <w:tc>
          <w:tcPr>
            <w:tcW w:w="1362" w:type="dxa"/>
            <w:tcBorders>
              <w:top w:val="nil"/>
              <w:left w:val="nil"/>
              <w:bottom w:val="nil"/>
              <w:right w:val="single" w:sz="8" w:space="0" w:color="auto"/>
            </w:tcBorders>
            <w:shd w:val="clear" w:color="auto" w:fill="auto"/>
            <w:vAlign w:val="center"/>
            <w:hideMark/>
          </w:tcPr>
          <w:p w14:paraId="4ABD5A7D" w14:textId="77777777" w:rsidR="00C4454D" w:rsidRPr="00A735B4" w:rsidRDefault="00C4454D" w:rsidP="00C4454D">
            <w:pPr>
              <w:keepNext/>
              <w:jc w:val="center"/>
              <w:rPr>
                <w:rFonts w:eastAsia="Times New Roman"/>
                <w:sz w:val="18"/>
                <w:szCs w:val="20"/>
              </w:rPr>
            </w:pPr>
          </w:p>
        </w:tc>
      </w:tr>
      <w:tr w:rsidR="00C4454D" w:rsidRPr="00A735B4" w14:paraId="7C7DA62B" w14:textId="77777777" w:rsidTr="00C4454D">
        <w:trPr>
          <w:trHeight w:val="251"/>
        </w:trPr>
        <w:tc>
          <w:tcPr>
            <w:tcW w:w="1286" w:type="dxa"/>
            <w:vMerge/>
            <w:tcBorders>
              <w:top w:val="nil"/>
              <w:left w:val="single" w:sz="8" w:space="0" w:color="auto"/>
              <w:bottom w:val="single" w:sz="8" w:space="0" w:color="000000"/>
              <w:right w:val="single" w:sz="8" w:space="0" w:color="auto"/>
            </w:tcBorders>
            <w:vAlign w:val="center"/>
            <w:hideMark/>
          </w:tcPr>
          <w:p w14:paraId="44192773" w14:textId="77777777" w:rsidR="00C4454D" w:rsidRPr="00A735B4" w:rsidRDefault="00C4454D" w:rsidP="00C4454D">
            <w:pPr>
              <w:keepNext/>
              <w:rPr>
                <w:rFonts w:eastAsia="Times New Roman"/>
                <w:b/>
                <w:sz w:val="18"/>
                <w:szCs w:val="20"/>
              </w:rPr>
            </w:pPr>
          </w:p>
        </w:tc>
        <w:tc>
          <w:tcPr>
            <w:tcW w:w="4450" w:type="dxa"/>
            <w:tcBorders>
              <w:top w:val="nil"/>
              <w:left w:val="nil"/>
              <w:bottom w:val="single" w:sz="8" w:space="0" w:color="auto"/>
              <w:right w:val="single" w:sz="8" w:space="0" w:color="auto"/>
            </w:tcBorders>
            <w:shd w:val="clear" w:color="auto" w:fill="auto"/>
            <w:hideMark/>
          </w:tcPr>
          <w:p w14:paraId="140B48A3" w14:textId="48E277AF" w:rsidR="00C4454D" w:rsidRPr="00A735B4" w:rsidRDefault="00C4454D" w:rsidP="00C4454D">
            <w:pPr>
              <w:keepNext/>
              <w:rPr>
                <w:rFonts w:eastAsia="Times New Roman"/>
                <w:sz w:val="18"/>
                <w:szCs w:val="20"/>
              </w:rPr>
            </w:pPr>
            <w:r w:rsidRPr="00A735B4">
              <w:rPr>
                <w:rFonts w:eastAsia="Times New Roman"/>
                <w:sz w:val="18"/>
                <w:szCs w:val="20"/>
              </w:rPr>
              <w:t>Weighted average MFN tariff</w:t>
            </w:r>
          </w:p>
        </w:tc>
        <w:tc>
          <w:tcPr>
            <w:tcW w:w="1089" w:type="dxa"/>
            <w:tcBorders>
              <w:top w:val="nil"/>
              <w:left w:val="nil"/>
              <w:bottom w:val="single" w:sz="8" w:space="0" w:color="auto"/>
              <w:right w:val="single" w:sz="8" w:space="0" w:color="auto"/>
            </w:tcBorders>
            <w:shd w:val="clear" w:color="auto" w:fill="auto"/>
            <w:vAlign w:val="center"/>
            <w:hideMark/>
          </w:tcPr>
          <w:p w14:paraId="0FEE513C" w14:textId="77777777" w:rsidR="00C4454D" w:rsidRPr="00A735B4" w:rsidRDefault="00C4454D" w:rsidP="00C4454D">
            <w:pPr>
              <w:keepNext/>
              <w:jc w:val="center"/>
              <w:rPr>
                <w:rFonts w:eastAsia="Times New Roman"/>
                <w:sz w:val="18"/>
                <w:szCs w:val="20"/>
              </w:rPr>
            </w:pPr>
            <w:r w:rsidRPr="00A735B4">
              <w:rPr>
                <w:rFonts w:eastAsia="Times New Roman"/>
                <w:b/>
                <w:sz w:val="18"/>
                <w:szCs w:val="20"/>
              </w:rPr>
              <w:t>X</w:t>
            </w:r>
          </w:p>
        </w:tc>
        <w:tc>
          <w:tcPr>
            <w:tcW w:w="1090" w:type="dxa"/>
            <w:tcBorders>
              <w:top w:val="nil"/>
              <w:left w:val="nil"/>
              <w:bottom w:val="single" w:sz="8" w:space="0" w:color="auto"/>
              <w:right w:val="single" w:sz="8" w:space="0" w:color="auto"/>
            </w:tcBorders>
            <w:shd w:val="clear" w:color="auto" w:fill="auto"/>
            <w:vAlign w:val="center"/>
            <w:hideMark/>
          </w:tcPr>
          <w:p w14:paraId="44AF313B" w14:textId="77777777" w:rsidR="00C4454D" w:rsidRPr="00A735B4" w:rsidRDefault="00C4454D" w:rsidP="00C4454D">
            <w:pPr>
              <w:keepNext/>
              <w:jc w:val="center"/>
              <w:rPr>
                <w:rFonts w:eastAsia="Times New Roman"/>
                <w:sz w:val="18"/>
                <w:szCs w:val="20"/>
              </w:rPr>
            </w:pPr>
          </w:p>
        </w:tc>
        <w:tc>
          <w:tcPr>
            <w:tcW w:w="1362" w:type="dxa"/>
            <w:tcBorders>
              <w:top w:val="nil"/>
              <w:left w:val="nil"/>
              <w:bottom w:val="single" w:sz="8" w:space="0" w:color="auto"/>
              <w:right w:val="single" w:sz="8" w:space="0" w:color="auto"/>
            </w:tcBorders>
            <w:shd w:val="clear" w:color="auto" w:fill="auto"/>
            <w:vAlign w:val="center"/>
            <w:hideMark/>
          </w:tcPr>
          <w:p w14:paraId="10007463" w14:textId="77777777" w:rsidR="00C4454D" w:rsidRPr="00A735B4" w:rsidRDefault="00C4454D" w:rsidP="00C4454D">
            <w:pPr>
              <w:keepNext/>
              <w:jc w:val="center"/>
              <w:rPr>
                <w:rFonts w:eastAsia="Times New Roman"/>
                <w:sz w:val="18"/>
                <w:szCs w:val="20"/>
              </w:rPr>
            </w:pPr>
          </w:p>
        </w:tc>
      </w:tr>
      <w:tr w:rsidR="00C4454D" w:rsidRPr="00A735B4" w14:paraId="7FCA20DE" w14:textId="77777777" w:rsidTr="00C4454D">
        <w:trPr>
          <w:trHeight w:val="251"/>
        </w:trPr>
        <w:tc>
          <w:tcPr>
            <w:tcW w:w="1286" w:type="dxa"/>
            <w:vMerge w:val="restart"/>
            <w:tcBorders>
              <w:top w:val="nil"/>
              <w:left w:val="single" w:sz="8" w:space="0" w:color="auto"/>
              <w:bottom w:val="single" w:sz="8" w:space="0" w:color="000000"/>
              <w:right w:val="single" w:sz="8" w:space="0" w:color="auto"/>
            </w:tcBorders>
            <w:shd w:val="clear" w:color="auto" w:fill="auto"/>
            <w:hideMark/>
          </w:tcPr>
          <w:p w14:paraId="7B5CC644" w14:textId="77777777" w:rsidR="00C4454D" w:rsidRPr="00A735B4" w:rsidRDefault="00C4454D" w:rsidP="00C4454D">
            <w:pPr>
              <w:keepNext/>
              <w:jc w:val="both"/>
              <w:rPr>
                <w:rFonts w:eastAsia="Times New Roman"/>
                <w:b/>
                <w:sz w:val="18"/>
                <w:szCs w:val="20"/>
              </w:rPr>
            </w:pPr>
            <w:r w:rsidRPr="00A735B4">
              <w:rPr>
                <w:rFonts w:eastAsia="Times New Roman"/>
                <w:b/>
                <w:sz w:val="18"/>
                <w:szCs w:val="20"/>
              </w:rPr>
              <w:t>Trade facilitation</w:t>
            </w:r>
          </w:p>
        </w:tc>
        <w:tc>
          <w:tcPr>
            <w:tcW w:w="4450" w:type="dxa"/>
            <w:tcBorders>
              <w:top w:val="nil"/>
              <w:left w:val="nil"/>
              <w:bottom w:val="nil"/>
              <w:right w:val="single" w:sz="8" w:space="0" w:color="auto"/>
            </w:tcBorders>
            <w:shd w:val="clear" w:color="auto" w:fill="auto"/>
            <w:hideMark/>
          </w:tcPr>
          <w:p w14:paraId="312F0847" w14:textId="77777777" w:rsidR="00C4454D" w:rsidRPr="00A735B4" w:rsidRDefault="00C4454D" w:rsidP="00C4454D">
            <w:pPr>
              <w:keepNext/>
              <w:rPr>
                <w:rFonts w:eastAsia="Times New Roman"/>
                <w:sz w:val="18"/>
                <w:szCs w:val="20"/>
              </w:rPr>
            </w:pPr>
            <w:r w:rsidRPr="00A735B4">
              <w:rPr>
                <w:rFonts w:eastAsia="Times New Roman"/>
                <w:sz w:val="18"/>
                <w:szCs w:val="20"/>
              </w:rPr>
              <w:t>Level of conformity to the WTO TBT Agreement</w:t>
            </w:r>
          </w:p>
        </w:tc>
        <w:tc>
          <w:tcPr>
            <w:tcW w:w="1089" w:type="dxa"/>
            <w:tcBorders>
              <w:top w:val="nil"/>
              <w:left w:val="nil"/>
              <w:bottom w:val="nil"/>
              <w:right w:val="single" w:sz="8" w:space="0" w:color="auto"/>
            </w:tcBorders>
            <w:shd w:val="clear" w:color="auto" w:fill="auto"/>
            <w:vAlign w:val="center"/>
            <w:hideMark/>
          </w:tcPr>
          <w:p w14:paraId="745D6315" w14:textId="77777777" w:rsidR="00C4454D" w:rsidRPr="00A735B4" w:rsidRDefault="00C4454D" w:rsidP="00C4454D">
            <w:pPr>
              <w:keepNext/>
              <w:jc w:val="center"/>
              <w:rPr>
                <w:rFonts w:eastAsia="Times New Roman"/>
                <w:sz w:val="18"/>
                <w:szCs w:val="20"/>
              </w:rPr>
            </w:pPr>
          </w:p>
        </w:tc>
        <w:tc>
          <w:tcPr>
            <w:tcW w:w="1090" w:type="dxa"/>
            <w:tcBorders>
              <w:top w:val="nil"/>
              <w:left w:val="nil"/>
              <w:bottom w:val="nil"/>
              <w:right w:val="single" w:sz="8" w:space="0" w:color="auto"/>
            </w:tcBorders>
            <w:shd w:val="clear" w:color="auto" w:fill="auto"/>
            <w:vAlign w:val="center"/>
            <w:hideMark/>
          </w:tcPr>
          <w:p w14:paraId="3DAF0DEC" w14:textId="77777777" w:rsidR="00C4454D" w:rsidRPr="00A735B4" w:rsidRDefault="00C4454D" w:rsidP="00C4454D">
            <w:pPr>
              <w:keepNext/>
              <w:jc w:val="center"/>
              <w:rPr>
                <w:rFonts w:eastAsia="Times New Roman"/>
                <w:sz w:val="18"/>
                <w:szCs w:val="20"/>
              </w:rPr>
            </w:pPr>
          </w:p>
        </w:tc>
        <w:tc>
          <w:tcPr>
            <w:tcW w:w="1362" w:type="dxa"/>
            <w:tcBorders>
              <w:top w:val="nil"/>
              <w:left w:val="nil"/>
              <w:bottom w:val="nil"/>
              <w:right w:val="single" w:sz="8" w:space="0" w:color="auto"/>
            </w:tcBorders>
            <w:shd w:val="clear" w:color="auto" w:fill="auto"/>
            <w:vAlign w:val="center"/>
            <w:hideMark/>
          </w:tcPr>
          <w:p w14:paraId="7FB5E2C8" w14:textId="77777777" w:rsidR="00C4454D" w:rsidRPr="00A735B4" w:rsidRDefault="00C4454D" w:rsidP="00C4454D">
            <w:pPr>
              <w:keepNext/>
              <w:jc w:val="center"/>
              <w:rPr>
                <w:rFonts w:eastAsia="Times New Roman"/>
                <w:sz w:val="18"/>
                <w:szCs w:val="20"/>
              </w:rPr>
            </w:pPr>
            <w:r w:rsidRPr="00A735B4">
              <w:rPr>
                <w:rFonts w:eastAsia="Times New Roman"/>
                <w:b/>
                <w:sz w:val="18"/>
                <w:szCs w:val="20"/>
              </w:rPr>
              <w:t>X</w:t>
            </w:r>
          </w:p>
        </w:tc>
      </w:tr>
      <w:tr w:rsidR="00C4454D" w:rsidRPr="00A735B4" w14:paraId="71C359CB" w14:textId="77777777" w:rsidTr="00C4454D">
        <w:trPr>
          <w:trHeight w:val="251"/>
        </w:trPr>
        <w:tc>
          <w:tcPr>
            <w:tcW w:w="1286" w:type="dxa"/>
            <w:vMerge/>
            <w:tcBorders>
              <w:top w:val="nil"/>
              <w:left w:val="single" w:sz="8" w:space="0" w:color="auto"/>
              <w:bottom w:val="single" w:sz="8" w:space="0" w:color="000000"/>
              <w:right w:val="single" w:sz="8" w:space="0" w:color="auto"/>
            </w:tcBorders>
            <w:vAlign w:val="center"/>
            <w:hideMark/>
          </w:tcPr>
          <w:p w14:paraId="085BDB90" w14:textId="77777777" w:rsidR="00C4454D" w:rsidRPr="00A735B4" w:rsidRDefault="00C4454D" w:rsidP="00C4454D">
            <w:pPr>
              <w:keepNext/>
              <w:rPr>
                <w:rFonts w:eastAsia="Times New Roman"/>
                <w:b/>
                <w:sz w:val="18"/>
                <w:szCs w:val="20"/>
              </w:rPr>
            </w:pPr>
          </w:p>
        </w:tc>
        <w:tc>
          <w:tcPr>
            <w:tcW w:w="4450" w:type="dxa"/>
            <w:tcBorders>
              <w:top w:val="nil"/>
              <w:left w:val="nil"/>
              <w:bottom w:val="nil"/>
              <w:right w:val="single" w:sz="8" w:space="0" w:color="auto"/>
            </w:tcBorders>
            <w:shd w:val="clear" w:color="auto" w:fill="auto"/>
            <w:hideMark/>
          </w:tcPr>
          <w:p w14:paraId="4702E0FA" w14:textId="77777777" w:rsidR="00C4454D" w:rsidRPr="00A735B4" w:rsidRDefault="00C4454D" w:rsidP="00C4454D">
            <w:pPr>
              <w:keepNext/>
              <w:rPr>
                <w:rFonts w:eastAsia="Times New Roman"/>
                <w:sz w:val="18"/>
                <w:szCs w:val="20"/>
              </w:rPr>
            </w:pPr>
            <w:r w:rsidRPr="00A735B4">
              <w:rPr>
                <w:rFonts w:eastAsia="Times New Roman"/>
                <w:sz w:val="18"/>
                <w:szCs w:val="20"/>
              </w:rPr>
              <w:t>Capacity of member states to implement mutually recognized certification marking schemes</w:t>
            </w:r>
          </w:p>
        </w:tc>
        <w:tc>
          <w:tcPr>
            <w:tcW w:w="1089" w:type="dxa"/>
            <w:tcBorders>
              <w:top w:val="nil"/>
              <w:left w:val="nil"/>
              <w:bottom w:val="nil"/>
              <w:right w:val="single" w:sz="8" w:space="0" w:color="auto"/>
            </w:tcBorders>
            <w:shd w:val="clear" w:color="auto" w:fill="auto"/>
            <w:vAlign w:val="center"/>
            <w:hideMark/>
          </w:tcPr>
          <w:p w14:paraId="547DC377" w14:textId="77777777" w:rsidR="00C4454D" w:rsidRPr="00A735B4" w:rsidRDefault="00C4454D" w:rsidP="00C4454D">
            <w:pPr>
              <w:keepNext/>
              <w:jc w:val="center"/>
              <w:rPr>
                <w:rFonts w:eastAsia="Times New Roman"/>
                <w:sz w:val="18"/>
                <w:szCs w:val="20"/>
              </w:rPr>
            </w:pPr>
          </w:p>
        </w:tc>
        <w:tc>
          <w:tcPr>
            <w:tcW w:w="1090" w:type="dxa"/>
            <w:tcBorders>
              <w:top w:val="nil"/>
              <w:left w:val="nil"/>
              <w:bottom w:val="nil"/>
              <w:right w:val="single" w:sz="8" w:space="0" w:color="auto"/>
            </w:tcBorders>
            <w:shd w:val="clear" w:color="auto" w:fill="auto"/>
            <w:vAlign w:val="center"/>
            <w:hideMark/>
          </w:tcPr>
          <w:p w14:paraId="77C0949A" w14:textId="77777777" w:rsidR="00C4454D" w:rsidRPr="00A735B4" w:rsidRDefault="00C4454D" w:rsidP="00C4454D">
            <w:pPr>
              <w:keepNext/>
              <w:jc w:val="center"/>
              <w:rPr>
                <w:rFonts w:eastAsia="Times New Roman"/>
                <w:sz w:val="18"/>
                <w:szCs w:val="20"/>
              </w:rPr>
            </w:pPr>
          </w:p>
        </w:tc>
        <w:tc>
          <w:tcPr>
            <w:tcW w:w="1362" w:type="dxa"/>
            <w:tcBorders>
              <w:top w:val="nil"/>
              <w:left w:val="nil"/>
              <w:bottom w:val="nil"/>
              <w:right w:val="single" w:sz="8" w:space="0" w:color="auto"/>
            </w:tcBorders>
            <w:shd w:val="clear" w:color="auto" w:fill="auto"/>
            <w:vAlign w:val="center"/>
            <w:hideMark/>
          </w:tcPr>
          <w:p w14:paraId="3211D91F" w14:textId="77777777" w:rsidR="00C4454D" w:rsidRPr="00A735B4" w:rsidRDefault="00C4454D" w:rsidP="00C4454D">
            <w:pPr>
              <w:keepNext/>
              <w:jc w:val="center"/>
              <w:rPr>
                <w:rFonts w:eastAsia="Times New Roman"/>
                <w:sz w:val="18"/>
                <w:szCs w:val="20"/>
              </w:rPr>
            </w:pPr>
            <w:r w:rsidRPr="00A735B4">
              <w:rPr>
                <w:rFonts w:eastAsia="Times New Roman"/>
                <w:b/>
                <w:sz w:val="18"/>
                <w:szCs w:val="20"/>
              </w:rPr>
              <w:t>X</w:t>
            </w:r>
          </w:p>
        </w:tc>
      </w:tr>
      <w:tr w:rsidR="00C4454D" w:rsidRPr="00A735B4" w14:paraId="0074698B" w14:textId="77777777" w:rsidTr="00C4454D">
        <w:trPr>
          <w:trHeight w:val="251"/>
        </w:trPr>
        <w:tc>
          <w:tcPr>
            <w:tcW w:w="1286" w:type="dxa"/>
            <w:vMerge/>
            <w:tcBorders>
              <w:top w:val="nil"/>
              <w:left w:val="single" w:sz="8" w:space="0" w:color="auto"/>
              <w:bottom w:val="single" w:sz="8" w:space="0" w:color="000000"/>
              <w:right w:val="single" w:sz="8" w:space="0" w:color="auto"/>
            </w:tcBorders>
            <w:vAlign w:val="center"/>
            <w:hideMark/>
          </w:tcPr>
          <w:p w14:paraId="6E58B149" w14:textId="77777777" w:rsidR="00C4454D" w:rsidRPr="00A735B4" w:rsidRDefault="00C4454D" w:rsidP="00C4454D">
            <w:pPr>
              <w:keepNext/>
              <w:rPr>
                <w:rFonts w:eastAsia="Times New Roman"/>
                <w:b/>
                <w:sz w:val="18"/>
                <w:szCs w:val="20"/>
              </w:rPr>
            </w:pPr>
          </w:p>
        </w:tc>
        <w:tc>
          <w:tcPr>
            <w:tcW w:w="4450" w:type="dxa"/>
            <w:tcBorders>
              <w:top w:val="nil"/>
              <w:left w:val="nil"/>
              <w:bottom w:val="nil"/>
              <w:right w:val="single" w:sz="8" w:space="0" w:color="auto"/>
            </w:tcBorders>
            <w:shd w:val="clear" w:color="auto" w:fill="auto"/>
            <w:hideMark/>
          </w:tcPr>
          <w:p w14:paraId="5B963720" w14:textId="77777777" w:rsidR="00C4454D" w:rsidRPr="00A735B4" w:rsidRDefault="00C4454D" w:rsidP="00C4454D">
            <w:pPr>
              <w:keepNext/>
              <w:rPr>
                <w:rFonts w:eastAsia="Times New Roman"/>
                <w:sz w:val="18"/>
                <w:szCs w:val="20"/>
              </w:rPr>
            </w:pPr>
            <w:r w:rsidRPr="00A735B4">
              <w:rPr>
                <w:rFonts w:eastAsia="Times New Roman"/>
                <w:sz w:val="18"/>
                <w:szCs w:val="20"/>
              </w:rPr>
              <w:t>Notification of national enquiry points</w:t>
            </w:r>
          </w:p>
        </w:tc>
        <w:tc>
          <w:tcPr>
            <w:tcW w:w="1089" w:type="dxa"/>
            <w:tcBorders>
              <w:top w:val="nil"/>
              <w:left w:val="nil"/>
              <w:bottom w:val="nil"/>
              <w:right w:val="single" w:sz="8" w:space="0" w:color="auto"/>
            </w:tcBorders>
            <w:shd w:val="clear" w:color="auto" w:fill="auto"/>
            <w:vAlign w:val="center"/>
            <w:hideMark/>
          </w:tcPr>
          <w:p w14:paraId="2CCDBF56" w14:textId="77777777" w:rsidR="00C4454D" w:rsidRPr="00A735B4" w:rsidRDefault="00C4454D" w:rsidP="00C4454D">
            <w:pPr>
              <w:keepNext/>
              <w:jc w:val="center"/>
              <w:rPr>
                <w:rFonts w:eastAsia="Times New Roman"/>
                <w:sz w:val="18"/>
                <w:szCs w:val="20"/>
              </w:rPr>
            </w:pPr>
          </w:p>
        </w:tc>
        <w:tc>
          <w:tcPr>
            <w:tcW w:w="1090" w:type="dxa"/>
            <w:tcBorders>
              <w:top w:val="nil"/>
              <w:left w:val="nil"/>
              <w:bottom w:val="nil"/>
              <w:right w:val="single" w:sz="8" w:space="0" w:color="auto"/>
            </w:tcBorders>
            <w:shd w:val="clear" w:color="auto" w:fill="auto"/>
            <w:vAlign w:val="center"/>
            <w:hideMark/>
          </w:tcPr>
          <w:p w14:paraId="6C32119E" w14:textId="77777777" w:rsidR="00C4454D" w:rsidRPr="00A735B4" w:rsidRDefault="00C4454D" w:rsidP="00C4454D">
            <w:pPr>
              <w:keepNext/>
              <w:jc w:val="center"/>
              <w:rPr>
                <w:rFonts w:eastAsia="Times New Roman"/>
                <w:sz w:val="18"/>
                <w:szCs w:val="20"/>
              </w:rPr>
            </w:pPr>
          </w:p>
        </w:tc>
        <w:tc>
          <w:tcPr>
            <w:tcW w:w="1362" w:type="dxa"/>
            <w:tcBorders>
              <w:top w:val="nil"/>
              <w:left w:val="nil"/>
              <w:bottom w:val="nil"/>
              <w:right w:val="single" w:sz="8" w:space="0" w:color="auto"/>
            </w:tcBorders>
            <w:shd w:val="clear" w:color="auto" w:fill="auto"/>
            <w:vAlign w:val="center"/>
            <w:hideMark/>
          </w:tcPr>
          <w:p w14:paraId="57DAD042" w14:textId="77777777" w:rsidR="00C4454D" w:rsidRPr="00A735B4" w:rsidRDefault="00C4454D" w:rsidP="00C4454D">
            <w:pPr>
              <w:keepNext/>
              <w:jc w:val="center"/>
              <w:rPr>
                <w:rFonts w:eastAsia="Times New Roman"/>
                <w:sz w:val="18"/>
                <w:szCs w:val="20"/>
              </w:rPr>
            </w:pPr>
            <w:r w:rsidRPr="00A735B4">
              <w:rPr>
                <w:rFonts w:eastAsia="Times New Roman"/>
                <w:b/>
                <w:sz w:val="18"/>
                <w:szCs w:val="20"/>
              </w:rPr>
              <w:t>X</w:t>
            </w:r>
          </w:p>
        </w:tc>
      </w:tr>
      <w:tr w:rsidR="00C4454D" w:rsidRPr="00A735B4" w14:paraId="4E3EB1DD" w14:textId="77777777" w:rsidTr="00C4454D">
        <w:trPr>
          <w:trHeight w:val="251"/>
        </w:trPr>
        <w:tc>
          <w:tcPr>
            <w:tcW w:w="1286" w:type="dxa"/>
            <w:vMerge/>
            <w:tcBorders>
              <w:top w:val="nil"/>
              <w:left w:val="single" w:sz="8" w:space="0" w:color="auto"/>
              <w:bottom w:val="single" w:sz="8" w:space="0" w:color="000000"/>
              <w:right w:val="single" w:sz="8" w:space="0" w:color="auto"/>
            </w:tcBorders>
            <w:vAlign w:val="center"/>
            <w:hideMark/>
          </w:tcPr>
          <w:p w14:paraId="0D01ACC0" w14:textId="77777777" w:rsidR="00C4454D" w:rsidRPr="00A735B4" w:rsidRDefault="00C4454D" w:rsidP="00C4454D">
            <w:pPr>
              <w:keepNext/>
              <w:rPr>
                <w:rFonts w:eastAsia="Times New Roman"/>
                <w:b/>
                <w:sz w:val="18"/>
                <w:szCs w:val="20"/>
              </w:rPr>
            </w:pPr>
          </w:p>
        </w:tc>
        <w:tc>
          <w:tcPr>
            <w:tcW w:w="4450" w:type="dxa"/>
            <w:tcBorders>
              <w:top w:val="nil"/>
              <w:left w:val="nil"/>
              <w:bottom w:val="nil"/>
              <w:right w:val="single" w:sz="8" w:space="0" w:color="auto"/>
            </w:tcBorders>
            <w:shd w:val="clear" w:color="auto" w:fill="auto"/>
            <w:hideMark/>
          </w:tcPr>
          <w:p w14:paraId="144CFE85" w14:textId="77777777" w:rsidR="00C4454D" w:rsidRPr="00A735B4" w:rsidRDefault="00C4454D" w:rsidP="00C4454D">
            <w:pPr>
              <w:keepNext/>
              <w:rPr>
                <w:rFonts w:eastAsia="Times New Roman"/>
                <w:sz w:val="18"/>
                <w:szCs w:val="20"/>
              </w:rPr>
            </w:pPr>
            <w:r w:rsidRPr="00A735B4">
              <w:rPr>
                <w:rFonts w:eastAsia="Times New Roman"/>
                <w:sz w:val="18"/>
                <w:szCs w:val="20"/>
              </w:rPr>
              <w:t>Ability to regulate and monitor sanitary and phytosanitary standards</w:t>
            </w:r>
          </w:p>
        </w:tc>
        <w:tc>
          <w:tcPr>
            <w:tcW w:w="1089" w:type="dxa"/>
            <w:tcBorders>
              <w:top w:val="nil"/>
              <w:left w:val="nil"/>
              <w:bottom w:val="nil"/>
              <w:right w:val="single" w:sz="8" w:space="0" w:color="auto"/>
            </w:tcBorders>
            <w:shd w:val="clear" w:color="auto" w:fill="auto"/>
            <w:vAlign w:val="center"/>
            <w:hideMark/>
          </w:tcPr>
          <w:p w14:paraId="68CCFF34" w14:textId="77777777" w:rsidR="00C4454D" w:rsidRPr="00A735B4" w:rsidRDefault="00C4454D" w:rsidP="00C4454D">
            <w:pPr>
              <w:keepNext/>
              <w:jc w:val="center"/>
              <w:rPr>
                <w:rFonts w:eastAsia="Times New Roman"/>
                <w:sz w:val="18"/>
                <w:szCs w:val="20"/>
              </w:rPr>
            </w:pPr>
          </w:p>
        </w:tc>
        <w:tc>
          <w:tcPr>
            <w:tcW w:w="1090" w:type="dxa"/>
            <w:tcBorders>
              <w:top w:val="nil"/>
              <w:left w:val="nil"/>
              <w:bottom w:val="nil"/>
              <w:right w:val="single" w:sz="8" w:space="0" w:color="auto"/>
            </w:tcBorders>
            <w:shd w:val="clear" w:color="auto" w:fill="auto"/>
            <w:vAlign w:val="center"/>
            <w:hideMark/>
          </w:tcPr>
          <w:p w14:paraId="1B677002" w14:textId="77777777" w:rsidR="00C4454D" w:rsidRPr="00A735B4" w:rsidRDefault="00C4454D" w:rsidP="00C4454D">
            <w:pPr>
              <w:keepNext/>
              <w:jc w:val="center"/>
              <w:rPr>
                <w:rFonts w:eastAsia="Times New Roman"/>
                <w:sz w:val="18"/>
                <w:szCs w:val="20"/>
              </w:rPr>
            </w:pPr>
          </w:p>
        </w:tc>
        <w:tc>
          <w:tcPr>
            <w:tcW w:w="1362" w:type="dxa"/>
            <w:tcBorders>
              <w:top w:val="nil"/>
              <w:left w:val="nil"/>
              <w:bottom w:val="nil"/>
              <w:right w:val="single" w:sz="8" w:space="0" w:color="auto"/>
            </w:tcBorders>
            <w:shd w:val="clear" w:color="auto" w:fill="auto"/>
            <w:vAlign w:val="center"/>
            <w:hideMark/>
          </w:tcPr>
          <w:p w14:paraId="6A40AD21" w14:textId="77777777" w:rsidR="00C4454D" w:rsidRPr="00A735B4" w:rsidRDefault="00C4454D" w:rsidP="00C4454D">
            <w:pPr>
              <w:keepNext/>
              <w:jc w:val="center"/>
              <w:rPr>
                <w:rFonts w:eastAsia="Times New Roman"/>
                <w:sz w:val="18"/>
                <w:szCs w:val="20"/>
              </w:rPr>
            </w:pPr>
            <w:r w:rsidRPr="00A735B4">
              <w:rPr>
                <w:rFonts w:eastAsia="Times New Roman"/>
                <w:b/>
                <w:sz w:val="18"/>
                <w:szCs w:val="20"/>
              </w:rPr>
              <w:t>X</w:t>
            </w:r>
          </w:p>
        </w:tc>
      </w:tr>
      <w:tr w:rsidR="00C4454D" w:rsidRPr="00A735B4" w14:paraId="701BFBD2" w14:textId="77777777" w:rsidTr="00C4454D">
        <w:trPr>
          <w:trHeight w:val="251"/>
        </w:trPr>
        <w:tc>
          <w:tcPr>
            <w:tcW w:w="1286" w:type="dxa"/>
            <w:vMerge/>
            <w:tcBorders>
              <w:top w:val="nil"/>
              <w:left w:val="single" w:sz="8" w:space="0" w:color="auto"/>
              <w:bottom w:val="single" w:sz="8" w:space="0" w:color="000000"/>
              <w:right w:val="single" w:sz="8" w:space="0" w:color="auto"/>
            </w:tcBorders>
            <w:vAlign w:val="center"/>
            <w:hideMark/>
          </w:tcPr>
          <w:p w14:paraId="563A542F" w14:textId="77777777" w:rsidR="00C4454D" w:rsidRPr="00A735B4" w:rsidRDefault="00C4454D" w:rsidP="00C4454D">
            <w:pPr>
              <w:keepNext/>
              <w:rPr>
                <w:rFonts w:eastAsia="Times New Roman"/>
                <w:b/>
                <w:sz w:val="18"/>
                <w:szCs w:val="20"/>
              </w:rPr>
            </w:pPr>
          </w:p>
        </w:tc>
        <w:tc>
          <w:tcPr>
            <w:tcW w:w="4450" w:type="dxa"/>
            <w:tcBorders>
              <w:top w:val="nil"/>
              <w:left w:val="nil"/>
              <w:bottom w:val="nil"/>
              <w:right w:val="single" w:sz="8" w:space="0" w:color="auto"/>
            </w:tcBorders>
            <w:shd w:val="clear" w:color="auto" w:fill="auto"/>
            <w:hideMark/>
          </w:tcPr>
          <w:p w14:paraId="16BC744E" w14:textId="77777777" w:rsidR="00C4454D" w:rsidRPr="00A735B4" w:rsidRDefault="00C4454D" w:rsidP="00C4454D">
            <w:pPr>
              <w:keepNext/>
              <w:rPr>
                <w:rFonts w:eastAsia="Times New Roman"/>
                <w:sz w:val="18"/>
                <w:szCs w:val="20"/>
              </w:rPr>
            </w:pPr>
            <w:r w:rsidRPr="00A735B4">
              <w:rPr>
                <w:rFonts w:eastAsia="Times New Roman"/>
                <w:sz w:val="18"/>
                <w:szCs w:val="20"/>
              </w:rPr>
              <w:t>Use of ASYCUDA (or similar)</w:t>
            </w:r>
          </w:p>
        </w:tc>
        <w:tc>
          <w:tcPr>
            <w:tcW w:w="1089" w:type="dxa"/>
            <w:tcBorders>
              <w:top w:val="nil"/>
              <w:left w:val="nil"/>
              <w:bottom w:val="nil"/>
              <w:right w:val="single" w:sz="8" w:space="0" w:color="auto"/>
            </w:tcBorders>
            <w:shd w:val="clear" w:color="auto" w:fill="auto"/>
            <w:vAlign w:val="center"/>
            <w:hideMark/>
          </w:tcPr>
          <w:p w14:paraId="56C69705" w14:textId="77777777" w:rsidR="00C4454D" w:rsidRPr="00A735B4" w:rsidRDefault="00C4454D" w:rsidP="00C4454D">
            <w:pPr>
              <w:keepNext/>
              <w:jc w:val="center"/>
              <w:rPr>
                <w:rFonts w:eastAsia="Times New Roman"/>
                <w:sz w:val="18"/>
                <w:szCs w:val="20"/>
              </w:rPr>
            </w:pPr>
          </w:p>
        </w:tc>
        <w:tc>
          <w:tcPr>
            <w:tcW w:w="1090" w:type="dxa"/>
            <w:tcBorders>
              <w:top w:val="nil"/>
              <w:left w:val="nil"/>
              <w:bottom w:val="nil"/>
              <w:right w:val="single" w:sz="8" w:space="0" w:color="auto"/>
            </w:tcBorders>
            <w:shd w:val="clear" w:color="auto" w:fill="auto"/>
            <w:vAlign w:val="center"/>
            <w:hideMark/>
          </w:tcPr>
          <w:p w14:paraId="1B9C8DFC" w14:textId="77777777" w:rsidR="00C4454D" w:rsidRPr="00A735B4" w:rsidRDefault="00C4454D" w:rsidP="00C4454D">
            <w:pPr>
              <w:keepNext/>
              <w:jc w:val="center"/>
              <w:rPr>
                <w:rFonts w:eastAsia="Times New Roman"/>
                <w:sz w:val="18"/>
                <w:szCs w:val="20"/>
              </w:rPr>
            </w:pPr>
          </w:p>
        </w:tc>
        <w:tc>
          <w:tcPr>
            <w:tcW w:w="1362" w:type="dxa"/>
            <w:tcBorders>
              <w:top w:val="nil"/>
              <w:left w:val="nil"/>
              <w:bottom w:val="nil"/>
              <w:right w:val="single" w:sz="8" w:space="0" w:color="auto"/>
            </w:tcBorders>
            <w:shd w:val="clear" w:color="auto" w:fill="auto"/>
            <w:vAlign w:val="center"/>
            <w:hideMark/>
          </w:tcPr>
          <w:p w14:paraId="5FFFB6FD" w14:textId="77777777" w:rsidR="00C4454D" w:rsidRPr="00A735B4" w:rsidRDefault="00C4454D" w:rsidP="00C4454D">
            <w:pPr>
              <w:keepNext/>
              <w:jc w:val="center"/>
              <w:rPr>
                <w:rFonts w:eastAsia="Times New Roman"/>
                <w:sz w:val="18"/>
                <w:szCs w:val="20"/>
              </w:rPr>
            </w:pPr>
            <w:r w:rsidRPr="00A735B4">
              <w:rPr>
                <w:rFonts w:eastAsia="Times New Roman"/>
                <w:b/>
                <w:sz w:val="18"/>
                <w:szCs w:val="20"/>
              </w:rPr>
              <w:t>X</w:t>
            </w:r>
          </w:p>
        </w:tc>
      </w:tr>
      <w:tr w:rsidR="00C4454D" w:rsidRPr="00A735B4" w14:paraId="6F7B48AF" w14:textId="77777777" w:rsidTr="00C4454D">
        <w:trPr>
          <w:trHeight w:val="251"/>
        </w:trPr>
        <w:tc>
          <w:tcPr>
            <w:tcW w:w="1286" w:type="dxa"/>
            <w:vMerge/>
            <w:tcBorders>
              <w:top w:val="nil"/>
              <w:left w:val="single" w:sz="8" w:space="0" w:color="auto"/>
              <w:bottom w:val="single" w:sz="8" w:space="0" w:color="000000"/>
              <w:right w:val="single" w:sz="8" w:space="0" w:color="auto"/>
            </w:tcBorders>
            <w:vAlign w:val="center"/>
            <w:hideMark/>
          </w:tcPr>
          <w:p w14:paraId="7C98A76A" w14:textId="77777777" w:rsidR="00C4454D" w:rsidRPr="00A735B4" w:rsidRDefault="00C4454D" w:rsidP="00C4454D">
            <w:pPr>
              <w:keepNext/>
              <w:rPr>
                <w:rFonts w:eastAsia="Times New Roman"/>
                <w:b/>
                <w:sz w:val="18"/>
                <w:szCs w:val="20"/>
              </w:rPr>
            </w:pPr>
          </w:p>
        </w:tc>
        <w:tc>
          <w:tcPr>
            <w:tcW w:w="4450" w:type="dxa"/>
            <w:tcBorders>
              <w:top w:val="nil"/>
              <w:left w:val="nil"/>
              <w:bottom w:val="nil"/>
              <w:right w:val="single" w:sz="8" w:space="0" w:color="auto"/>
            </w:tcBorders>
            <w:shd w:val="clear" w:color="auto" w:fill="auto"/>
            <w:hideMark/>
          </w:tcPr>
          <w:p w14:paraId="075B7EBA" w14:textId="77777777" w:rsidR="00C4454D" w:rsidRPr="00A735B4" w:rsidRDefault="00C4454D" w:rsidP="00C4454D">
            <w:pPr>
              <w:keepNext/>
              <w:rPr>
                <w:rFonts w:eastAsia="Times New Roman"/>
                <w:sz w:val="18"/>
                <w:szCs w:val="20"/>
              </w:rPr>
            </w:pPr>
            <w:r w:rsidRPr="00A735B4">
              <w:rPr>
                <w:rFonts w:eastAsia="Times New Roman"/>
                <w:sz w:val="18"/>
                <w:szCs w:val="20"/>
              </w:rPr>
              <w:t>Use of GATT valuation system</w:t>
            </w:r>
          </w:p>
        </w:tc>
        <w:tc>
          <w:tcPr>
            <w:tcW w:w="1089" w:type="dxa"/>
            <w:tcBorders>
              <w:top w:val="nil"/>
              <w:left w:val="nil"/>
              <w:bottom w:val="nil"/>
              <w:right w:val="single" w:sz="8" w:space="0" w:color="auto"/>
            </w:tcBorders>
            <w:shd w:val="clear" w:color="auto" w:fill="auto"/>
            <w:vAlign w:val="center"/>
            <w:hideMark/>
          </w:tcPr>
          <w:p w14:paraId="5C196ABA" w14:textId="77777777" w:rsidR="00C4454D" w:rsidRPr="00A735B4" w:rsidRDefault="00C4454D" w:rsidP="00C4454D">
            <w:pPr>
              <w:keepNext/>
              <w:jc w:val="center"/>
              <w:rPr>
                <w:rFonts w:eastAsia="Times New Roman"/>
                <w:sz w:val="18"/>
                <w:szCs w:val="20"/>
              </w:rPr>
            </w:pPr>
          </w:p>
        </w:tc>
        <w:tc>
          <w:tcPr>
            <w:tcW w:w="1090" w:type="dxa"/>
            <w:tcBorders>
              <w:top w:val="nil"/>
              <w:left w:val="nil"/>
              <w:bottom w:val="nil"/>
              <w:right w:val="single" w:sz="8" w:space="0" w:color="auto"/>
            </w:tcBorders>
            <w:shd w:val="clear" w:color="auto" w:fill="auto"/>
            <w:vAlign w:val="center"/>
            <w:hideMark/>
          </w:tcPr>
          <w:p w14:paraId="56205482" w14:textId="77777777" w:rsidR="00C4454D" w:rsidRPr="00A735B4" w:rsidRDefault="00C4454D" w:rsidP="00C4454D">
            <w:pPr>
              <w:keepNext/>
              <w:jc w:val="center"/>
              <w:rPr>
                <w:rFonts w:eastAsia="Times New Roman"/>
                <w:sz w:val="18"/>
                <w:szCs w:val="20"/>
              </w:rPr>
            </w:pPr>
          </w:p>
        </w:tc>
        <w:tc>
          <w:tcPr>
            <w:tcW w:w="1362" w:type="dxa"/>
            <w:tcBorders>
              <w:top w:val="nil"/>
              <w:left w:val="nil"/>
              <w:bottom w:val="nil"/>
              <w:right w:val="single" w:sz="8" w:space="0" w:color="auto"/>
            </w:tcBorders>
            <w:shd w:val="clear" w:color="auto" w:fill="auto"/>
            <w:vAlign w:val="center"/>
            <w:hideMark/>
          </w:tcPr>
          <w:p w14:paraId="3156F17E" w14:textId="77777777" w:rsidR="00C4454D" w:rsidRPr="00A735B4" w:rsidRDefault="00C4454D" w:rsidP="00C4454D">
            <w:pPr>
              <w:keepNext/>
              <w:jc w:val="center"/>
              <w:rPr>
                <w:rFonts w:eastAsia="Times New Roman"/>
                <w:sz w:val="18"/>
                <w:szCs w:val="20"/>
              </w:rPr>
            </w:pPr>
            <w:r w:rsidRPr="00A735B4">
              <w:rPr>
                <w:rFonts w:eastAsia="Times New Roman"/>
                <w:b/>
                <w:sz w:val="18"/>
                <w:szCs w:val="20"/>
              </w:rPr>
              <w:t>X</w:t>
            </w:r>
          </w:p>
        </w:tc>
      </w:tr>
      <w:tr w:rsidR="00C4454D" w:rsidRPr="00A735B4" w14:paraId="1123471B" w14:textId="77777777" w:rsidTr="00C4454D">
        <w:trPr>
          <w:trHeight w:val="251"/>
        </w:trPr>
        <w:tc>
          <w:tcPr>
            <w:tcW w:w="1286" w:type="dxa"/>
            <w:vMerge/>
            <w:tcBorders>
              <w:top w:val="nil"/>
              <w:left w:val="single" w:sz="8" w:space="0" w:color="auto"/>
              <w:bottom w:val="single" w:sz="8" w:space="0" w:color="000000"/>
              <w:right w:val="single" w:sz="8" w:space="0" w:color="auto"/>
            </w:tcBorders>
            <w:vAlign w:val="center"/>
            <w:hideMark/>
          </w:tcPr>
          <w:p w14:paraId="67A06093" w14:textId="77777777" w:rsidR="00C4454D" w:rsidRPr="00A735B4" w:rsidRDefault="00C4454D" w:rsidP="00C4454D">
            <w:pPr>
              <w:keepNext/>
              <w:rPr>
                <w:rFonts w:eastAsia="Times New Roman"/>
                <w:b/>
                <w:sz w:val="18"/>
                <w:szCs w:val="20"/>
              </w:rPr>
            </w:pPr>
          </w:p>
        </w:tc>
        <w:tc>
          <w:tcPr>
            <w:tcW w:w="4450" w:type="dxa"/>
            <w:tcBorders>
              <w:top w:val="nil"/>
              <w:left w:val="nil"/>
              <w:bottom w:val="nil"/>
              <w:right w:val="single" w:sz="8" w:space="0" w:color="auto"/>
            </w:tcBorders>
            <w:shd w:val="clear" w:color="auto" w:fill="auto"/>
            <w:hideMark/>
          </w:tcPr>
          <w:p w14:paraId="0EA5E31D" w14:textId="77777777" w:rsidR="00C4454D" w:rsidRPr="00A735B4" w:rsidRDefault="00C4454D" w:rsidP="00C4454D">
            <w:pPr>
              <w:keepNext/>
              <w:rPr>
                <w:rFonts w:eastAsia="Times New Roman"/>
                <w:sz w:val="18"/>
                <w:szCs w:val="20"/>
              </w:rPr>
            </w:pPr>
            <w:r w:rsidRPr="00A735B4">
              <w:rPr>
                <w:rFonts w:eastAsia="Times New Roman"/>
                <w:sz w:val="18"/>
                <w:szCs w:val="20"/>
              </w:rPr>
              <w:t>Use of COMESA customs document</w:t>
            </w:r>
          </w:p>
        </w:tc>
        <w:tc>
          <w:tcPr>
            <w:tcW w:w="1089" w:type="dxa"/>
            <w:tcBorders>
              <w:top w:val="nil"/>
              <w:left w:val="nil"/>
              <w:bottom w:val="nil"/>
              <w:right w:val="single" w:sz="8" w:space="0" w:color="auto"/>
            </w:tcBorders>
            <w:shd w:val="clear" w:color="auto" w:fill="auto"/>
            <w:vAlign w:val="center"/>
            <w:hideMark/>
          </w:tcPr>
          <w:p w14:paraId="0D067EBE" w14:textId="77777777" w:rsidR="00C4454D" w:rsidRPr="00A735B4" w:rsidRDefault="00C4454D" w:rsidP="00C4454D">
            <w:pPr>
              <w:keepNext/>
              <w:jc w:val="center"/>
              <w:rPr>
                <w:rFonts w:eastAsia="Times New Roman"/>
                <w:sz w:val="18"/>
                <w:szCs w:val="20"/>
              </w:rPr>
            </w:pPr>
          </w:p>
        </w:tc>
        <w:tc>
          <w:tcPr>
            <w:tcW w:w="1090" w:type="dxa"/>
            <w:tcBorders>
              <w:top w:val="nil"/>
              <w:left w:val="nil"/>
              <w:bottom w:val="nil"/>
              <w:right w:val="single" w:sz="8" w:space="0" w:color="auto"/>
            </w:tcBorders>
            <w:shd w:val="clear" w:color="auto" w:fill="auto"/>
            <w:vAlign w:val="center"/>
            <w:hideMark/>
          </w:tcPr>
          <w:p w14:paraId="4D390322" w14:textId="77777777" w:rsidR="00C4454D" w:rsidRPr="00A735B4" w:rsidRDefault="00C4454D" w:rsidP="00C4454D">
            <w:pPr>
              <w:keepNext/>
              <w:jc w:val="center"/>
              <w:rPr>
                <w:rFonts w:eastAsia="Times New Roman"/>
                <w:sz w:val="18"/>
                <w:szCs w:val="20"/>
              </w:rPr>
            </w:pPr>
          </w:p>
        </w:tc>
        <w:tc>
          <w:tcPr>
            <w:tcW w:w="1362" w:type="dxa"/>
            <w:tcBorders>
              <w:top w:val="nil"/>
              <w:left w:val="nil"/>
              <w:bottom w:val="nil"/>
              <w:right w:val="single" w:sz="8" w:space="0" w:color="auto"/>
            </w:tcBorders>
            <w:shd w:val="clear" w:color="auto" w:fill="auto"/>
            <w:vAlign w:val="center"/>
            <w:hideMark/>
          </w:tcPr>
          <w:p w14:paraId="1F3A0D77" w14:textId="77777777" w:rsidR="00C4454D" w:rsidRPr="00A735B4" w:rsidRDefault="00C4454D" w:rsidP="00C4454D">
            <w:pPr>
              <w:keepNext/>
              <w:jc w:val="center"/>
              <w:rPr>
                <w:rFonts w:eastAsia="Times New Roman"/>
                <w:sz w:val="18"/>
                <w:szCs w:val="20"/>
              </w:rPr>
            </w:pPr>
            <w:r w:rsidRPr="00A735B4">
              <w:rPr>
                <w:rFonts w:eastAsia="Times New Roman"/>
                <w:b/>
                <w:sz w:val="18"/>
                <w:szCs w:val="20"/>
              </w:rPr>
              <w:t>X</w:t>
            </w:r>
          </w:p>
        </w:tc>
      </w:tr>
      <w:tr w:rsidR="00C4454D" w:rsidRPr="00A735B4" w14:paraId="7A868E0A" w14:textId="77777777" w:rsidTr="00C4454D">
        <w:trPr>
          <w:trHeight w:val="67"/>
        </w:trPr>
        <w:tc>
          <w:tcPr>
            <w:tcW w:w="1286" w:type="dxa"/>
            <w:vMerge/>
            <w:tcBorders>
              <w:top w:val="nil"/>
              <w:left w:val="single" w:sz="8" w:space="0" w:color="auto"/>
              <w:bottom w:val="single" w:sz="8" w:space="0" w:color="000000"/>
              <w:right w:val="single" w:sz="8" w:space="0" w:color="auto"/>
            </w:tcBorders>
            <w:vAlign w:val="center"/>
            <w:hideMark/>
          </w:tcPr>
          <w:p w14:paraId="116B851E" w14:textId="77777777" w:rsidR="00C4454D" w:rsidRPr="00A735B4" w:rsidRDefault="00C4454D" w:rsidP="00C4454D">
            <w:pPr>
              <w:keepNext/>
              <w:rPr>
                <w:rFonts w:eastAsia="Times New Roman"/>
                <w:b/>
                <w:sz w:val="18"/>
                <w:szCs w:val="20"/>
              </w:rPr>
            </w:pPr>
          </w:p>
        </w:tc>
        <w:tc>
          <w:tcPr>
            <w:tcW w:w="4450" w:type="dxa"/>
            <w:tcBorders>
              <w:top w:val="nil"/>
              <w:left w:val="nil"/>
              <w:bottom w:val="single" w:sz="8" w:space="0" w:color="auto"/>
              <w:right w:val="single" w:sz="8" w:space="0" w:color="auto"/>
            </w:tcBorders>
            <w:shd w:val="clear" w:color="auto" w:fill="auto"/>
            <w:hideMark/>
          </w:tcPr>
          <w:p w14:paraId="64DE8D1D" w14:textId="331654B5" w:rsidR="00C4454D" w:rsidRPr="00A735B4" w:rsidRDefault="00C4454D" w:rsidP="00C4454D">
            <w:pPr>
              <w:keepNext/>
              <w:rPr>
                <w:rFonts w:eastAsia="Times New Roman"/>
                <w:sz w:val="18"/>
                <w:szCs w:val="20"/>
              </w:rPr>
            </w:pPr>
            <w:r w:rsidRPr="00A735B4">
              <w:rPr>
                <w:rFonts w:eastAsia="Times New Roman"/>
                <w:sz w:val="18"/>
                <w:szCs w:val="20"/>
              </w:rPr>
              <w:t>Use of HS 1996 (or later) customs classification system</w:t>
            </w:r>
          </w:p>
        </w:tc>
        <w:tc>
          <w:tcPr>
            <w:tcW w:w="1089" w:type="dxa"/>
            <w:tcBorders>
              <w:top w:val="nil"/>
              <w:left w:val="nil"/>
              <w:bottom w:val="single" w:sz="8" w:space="0" w:color="auto"/>
              <w:right w:val="single" w:sz="8" w:space="0" w:color="auto"/>
            </w:tcBorders>
            <w:shd w:val="clear" w:color="auto" w:fill="auto"/>
            <w:vAlign w:val="center"/>
            <w:hideMark/>
          </w:tcPr>
          <w:p w14:paraId="48D87ABC" w14:textId="77777777" w:rsidR="00C4454D" w:rsidRPr="00A735B4" w:rsidRDefault="00C4454D" w:rsidP="00C4454D">
            <w:pPr>
              <w:keepNext/>
              <w:jc w:val="center"/>
              <w:rPr>
                <w:rFonts w:eastAsia="Times New Roman"/>
                <w:sz w:val="18"/>
                <w:szCs w:val="20"/>
              </w:rPr>
            </w:pPr>
          </w:p>
        </w:tc>
        <w:tc>
          <w:tcPr>
            <w:tcW w:w="1090" w:type="dxa"/>
            <w:tcBorders>
              <w:top w:val="nil"/>
              <w:left w:val="nil"/>
              <w:bottom w:val="single" w:sz="8" w:space="0" w:color="auto"/>
              <w:right w:val="single" w:sz="8" w:space="0" w:color="auto"/>
            </w:tcBorders>
            <w:shd w:val="clear" w:color="auto" w:fill="auto"/>
            <w:vAlign w:val="center"/>
            <w:hideMark/>
          </w:tcPr>
          <w:p w14:paraId="33E95909" w14:textId="77777777" w:rsidR="00C4454D" w:rsidRPr="00A735B4" w:rsidRDefault="00C4454D" w:rsidP="00C4454D">
            <w:pPr>
              <w:keepNext/>
              <w:jc w:val="center"/>
              <w:rPr>
                <w:rFonts w:eastAsia="Times New Roman"/>
                <w:sz w:val="18"/>
                <w:szCs w:val="20"/>
              </w:rPr>
            </w:pPr>
          </w:p>
        </w:tc>
        <w:tc>
          <w:tcPr>
            <w:tcW w:w="1362" w:type="dxa"/>
            <w:tcBorders>
              <w:top w:val="nil"/>
              <w:left w:val="nil"/>
              <w:bottom w:val="single" w:sz="8" w:space="0" w:color="auto"/>
              <w:right w:val="single" w:sz="8" w:space="0" w:color="auto"/>
            </w:tcBorders>
            <w:shd w:val="clear" w:color="auto" w:fill="auto"/>
            <w:vAlign w:val="center"/>
            <w:hideMark/>
          </w:tcPr>
          <w:p w14:paraId="1A0986D6" w14:textId="77777777" w:rsidR="00C4454D" w:rsidRPr="00A735B4" w:rsidRDefault="00C4454D" w:rsidP="00C4454D">
            <w:pPr>
              <w:keepNext/>
              <w:jc w:val="center"/>
              <w:rPr>
                <w:rFonts w:eastAsia="Times New Roman"/>
                <w:sz w:val="18"/>
                <w:szCs w:val="20"/>
              </w:rPr>
            </w:pPr>
            <w:r w:rsidRPr="00A735B4">
              <w:rPr>
                <w:rFonts w:eastAsia="Times New Roman"/>
                <w:b/>
                <w:sz w:val="18"/>
                <w:szCs w:val="20"/>
              </w:rPr>
              <w:t>X</w:t>
            </w:r>
          </w:p>
        </w:tc>
      </w:tr>
      <w:tr w:rsidR="00C4454D" w:rsidRPr="00A735B4" w14:paraId="7BB15FE1" w14:textId="77777777" w:rsidTr="00C4454D">
        <w:trPr>
          <w:trHeight w:val="251"/>
        </w:trPr>
        <w:tc>
          <w:tcPr>
            <w:tcW w:w="1286" w:type="dxa"/>
            <w:vMerge w:val="restart"/>
            <w:tcBorders>
              <w:top w:val="nil"/>
              <w:left w:val="single" w:sz="8" w:space="0" w:color="auto"/>
              <w:bottom w:val="single" w:sz="8" w:space="0" w:color="000000"/>
              <w:right w:val="single" w:sz="8" w:space="0" w:color="auto"/>
            </w:tcBorders>
            <w:shd w:val="clear" w:color="auto" w:fill="auto"/>
            <w:hideMark/>
          </w:tcPr>
          <w:p w14:paraId="17040EB8" w14:textId="77777777" w:rsidR="00C4454D" w:rsidRPr="00A735B4" w:rsidRDefault="00C4454D" w:rsidP="00C4454D">
            <w:pPr>
              <w:keepNext/>
              <w:rPr>
                <w:rFonts w:eastAsia="Times New Roman"/>
                <w:b/>
                <w:sz w:val="18"/>
                <w:szCs w:val="20"/>
              </w:rPr>
            </w:pPr>
            <w:r w:rsidRPr="00A735B4">
              <w:rPr>
                <w:rFonts w:eastAsia="Times New Roman"/>
                <w:b/>
                <w:sz w:val="18"/>
                <w:szCs w:val="20"/>
              </w:rPr>
              <w:t>Trade in services</w:t>
            </w:r>
          </w:p>
        </w:tc>
        <w:tc>
          <w:tcPr>
            <w:tcW w:w="4450" w:type="dxa"/>
            <w:tcBorders>
              <w:top w:val="nil"/>
              <w:left w:val="nil"/>
              <w:bottom w:val="nil"/>
              <w:right w:val="single" w:sz="8" w:space="0" w:color="auto"/>
            </w:tcBorders>
            <w:shd w:val="clear" w:color="auto" w:fill="auto"/>
            <w:hideMark/>
          </w:tcPr>
          <w:p w14:paraId="11B570B4" w14:textId="77777777" w:rsidR="00C4454D" w:rsidRPr="00A735B4" w:rsidRDefault="00C4454D" w:rsidP="00C4454D">
            <w:pPr>
              <w:keepNext/>
              <w:rPr>
                <w:rFonts w:eastAsia="Times New Roman"/>
                <w:sz w:val="18"/>
                <w:szCs w:val="20"/>
              </w:rPr>
            </w:pPr>
            <w:r w:rsidRPr="00A735B4">
              <w:rPr>
                <w:rFonts w:eastAsia="Times New Roman"/>
                <w:sz w:val="18"/>
                <w:szCs w:val="20"/>
              </w:rPr>
              <w:t>Establishment and publication of Contact and Enquiry Point</w:t>
            </w:r>
          </w:p>
        </w:tc>
        <w:tc>
          <w:tcPr>
            <w:tcW w:w="1089" w:type="dxa"/>
            <w:tcBorders>
              <w:top w:val="nil"/>
              <w:left w:val="nil"/>
              <w:bottom w:val="nil"/>
              <w:right w:val="single" w:sz="8" w:space="0" w:color="auto"/>
            </w:tcBorders>
            <w:shd w:val="clear" w:color="auto" w:fill="auto"/>
            <w:vAlign w:val="center"/>
            <w:hideMark/>
          </w:tcPr>
          <w:p w14:paraId="78B16448" w14:textId="77777777" w:rsidR="00C4454D" w:rsidRPr="00A735B4" w:rsidRDefault="00C4454D" w:rsidP="00C4454D">
            <w:pPr>
              <w:keepNext/>
              <w:jc w:val="center"/>
              <w:rPr>
                <w:rFonts w:eastAsia="Times New Roman"/>
                <w:sz w:val="18"/>
                <w:szCs w:val="20"/>
              </w:rPr>
            </w:pPr>
          </w:p>
        </w:tc>
        <w:tc>
          <w:tcPr>
            <w:tcW w:w="1090" w:type="dxa"/>
            <w:tcBorders>
              <w:top w:val="nil"/>
              <w:left w:val="nil"/>
              <w:bottom w:val="nil"/>
              <w:right w:val="single" w:sz="8" w:space="0" w:color="auto"/>
            </w:tcBorders>
            <w:shd w:val="clear" w:color="auto" w:fill="auto"/>
            <w:vAlign w:val="center"/>
            <w:hideMark/>
          </w:tcPr>
          <w:p w14:paraId="48611584" w14:textId="77777777" w:rsidR="00C4454D" w:rsidRPr="00A735B4" w:rsidRDefault="00C4454D" w:rsidP="00C4454D">
            <w:pPr>
              <w:keepNext/>
              <w:jc w:val="center"/>
              <w:rPr>
                <w:rFonts w:eastAsia="Times New Roman"/>
                <w:sz w:val="18"/>
                <w:szCs w:val="20"/>
              </w:rPr>
            </w:pPr>
          </w:p>
        </w:tc>
        <w:tc>
          <w:tcPr>
            <w:tcW w:w="1362" w:type="dxa"/>
            <w:tcBorders>
              <w:top w:val="nil"/>
              <w:left w:val="nil"/>
              <w:bottom w:val="nil"/>
              <w:right w:val="single" w:sz="8" w:space="0" w:color="auto"/>
            </w:tcBorders>
            <w:shd w:val="clear" w:color="auto" w:fill="auto"/>
            <w:vAlign w:val="center"/>
            <w:hideMark/>
          </w:tcPr>
          <w:p w14:paraId="4F83506E" w14:textId="77777777" w:rsidR="00C4454D" w:rsidRPr="00A735B4" w:rsidRDefault="00C4454D" w:rsidP="00C4454D">
            <w:pPr>
              <w:keepNext/>
              <w:jc w:val="center"/>
              <w:rPr>
                <w:rFonts w:eastAsia="Times New Roman"/>
                <w:sz w:val="18"/>
                <w:szCs w:val="20"/>
              </w:rPr>
            </w:pPr>
            <w:r w:rsidRPr="00A735B4">
              <w:rPr>
                <w:rFonts w:eastAsia="Times New Roman"/>
                <w:b/>
                <w:sz w:val="18"/>
                <w:szCs w:val="20"/>
              </w:rPr>
              <w:t>X</w:t>
            </w:r>
          </w:p>
        </w:tc>
      </w:tr>
      <w:tr w:rsidR="00C4454D" w:rsidRPr="00A735B4" w14:paraId="2D97146F" w14:textId="77777777" w:rsidTr="00C4454D">
        <w:trPr>
          <w:trHeight w:val="251"/>
        </w:trPr>
        <w:tc>
          <w:tcPr>
            <w:tcW w:w="1286" w:type="dxa"/>
            <w:vMerge/>
            <w:tcBorders>
              <w:top w:val="nil"/>
              <w:left w:val="single" w:sz="8" w:space="0" w:color="auto"/>
              <w:bottom w:val="single" w:sz="8" w:space="0" w:color="000000"/>
              <w:right w:val="single" w:sz="8" w:space="0" w:color="auto"/>
            </w:tcBorders>
            <w:vAlign w:val="center"/>
            <w:hideMark/>
          </w:tcPr>
          <w:p w14:paraId="5EB8255C" w14:textId="77777777" w:rsidR="00C4454D" w:rsidRPr="00A735B4" w:rsidRDefault="00C4454D" w:rsidP="00C4454D">
            <w:pPr>
              <w:keepNext/>
              <w:rPr>
                <w:rFonts w:eastAsia="Times New Roman"/>
                <w:b/>
                <w:sz w:val="18"/>
                <w:szCs w:val="20"/>
              </w:rPr>
            </w:pPr>
          </w:p>
        </w:tc>
        <w:tc>
          <w:tcPr>
            <w:tcW w:w="4450" w:type="dxa"/>
            <w:tcBorders>
              <w:top w:val="nil"/>
              <w:left w:val="nil"/>
              <w:bottom w:val="nil"/>
              <w:right w:val="single" w:sz="8" w:space="0" w:color="auto"/>
            </w:tcBorders>
            <w:shd w:val="clear" w:color="auto" w:fill="auto"/>
            <w:hideMark/>
          </w:tcPr>
          <w:p w14:paraId="597E268B" w14:textId="77777777" w:rsidR="00C4454D" w:rsidRPr="00A735B4" w:rsidRDefault="00C4454D" w:rsidP="00C4454D">
            <w:pPr>
              <w:keepNext/>
              <w:rPr>
                <w:rFonts w:eastAsia="Times New Roman"/>
                <w:sz w:val="18"/>
                <w:szCs w:val="20"/>
              </w:rPr>
            </w:pPr>
            <w:r w:rsidRPr="00A735B4">
              <w:rPr>
                <w:rFonts w:eastAsia="Times New Roman"/>
                <w:sz w:val="18"/>
                <w:szCs w:val="20"/>
              </w:rPr>
              <w:t>Performance with regard to commitments</w:t>
            </w:r>
          </w:p>
        </w:tc>
        <w:tc>
          <w:tcPr>
            <w:tcW w:w="1089" w:type="dxa"/>
            <w:tcBorders>
              <w:top w:val="nil"/>
              <w:left w:val="nil"/>
              <w:bottom w:val="nil"/>
              <w:right w:val="single" w:sz="8" w:space="0" w:color="auto"/>
            </w:tcBorders>
            <w:shd w:val="clear" w:color="auto" w:fill="auto"/>
            <w:vAlign w:val="center"/>
            <w:hideMark/>
          </w:tcPr>
          <w:p w14:paraId="57998074" w14:textId="77777777" w:rsidR="00C4454D" w:rsidRPr="00A735B4" w:rsidRDefault="00C4454D" w:rsidP="00C4454D">
            <w:pPr>
              <w:keepNext/>
              <w:jc w:val="center"/>
              <w:rPr>
                <w:rFonts w:eastAsia="Times New Roman"/>
                <w:sz w:val="18"/>
                <w:szCs w:val="20"/>
              </w:rPr>
            </w:pPr>
          </w:p>
        </w:tc>
        <w:tc>
          <w:tcPr>
            <w:tcW w:w="1090" w:type="dxa"/>
            <w:tcBorders>
              <w:top w:val="nil"/>
              <w:left w:val="nil"/>
              <w:bottom w:val="nil"/>
              <w:right w:val="single" w:sz="8" w:space="0" w:color="auto"/>
            </w:tcBorders>
            <w:shd w:val="clear" w:color="auto" w:fill="auto"/>
            <w:vAlign w:val="center"/>
            <w:hideMark/>
          </w:tcPr>
          <w:p w14:paraId="36E1D9CD" w14:textId="77777777" w:rsidR="00C4454D" w:rsidRPr="00A735B4" w:rsidRDefault="00C4454D" w:rsidP="00C4454D">
            <w:pPr>
              <w:keepNext/>
              <w:jc w:val="center"/>
              <w:rPr>
                <w:rFonts w:eastAsia="Times New Roman"/>
                <w:sz w:val="18"/>
                <w:szCs w:val="20"/>
              </w:rPr>
            </w:pPr>
          </w:p>
        </w:tc>
        <w:tc>
          <w:tcPr>
            <w:tcW w:w="1362" w:type="dxa"/>
            <w:tcBorders>
              <w:top w:val="nil"/>
              <w:left w:val="nil"/>
              <w:bottom w:val="nil"/>
              <w:right w:val="single" w:sz="8" w:space="0" w:color="auto"/>
            </w:tcBorders>
            <w:shd w:val="clear" w:color="auto" w:fill="auto"/>
            <w:vAlign w:val="center"/>
            <w:hideMark/>
          </w:tcPr>
          <w:p w14:paraId="116D6A63" w14:textId="77777777" w:rsidR="00C4454D" w:rsidRPr="00A735B4" w:rsidRDefault="00C4454D" w:rsidP="00C4454D">
            <w:pPr>
              <w:keepNext/>
              <w:jc w:val="center"/>
              <w:rPr>
                <w:rFonts w:eastAsia="Times New Roman"/>
                <w:sz w:val="18"/>
                <w:szCs w:val="20"/>
              </w:rPr>
            </w:pPr>
            <w:r w:rsidRPr="00A735B4">
              <w:rPr>
                <w:rFonts w:eastAsia="Times New Roman"/>
                <w:b/>
                <w:sz w:val="18"/>
                <w:szCs w:val="20"/>
              </w:rPr>
              <w:t>X</w:t>
            </w:r>
          </w:p>
        </w:tc>
      </w:tr>
      <w:tr w:rsidR="00C4454D" w:rsidRPr="00A735B4" w14:paraId="084E145C" w14:textId="77777777" w:rsidTr="00C4454D">
        <w:trPr>
          <w:trHeight w:val="251"/>
        </w:trPr>
        <w:tc>
          <w:tcPr>
            <w:tcW w:w="1286" w:type="dxa"/>
            <w:vMerge/>
            <w:tcBorders>
              <w:top w:val="nil"/>
              <w:left w:val="single" w:sz="8" w:space="0" w:color="auto"/>
              <w:bottom w:val="single" w:sz="8" w:space="0" w:color="000000"/>
              <w:right w:val="single" w:sz="8" w:space="0" w:color="auto"/>
            </w:tcBorders>
            <w:vAlign w:val="center"/>
            <w:hideMark/>
          </w:tcPr>
          <w:p w14:paraId="17F7B035" w14:textId="77777777" w:rsidR="00C4454D" w:rsidRPr="00A735B4" w:rsidRDefault="00C4454D" w:rsidP="00C4454D">
            <w:pPr>
              <w:keepNext/>
              <w:rPr>
                <w:rFonts w:eastAsia="Times New Roman"/>
                <w:b/>
                <w:sz w:val="18"/>
                <w:szCs w:val="20"/>
              </w:rPr>
            </w:pPr>
          </w:p>
        </w:tc>
        <w:tc>
          <w:tcPr>
            <w:tcW w:w="4450" w:type="dxa"/>
            <w:tcBorders>
              <w:top w:val="nil"/>
              <w:left w:val="nil"/>
              <w:bottom w:val="single" w:sz="8" w:space="0" w:color="auto"/>
              <w:right w:val="single" w:sz="8" w:space="0" w:color="auto"/>
            </w:tcBorders>
            <w:shd w:val="clear" w:color="auto" w:fill="auto"/>
            <w:hideMark/>
          </w:tcPr>
          <w:p w14:paraId="142F987B" w14:textId="77777777" w:rsidR="00C4454D" w:rsidRPr="00A735B4" w:rsidRDefault="00C4454D" w:rsidP="00C4454D">
            <w:pPr>
              <w:keepNext/>
              <w:rPr>
                <w:rFonts w:eastAsia="Times New Roman"/>
                <w:sz w:val="18"/>
                <w:szCs w:val="20"/>
              </w:rPr>
            </w:pPr>
            <w:r w:rsidRPr="00A735B4">
              <w:rPr>
                <w:rFonts w:eastAsia="Times New Roman"/>
                <w:sz w:val="18"/>
                <w:szCs w:val="20"/>
              </w:rPr>
              <w:t>Reductions in exemptions over time</w:t>
            </w:r>
          </w:p>
        </w:tc>
        <w:tc>
          <w:tcPr>
            <w:tcW w:w="1089" w:type="dxa"/>
            <w:tcBorders>
              <w:top w:val="nil"/>
              <w:left w:val="nil"/>
              <w:bottom w:val="single" w:sz="8" w:space="0" w:color="auto"/>
              <w:right w:val="single" w:sz="8" w:space="0" w:color="auto"/>
            </w:tcBorders>
            <w:shd w:val="clear" w:color="auto" w:fill="auto"/>
            <w:vAlign w:val="center"/>
            <w:hideMark/>
          </w:tcPr>
          <w:p w14:paraId="00F95525" w14:textId="77777777" w:rsidR="00C4454D" w:rsidRPr="00A735B4" w:rsidRDefault="00C4454D" w:rsidP="00C4454D">
            <w:pPr>
              <w:keepNext/>
              <w:jc w:val="center"/>
              <w:rPr>
                <w:rFonts w:eastAsia="Times New Roman"/>
                <w:sz w:val="18"/>
                <w:szCs w:val="20"/>
              </w:rPr>
            </w:pPr>
          </w:p>
        </w:tc>
        <w:tc>
          <w:tcPr>
            <w:tcW w:w="1090" w:type="dxa"/>
            <w:tcBorders>
              <w:top w:val="nil"/>
              <w:left w:val="nil"/>
              <w:bottom w:val="single" w:sz="8" w:space="0" w:color="auto"/>
              <w:right w:val="single" w:sz="8" w:space="0" w:color="auto"/>
            </w:tcBorders>
            <w:shd w:val="clear" w:color="auto" w:fill="auto"/>
            <w:vAlign w:val="center"/>
            <w:hideMark/>
          </w:tcPr>
          <w:p w14:paraId="7844113A" w14:textId="77777777" w:rsidR="00C4454D" w:rsidRPr="00A735B4" w:rsidRDefault="00C4454D" w:rsidP="00C4454D">
            <w:pPr>
              <w:keepNext/>
              <w:jc w:val="center"/>
              <w:rPr>
                <w:rFonts w:eastAsia="Times New Roman"/>
                <w:sz w:val="18"/>
                <w:szCs w:val="20"/>
              </w:rPr>
            </w:pPr>
            <w:r w:rsidRPr="00A735B4">
              <w:rPr>
                <w:rFonts w:eastAsia="Times New Roman"/>
                <w:b/>
                <w:sz w:val="18"/>
                <w:szCs w:val="20"/>
              </w:rPr>
              <w:t>X</w:t>
            </w:r>
          </w:p>
        </w:tc>
        <w:tc>
          <w:tcPr>
            <w:tcW w:w="1362" w:type="dxa"/>
            <w:tcBorders>
              <w:top w:val="nil"/>
              <w:left w:val="nil"/>
              <w:bottom w:val="single" w:sz="8" w:space="0" w:color="auto"/>
              <w:right w:val="single" w:sz="8" w:space="0" w:color="auto"/>
            </w:tcBorders>
            <w:shd w:val="clear" w:color="auto" w:fill="auto"/>
            <w:vAlign w:val="center"/>
            <w:hideMark/>
          </w:tcPr>
          <w:p w14:paraId="6655E564" w14:textId="77777777" w:rsidR="00C4454D" w:rsidRPr="00A735B4" w:rsidRDefault="00C4454D" w:rsidP="00C4454D">
            <w:pPr>
              <w:keepNext/>
              <w:jc w:val="center"/>
              <w:rPr>
                <w:rFonts w:eastAsia="Times New Roman"/>
                <w:sz w:val="18"/>
                <w:szCs w:val="20"/>
              </w:rPr>
            </w:pPr>
          </w:p>
        </w:tc>
      </w:tr>
      <w:tr w:rsidR="00C4454D" w:rsidRPr="00A735B4" w14:paraId="7CDFC6A0" w14:textId="77777777" w:rsidTr="00C4454D">
        <w:trPr>
          <w:trHeight w:val="251"/>
        </w:trPr>
        <w:tc>
          <w:tcPr>
            <w:tcW w:w="1286" w:type="dxa"/>
            <w:vMerge w:val="restart"/>
            <w:tcBorders>
              <w:top w:val="nil"/>
              <w:left w:val="single" w:sz="8" w:space="0" w:color="auto"/>
              <w:bottom w:val="single" w:sz="8" w:space="0" w:color="000000"/>
              <w:right w:val="single" w:sz="8" w:space="0" w:color="auto"/>
            </w:tcBorders>
            <w:shd w:val="clear" w:color="auto" w:fill="auto"/>
            <w:hideMark/>
          </w:tcPr>
          <w:p w14:paraId="366FB788" w14:textId="77777777" w:rsidR="00C4454D" w:rsidRPr="00A735B4" w:rsidRDefault="00C4454D" w:rsidP="00C4454D">
            <w:pPr>
              <w:keepNext/>
              <w:jc w:val="both"/>
              <w:rPr>
                <w:rFonts w:eastAsia="Times New Roman"/>
                <w:b/>
                <w:sz w:val="18"/>
                <w:szCs w:val="20"/>
              </w:rPr>
            </w:pPr>
            <w:r w:rsidRPr="00A735B4">
              <w:rPr>
                <w:rFonts w:eastAsia="Times New Roman"/>
                <w:b/>
                <w:sz w:val="18"/>
                <w:szCs w:val="20"/>
              </w:rPr>
              <w:t>Transit facilitation</w:t>
            </w:r>
          </w:p>
        </w:tc>
        <w:tc>
          <w:tcPr>
            <w:tcW w:w="4450" w:type="dxa"/>
            <w:tcBorders>
              <w:top w:val="nil"/>
              <w:left w:val="nil"/>
              <w:bottom w:val="nil"/>
              <w:right w:val="single" w:sz="8" w:space="0" w:color="auto"/>
            </w:tcBorders>
            <w:shd w:val="clear" w:color="auto" w:fill="auto"/>
            <w:hideMark/>
          </w:tcPr>
          <w:p w14:paraId="76E0B964" w14:textId="77777777" w:rsidR="00C4454D" w:rsidRPr="00A735B4" w:rsidRDefault="00C4454D" w:rsidP="00C4454D">
            <w:pPr>
              <w:keepNext/>
              <w:rPr>
                <w:rFonts w:eastAsia="Times New Roman"/>
                <w:sz w:val="18"/>
                <w:szCs w:val="20"/>
              </w:rPr>
            </w:pPr>
            <w:r w:rsidRPr="00A735B4">
              <w:rPr>
                <w:rFonts w:eastAsia="Times New Roman"/>
                <w:sz w:val="18"/>
                <w:szCs w:val="20"/>
              </w:rPr>
              <w:t>Implementation of COMESA harmonized road transit charges</w:t>
            </w:r>
          </w:p>
        </w:tc>
        <w:tc>
          <w:tcPr>
            <w:tcW w:w="1089" w:type="dxa"/>
            <w:tcBorders>
              <w:top w:val="nil"/>
              <w:left w:val="nil"/>
              <w:bottom w:val="nil"/>
              <w:right w:val="single" w:sz="8" w:space="0" w:color="auto"/>
            </w:tcBorders>
            <w:shd w:val="clear" w:color="auto" w:fill="auto"/>
            <w:vAlign w:val="center"/>
            <w:hideMark/>
          </w:tcPr>
          <w:p w14:paraId="26351B21" w14:textId="77777777" w:rsidR="00C4454D" w:rsidRPr="00A735B4" w:rsidRDefault="00C4454D" w:rsidP="00C4454D">
            <w:pPr>
              <w:keepNext/>
              <w:jc w:val="center"/>
              <w:rPr>
                <w:rFonts w:eastAsia="Times New Roman"/>
                <w:sz w:val="18"/>
                <w:szCs w:val="20"/>
              </w:rPr>
            </w:pPr>
          </w:p>
        </w:tc>
        <w:tc>
          <w:tcPr>
            <w:tcW w:w="1090" w:type="dxa"/>
            <w:tcBorders>
              <w:top w:val="nil"/>
              <w:left w:val="nil"/>
              <w:bottom w:val="nil"/>
              <w:right w:val="single" w:sz="8" w:space="0" w:color="auto"/>
            </w:tcBorders>
            <w:shd w:val="clear" w:color="auto" w:fill="auto"/>
            <w:vAlign w:val="center"/>
            <w:hideMark/>
          </w:tcPr>
          <w:p w14:paraId="5E5E86BF" w14:textId="77777777" w:rsidR="00C4454D" w:rsidRPr="00A735B4" w:rsidRDefault="00C4454D" w:rsidP="00C4454D">
            <w:pPr>
              <w:keepNext/>
              <w:jc w:val="center"/>
              <w:rPr>
                <w:rFonts w:eastAsia="Times New Roman"/>
                <w:sz w:val="18"/>
                <w:szCs w:val="20"/>
              </w:rPr>
            </w:pPr>
          </w:p>
        </w:tc>
        <w:tc>
          <w:tcPr>
            <w:tcW w:w="1362" w:type="dxa"/>
            <w:tcBorders>
              <w:top w:val="nil"/>
              <w:left w:val="nil"/>
              <w:bottom w:val="nil"/>
              <w:right w:val="single" w:sz="8" w:space="0" w:color="auto"/>
            </w:tcBorders>
            <w:shd w:val="clear" w:color="auto" w:fill="auto"/>
            <w:vAlign w:val="center"/>
            <w:hideMark/>
          </w:tcPr>
          <w:p w14:paraId="6B642B58" w14:textId="77777777" w:rsidR="00C4454D" w:rsidRPr="00A735B4" w:rsidRDefault="00C4454D" w:rsidP="00C4454D">
            <w:pPr>
              <w:keepNext/>
              <w:jc w:val="center"/>
              <w:rPr>
                <w:rFonts w:eastAsia="Times New Roman"/>
                <w:sz w:val="18"/>
                <w:szCs w:val="20"/>
              </w:rPr>
            </w:pPr>
            <w:r w:rsidRPr="00A735B4">
              <w:rPr>
                <w:rFonts w:eastAsia="Times New Roman"/>
                <w:b/>
                <w:sz w:val="18"/>
                <w:szCs w:val="20"/>
              </w:rPr>
              <w:t>X</w:t>
            </w:r>
          </w:p>
        </w:tc>
      </w:tr>
      <w:tr w:rsidR="00C4454D" w:rsidRPr="00A735B4" w14:paraId="67A78C35" w14:textId="77777777" w:rsidTr="00C4454D">
        <w:trPr>
          <w:trHeight w:val="251"/>
        </w:trPr>
        <w:tc>
          <w:tcPr>
            <w:tcW w:w="1286" w:type="dxa"/>
            <w:vMerge/>
            <w:tcBorders>
              <w:top w:val="nil"/>
              <w:left w:val="single" w:sz="8" w:space="0" w:color="auto"/>
              <w:bottom w:val="single" w:sz="8" w:space="0" w:color="000000"/>
              <w:right w:val="single" w:sz="8" w:space="0" w:color="auto"/>
            </w:tcBorders>
            <w:vAlign w:val="center"/>
            <w:hideMark/>
          </w:tcPr>
          <w:p w14:paraId="2FD3EB7A" w14:textId="77777777" w:rsidR="00C4454D" w:rsidRPr="00A735B4" w:rsidRDefault="00C4454D" w:rsidP="00C4454D">
            <w:pPr>
              <w:keepNext/>
              <w:rPr>
                <w:rFonts w:eastAsia="Times New Roman"/>
                <w:b/>
                <w:sz w:val="18"/>
                <w:szCs w:val="20"/>
              </w:rPr>
            </w:pPr>
          </w:p>
        </w:tc>
        <w:tc>
          <w:tcPr>
            <w:tcW w:w="4450" w:type="dxa"/>
            <w:tcBorders>
              <w:top w:val="nil"/>
              <w:left w:val="nil"/>
              <w:bottom w:val="nil"/>
              <w:right w:val="single" w:sz="8" w:space="0" w:color="auto"/>
            </w:tcBorders>
            <w:shd w:val="clear" w:color="auto" w:fill="auto"/>
            <w:hideMark/>
          </w:tcPr>
          <w:p w14:paraId="6FFD6AD4" w14:textId="77777777" w:rsidR="00C4454D" w:rsidRPr="00A735B4" w:rsidRDefault="00C4454D" w:rsidP="00C4454D">
            <w:pPr>
              <w:keepNext/>
              <w:rPr>
                <w:rFonts w:eastAsia="Times New Roman"/>
                <w:sz w:val="18"/>
                <w:szCs w:val="20"/>
              </w:rPr>
            </w:pPr>
            <w:r w:rsidRPr="00A735B4">
              <w:rPr>
                <w:rFonts w:eastAsia="Times New Roman"/>
                <w:sz w:val="18"/>
                <w:szCs w:val="20"/>
              </w:rPr>
              <w:t>Use of COMESA carriers license</w:t>
            </w:r>
          </w:p>
        </w:tc>
        <w:tc>
          <w:tcPr>
            <w:tcW w:w="1089" w:type="dxa"/>
            <w:tcBorders>
              <w:top w:val="nil"/>
              <w:left w:val="nil"/>
              <w:bottom w:val="nil"/>
              <w:right w:val="single" w:sz="8" w:space="0" w:color="auto"/>
            </w:tcBorders>
            <w:shd w:val="clear" w:color="auto" w:fill="auto"/>
            <w:vAlign w:val="center"/>
            <w:hideMark/>
          </w:tcPr>
          <w:p w14:paraId="67F83A1A" w14:textId="77777777" w:rsidR="00C4454D" w:rsidRPr="00A735B4" w:rsidRDefault="00C4454D" w:rsidP="00C4454D">
            <w:pPr>
              <w:keepNext/>
              <w:jc w:val="center"/>
              <w:rPr>
                <w:rFonts w:eastAsia="Times New Roman"/>
                <w:sz w:val="18"/>
                <w:szCs w:val="20"/>
              </w:rPr>
            </w:pPr>
          </w:p>
        </w:tc>
        <w:tc>
          <w:tcPr>
            <w:tcW w:w="1090" w:type="dxa"/>
            <w:tcBorders>
              <w:top w:val="nil"/>
              <w:left w:val="nil"/>
              <w:bottom w:val="nil"/>
              <w:right w:val="single" w:sz="8" w:space="0" w:color="auto"/>
            </w:tcBorders>
            <w:shd w:val="clear" w:color="auto" w:fill="auto"/>
            <w:vAlign w:val="center"/>
            <w:hideMark/>
          </w:tcPr>
          <w:p w14:paraId="38D9F7A6" w14:textId="77777777" w:rsidR="00C4454D" w:rsidRPr="00A735B4" w:rsidRDefault="00C4454D" w:rsidP="00C4454D">
            <w:pPr>
              <w:keepNext/>
              <w:jc w:val="center"/>
              <w:rPr>
                <w:rFonts w:eastAsia="Times New Roman"/>
                <w:sz w:val="18"/>
                <w:szCs w:val="20"/>
              </w:rPr>
            </w:pPr>
          </w:p>
        </w:tc>
        <w:tc>
          <w:tcPr>
            <w:tcW w:w="1362" w:type="dxa"/>
            <w:tcBorders>
              <w:top w:val="nil"/>
              <w:left w:val="nil"/>
              <w:bottom w:val="nil"/>
              <w:right w:val="single" w:sz="8" w:space="0" w:color="auto"/>
            </w:tcBorders>
            <w:shd w:val="clear" w:color="auto" w:fill="auto"/>
            <w:vAlign w:val="center"/>
            <w:hideMark/>
          </w:tcPr>
          <w:p w14:paraId="1CFE6CFB" w14:textId="77777777" w:rsidR="00C4454D" w:rsidRPr="00A735B4" w:rsidRDefault="00C4454D" w:rsidP="00C4454D">
            <w:pPr>
              <w:keepNext/>
              <w:jc w:val="center"/>
              <w:rPr>
                <w:rFonts w:eastAsia="Times New Roman"/>
                <w:sz w:val="18"/>
                <w:szCs w:val="20"/>
              </w:rPr>
            </w:pPr>
            <w:r w:rsidRPr="00A735B4">
              <w:rPr>
                <w:rFonts w:eastAsia="Times New Roman"/>
                <w:b/>
                <w:sz w:val="18"/>
                <w:szCs w:val="20"/>
              </w:rPr>
              <w:t>X</w:t>
            </w:r>
          </w:p>
        </w:tc>
      </w:tr>
      <w:tr w:rsidR="00C4454D" w:rsidRPr="00A735B4" w14:paraId="4AC993D3" w14:textId="77777777" w:rsidTr="00C4454D">
        <w:trPr>
          <w:trHeight w:val="251"/>
        </w:trPr>
        <w:tc>
          <w:tcPr>
            <w:tcW w:w="1286" w:type="dxa"/>
            <w:vMerge/>
            <w:tcBorders>
              <w:top w:val="nil"/>
              <w:left w:val="single" w:sz="8" w:space="0" w:color="auto"/>
              <w:bottom w:val="single" w:sz="8" w:space="0" w:color="000000"/>
              <w:right w:val="single" w:sz="8" w:space="0" w:color="auto"/>
            </w:tcBorders>
            <w:vAlign w:val="center"/>
            <w:hideMark/>
          </w:tcPr>
          <w:p w14:paraId="21BAC1D8" w14:textId="77777777" w:rsidR="00C4454D" w:rsidRPr="00A735B4" w:rsidRDefault="00C4454D" w:rsidP="00C4454D">
            <w:pPr>
              <w:keepNext/>
              <w:rPr>
                <w:rFonts w:eastAsia="Times New Roman"/>
                <w:b/>
                <w:sz w:val="18"/>
                <w:szCs w:val="20"/>
              </w:rPr>
            </w:pPr>
          </w:p>
        </w:tc>
        <w:tc>
          <w:tcPr>
            <w:tcW w:w="4450" w:type="dxa"/>
            <w:tcBorders>
              <w:top w:val="nil"/>
              <w:left w:val="nil"/>
              <w:bottom w:val="nil"/>
              <w:right w:val="single" w:sz="8" w:space="0" w:color="auto"/>
            </w:tcBorders>
            <w:shd w:val="clear" w:color="auto" w:fill="auto"/>
            <w:hideMark/>
          </w:tcPr>
          <w:p w14:paraId="14AB4739" w14:textId="77777777" w:rsidR="00C4454D" w:rsidRPr="00A735B4" w:rsidRDefault="00C4454D" w:rsidP="00C4454D">
            <w:pPr>
              <w:keepNext/>
              <w:rPr>
                <w:rFonts w:eastAsia="Times New Roman"/>
                <w:sz w:val="18"/>
                <w:szCs w:val="20"/>
              </w:rPr>
            </w:pPr>
            <w:r w:rsidRPr="00A735B4">
              <w:rPr>
                <w:rFonts w:eastAsia="Times New Roman"/>
                <w:sz w:val="18"/>
                <w:szCs w:val="20"/>
              </w:rPr>
              <w:t>Use of COMESA customs bond guarantee</w:t>
            </w:r>
          </w:p>
        </w:tc>
        <w:tc>
          <w:tcPr>
            <w:tcW w:w="1089" w:type="dxa"/>
            <w:tcBorders>
              <w:top w:val="nil"/>
              <w:left w:val="nil"/>
              <w:bottom w:val="nil"/>
              <w:right w:val="single" w:sz="8" w:space="0" w:color="auto"/>
            </w:tcBorders>
            <w:shd w:val="clear" w:color="auto" w:fill="auto"/>
            <w:vAlign w:val="center"/>
            <w:hideMark/>
          </w:tcPr>
          <w:p w14:paraId="09D821B0" w14:textId="77777777" w:rsidR="00C4454D" w:rsidRPr="00A735B4" w:rsidRDefault="00C4454D" w:rsidP="00C4454D">
            <w:pPr>
              <w:keepNext/>
              <w:jc w:val="center"/>
              <w:rPr>
                <w:rFonts w:eastAsia="Times New Roman"/>
                <w:sz w:val="18"/>
                <w:szCs w:val="20"/>
              </w:rPr>
            </w:pPr>
          </w:p>
        </w:tc>
        <w:tc>
          <w:tcPr>
            <w:tcW w:w="1090" w:type="dxa"/>
            <w:tcBorders>
              <w:top w:val="nil"/>
              <w:left w:val="nil"/>
              <w:bottom w:val="nil"/>
              <w:right w:val="single" w:sz="8" w:space="0" w:color="auto"/>
            </w:tcBorders>
            <w:shd w:val="clear" w:color="auto" w:fill="auto"/>
            <w:vAlign w:val="center"/>
            <w:hideMark/>
          </w:tcPr>
          <w:p w14:paraId="43911775" w14:textId="77777777" w:rsidR="00C4454D" w:rsidRPr="00A735B4" w:rsidRDefault="00C4454D" w:rsidP="00C4454D">
            <w:pPr>
              <w:keepNext/>
              <w:jc w:val="center"/>
              <w:rPr>
                <w:rFonts w:eastAsia="Times New Roman"/>
                <w:sz w:val="18"/>
                <w:szCs w:val="20"/>
              </w:rPr>
            </w:pPr>
          </w:p>
        </w:tc>
        <w:tc>
          <w:tcPr>
            <w:tcW w:w="1362" w:type="dxa"/>
            <w:tcBorders>
              <w:top w:val="nil"/>
              <w:left w:val="nil"/>
              <w:bottom w:val="nil"/>
              <w:right w:val="single" w:sz="8" w:space="0" w:color="auto"/>
            </w:tcBorders>
            <w:shd w:val="clear" w:color="auto" w:fill="auto"/>
            <w:vAlign w:val="center"/>
            <w:hideMark/>
          </w:tcPr>
          <w:p w14:paraId="303DB806" w14:textId="77777777" w:rsidR="00C4454D" w:rsidRPr="00A735B4" w:rsidRDefault="00C4454D" w:rsidP="00C4454D">
            <w:pPr>
              <w:keepNext/>
              <w:jc w:val="center"/>
              <w:rPr>
                <w:rFonts w:eastAsia="Times New Roman"/>
                <w:sz w:val="18"/>
                <w:szCs w:val="20"/>
              </w:rPr>
            </w:pPr>
            <w:r w:rsidRPr="00A735B4">
              <w:rPr>
                <w:rFonts w:eastAsia="Times New Roman"/>
                <w:b/>
                <w:sz w:val="18"/>
                <w:szCs w:val="20"/>
              </w:rPr>
              <w:t>X</w:t>
            </w:r>
          </w:p>
        </w:tc>
      </w:tr>
      <w:tr w:rsidR="00C4454D" w:rsidRPr="00A735B4" w14:paraId="4F15E815" w14:textId="77777777" w:rsidTr="00C4454D">
        <w:trPr>
          <w:trHeight w:val="251"/>
        </w:trPr>
        <w:tc>
          <w:tcPr>
            <w:tcW w:w="1286" w:type="dxa"/>
            <w:vMerge/>
            <w:tcBorders>
              <w:top w:val="nil"/>
              <w:left w:val="single" w:sz="8" w:space="0" w:color="auto"/>
              <w:bottom w:val="single" w:sz="8" w:space="0" w:color="000000"/>
              <w:right w:val="single" w:sz="8" w:space="0" w:color="auto"/>
            </w:tcBorders>
            <w:vAlign w:val="center"/>
            <w:hideMark/>
          </w:tcPr>
          <w:p w14:paraId="3238D0BB" w14:textId="77777777" w:rsidR="00C4454D" w:rsidRPr="00A735B4" w:rsidRDefault="00C4454D" w:rsidP="00C4454D">
            <w:pPr>
              <w:keepNext/>
              <w:rPr>
                <w:rFonts w:eastAsia="Times New Roman"/>
                <w:b/>
                <w:sz w:val="18"/>
                <w:szCs w:val="20"/>
              </w:rPr>
            </w:pPr>
          </w:p>
        </w:tc>
        <w:tc>
          <w:tcPr>
            <w:tcW w:w="4450" w:type="dxa"/>
            <w:tcBorders>
              <w:top w:val="nil"/>
              <w:left w:val="nil"/>
              <w:bottom w:val="nil"/>
              <w:right w:val="single" w:sz="8" w:space="0" w:color="auto"/>
            </w:tcBorders>
            <w:shd w:val="clear" w:color="auto" w:fill="auto"/>
            <w:hideMark/>
          </w:tcPr>
          <w:p w14:paraId="48AC6FEC" w14:textId="77777777" w:rsidR="00C4454D" w:rsidRPr="00A735B4" w:rsidRDefault="00C4454D" w:rsidP="00C4454D">
            <w:pPr>
              <w:keepNext/>
              <w:rPr>
                <w:rFonts w:eastAsia="Times New Roman"/>
                <w:sz w:val="18"/>
                <w:szCs w:val="20"/>
              </w:rPr>
            </w:pPr>
            <w:r w:rsidRPr="00A735B4">
              <w:rPr>
                <w:rFonts w:eastAsia="Times New Roman"/>
                <w:sz w:val="18"/>
                <w:szCs w:val="20"/>
              </w:rPr>
              <w:t>Implementation of harmonized axle load and vehicle dimension regulations</w:t>
            </w:r>
          </w:p>
        </w:tc>
        <w:tc>
          <w:tcPr>
            <w:tcW w:w="1089" w:type="dxa"/>
            <w:tcBorders>
              <w:top w:val="nil"/>
              <w:left w:val="nil"/>
              <w:bottom w:val="nil"/>
              <w:right w:val="single" w:sz="8" w:space="0" w:color="auto"/>
            </w:tcBorders>
            <w:shd w:val="clear" w:color="auto" w:fill="auto"/>
            <w:vAlign w:val="center"/>
            <w:hideMark/>
          </w:tcPr>
          <w:p w14:paraId="1A4E9058" w14:textId="77777777" w:rsidR="00C4454D" w:rsidRPr="00A735B4" w:rsidRDefault="00C4454D" w:rsidP="00C4454D">
            <w:pPr>
              <w:keepNext/>
              <w:jc w:val="center"/>
              <w:rPr>
                <w:rFonts w:eastAsia="Times New Roman"/>
                <w:sz w:val="18"/>
                <w:szCs w:val="20"/>
              </w:rPr>
            </w:pPr>
          </w:p>
        </w:tc>
        <w:tc>
          <w:tcPr>
            <w:tcW w:w="1090" w:type="dxa"/>
            <w:tcBorders>
              <w:top w:val="nil"/>
              <w:left w:val="nil"/>
              <w:bottom w:val="nil"/>
              <w:right w:val="single" w:sz="8" w:space="0" w:color="auto"/>
            </w:tcBorders>
            <w:shd w:val="clear" w:color="auto" w:fill="auto"/>
            <w:vAlign w:val="center"/>
            <w:hideMark/>
          </w:tcPr>
          <w:p w14:paraId="5304511E" w14:textId="77777777" w:rsidR="00C4454D" w:rsidRPr="00A735B4" w:rsidRDefault="00C4454D" w:rsidP="00C4454D">
            <w:pPr>
              <w:keepNext/>
              <w:jc w:val="center"/>
              <w:rPr>
                <w:rFonts w:eastAsia="Times New Roman"/>
                <w:sz w:val="18"/>
                <w:szCs w:val="20"/>
              </w:rPr>
            </w:pPr>
          </w:p>
        </w:tc>
        <w:tc>
          <w:tcPr>
            <w:tcW w:w="1362" w:type="dxa"/>
            <w:tcBorders>
              <w:top w:val="nil"/>
              <w:left w:val="nil"/>
              <w:bottom w:val="nil"/>
              <w:right w:val="single" w:sz="8" w:space="0" w:color="auto"/>
            </w:tcBorders>
            <w:shd w:val="clear" w:color="auto" w:fill="auto"/>
            <w:vAlign w:val="center"/>
            <w:hideMark/>
          </w:tcPr>
          <w:p w14:paraId="67A8BADF" w14:textId="77777777" w:rsidR="00C4454D" w:rsidRPr="00A735B4" w:rsidRDefault="00C4454D" w:rsidP="00C4454D">
            <w:pPr>
              <w:keepNext/>
              <w:jc w:val="center"/>
              <w:rPr>
                <w:rFonts w:eastAsia="Times New Roman"/>
                <w:sz w:val="18"/>
                <w:szCs w:val="20"/>
              </w:rPr>
            </w:pPr>
            <w:r w:rsidRPr="00A735B4">
              <w:rPr>
                <w:rFonts w:eastAsia="Times New Roman"/>
                <w:b/>
                <w:sz w:val="18"/>
                <w:szCs w:val="20"/>
              </w:rPr>
              <w:t>X</w:t>
            </w:r>
          </w:p>
        </w:tc>
      </w:tr>
      <w:tr w:rsidR="00C4454D" w:rsidRPr="00A735B4" w14:paraId="0F6CC710" w14:textId="77777777" w:rsidTr="00C4454D">
        <w:trPr>
          <w:trHeight w:val="268"/>
        </w:trPr>
        <w:tc>
          <w:tcPr>
            <w:tcW w:w="1286" w:type="dxa"/>
            <w:vMerge/>
            <w:tcBorders>
              <w:top w:val="nil"/>
              <w:left w:val="single" w:sz="8" w:space="0" w:color="auto"/>
              <w:bottom w:val="single" w:sz="8" w:space="0" w:color="000000"/>
              <w:right w:val="single" w:sz="8" w:space="0" w:color="auto"/>
            </w:tcBorders>
            <w:vAlign w:val="center"/>
            <w:hideMark/>
          </w:tcPr>
          <w:p w14:paraId="16755D20" w14:textId="77777777" w:rsidR="00C4454D" w:rsidRPr="00A735B4" w:rsidRDefault="00C4454D" w:rsidP="00C4454D">
            <w:pPr>
              <w:keepNext/>
              <w:rPr>
                <w:rFonts w:eastAsia="Times New Roman"/>
                <w:b/>
                <w:sz w:val="18"/>
                <w:szCs w:val="20"/>
              </w:rPr>
            </w:pPr>
          </w:p>
        </w:tc>
        <w:tc>
          <w:tcPr>
            <w:tcW w:w="4450" w:type="dxa"/>
            <w:tcBorders>
              <w:top w:val="nil"/>
              <w:left w:val="nil"/>
              <w:bottom w:val="single" w:sz="8" w:space="0" w:color="auto"/>
              <w:right w:val="single" w:sz="8" w:space="0" w:color="auto"/>
            </w:tcBorders>
            <w:shd w:val="clear" w:color="auto" w:fill="auto"/>
            <w:hideMark/>
          </w:tcPr>
          <w:p w14:paraId="2F8252E4" w14:textId="7ABC7F50" w:rsidR="00C4454D" w:rsidRPr="00A735B4" w:rsidRDefault="00C4454D" w:rsidP="00C4454D">
            <w:pPr>
              <w:keepNext/>
              <w:rPr>
                <w:rFonts w:eastAsia="Times New Roman"/>
                <w:sz w:val="18"/>
                <w:szCs w:val="20"/>
              </w:rPr>
            </w:pPr>
            <w:r w:rsidRPr="00A735B4">
              <w:rPr>
                <w:rFonts w:eastAsia="Times New Roman"/>
                <w:sz w:val="18"/>
                <w:szCs w:val="20"/>
              </w:rPr>
              <w:t>Implementation of COMESA third-party vehicle licensing system</w:t>
            </w:r>
          </w:p>
        </w:tc>
        <w:tc>
          <w:tcPr>
            <w:tcW w:w="1089" w:type="dxa"/>
            <w:tcBorders>
              <w:top w:val="nil"/>
              <w:left w:val="nil"/>
              <w:bottom w:val="single" w:sz="8" w:space="0" w:color="auto"/>
              <w:right w:val="single" w:sz="8" w:space="0" w:color="auto"/>
            </w:tcBorders>
            <w:shd w:val="clear" w:color="auto" w:fill="auto"/>
            <w:vAlign w:val="center"/>
            <w:hideMark/>
          </w:tcPr>
          <w:p w14:paraId="35B2CC7F" w14:textId="77777777" w:rsidR="00C4454D" w:rsidRPr="00A735B4" w:rsidRDefault="00C4454D" w:rsidP="00C4454D">
            <w:pPr>
              <w:keepNext/>
              <w:jc w:val="center"/>
              <w:rPr>
                <w:rFonts w:eastAsia="Times New Roman"/>
                <w:sz w:val="18"/>
                <w:szCs w:val="20"/>
              </w:rPr>
            </w:pPr>
          </w:p>
        </w:tc>
        <w:tc>
          <w:tcPr>
            <w:tcW w:w="1090" w:type="dxa"/>
            <w:tcBorders>
              <w:top w:val="nil"/>
              <w:left w:val="nil"/>
              <w:bottom w:val="single" w:sz="8" w:space="0" w:color="auto"/>
              <w:right w:val="single" w:sz="8" w:space="0" w:color="auto"/>
            </w:tcBorders>
            <w:shd w:val="clear" w:color="auto" w:fill="auto"/>
            <w:vAlign w:val="center"/>
            <w:hideMark/>
          </w:tcPr>
          <w:p w14:paraId="275BEB8C" w14:textId="77777777" w:rsidR="00C4454D" w:rsidRPr="00A735B4" w:rsidRDefault="00C4454D" w:rsidP="00C4454D">
            <w:pPr>
              <w:keepNext/>
              <w:jc w:val="center"/>
              <w:rPr>
                <w:rFonts w:eastAsia="Times New Roman"/>
                <w:sz w:val="18"/>
                <w:szCs w:val="20"/>
              </w:rPr>
            </w:pPr>
          </w:p>
        </w:tc>
        <w:tc>
          <w:tcPr>
            <w:tcW w:w="1362" w:type="dxa"/>
            <w:tcBorders>
              <w:top w:val="nil"/>
              <w:left w:val="nil"/>
              <w:bottom w:val="single" w:sz="8" w:space="0" w:color="auto"/>
              <w:right w:val="single" w:sz="8" w:space="0" w:color="auto"/>
            </w:tcBorders>
            <w:shd w:val="clear" w:color="auto" w:fill="auto"/>
            <w:vAlign w:val="center"/>
            <w:hideMark/>
          </w:tcPr>
          <w:p w14:paraId="0C68114F" w14:textId="77777777" w:rsidR="00C4454D" w:rsidRPr="00A735B4" w:rsidRDefault="00C4454D" w:rsidP="00C4454D">
            <w:pPr>
              <w:keepNext/>
              <w:jc w:val="center"/>
              <w:rPr>
                <w:rFonts w:eastAsia="Times New Roman"/>
                <w:sz w:val="18"/>
                <w:szCs w:val="20"/>
              </w:rPr>
            </w:pPr>
            <w:r w:rsidRPr="00A735B4">
              <w:rPr>
                <w:rFonts w:eastAsia="Times New Roman"/>
                <w:b/>
                <w:sz w:val="18"/>
                <w:szCs w:val="20"/>
              </w:rPr>
              <w:t>X</w:t>
            </w:r>
          </w:p>
        </w:tc>
      </w:tr>
      <w:tr w:rsidR="00C4454D" w:rsidRPr="00A735B4" w14:paraId="75D59C62" w14:textId="77777777" w:rsidTr="00C4454D">
        <w:trPr>
          <w:trHeight w:val="251"/>
        </w:trPr>
        <w:tc>
          <w:tcPr>
            <w:tcW w:w="1286" w:type="dxa"/>
            <w:vMerge w:val="restart"/>
            <w:tcBorders>
              <w:top w:val="nil"/>
              <w:left w:val="single" w:sz="8" w:space="0" w:color="auto"/>
              <w:bottom w:val="single" w:sz="8" w:space="0" w:color="000000"/>
              <w:right w:val="single" w:sz="8" w:space="0" w:color="auto"/>
            </w:tcBorders>
            <w:shd w:val="clear" w:color="auto" w:fill="auto"/>
            <w:hideMark/>
          </w:tcPr>
          <w:p w14:paraId="5B1D6F9A" w14:textId="77777777" w:rsidR="00C4454D" w:rsidRPr="00A735B4" w:rsidRDefault="00C4454D" w:rsidP="00C4454D">
            <w:pPr>
              <w:keepNext/>
              <w:rPr>
                <w:rFonts w:eastAsia="Times New Roman"/>
                <w:b/>
                <w:sz w:val="18"/>
                <w:szCs w:val="20"/>
              </w:rPr>
            </w:pPr>
            <w:r w:rsidRPr="00A735B4">
              <w:rPr>
                <w:rFonts w:eastAsia="Times New Roman"/>
                <w:b/>
                <w:sz w:val="18"/>
                <w:szCs w:val="20"/>
              </w:rPr>
              <w:t>Capital flows and foreign investment</w:t>
            </w:r>
          </w:p>
        </w:tc>
        <w:tc>
          <w:tcPr>
            <w:tcW w:w="4450" w:type="dxa"/>
            <w:tcBorders>
              <w:top w:val="nil"/>
              <w:left w:val="nil"/>
              <w:bottom w:val="nil"/>
              <w:right w:val="single" w:sz="8" w:space="0" w:color="auto"/>
            </w:tcBorders>
            <w:shd w:val="clear" w:color="auto" w:fill="auto"/>
            <w:hideMark/>
          </w:tcPr>
          <w:p w14:paraId="134F4908" w14:textId="77777777" w:rsidR="00C4454D" w:rsidRPr="00A735B4" w:rsidRDefault="00C4454D" w:rsidP="00C4454D">
            <w:pPr>
              <w:keepNext/>
              <w:rPr>
                <w:rFonts w:eastAsia="Times New Roman"/>
                <w:sz w:val="18"/>
                <w:szCs w:val="20"/>
              </w:rPr>
            </w:pPr>
            <w:r w:rsidRPr="00A735B4">
              <w:rPr>
                <w:rFonts w:eastAsia="Times New Roman"/>
                <w:sz w:val="18"/>
                <w:szCs w:val="20"/>
              </w:rPr>
              <w:t>Existence of foreign investment code providing national treatment</w:t>
            </w:r>
          </w:p>
        </w:tc>
        <w:tc>
          <w:tcPr>
            <w:tcW w:w="1089" w:type="dxa"/>
            <w:tcBorders>
              <w:top w:val="nil"/>
              <w:left w:val="nil"/>
              <w:bottom w:val="nil"/>
              <w:right w:val="single" w:sz="8" w:space="0" w:color="auto"/>
            </w:tcBorders>
            <w:shd w:val="clear" w:color="auto" w:fill="auto"/>
            <w:vAlign w:val="center"/>
            <w:hideMark/>
          </w:tcPr>
          <w:p w14:paraId="63B16277" w14:textId="77777777" w:rsidR="00C4454D" w:rsidRPr="00A735B4" w:rsidRDefault="00C4454D" w:rsidP="00C4454D">
            <w:pPr>
              <w:keepNext/>
              <w:jc w:val="center"/>
              <w:rPr>
                <w:rFonts w:eastAsia="Times New Roman"/>
                <w:sz w:val="18"/>
                <w:szCs w:val="20"/>
              </w:rPr>
            </w:pPr>
          </w:p>
        </w:tc>
        <w:tc>
          <w:tcPr>
            <w:tcW w:w="1090" w:type="dxa"/>
            <w:tcBorders>
              <w:top w:val="nil"/>
              <w:left w:val="nil"/>
              <w:bottom w:val="nil"/>
              <w:right w:val="single" w:sz="8" w:space="0" w:color="auto"/>
            </w:tcBorders>
            <w:shd w:val="clear" w:color="auto" w:fill="auto"/>
            <w:vAlign w:val="center"/>
            <w:hideMark/>
          </w:tcPr>
          <w:p w14:paraId="271B4FAA" w14:textId="77777777" w:rsidR="00C4454D" w:rsidRPr="00A735B4" w:rsidRDefault="00C4454D" w:rsidP="00C4454D">
            <w:pPr>
              <w:keepNext/>
              <w:jc w:val="center"/>
              <w:rPr>
                <w:rFonts w:eastAsia="Times New Roman"/>
                <w:sz w:val="18"/>
                <w:szCs w:val="20"/>
              </w:rPr>
            </w:pPr>
          </w:p>
        </w:tc>
        <w:tc>
          <w:tcPr>
            <w:tcW w:w="1362" w:type="dxa"/>
            <w:tcBorders>
              <w:top w:val="nil"/>
              <w:left w:val="nil"/>
              <w:bottom w:val="nil"/>
              <w:right w:val="single" w:sz="8" w:space="0" w:color="auto"/>
            </w:tcBorders>
            <w:shd w:val="clear" w:color="auto" w:fill="auto"/>
            <w:vAlign w:val="center"/>
            <w:hideMark/>
          </w:tcPr>
          <w:p w14:paraId="5DCBFDD4" w14:textId="77777777" w:rsidR="00C4454D" w:rsidRPr="00A735B4" w:rsidRDefault="00C4454D" w:rsidP="00C4454D">
            <w:pPr>
              <w:keepNext/>
              <w:jc w:val="center"/>
              <w:rPr>
                <w:rFonts w:eastAsia="Times New Roman"/>
                <w:sz w:val="18"/>
                <w:szCs w:val="20"/>
              </w:rPr>
            </w:pPr>
            <w:r w:rsidRPr="00A735B4">
              <w:rPr>
                <w:rFonts w:eastAsia="Times New Roman"/>
                <w:b/>
                <w:sz w:val="18"/>
                <w:szCs w:val="20"/>
              </w:rPr>
              <w:t>X</w:t>
            </w:r>
          </w:p>
        </w:tc>
      </w:tr>
      <w:tr w:rsidR="00C4454D" w:rsidRPr="00A735B4" w14:paraId="010BE6F5" w14:textId="77777777" w:rsidTr="00C4454D">
        <w:trPr>
          <w:trHeight w:val="251"/>
        </w:trPr>
        <w:tc>
          <w:tcPr>
            <w:tcW w:w="1286" w:type="dxa"/>
            <w:vMerge/>
            <w:tcBorders>
              <w:top w:val="nil"/>
              <w:left w:val="single" w:sz="8" w:space="0" w:color="auto"/>
              <w:bottom w:val="single" w:sz="8" w:space="0" w:color="000000"/>
              <w:right w:val="single" w:sz="8" w:space="0" w:color="auto"/>
            </w:tcBorders>
            <w:vAlign w:val="center"/>
            <w:hideMark/>
          </w:tcPr>
          <w:p w14:paraId="1EDD4ACC" w14:textId="77777777" w:rsidR="00C4454D" w:rsidRPr="00A735B4" w:rsidRDefault="00C4454D" w:rsidP="00C4454D">
            <w:pPr>
              <w:keepNext/>
              <w:rPr>
                <w:rFonts w:eastAsia="Times New Roman"/>
                <w:b/>
                <w:sz w:val="18"/>
                <w:szCs w:val="20"/>
              </w:rPr>
            </w:pPr>
          </w:p>
        </w:tc>
        <w:tc>
          <w:tcPr>
            <w:tcW w:w="4450" w:type="dxa"/>
            <w:tcBorders>
              <w:top w:val="nil"/>
              <w:left w:val="nil"/>
              <w:bottom w:val="nil"/>
              <w:right w:val="single" w:sz="8" w:space="0" w:color="auto"/>
            </w:tcBorders>
            <w:shd w:val="clear" w:color="auto" w:fill="auto"/>
            <w:hideMark/>
          </w:tcPr>
          <w:p w14:paraId="2A8B3CDE" w14:textId="77777777" w:rsidR="00C4454D" w:rsidRPr="00A735B4" w:rsidRDefault="00C4454D" w:rsidP="00C4454D">
            <w:pPr>
              <w:keepNext/>
              <w:rPr>
                <w:rFonts w:eastAsia="Times New Roman"/>
                <w:sz w:val="18"/>
                <w:szCs w:val="20"/>
              </w:rPr>
            </w:pPr>
            <w:r w:rsidRPr="00A735B4">
              <w:rPr>
                <w:rFonts w:eastAsia="Times New Roman"/>
                <w:sz w:val="18"/>
                <w:szCs w:val="20"/>
              </w:rPr>
              <w:t>Degree to which there are any restrictions on foreign ownership of businesses</w:t>
            </w:r>
          </w:p>
        </w:tc>
        <w:tc>
          <w:tcPr>
            <w:tcW w:w="1089" w:type="dxa"/>
            <w:tcBorders>
              <w:top w:val="nil"/>
              <w:left w:val="nil"/>
              <w:bottom w:val="nil"/>
              <w:right w:val="single" w:sz="8" w:space="0" w:color="auto"/>
            </w:tcBorders>
            <w:shd w:val="clear" w:color="auto" w:fill="auto"/>
            <w:vAlign w:val="center"/>
            <w:hideMark/>
          </w:tcPr>
          <w:p w14:paraId="3AAAD270" w14:textId="77777777" w:rsidR="00C4454D" w:rsidRPr="00A735B4" w:rsidRDefault="00C4454D" w:rsidP="00C4454D">
            <w:pPr>
              <w:keepNext/>
              <w:jc w:val="center"/>
              <w:rPr>
                <w:rFonts w:eastAsia="Times New Roman"/>
                <w:sz w:val="18"/>
                <w:szCs w:val="20"/>
              </w:rPr>
            </w:pPr>
          </w:p>
        </w:tc>
        <w:tc>
          <w:tcPr>
            <w:tcW w:w="1090" w:type="dxa"/>
            <w:tcBorders>
              <w:top w:val="nil"/>
              <w:left w:val="nil"/>
              <w:bottom w:val="nil"/>
              <w:right w:val="single" w:sz="8" w:space="0" w:color="auto"/>
            </w:tcBorders>
            <w:shd w:val="clear" w:color="auto" w:fill="auto"/>
            <w:vAlign w:val="center"/>
            <w:hideMark/>
          </w:tcPr>
          <w:p w14:paraId="4657D898" w14:textId="77777777" w:rsidR="00C4454D" w:rsidRPr="00A735B4" w:rsidRDefault="00C4454D" w:rsidP="00C4454D">
            <w:pPr>
              <w:keepNext/>
              <w:jc w:val="center"/>
              <w:rPr>
                <w:rFonts w:eastAsia="Times New Roman"/>
                <w:sz w:val="18"/>
                <w:szCs w:val="20"/>
              </w:rPr>
            </w:pPr>
            <w:r w:rsidRPr="00A735B4">
              <w:rPr>
                <w:rFonts w:eastAsia="Times New Roman"/>
                <w:b/>
                <w:sz w:val="18"/>
                <w:szCs w:val="20"/>
              </w:rPr>
              <w:t>X</w:t>
            </w:r>
          </w:p>
        </w:tc>
        <w:tc>
          <w:tcPr>
            <w:tcW w:w="1362" w:type="dxa"/>
            <w:tcBorders>
              <w:top w:val="nil"/>
              <w:left w:val="nil"/>
              <w:bottom w:val="nil"/>
              <w:right w:val="single" w:sz="8" w:space="0" w:color="auto"/>
            </w:tcBorders>
            <w:shd w:val="clear" w:color="auto" w:fill="auto"/>
            <w:vAlign w:val="center"/>
            <w:hideMark/>
          </w:tcPr>
          <w:p w14:paraId="331D2B1E" w14:textId="77777777" w:rsidR="00C4454D" w:rsidRPr="00A735B4" w:rsidRDefault="00C4454D" w:rsidP="00C4454D">
            <w:pPr>
              <w:keepNext/>
              <w:jc w:val="center"/>
              <w:rPr>
                <w:rFonts w:eastAsia="Times New Roman"/>
                <w:sz w:val="18"/>
                <w:szCs w:val="20"/>
              </w:rPr>
            </w:pPr>
          </w:p>
        </w:tc>
      </w:tr>
      <w:tr w:rsidR="00C4454D" w:rsidRPr="00A735B4" w14:paraId="16EC9621" w14:textId="77777777" w:rsidTr="00C4454D">
        <w:trPr>
          <w:trHeight w:val="251"/>
        </w:trPr>
        <w:tc>
          <w:tcPr>
            <w:tcW w:w="1286" w:type="dxa"/>
            <w:vMerge/>
            <w:tcBorders>
              <w:top w:val="nil"/>
              <w:left w:val="single" w:sz="8" w:space="0" w:color="auto"/>
              <w:bottom w:val="single" w:sz="8" w:space="0" w:color="000000"/>
              <w:right w:val="single" w:sz="8" w:space="0" w:color="auto"/>
            </w:tcBorders>
            <w:vAlign w:val="center"/>
            <w:hideMark/>
          </w:tcPr>
          <w:p w14:paraId="40A7FC4D" w14:textId="77777777" w:rsidR="00C4454D" w:rsidRPr="00A735B4" w:rsidRDefault="00C4454D" w:rsidP="00C4454D">
            <w:pPr>
              <w:keepNext/>
              <w:rPr>
                <w:rFonts w:eastAsia="Times New Roman"/>
                <w:b/>
                <w:sz w:val="18"/>
                <w:szCs w:val="20"/>
              </w:rPr>
            </w:pPr>
          </w:p>
        </w:tc>
        <w:tc>
          <w:tcPr>
            <w:tcW w:w="4450" w:type="dxa"/>
            <w:tcBorders>
              <w:top w:val="nil"/>
              <w:left w:val="nil"/>
              <w:bottom w:val="nil"/>
              <w:right w:val="single" w:sz="8" w:space="0" w:color="auto"/>
            </w:tcBorders>
            <w:shd w:val="clear" w:color="auto" w:fill="auto"/>
            <w:hideMark/>
          </w:tcPr>
          <w:p w14:paraId="0786F1C4" w14:textId="77777777" w:rsidR="00C4454D" w:rsidRPr="00A735B4" w:rsidRDefault="00C4454D" w:rsidP="00C4454D">
            <w:pPr>
              <w:keepNext/>
              <w:rPr>
                <w:rFonts w:eastAsia="Times New Roman"/>
                <w:sz w:val="18"/>
                <w:szCs w:val="20"/>
              </w:rPr>
            </w:pPr>
            <w:r w:rsidRPr="00A735B4">
              <w:rPr>
                <w:rFonts w:eastAsia="Times New Roman"/>
                <w:sz w:val="18"/>
                <w:szCs w:val="20"/>
              </w:rPr>
              <w:t>Level of restrictions on foreign ownership of land</w:t>
            </w:r>
          </w:p>
        </w:tc>
        <w:tc>
          <w:tcPr>
            <w:tcW w:w="1089" w:type="dxa"/>
            <w:tcBorders>
              <w:top w:val="nil"/>
              <w:left w:val="nil"/>
              <w:bottom w:val="nil"/>
              <w:right w:val="single" w:sz="8" w:space="0" w:color="auto"/>
            </w:tcBorders>
            <w:shd w:val="clear" w:color="auto" w:fill="auto"/>
            <w:vAlign w:val="center"/>
            <w:hideMark/>
          </w:tcPr>
          <w:p w14:paraId="5EF59856" w14:textId="77777777" w:rsidR="00C4454D" w:rsidRPr="00A735B4" w:rsidRDefault="00C4454D" w:rsidP="00C4454D">
            <w:pPr>
              <w:keepNext/>
              <w:jc w:val="center"/>
              <w:rPr>
                <w:rFonts w:eastAsia="Times New Roman"/>
                <w:sz w:val="18"/>
                <w:szCs w:val="20"/>
              </w:rPr>
            </w:pPr>
          </w:p>
        </w:tc>
        <w:tc>
          <w:tcPr>
            <w:tcW w:w="1090" w:type="dxa"/>
            <w:tcBorders>
              <w:top w:val="nil"/>
              <w:left w:val="nil"/>
              <w:bottom w:val="nil"/>
              <w:right w:val="single" w:sz="8" w:space="0" w:color="auto"/>
            </w:tcBorders>
            <w:shd w:val="clear" w:color="auto" w:fill="auto"/>
            <w:vAlign w:val="center"/>
            <w:hideMark/>
          </w:tcPr>
          <w:p w14:paraId="0EE1F48F" w14:textId="77777777" w:rsidR="00C4454D" w:rsidRPr="00A735B4" w:rsidRDefault="00C4454D" w:rsidP="00C4454D">
            <w:pPr>
              <w:keepNext/>
              <w:jc w:val="center"/>
              <w:rPr>
                <w:rFonts w:eastAsia="Times New Roman"/>
                <w:sz w:val="18"/>
                <w:szCs w:val="20"/>
              </w:rPr>
            </w:pPr>
            <w:r w:rsidRPr="00A735B4">
              <w:rPr>
                <w:rFonts w:eastAsia="Times New Roman"/>
                <w:b/>
                <w:sz w:val="18"/>
                <w:szCs w:val="20"/>
              </w:rPr>
              <w:t>X</w:t>
            </w:r>
          </w:p>
        </w:tc>
        <w:tc>
          <w:tcPr>
            <w:tcW w:w="1362" w:type="dxa"/>
            <w:tcBorders>
              <w:top w:val="nil"/>
              <w:left w:val="nil"/>
              <w:bottom w:val="nil"/>
              <w:right w:val="single" w:sz="8" w:space="0" w:color="auto"/>
            </w:tcBorders>
            <w:shd w:val="clear" w:color="auto" w:fill="auto"/>
            <w:vAlign w:val="center"/>
            <w:hideMark/>
          </w:tcPr>
          <w:p w14:paraId="0D6FD936" w14:textId="77777777" w:rsidR="00C4454D" w:rsidRPr="00A735B4" w:rsidRDefault="00C4454D" w:rsidP="00C4454D">
            <w:pPr>
              <w:keepNext/>
              <w:jc w:val="center"/>
              <w:rPr>
                <w:rFonts w:eastAsia="Times New Roman"/>
                <w:sz w:val="18"/>
                <w:szCs w:val="20"/>
              </w:rPr>
            </w:pPr>
          </w:p>
        </w:tc>
      </w:tr>
      <w:tr w:rsidR="00C4454D" w:rsidRPr="00A735B4" w14:paraId="05B26D0E" w14:textId="77777777" w:rsidTr="00C4454D">
        <w:trPr>
          <w:trHeight w:val="251"/>
        </w:trPr>
        <w:tc>
          <w:tcPr>
            <w:tcW w:w="1286" w:type="dxa"/>
            <w:vMerge/>
            <w:tcBorders>
              <w:top w:val="nil"/>
              <w:left w:val="single" w:sz="8" w:space="0" w:color="auto"/>
              <w:bottom w:val="single" w:sz="8" w:space="0" w:color="000000"/>
              <w:right w:val="single" w:sz="8" w:space="0" w:color="auto"/>
            </w:tcBorders>
            <w:vAlign w:val="center"/>
            <w:hideMark/>
          </w:tcPr>
          <w:p w14:paraId="0D483B98" w14:textId="77777777" w:rsidR="00C4454D" w:rsidRPr="00A735B4" w:rsidRDefault="00C4454D" w:rsidP="00C4454D">
            <w:pPr>
              <w:keepNext/>
              <w:rPr>
                <w:rFonts w:eastAsia="Times New Roman"/>
                <w:b/>
                <w:sz w:val="18"/>
                <w:szCs w:val="20"/>
              </w:rPr>
            </w:pPr>
          </w:p>
        </w:tc>
        <w:tc>
          <w:tcPr>
            <w:tcW w:w="4450" w:type="dxa"/>
            <w:tcBorders>
              <w:top w:val="nil"/>
              <w:left w:val="nil"/>
              <w:bottom w:val="single" w:sz="8" w:space="0" w:color="auto"/>
              <w:right w:val="single" w:sz="8" w:space="0" w:color="auto"/>
            </w:tcBorders>
            <w:shd w:val="clear" w:color="auto" w:fill="auto"/>
            <w:hideMark/>
          </w:tcPr>
          <w:p w14:paraId="2722F443" w14:textId="77777777" w:rsidR="00C4454D" w:rsidRPr="00A735B4" w:rsidRDefault="00C4454D" w:rsidP="00C4454D">
            <w:pPr>
              <w:keepNext/>
              <w:rPr>
                <w:rFonts w:eastAsia="Times New Roman"/>
                <w:sz w:val="18"/>
                <w:szCs w:val="20"/>
              </w:rPr>
            </w:pPr>
            <w:r w:rsidRPr="00A735B4">
              <w:rPr>
                <w:rFonts w:eastAsia="Times New Roman"/>
                <w:sz w:val="18"/>
                <w:szCs w:val="20"/>
              </w:rPr>
              <w:t>Level of restrictions on repatriation of earnings</w:t>
            </w:r>
          </w:p>
        </w:tc>
        <w:tc>
          <w:tcPr>
            <w:tcW w:w="1089" w:type="dxa"/>
            <w:tcBorders>
              <w:top w:val="nil"/>
              <w:left w:val="nil"/>
              <w:bottom w:val="single" w:sz="8" w:space="0" w:color="auto"/>
              <w:right w:val="single" w:sz="8" w:space="0" w:color="auto"/>
            </w:tcBorders>
            <w:shd w:val="clear" w:color="auto" w:fill="auto"/>
            <w:vAlign w:val="center"/>
            <w:hideMark/>
          </w:tcPr>
          <w:p w14:paraId="0301711B" w14:textId="77777777" w:rsidR="00C4454D" w:rsidRPr="00A735B4" w:rsidRDefault="00C4454D" w:rsidP="00C4454D">
            <w:pPr>
              <w:keepNext/>
              <w:jc w:val="center"/>
              <w:rPr>
                <w:rFonts w:eastAsia="Times New Roman"/>
                <w:sz w:val="18"/>
                <w:szCs w:val="20"/>
              </w:rPr>
            </w:pPr>
          </w:p>
        </w:tc>
        <w:tc>
          <w:tcPr>
            <w:tcW w:w="1090" w:type="dxa"/>
            <w:tcBorders>
              <w:top w:val="nil"/>
              <w:left w:val="nil"/>
              <w:bottom w:val="single" w:sz="8" w:space="0" w:color="auto"/>
              <w:right w:val="single" w:sz="8" w:space="0" w:color="auto"/>
            </w:tcBorders>
            <w:shd w:val="clear" w:color="auto" w:fill="auto"/>
            <w:vAlign w:val="center"/>
            <w:hideMark/>
          </w:tcPr>
          <w:p w14:paraId="695CC637" w14:textId="77777777" w:rsidR="00C4454D" w:rsidRPr="00A735B4" w:rsidRDefault="00C4454D" w:rsidP="00C4454D">
            <w:pPr>
              <w:keepNext/>
              <w:jc w:val="center"/>
              <w:rPr>
                <w:rFonts w:eastAsia="Times New Roman"/>
                <w:sz w:val="18"/>
                <w:szCs w:val="20"/>
              </w:rPr>
            </w:pPr>
            <w:r w:rsidRPr="00A735B4">
              <w:rPr>
                <w:rFonts w:eastAsia="Times New Roman"/>
                <w:b/>
                <w:sz w:val="18"/>
                <w:szCs w:val="20"/>
              </w:rPr>
              <w:t>X</w:t>
            </w:r>
          </w:p>
        </w:tc>
        <w:tc>
          <w:tcPr>
            <w:tcW w:w="1362" w:type="dxa"/>
            <w:tcBorders>
              <w:top w:val="nil"/>
              <w:left w:val="nil"/>
              <w:bottom w:val="single" w:sz="8" w:space="0" w:color="auto"/>
              <w:right w:val="single" w:sz="8" w:space="0" w:color="auto"/>
            </w:tcBorders>
            <w:shd w:val="clear" w:color="auto" w:fill="auto"/>
            <w:vAlign w:val="center"/>
            <w:hideMark/>
          </w:tcPr>
          <w:p w14:paraId="272D08AC" w14:textId="77777777" w:rsidR="00C4454D" w:rsidRPr="00A735B4" w:rsidRDefault="00C4454D" w:rsidP="00C4454D">
            <w:pPr>
              <w:keepNext/>
              <w:jc w:val="center"/>
              <w:rPr>
                <w:rFonts w:eastAsia="Times New Roman"/>
                <w:sz w:val="18"/>
                <w:szCs w:val="20"/>
              </w:rPr>
            </w:pPr>
          </w:p>
        </w:tc>
      </w:tr>
      <w:tr w:rsidR="00C4454D" w:rsidRPr="00A735B4" w14:paraId="3EA67000" w14:textId="77777777" w:rsidTr="00C4454D">
        <w:trPr>
          <w:trHeight w:val="251"/>
        </w:trPr>
        <w:tc>
          <w:tcPr>
            <w:tcW w:w="1286" w:type="dxa"/>
            <w:vMerge w:val="restart"/>
            <w:tcBorders>
              <w:top w:val="nil"/>
              <w:left w:val="single" w:sz="8" w:space="0" w:color="auto"/>
              <w:bottom w:val="single" w:sz="8" w:space="0" w:color="000000"/>
              <w:right w:val="single" w:sz="8" w:space="0" w:color="auto"/>
            </w:tcBorders>
            <w:shd w:val="clear" w:color="auto" w:fill="auto"/>
            <w:hideMark/>
          </w:tcPr>
          <w:p w14:paraId="290E58E7" w14:textId="77777777" w:rsidR="00C4454D" w:rsidRPr="00A735B4" w:rsidRDefault="00C4454D" w:rsidP="00C4454D">
            <w:pPr>
              <w:keepNext/>
              <w:jc w:val="both"/>
              <w:rPr>
                <w:rFonts w:eastAsia="Times New Roman"/>
                <w:b/>
                <w:sz w:val="18"/>
                <w:szCs w:val="20"/>
              </w:rPr>
            </w:pPr>
            <w:r w:rsidRPr="00A735B4">
              <w:rPr>
                <w:rFonts w:eastAsia="Times New Roman"/>
                <w:b/>
                <w:sz w:val="18"/>
                <w:szCs w:val="20"/>
              </w:rPr>
              <w:t>Regulatory environment</w:t>
            </w:r>
          </w:p>
        </w:tc>
        <w:tc>
          <w:tcPr>
            <w:tcW w:w="4450" w:type="dxa"/>
            <w:tcBorders>
              <w:top w:val="nil"/>
              <w:left w:val="nil"/>
              <w:bottom w:val="nil"/>
              <w:right w:val="single" w:sz="8" w:space="0" w:color="auto"/>
            </w:tcBorders>
            <w:shd w:val="clear" w:color="auto" w:fill="auto"/>
            <w:hideMark/>
          </w:tcPr>
          <w:p w14:paraId="26754CD8" w14:textId="77777777" w:rsidR="00C4454D" w:rsidRPr="00A735B4" w:rsidRDefault="00C4454D" w:rsidP="00C4454D">
            <w:pPr>
              <w:keepNext/>
              <w:rPr>
                <w:rFonts w:eastAsia="Times New Roman"/>
                <w:sz w:val="18"/>
                <w:szCs w:val="20"/>
              </w:rPr>
            </w:pPr>
            <w:r w:rsidRPr="00A735B4">
              <w:rPr>
                <w:rFonts w:eastAsia="Times New Roman"/>
                <w:sz w:val="18"/>
                <w:szCs w:val="20"/>
              </w:rPr>
              <w:t>Existence of an independent competition authority tasked with implementing a set of legally recognized rules and regulations on competition</w:t>
            </w:r>
          </w:p>
        </w:tc>
        <w:tc>
          <w:tcPr>
            <w:tcW w:w="1089" w:type="dxa"/>
            <w:tcBorders>
              <w:top w:val="nil"/>
              <w:left w:val="nil"/>
              <w:bottom w:val="nil"/>
              <w:right w:val="single" w:sz="8" w:space="0" w:color="auto"/>
            </w:tcBorders>
            <w:shd w:val="clear" w:color="auto" w:fill="auto"/>
            <w:vAlign w:val="center"/>
            <w:hideMark/>
          </w:tcPr>
          <w:p w14:paraId="7D11B369" w14:textId="77777777" w:rsidR="00C4454D" w:rsidRPr="00A735B4" w:rsidRDefault="00C4454D" w:rsidP="00C4454D">
            <w:pPr>
              <w:keepNext/>
              <w:jc w:val="center"/>
              <w:rPr>
                <w:rFonts w:eastAsia="Times New Roman"/>
                <w:sz w:val="18"/>
                <w:szCs w:val="20"/>
              </w:rPr>
            </w:pPr>
          </w:p>
        </w:tc>
        <w:tc>
          <w:tcPr>
            <w:tcW w:w="1090" w:type="dxa"/>
            <w:tcBorders>
              <w:top w:val="nil"/>
              <w:left w:val="nil"/>
              <w:bottom w:val="nil"/>
              <w:right w:val="single" w:sz="8" w:space="0" w:color="auto"/>
            </w:tcBorders>
            <w:shd w:val="clear" w:color="auto" w:fill="auto"/>
            <w:vAlign w:val="center"/>
            <w:hideMark/>
          </w:tcPr>
          <w:p w14:paraId="2B1CC526" w14:textId="77777777" w:rsidR="00C4454D" w:rsidRPr="00A735B4" w:rsidRDefault="00C4454D" w:rsidP="00C4454D">
            <w:pPr>
              <w:keepNext/>
              <w:jc w:val="center"/>
              <w:rPr>
                <w:rFonts w:eastAsia="Times New Roman"/>
                <w:sz w:val="18"/>
                <w:szCs w:val="20"/>
              </w:rPr>
            </w:pPr>
          </w:p>
        </w:tc>
        <w:tc>
          <w:tcPr>
            <w:tcW w:w="1362" w:type="dxa"/>
            <w:tcBorders>
              <w:top w:val="nil"/>
              <w:left w:val="nil"/>
              <w:bottom w:val="nil"/>
              <w:right w:val="single" w:sz="8" w:space="0" w:color="auto"/>
            </w:tcBorders>
            <w:shd w:val="clear" w:color="auto" w:fill="auto"/>
            <w:vAlign w:val="center"/>
            <w:hideMark/>
          </w:tcPr>
          <w:p w14:paraId="09C3FBFB" w14:textId="77777777" w:rsidR="00C4454D" w:rsidRPr="00A735B4" w:rsidRDefault="00C4454D" w:rsidP="00C4454D">
            <w:pPr>
              <w:keepNext/>
              <w:jc w:val="center"/>
              <w:rPr>
                <w:rFonts w:eastAsia="Times New Roman"/>
                <w:sz w:val="18"/>
                <w:szCs w:val="20"/>
              </w:rPr>
            </w:pPr>
            <w:r w:rsidRPr="00A735B4">
              <w:rPr>
                <w:rFonts w:eastAsia="Times New Roman"/>
                <w:b/>
                <w:sz w:val="18"/>
                <w:szCs w:val="20"/>
              </w:rPr>
              <w:t>X</w:t>
            </w:r>
          </w:p>
        </w:tc>
      </w:tr>
      <w:tr w:rsidR="00C4454D" w:rsidRPr="00A735B4" w14:paraId="02F15983" w14:textId="77777777" w:rsidTr="00C4454D">
        <w:trPr>
          <w:trHeight w:val="251"/>
        </w:trPr>
        <w:tc>
          <w:tcPr>
            <w:tcW w:w="1286" w:type="dxa"/>
            <w:vMerge/>
            <w:tcBorders>
              <w:top w:val="nil"/>
              <w:left w:val="single" w:sz="8" w:space="0" w:color="auto"/>
              <w:bottom w:val="single" w:sz="8" w:space="0" w:color="000000"/>
              <w:right w:val="single" w:sz="8" w:space="0" w:color="auto"/>
            </w:tcBorders>
            <w:vAlign w:val="center"/>
            <w:hideMark/>
          </w:tcPr>
          <w:p w14:paraId="12238319" w14:textId="77777777" w:rsidR="00C4454D" w:rsidRPr="00A735B4" w:rsidRDefault="00C4454D" w:rsidP="00C4454D">
            <w:pPr>
              <w:keepNext/>
              <w:rPr>
                <w:rFonts w:eastAsia="Times New Roman"/>
                <w:b/>
                <w:sz w:val="18"/>
                <w:szCs w:val="20"/>
              </w:rPr>
            </w:pPr>
          </w:p>
        </w:tc>
        <w:tc>
          <w:tcPr>
            <w:tcW w:w="4450" w:type="dxa"/>
            <w:tcBorders>
              <w:top w:val="nil"/>
              <w:left w:val="nil"/>
              <w:bottom w:val="nil"/>
              <w:right w:val="single" w:sz="8" w:space="0" w:color="auto"/>
            </w:tcBorders>
            <w:shd w:val="clear" w:color="auto" w:fill="auto"/>
            <w:hideMark/>
          </w:tcPr>
          <w:p w14:paraId="77691A6A" w14:textId="77777777" w:rsidR="00C4454D" w:rsidRPr="00A735B4" w:rsidRDefault="00C4454D" w:rsidP="00C4454D">
            <w:pPr>
              <w:keepNext/>
              <w:rPr>
                <w:rFonts w:eastAsia="Times New Roman"/>
                <w:sz w:val="18"/>
                <w:szCs w:val="20"/>
              </w:rPr>
            </w:pPr>
            <w:r w:rsidRPr="00A735B4">
              <w:rPr>
                <w:rFonts w:eastAsia="Times New Roman"/>
                <w:sz w:val="18"/>
                <w:szCs w:val="20"/>
              </w:rPr>
              <w:t>Existence of an independent telecommunications authority tasked with implementing a set of legally recognized rules and regulations on telecommunications</w:t>
            </w:r>
          </w:p>
        </w:tc>
        <w:tc>
          <w:tcPr>
            <w:tcW w:w="1089" w:type="dxa"/>
            <w:tcBorders>
              <w:top w:val="nil"/>
              <w:left w:val="nil"/>
              <w:bottom w:val="nil"/>
              <w:right w:val="single" w:sz="8" w:space="0" w:color="auto"/>
            </w:tcBorders>
            <w:shd w:val="clear" w:color="auto" w:fill="auto"/>
            <w:vAlign w:val="center"/>
            <w:hideMark/>
          </w:tcPr>
          <w:p w14:paraId="16274787" w14:textId="77777777" w:rsidR="00C4454D" w:rsidRPr="00A735B4" w:rsidRDefault="00C4454D" w:rsidP="00C4454D">
            <w:pPr>
              <w:keepNext/>
              <w:jc w:val="center"/>
              <w:rPr>
                <w:rFonts w:eastAsia="Times New Roman"/>
                <w:sz w:val="18"/>
                <w:szCs w:val="20"/>
              </w:rPr>
            </w:pPr>
          </w:p>
        </w:tc>
        <w:tc>
          <w:tcPr>
            <w:tcW w:w="1090" w:type="dxa"/>
            <w:tcBorders>
              <w:top w:val="nil"/>
              <w:left w:val="nil"/>
              <w:bottom w:val="nil"/>
              <w:right w:val="single" w:sz="8" w:space="0" w:color="auto"/>
            </w:tcBorders>
            <w:shd w:val="clear" w:color="auto" w:fill="auto"/>
            <w:vAlign w:val="center"/>
            <w:hideMark/>
          </w:tcPr>
          <w:p w14:paraId="7BEFB29F" w14:textId="77777777" w:rsidR="00C4454D" w:rsidRPr="00A735B4" w:rsidRDefault="00C4454D" w:rsidP="00C4454D">
            <w:pPr>
              <w:keepNext/>
              <w:jc w:val="center"/>
              <w:rPr>
                <w:rFonts w:eastAsia="Times New Roman"/>
                <w:sz w:val="18"/>
                <w:szCs w:val="20"/>
              </w:rPr>
            </w:pPr>
          </w:p>
        </w:tc>
        <w:tc>
          <w:tcPr>
            <w:tcW w:w="1362" w:type="dxa"/>
            <w:tcBorders>
              <w:top w:val="nil"/>
              <w:left w:val="nil"/>
              <w:bottom w:val="nil"/>
              <w:right w:val="single" w:sz="8" w:space="0" w:color="auto"/>
            </w:tcBorders>
            <w:shd w:val="clear" w:color="auto" w:fill="auto"/>
            <w:vAlign w:val="center"/>
            <w:hideMark/>
          </w:tcPr>
          <w:p w14:paraId="35A480E3" w14:textId="77777777" w:rsidR="00C4454D" w:rsidRPr="00A735B4" w:rsidRDefault="00C4454D" w:rsidP="00C4454D">
            <w:pPr>
              <w:keepNext/>
              <w:jc w:val="center"/>
              <w:rPr>
                <w:rFonts w:eastAsia="Times New Roman"/>
                <w:sz w:val="18"/>
                <w:szCs w:val="20"/>
              </w:rPr>
            </w:pPr>
            <w:r w:rsidRPr="00A735B4">
              <w:rPr>
                <w:rFonts w:eastAsia="Times New Roman"/>
                <w:b/>
                <w:sz w:val="18"/>
                <w:szCs w:val="20"/>
              </w:rPr>
              <w:t>X</w:t>
            </w:r>
          </w:p>
        </w:tc>
      </w:tr>
      <w:tr w:rsidR="00C4454D" w:rsidRPr="00A735B4" w14:paraId="5D6E52B2" w14:textId="77777777" w:rsidTr="00C4454D">
        <w:trPr>
          <w:trHeight w:val="251"/>
        </w:trPr>
        <w:tc>
          <w:tcPr>
            <w:tcW w:w="1286" w:type="dxa"/>
            <w:vMerge/>
            <w:tcBorders>
              <w:top w:val="nil"/>
              <w:left w:val="single" w:sz="8" w:space="0" w:color="auto"/>
              <w:bottom w:val="single" w:sz="8" w:space="0" w:color="000000"/>
              <w:right w:val="single" w:sz="8" w:space="0" w:color="auto"/>
            </w:tcBorders>
            <w:vAlign w:val="center"/>
            <w:hideMark/>
          </w:tcPr>
          <w:p w14:paraId="0003B04A" w14:textId="77777777" w:rsidR="00C4454D" w:rsidRPr="00A735B4" w:rsidRDefault="00C4454D" w:rsidP="00C4454D">
            <w:pPr>
              <w:keepNext/>
              <w:rPr>
                <w:rFonts w:eastAsia="Times New Roman"/>
                <w:b/>
                <w:sz w:val="18"/>
                <w:szCs w:val="20"/>
              </w:rPr>
            </w:pPr>
          </w:p>
        </w:tc>
        <w:tc>
          <w:tcPr>
            <w:tcW w:w="4450" w:type="dxa"/>
            <w:tcBorders>
              <w:top w:val="nil"/>
              <w:left w:val="nil"/>
              <w:bottom w:val="nil"/>
              <w:right w:val="single" w:sz="8" w:space="0" w:color="auto"/>
            </w:tcBorders>
            <w:shd w:val="clear" w:color="auto" w:fill="auto"/>
            <w:hideMark/>
          </w:tcPr>
          <w:p w14:paraId="288EB51E" w14:textId="77777777" w:rsidR="00C4454D" w:rsidRPr="00A735B4" w:rsidRDefault="00C4454D" w:rsidP="00C4454D">
            <w:pPr>
              <w:keepNext/>
              <w:rPr>
                <w:rFonts w:eastAsia="Times New Roman"/>
                <w:sz w:val="18"/>
                <w:szCs w:val="20"/>
              </w:rPr>
            </w:pPr>
            <w:r w:rsidRPr="00A735B4">
              <w:rPr>
                <w:rFonts w:eastAsia="Times New Roman"/>
                <w:sz w:val="18"/>
                <w:szCs w:val="20"/>
              </w:rPr>
              <w:t>Existence of an independent standards authority tasked with implementing a set of legally recognized rules and regulations on standards</w:t>
            </w:r>
          </w:p>
        </w:tc>
        <w:tc>
          <w:tcPr>
            <w:tcW w:w="1089" w:type="dxa"/>
            <w:tcBorders>
              <w:top w:val="nil"/>
              <w:left w:val="nil"/>
              <w:bottom w:val="nil"/>
              <w:right w:val="single" w:sz="8" w:space="0" w:color="auto"/>
            </w:tcBorders>
            <w:shd w:val="clear" w:color="auto" w:fill="auto"/>
            <w:vAlign w:val="center"/>
            <w:hideMark/>
          </w:tcPr>
          <w:p w14:paraId="05C70D26" w14:textId="77777777" w:rsidR="00C4454D" w:rsidRPr="00A735B4" w:rsidRDefault="00C4454D" w:rsidP="00C4454D">
            <w:pPr>
              <w:keepNext/>
              <w:jc w:val="center"/>
              <w:rPr>
                <w:rFonts w:eastAsia="Times New Roman"/>
                <w:sz w:val="18"/>
                <w:szCs w:val="20"/>
              </w:rPr>
            </w:pPr>
          </w:p>
        </w:tc>
        <w:tc>
          <w:tcPr>
            <w:tcW w:w="1090" w:type="dxa"/>
            <w:tcBorders>
              <w:top w:val="nil"/>
              <w:left w:val="nil"/>
              <w:bottom w:val="nil"/>
              <w:right w:val="single" w:sz="8" w:space="0" w:color="auto"/>
            </w:tcBorders>
            <w:shd w:val="clear" w:color="auto" w:fill="auto"/>
            <w:vAlign w:val="center"/>
            <w:hideMark/>
          </w:tcPr>
          <w:p w14:paraId="405017E9" w14:textId="77777777" w:rsidR="00C4454D" w:rsidRPr="00A735B4" w:rsidRDefault="00C4454D" w:rsidP="00C4454D">
            <w:pPr>
              <w:keepNext/>
              <w:jc w:val="center"/>
              <w:rPr>
                <w:rFonts w:eastAsia="Times New Roman"/>
                <w:sz w:val="18"/>
                <w:szCs w:val="20"/>
              </w:rPr>
            </w:pPr>
          </w:p>
        </w:tc>
        <w:tc>
          <w:tcPr>
            <w:tcW w:w="1362" w:type="dxa"/>
            <w:tcBorders>
              <w:top w:val="nil"/>
              <w:left w:val="nil"/>
              <w:bottom w:val="nil"/>
              <w:right w:val="single" w:sz="8" w:space="0" w:color="auto"/>
            </w:tcBorders>
            <w:shd w:val="clear" w:color="auto" w:fill="auto"/>
            <w:vAlign w:val="center"/>
            <w:hideMark/>
          </w:tcPr>
          <w:p w14:paraId="5BB22CD2" w14:textId="77777777" w:rsidR="00C4454D" w:rsidRPr="00A735B4" w:rsidRDefault="00C4454D" w:rsidP="00C4454D">
            <w:pPr>
              <w:keepNext/>
              <w:jc w:val="center"/>
              <w:rPr>
                <w:rFonts w:eastAsia="Times New Roman"/>
                <w:sz w:val="18"/>
                <w:szCs w:val="20"/>
              </w:rPr>
            </w:pPr>
            <w:r w:rsidRPr="00A735B4">
              <w:rPr>
                <w:rFonts w:eastAsia="Times New Roman"/>
                <w:b/>
                <w:sz w:val="18"/>
                <w:szCs w:val="20"/>
              </w:rPr>
              <w:t>X</w:t>
            </w:r>
          </w:p>
        </w:tc>
      </w:tr>
      <w:tr w:rsidR="00C4454D" w:rsidRPr="00A735B4" w14:paraId="28C2E34C" w14:textId="77777777" w:rsidTr="00C4454D">
        <w:trPr>
          <w:trHeight w:val="251"/>
        </w:trPr>
        <w:tc>
          <w:tcPr>
            <w:tcW w:w="1286" w:type="dxa"/>
            <w:vMerge/>
            <w:tcBorders>
              <w:top w:val="nil"/>
              <w:left w:val="single" w:sz="8" w:space="0" w:color="auto"/>
              <w:bottom w:val="single" w:sz="8" w:space="0" w:color="000000"/>
              <w:right w:val="single" w:sz="8" w:space="0" w:color="auto"/>
            </w:tcBorders>
            <w:vAlign w:val="center"/>
            <w:hideMark/>
          </w:tcPr>
          <w:p w14:paraId="6C6771C5" w14:textId="77777777" w:rsidR="00C4454D" w:rsidRPr="00A735B4" w:rsidRDefault="00C4454D" w:rsidP="00C4454D">
            <w:pPr>
              <w:keepNext/>
              <w:rPr>
                <w:rFonts w:eastAsia="Times New Roman"/>
                <w:b/>
                <w:sz w:val="18"/>
                <w:szCs w:val="20"/>
              </w:rPr>
            </w:pPr>
          </w:p>
        </w:tc>
        <w:tc>
          <w:tcPr>
            <w:tcW w:w="4450" w:type="dxa"/>
            <w:tcBorders>
              <w:top w:val="nil"/>
              <w:left w:val="nil"/>
              <w:bottom w:val="single" w:sz="8" w:space="0" w:color="auto"/>
              <w:right w:val="single" w:sz="8" w:space="0" w:color="auto"/>
            </w:tcBorders>
            <w:shd w:val="clear" w:color="auto" w:fill="auto"/>
            <w:hideMark/>
          </w:tcPr>
          <w:p w14:paraId="57847D1D" w14:textId="77777777" w:rsidR="00C4454D" w:rsidRPr="00A735B4" w:rsidRDefault="00C4454D" w:rsidP="00C4454D">
            <w:pPr>
              <w:keepNext/>
              <w:rPr>
                <w:rFonts w:eastAsia="Times New Roman"/>
                <w:sz w:val="18"/>
                <w:szCs w:val="20"/>
              </w:rPr>
            </w:pPr>
            <w:r w:rsidRPr="00A735B4">
              <w:rPr>
                <w:rFonts w:eastAsia="Times New Roman"/>
                <w:sz w:val="18"/>
                <w:szCs w:val="20"/>
              </w:rPr>
              <w:t>Existence of defined regulations dealing with public procurement in member states</w:t>
            </w:r>
          </w:p>
        </w:tc>
        <w:tc>
          <w:tcPr>
            <w:tcW w:w="1089" w:type="dxa"/>
            <w:tcBorders>
              <w:top w:val="nil"/>
              <w:left w:val="nil"/>
              <w:bottom w:val="single" w:sz="8" w:space="0" w:color="auto"/>
              <w:right w:val="single" w:sz="8" w:space="0" w:color="auto"/>
            </w:tcBorders>
            <w:shd w:val="clear" w:color="auto" w:fill="auto"/>
            <w:vAlign w:val="center"/>
            <w:hideMark/>
          </w:tcPr>
          <w:p w14:paraId="10C0A6C4" w14:textId="77777777" w:rsidR="00C4454D" w:rsidRPr="00A735B4" w:rsidRDefault="00C4454D" w:rsidP="00C4454D">
            <w:pPr>
              <w:keepNext/>
              <w:jc w:val="center"/>
              <w:rPr>
                <w:rFonts w:eastAsia="Times New Roman"/>
                <w:sz w:val="18"/>
                <w:szCs w:val="20"/>
              </w:rPr>
            </w:pPr>
          </w:p>
        </w:tc>
        <w:tc>
          <w:tcPr>
            <w:tcW w:w="1090" w:type="dxa"/>
            <w:tcBorders>
              <w:top w:val="nil"/>
              <w:left w:val="nil"/>
              <w:bottom w:val="single" w:sz="8" w:space="0" w:color="auto"/>
              <w:right w:val="single" w:sz="8" w:space="0" w:color="auto"/>
            </w:tcBorders>
            <w:shd w:val="clear" w:color="auto" w:fill="auto"/>
            <w:vAlign w:val="center"/>
            <w:hideMark/>
          </w:tcPr>
          <w:p w14:paraId="49CA6FE4" w14:textId="77777777" w:rsidR="00C4454D" w:rsidRPr="00A735B4" w:rsidRDefault="00C4454D" w:rsidP="00C4454D">
            <w:pPr>
              <w:keepNext/>
              <w:jc w:val="center"/>
              <w:rPr>
                <w:rFonts w:eastAsia="Times New Roman"/>
                <w:sz w:val="18"/>
                <w:szCs w:val="20"/>
              </w:rPr>
            </w:pPr>
          </w:p>
        </w:tc>
        <w:tc>
          <w:tcPr>
            <w:tcW w:w="1362" w:type="dxa"/>
            <w:tcBorders>
              <w:top w:val="nil"/>
              <w:left w:val="nil"/>
              <w:bottom w:val="single" w:sz="8" w:space="0" w:color="auto"/>
              <w:right w:val="single" w:sz="8" w:space="0" w:color="auto"/>
            </w:tcBorders>
            <w:shd w:val="clear" w:color="auto" w:fill="auto"/>
            <w:vAlign w:val="center"/>
            <w:hideMark/>
          </w:tcPr>
          <w:p w14:paraId="76334AA0" w14:textId="77777777" w:rsidR="00C4454D" w:rsidRPr="00A735B4" w:rsidRDefault="00C4454D" w:rsidP="00C4454D">
            <w:pPr>
              <w:keepNext/>
              <w:jc w:val="center"/>
              <w:rPr>
                <w:rFonts w:eastAsia="Times New Roman"/>
                <w:sz w:val="18"/>
                <w:szCs w:val="20"/>
              </w:rPr>
            </w:pPr>
            <w:r w:rsidRPr="00A735B4">
              <w:rPr>
                <w:rFonts w:eastAsia="Times New Roman"/>
                <w:b/>
                <w:sz w:val="18"/>
                <w:szCs w:val="20"/>
              </w:rPr>
              <w:t>X</w:t>
            </w:r>
          </w:p>
        </w:tc>
      </w:tr>
      <w:tr w:rsidR="00C4454D" w:rsidRPr="00A735B4" w14:paraId="180C9AD1" w14:textId="77777777" w:rsidTr="00C4454D">
        <w:trPr>
          <w:trHeight w:val="251"/>
        </w:trPr>
        <w:tc>
          <w:tcPr>
            <w:tcW w:w="1286" w:type="dxa"/>
            <w:vMerge w:val="restart"/>
            <w:tcBorders>
              <w:top w:val="nil"/>
              <w:left w:val="single" w:sz="8" w:space="0" w:color="auto"/>
              <w:bottom w:val="single" w:sz="8" w:space="0" w:color="000000"/>
              <w:right w:val="single" w:sz="8" w:space="0" w:color="auto"/>
            </w:tcBorders>
            <w:shd w:val="clear" w:color="auto" w:fill="auto"/>
            <w:hideMark/>
          </w:tcPr>
          <w:p w14:paraId="5796A829" w14:textId="77777777" w:rsidR="00C4454D" w:rsidRPr="00A735B4" w:rsidRDefault="00C4454D" w:rsidP="00C4454D">
            <w:pPr>
              <w:keepNext/>
              <w:jc w:val="both"/>
              <w:rPr>
                <w:rFonts w:eastAsia="Times New Roman"/>
                <w:b/>
                <w:sz w:val="18"/>
                <w:szCs w:val="20"/>
              </w:rPr>
            </w:pPr>
            <w:r w:rsidRPr="00A735B4">
              <w:rPr>
                <w:rFonts w:eastAsia="Times New Roman"/>
                <w:b/>
                <w:sz w:val="18"/>
                <w:szCs w:val="20"/>
              </w:rPr>
              <w:t>Licensing requirements</w:t>
            </w:r>
          </w:p>
        </w:tc>
        <w:tc>
          <w:tcPr>
            <w:tcW w:w="4450" w:type="dxa"/>
            <w:tcBorders>
              <w:top w:val="nil"/>
              <w:left w:val="nil"/>
              <w:bottom w:val="nil"/>
              <w:right w:val="single" w:sz="8" w:space="0" w:color="auto"/>
            </w:tcBorders>
            <w:shd w:val="clear" w:color="auto" w:fill="auto"/>
            <w:hideMark/>
          </w:tcPr>
          <w:p w14:paraId="49BE06A9" w14:textId="77777777" w:rsidR="00C4454D" w:rsidRPr="00A735B4" w:rsidRDefault="00C4454D" w:rsidP="00C4454D">
            <w:pPr>
              <w:keepNext/>
              <w:rPr>
                <w:rFonts w:eastAsia="Times New Roman"/>
                <w:sz w:val="18"/>
                <w:szCs w:val="20"/>
              </w:rPr>
            </w:pPr>
            <w:r w:rsidRPr="00A735B4">
              <w:rPr>
                <w:rFonts w:eastAsia="Times New Roman"/>
                <w:sz w:val="18"/>
                <w:szCs w:val="20"/>
              </w:rPr>
              <w:t>Level of licensing requirements to operate a business</w:t>
            </w:r>
          </w:p>
        </w:tc>
        <w:tc>
          <w:tcPr>
            <w:tcW w:w="1089" w:type="dxa"/>
            <w:tcBorders>
              <w:top w:val="nil"/>
              <w:left w:val="nil"/>
              <w:bottom w:val="nil"/>
              <w:right w:val="single" w:sz="8" w:space="0" w:color="auto"/>
            </w:tcBorders>
            <w:shd w:val="clear" w:color="auto" w:fill="auto"/>
            <w:vAlign w:val="center"/>
            <w:hideMark/>
          </w:tcPr>
          <w:p w14:paraId="1A124C1A" w14:textId="77777777" w:rsidR="00C4454D" w:rsidRPr="00A735B4" w:rsidRDefault="00C4454D" w:rsidP="00C4454D">
            <w:pPr>
              <w:keepNext/>
              <w:jc w:val="center"/>
              <w:rPr>
                <w:rFonts w:eastAsia="Times New Roman"/>
                <w:sz w:val="18"/>
                <w:szCs w:val="20"/>
              </w:rPr>
            </w:pPr>
          </w:p>
        </w:tc>
        <w:tc>
          <w:tcPr>
            <w:tcW w:w="1090" w:type="dxa"/>
            <w:tcBorders>
              <w:top w:val="nil"/>
              <w:left w:val="nil"/>
              <w:bottom w:val="nil"/>
              <w:right w:val="single" w:sz="8" w:space="0" w:color="auto"/>
            </w:tcBorders>
            <w:shd w:val="clear" w:color="auto" w:fill="auto"/>
            <w:vAlign w:val="center"/>
            <w:hideMark/>
          </w:tcPr>
          <w:p w14:paraId="4AFE3898" w14:textId="77777777" w:rsidR="00C4454D" w:rsidRPr="00A735B4" w:rsidRDefault="00C4454D" w:rsidP="00C4454D">
            <w:pPr>
              <w:keepNext/>
              <w:jc w:val="center"/>
              <w:rPr>
                <w:rFonts w:eastAsia="Times New Roman"/>
                <w:sz w:val="18"/>
                <w:szCs w:val="20"/>
              </w:rPr>
            </w:pPr>
            <w:r w:rsidRPr="00A735B4">
              <w:rPr>
                <w:rFonts w:eastAsia="Times New Roman"/>
                <w:b/>
                <w:sz w:val="18"/>
                <w:szCs w:val="20"/>
              </w:rPr>
              <w:t>X</w:t>
            </w:r>
          </w:p>
        </w:tc>
        <w:tc>
          <w:tcPr>
            <w:tcW w:w="1362" w:type="dxa"/>
            <w:tcBorders>
              <w:top w:val="nil"/>
              <w:left w:val="nil"/>
              <w:bottom w:val="nil"/>
              <w:right w:val="single" w:sz="8" w:space="0" w:color="auto"/>
            </w:tcBorders>
            <w:shd w:val="clear" w:color="auto" w:fill="auto"/>
            <w:vAlign w:val="center"/>
            <w:hideMark/>
          </w:tcPr>
          <w:p w14:paraId="15CDED12" w14:textId="77777777" w:rsidR="00C4454D" w:rsidRPr="00A735B4" w:rsidRDefault="00C4454D" w:rsidP="00C4454D">
            <w:pPr>
              <w:keepNext/>
              <w:jc w:val="center"/>
              <w:rPr>
                <w:rFonts w:eastAsia="Times New Roman"/>
                <w:sz w:val="18"/>
                <w:szCs w:val="20"/>
              </w:rPr>
            </w:pPr>
          </w:p>
        </w:tc>
      </w:tr>
      <w:tr w:rsidR="00C4454D" w:rsidRPr="00A735B4" w14:paraId="386528F1" w14:textId="77777777" w:rsidTr="00C4454D">
        <w:trPr>
          <w:trHeight w:val="251"/>
        </w:trPr>
        <w:tc>
          <w:tcPr>
            <w:tcW w:w="1286" w:type="dxa"/>
            <w:vMerge/>
            <w:tcBorders>
              <w:top w:val="nil"/>
              <w:left w:val="single" w:sz="8" w:space="0" w:color="auto"/>
              <w:bottom w:val="single" w:sz="8" w:space="0" w:color="000000"/>
              <w:right w:val="single" w:sz="8" w:space="0" w:color="auto"/>
            </w:tcBorders>
            <w:vAlign w:val="center"/>
            <w:hideMark/>
          </w:tcPr>
          <w:p w14:paraId="369BFE25" w14:textId="77777777" w:rsidR="00C4454D" w:rsidRPr="00A735B4" w:rsidRDefault="00C4454D" w:rsidP="00C4454D">
            <w:pPr>
              <w:keepNext/>
              <w:rPr>
                <w:rFonts w:eastAsia="Times New Roman"/>
                <w:sz w:val="18"/>
                <w:szCs w:val="20"/>
              </w:rPr>
            </w:pPr>
          </w:p>
        </w:tc>
        <w:tc>
          <w:tcPr>
            <w:tcW w:w="4450" w:type="dxa"/>
            <w:tcBorders>
              <w:top w:val="nil"/>
              <w:left w:val="nil"/>
              <w:bottom w:val="nil"/>
              <w:right w:val="single" w:sz="8" w:space="0" w:color="auto"/>
            </w:tcBorders>
            <w:shd w:val="clear" w:color="auto" w:fill="auto"/>
            <w:hideMark/>
          </w:tcPr>
          <w:p w14:paraId="1971B074" w14:textId="531ED897" w:rsidR="00C4454D" w:rsidRPr="00A735B4" w:rsidRDefault="00C4454D" w:rsidP="00C4454D">
            <w:pPr>
              <w:keepNext/>
              <w:rPr>
                <w:rFonts w:eastAsia="Times New Roman"/>
                <w:sz w:val="18"/>
                <w:szCs w:val="20"/>
              </w:rPr>
            </w:pPr>
            <w:r w:rsidRPr="00A735B4">
              <w:rPr>
                <w:rFonts w:eastAsia="Times New Roman"/>
                <w:sz w:val="18"/>
                <w:szCs w:val="20"/>
              </w:rPr>
              <w:t xml:space="preserve">Time taken to obtain appropriate licenses to start business </w:t>
            </w:r>
          </w:p>
        </w:tc>
        <w:tc>
          <w:tcPr>
            <w:tcW w:w="1089" w:type="dxa"/>
            <w:tcBorders>
              <w:top w:val="nil"/>
              <w:left w:val="nil"/>
              <w:bottom w:val="nil"/>
              <w:right w:val="single" w:sz="8" w:space="0" w:color="auto"/>
            </w:tcBorders>
            <w:shd w:val="clear" w:color="auto" w:fill="auto"/>
            <w:vAlign w:val="center"/>
            <w:hideMark/>
          </w:tcPr>
          <w:p w14:paraId="398B11E8" w14:textId="77777777" w:rsidR="00C4454D" w:rsidRPr="00A735B4" w:rsidRDefault="00C4454D" w:rsidP="00C4454D">
            <w:pPr>
              <w:keepNext/>
              <w:jc w:val="center"/>
              <w:rPr>
                <w:rFonts w:eastAsia="Times New Roman"/>
                <w:sz w:val="18"/>
                <w:szCs w:val="20"/>
              </w:rPr>
            </w:pPr>
            <w:r w:rsidRPr="00A735B4">
              <w:rPr>
                <w:rFonts w:eastAsia="Times New Roman"/>
                <w:b/>
                <w:sz w:val="18"/>
                <w:szCs w:val="20"/>
              </w:rPr>
              <w:t>X</w:t>
            </w:r>
          </w:p>
        </w:tc>
        <w:tc>
          <w:tcPr>
            <w:tcW w:w="1090" w:type="dxa"/>
            <w:tcBorders>
              <w:top w:val="nil"/>
              <w:left w:val="nil"/>
              <w:bottom w:val="nil"/>
              <w:right w:val="single" w:sz="8" w:space="0" w:color="auto"/>
            </w:tcBorders>
            <w:shd w:val="clear" w:color="auto" w:fill="auto"/>
            <w:vAlign w:val="center"/>
            <w:hideMark/>
          </w:tcPr>
          <w:p w14:paraId="273ABADD" w14:textId="77777777" w:rsidR="00C4454D" w:rsidRPr="00A735B4" w:rsidRDefault="00C4454D" w:rsidP="00C4454D">
            <w:pPr>
              <w:keepNext/>
              <w:jc w:val="center"/>
              <w:rPr>
                <w:rFonts w:eastAsia="Times New Roman"/>
                <w:sz w:val="18"/>
                <w:szCs w:val="20"/>
              </w:rPr>
            </w:pPr>
          </w:p>
        </w:tc>
        <w:tc>
          <w:tcPr>
            <w:tcW w:w="1362" w:type="dxa"/>
            <w:tcBorders>
              <w:top w:val="nil"/>
              <w:left w:val="nil"/>
              <w:bottom w:val="nil"/>
              <w:right w:val="single" w:sz="8" w:space="0" w:color="auto"/>
            </w:tcBorders>
            <w:shd w:val="clear" w:color="auto" w:fill="auto"/>
            <w:vAlign w:val="center"/>
            <w:hideMark/>
          </w:tcPr>
          <w:p w14:paraId="131F7200" w14:textId="77777777" w:rsidR="00C4454D" w:rsidRPr="00A735B4" w:rsidRDefault="00C4454D" w:rsidP="00C4454D">
            <w:pPr>
              <w:keepNext/>
              <w:jc w:val="center"/>
              <w:rPr>
                <w:rFonts w:eastAsia="Times New Roman"/>
                <w:sz w:val="18"/>
                <w:szCs w:val="20"/>
              </w:rPr>
            </w:pPr>
          </w:p>
        </w:tc>
      </w:tr>
      <w:tr w:rsidR="00C4454D" w:rsidRPr="00A735B4" w14:paraId="6D6EE0CA" w14:textId="77777777" w:rsidTr="00C4454D">
        <w:trPr>
          <w:trHeight w:val="55"/>
        </w:trPr>
        <w:tc>
          <w:tcPr>
            <w:tcW w:w="1286" w:type="dxa"/>
            <w:vMerge/>
            <w:tcBorders>
              <w:top w:val="nil"/>
              <w:left w:val="single" w:sz="8" w:space="0" w:color="auto"/>
              <w:bottom w:val="single" w:sz="8" w:space="0" w:color="auto"/>
              <w:right w:val="single" w:sz="8" w:space="0" w:color="auto"/>
            </w:tcBorders>
            <w:vAlign w:val="center"/>
            <w:hideMark/>
          </w:tcPr>
          <w:p w14:paraId="1BE06F35" w14:textId="77777777" w:rsidR="00C4454D" w:rsidRPr="00A735B4" w:rsidRDefault="00C4454D" w:rsidP="00C4454D">
            <w:pPr>
              <w:keepNext/>
              <w:rPr>
                <w:rFonts w:eastAsia="Times New Roman"/>
                <w:sz w:val="18"/>
                <w:szCs w:val="20"/>
              </w:rPr>
            </w:pPr>
          </w:p>
        </w:tc>
        <w:tc>
          <w:tcPr>
            <w:tcW w:w="4450" w:type="dxa"/>
            <w:tcBorders>
              <w:top w:val="nil"/>
              <w:left w:val="nil"/>
              <w:bottom w:val="single" w:sz="8" w:space="0" w:color="auto"/>
              <w:right w:val="single" w:sz="8" w:space="0" w:color="auto"/>
            </w:tcBorders>
            <w:shd w:val="clear" w:color="auto" w:fill="auto"/>
            <w:hideMark/>
          </w:tcPr>
          <w:p w14:paraId="0C170CF0" w14:textId="77777777" w:rsidR="00C4454D" w:rsidRPr="00A735B4" w:rsidRDefault="00C4454D" w:rsidP="00C4454D">
            <w:pPr>
              <w:keepNext/>
              <w:rPr>
                <w:rFonts w:eastAsia="Times New Roman"/>
                <w:sz w:val="18"/>
                <w:szCs w:val="20"/>
              </w:rPr>
            </w:pPr>
            <w:r w:rsidRPr="00A735B4">
              <w:rPr>
                <w:rFonts w:eastAsia="Times New Roman"/>
                <w:sz w:val="18"/>
                <w:szCs w:val="20"/>
              </w:rPr>
              <w:t>Transparency of licensing system</w:t>
            </w:r>
          </w:p>
        </w:tc>
        <w:tc>
          <w:tcPr>
            <w:tcW w:w="1089" w:type="dxa"/>
            <w:tcBorders>
              <w:top w:val="nil"/>
              <w:left w:val="nil"/>
              <w:bottom w:val="single" w:sz="8" w:space="0" w:color="auto"/>
              <w:right w:val="single" w:sz="8" w:space="0" w:color="auto"/>
            </w:tcBorders>
            <w:shd w:val="clear" w:color="auto" w:fill="auto"/>
            <w:vAlign w:val="center"/>
            <w:hideMark/>
          </w:tcPr>
          <w:p w14:paraId="6B580E01" w14:textId="77777777" w:rsidR="00C4454D" w:rsidRPr="00A735B4" w:rsidRDefault="00C4454D" w:rsidP="00C4454D">
            <w:pPr>
              <w:keepNext/>
              <w:jc w:val="center"/>
              <w:rPr>
                <w:rFonts w:eastAsia="Times New Roman"/>
                <w:sz w:val="18"/>
                <w:szCs w:val="20"/>
              </w:rPr>
            </w:pPr>
          </w:p>
        </w:tc>
        <w:tc>
          <w:tcPr>
            <w:tcW w:w="1090" w:type="dxa"/>
            <w:tcBorders>
              <w:top w:val="nil"/>
              <w:left w:val="nil"/>
              <w:bottom w:val="single" w:sz="8" w:space="0" w:color="auto"/>
              <w:right w:val="single" w:sz="8" w:space="0" w:color="auto"/>
            </w:tcBorders>
            <w:shd w:val="clear" w:color="auto" w:fill="auto"/>
            <w:vAlign w:val="center"/>
            <w:hideMark/>
          </w:tcPr>
          <w:p w14:paraId="2C1E2CC2" w14:textId="77777777" w:rsidR="00C4454D" w:rsidRPr="00A735B4" w:rsidRDefault="00C4454D" w:rsidP="00C4454D">
            <w:pPr>
              <w:keepNext/>
              <w:jc w:val="center"/>
              <w:rPr>
                <w:rFonts w:eastAsia="Times New Roman"/>
                <w:sz w:val="18"/>
                <w:szCs w:val="20"/>
              </w:rPr>
            </w:pPr>
          </w:p>
        </w:tc>
        <w:tc>
          <w:tcPr>
            <w:tcW w:w="1362" w:type="dxa"/>
            <w:tcBorders>
              <w:top w:val="nil"/>
              <w:left w:val="nil"/>
              <w:bottom w:val="single" w:sz="8" w:space="0" w:color="auto"/>
              <w:right w:val="single" w:sz="8" w:space="0" w:color="auto"/>
            </w:tcBorders>
            <w:shd w:val="clear" w:color="auto" w:fill="auto"/>
            <w:vAlign w:val="center"/>
            <w:hideMark/>
          </w:tcPr>
          <w:p w14:paraId="1CA7D3A3" w14:textId="77777777" w:rsidR="00C4454D" w:rsidRPr="00A735B4" w:rsidRDefault="00C4454D" w:rsidP="00C4454D">
            <w:pPr>
              <w:keepNext/>
              <w:jc w:val="center"/>
              <w:rPr>
                <w:rFonts w:eastAsia="Times New Roman"/>
                <w:sz w:val="18"/>
                <w:szCs w:val="20"/>
              </w:rPr>
            </w:pPr>
            <w:r w:rsidRPr="00A735B4">
              <w:rPr>
                <w:rFonts w:eastAsia="Times New Roman"/>
                <w:b/>
                <w:sz w:val="18"/>
                <w:szCs w:val="20"/>
              </w:rPr>
              <w:t>X</w:t>
            </w:r>
          </w:p>
        </w:tc>
      </w:tr>
    </w:tbl>
    <w:p w14:paraId="4B70954B" w14:textId="39695A78" w:rsidR="00C4454D" w:rsidRPr="00A735B4" w:rsidRDefault="00C4454D" w:rsidP="00C4454D">
      <w:pPr>
        <w:keepNext/>
        <w:jc w:val="both"/>
        <w:rPr>
          <w:sz w:val="20"/>
          <w:szCs w:val="20"/>
        </w:rPr>
      </w:pPr>
      <w:r w:rsidRPr="00A735B4">
        <w:rPr>
          <w:color w:val="1F497D" w:themeColor="text2"/>
          <w:sz w:val="20"/>
          <w:szCs w:val="20"/>
        </w:rPr>
        <w:t xml:space="preserve">    </w:t>
      </w:r>
    </w:p>
    <w:p w14:paraId="4C2FE114" w14:textId="77777777" w:rsidR="00C4454D" w:rsidRPr="00A735B4" w:rsidRDefault="00C4454D" w:rsidP="00C4454D">
      <w:pPr>
        <w:keepNext/>
        <w:jc w:val="both"/>
        <w:rPr>
          <w:sz w:val="20"/>
          <w:szCs w:val="20"/>
        </w:rPr>
      </w:pPr>
      <w:r w:rsidRPr="00A735B4">
        <w:rPr>
          <w:i/>
          <w:sz w:val="20"/>
          <w:szCs w:val="20"/>
        </w:rPr>
        <w:t>Source</w:t>
      </w:r>
      <w:r w:rsidRPr="00A735B4">
        <w:rPr>
          <w:sz w:val="20"/>
          <w:szCs w:val="20"/>
        </w:rPr>
        <w:t xml:space="preserve">: COMESA 2002. </w:t>
      </w:r>
    </w:p>
    <w:p w14:paraId="391C3DDB" w14:textId="63DA9F8B" w:rsidR="00C4454D" w:rsidRPr="00A735B4" w:rsidRDefault="00C4454D" w:rsidP="00C4454D">
      <w:pPr>
        <w:keepNext/>
        <w:jc w:val="both"/>
        <w:rPr>
          <w:sz w:val="20"/>
          <w:szCs w:val="20"/>
        </w:rPr>
      </w:pPr>
      <w:r w:rsidRPr="00A735B4">
        <w:rPr>
          <w:i/>
          <w:sz w:val="20"/>
          <w:szCs w:val="20"/>
        </w:rPr>
        <w:t>Note:</w:t>
      </w:r>
      <w:r w:rsidRPr="00A735B4">
        <w:rPr>
          <w:sz w:val="20"/>
          <w:szCs w:val="20"/>
        </w:rPr>
        <w:t xml:space="preserve"> ASYCUDA = Automated System for Customs Data; COMESA = Common Market for Eastern and Southern Africa; GATT =</w:t>
      </w:r>
      <w:r w:rsidRPr="00A735B4">
        <w:rPr>
          <w:rFonts w:ascii="Times New Roman" w:hAnsi="Times New Roman" w:cs="Times New Roman"/>
          <w:sz w:val="20"/>
          <w:szCs w:val="20"/>
        </w:rPr>
        <w:t xml:space="preserve"> </w:t>
      </w:r>
      <w:r w:rsidRPr="00A735B4">
        <w:rPr>
          <w:bCs/>
          <w:sz w:val="20"/>
          <w:szCs w:val="20"/>
        </w:rPr>
        <w:t>General Agreement on Tariffs and Trade;</w:t>
      </w:r>
      <w:r w:rsidRPr="00A735B4">
        <w:rPr>
          <w:sz w:val="20"/>
          <w:szCs w:val="20"/>
        </w:rPr>
        <w:t xml:space="preserve"> HS = Harmonized System; MFN = most-favored nation; TBT = technical barriers to trade; WTO = World Trade Organization.</w:t>
      </w:r>
    </w:p>
    <w:p w14:paraId="0B7DCBB6" w14:textId="77777777" w:rsidR="00C4454D" w:rsidRPr="00A735B4" w:rsidRDefault="00C4454D" w:rsidP="00C4454D">
      <w:pPr>
        <w:spacing w:after="0"/>
        <w:jc w:val="center"/>
        <w:rPr>
          <w:color w:val="1F497D" w:themeColor="text2"/>
          <w:sz w:val="20"/>
          <w:szCs w:val="20"/>
        </w:rPr>
      </w:pPr>
    </w:p>
    <w:p w14:paraId="73FCADBA" w14:textId="77777777" w:rsidR="00C4454D" w:rsidRPr="00A735B4" w:rsidRDefault="00C4454D" w:rsidP="00C4454D">
      <w:bookmarkStart w:id="18" w:name="_Toc363830855"/>
      <w:bookmarkStart w:id="19" w:name="_Toc419565230"/>
      <w:r w:rsidRPr="00A735B4">
        <w:t>Compliance and tariff monitoring</w:t>
      </w:r>
      <w:bookmarkEnd w:id="18"/>
      <w:bookmarkEnd w:id="19"/>
    </w:p>
    <w:p w14:paraId="3FA1A3A5" w14:textId="12B90D4D" w:rsidR="00C4454D" w:rsidRPr="00A735B4" w:rsidRDefault="00C4454D" w:rsidP="00C4454D">
      <w:pPr>
        <w:numPr>
          <w:ilvl w:val="0"/>
          <w:numId w:val="2"/>
        </w:numPr>
        <w:spacing w:before="240" w:after="240"/>
        <w:ind w:left="0" w:firstLine="0"/>
        <w:jc w:val="both"/>
      </w:pPr>
      <w:r w:rsidRPr="00A735B4">
        <w:t>The examination of compliance with tariff reduction and harmonization commitments in trade agreements can be described as the standard form of monitoring. The processes are normally managed by the RTA Secretariats, who receive respective information from members. For example, the African Union Commission, in collaboration with the African Development Bank and the United Nations Economic Commission for Africa, checks regularly on progress at the continental level with respect to the implementation of the Abuja Treaty of 1991 (table 3.2). Similar monitoring systems based on self-reporting and aggregate “achieved/not achieved” assessments are available for virtually all integration agreements in Africa.</w:t>
      </w:r>
    </w:p>
    <w:p w14:paraId="370FBA26" w14:textId="77777777" w:rsidR="00C4454D" w:rsidRPr="00A735B4" w:rsidRDefault="00C4454D" w:rsidP="00C4454D"/>
    <w:p w14:paraId="71650909" w14:textId="090D3D3F" w:rsidR="00C4454D" w:rsidRPr="00A735B4" w:rsidRDefault="00C4454D" w:rsidP="00C4454D">
      <w:pPr>
        <w:jc w:val="center"/>
        <w:rPr>
          <w:color w:val="1F497D" w:themeColor="text2"/>
          <w:sz w:val="24"/>
          <w:szCs w:val="24"/>
        </w:rPr>
      </w:pPr>
      <w:bookmarkStart w:id="20" w:name="_Toc410823537"/>
      <w:r w:rsidRPr="00A735B4">
        <w:rPr>
          <w:color w:val="1F497D" w:themeColor="text2"/>
          <w:sz w:val="24"/>
          <w:szCs w:val="24"/>
        </w:rPr>
        <w:t>Table 3.2 Abuja Treaty scorecard of regional integration in Africa</w:t>
      </w:r>
      <w:bookmarkEnd w:id="20"/>
    </w:p>
    <w:p w14:paraId="4C18982D" w14:textId="77777777" w:rsidR="00C4454D" w:rsidRPr="00A735B4" w:rsidRDefault="00C4454D" w:rsidP="00C4454D">
      <w:pPr>
        <w:keepNext/>
      </w:pPr>
      <w:r w:rsidRPr="00A735B4">
        <w:rPr>
          <w:noProof/>
          <w:bdr w:val="single" w:sz="4" w:space="0" w:color="auto"/>
        </w:rPr>
        <w:drawing>
          <wp:inline distT="0" distB="0" distL="0" distR="0" wp14:anchorId="1FB6436E" wp14:editId="2E45A1B6">
            <wp:extent cx="5486400" cy="3528695"/>
            <wp:effectExtent l="19050" t="0" r="0" b="0"/>
            <wp:docPr id="3" name="Picture 3" descr="africa-scorecard-995x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rica-scorecard-995x640.jpg"/>
                    <pic:cNvPicPr/>
                  </pic:nvPicPr>
                  <pic:blipFill>
                    <a:blip r:embed="rId12" cstate="print"/>
                    <a:stretch>
                      <a:fillRect/>
                    </a:stretch>
                  </pic:blipFill>
                  <pic:spPr>
                    <a:xfrm>
                      <a:off x="0" y="0"/>
                      <a:ext cx="5486400" cy="3528695"/>
                    </a:xfrm>
                    <a:prstGeom prst="rect">
                      <a:avLst/>
                    </a:prstGeom>
                  </pic:spPr>
                </pic:pic>
              </a:graphicData>
            </a:graphic>
          </wp:inline>
        </w:drawing>
      </w:r>
    </w:p>
    <w:p w14:paraId="6692E491" w14:textId="08BE620A" w:rsidR="00C4454D" w:rsidRPr="00A735B4" w:rsidRDefault="00C4454D" w:rsidP="00C4454D">
      <w:pPr>
        <w:keepNext/>
        <w:rPr>
          <w:sz w:val="20"/>
        </w:rPr>
      </w:pPr>
      <w:r w:rsidRPr="00A735B4">
        <w:rPr>
          <w:i/>
          <w:sz w:val="20"/>
        </w:rPr>
        <w:t>Source</w:t>
      </w:r>
      <w:r w:rsidRPr="00A735B4">
        <w:rPr>
          <w:sz w:val="20"/>
        </w:rPr>
        <w:t>: UNECA 2012.</w:t>
      </w:r>
    </w:p>
    <w:p w14:paraId="2C576FEF" w14:textId="5222E2B8" w:rsidR="00C4454D" w:rsidRPr="00A735B4" w:rsidRDefault="00C4454D" w:rsidP="00C4454D">
      <w:pPr>
        <w:numPr>
          <w:ilvl w:val="0"/>
          <w:numId w:val="2"/>
        </w:numPr>
        <w:spacing w:before="240" w:after="240"/>
        <w:ind w:left="0" w:firstLine="0"/>
        <w:jc w:val="both"/>
      </w:pPr>
      <w:r w:rsidRPr="00A735B4">
        <w:t>The integration outcomes reported in table 3.2 again highlight the drawbacks of highly aggregated compliance monitoring. For example, although COMESA has been working to remove tariff and non-tariff barriers among its members, not all member countries are participating in its free trade area. Nevertheless, the scorecard records an unambiguous “achieved” for this category. Similar reservations could be made for the integration progress in the Economic Community of Central African States and the Economic Community of West African States (ECOWAS).</w:t>
      </w:r>
    </w:p>
    <w:p w14:paraId="316DF4D3" w14:textId="77777777" w:rsidR="00C4454D" w:rsidRPr="00A735B4" w:rsidRDefault="00C4454D" w:rsidP="00C4454D">
      <w:pPr>
        <w:spacing w:before="240" w:after="240"/>
        <w:jc w:val="both"/>
      </w:pPr>
    </w:p>
    <w:p w14:paraId="625603B0" w14:textId="1F608E2E" w:rsidR="00C4454D" w:rsidRPr="00A735B4" w:rsidRDefault="00C4454D" w:rsidP="00C4454D">
      <w:pPr>
        <w:numPr>
          <w:ilvl w:val="0"/>
          <w:numId w:val="2"/>
        </w:numPr>
        <w:spacing w:before="240" w:after="240"/>
        <w:ind w:left="0" w:firstLine="0"/>
        <w:jc w:val="both"/>
      </w:pPr>
      <w:r w:rsidRPr="00A735B4">
        <w:t>In West Africa, the West African Economic and Monetary Union (WAEMU 2010) uses a detailed scorecard approach to assess compliance. It lists the community-level directives in different policy areas and reports whether or not a member country has transcribed the integration measures into national law. In addition, the reporting comprises an average of compliance across all member countries, as well as an average of compliance across integration measures in each country.</w:t>
      </w:r>
    </w:p>
    <w:p w14:paraId="18D86A41" w14:textId="77777777" w:rsidR="00C4454D" w:rsidRPr="00A735B4" w:rsidRDefault="00C4454D" w:rsidP="00C4454D">
      <w:pPr>
        <w:spacing w:before="240" w:after="240"/>
        <w:jc w:val="both"/>
      </w:pPr>
    </w:p>
    <w:p w14:paraId="417107FF" w14:textId="371FDC58" w:rsidR="00C4454D" w:rsidRPr="00A735B4" w:rsidRDefault="00C4454D" w:rsidP="00C4454D">
      <w:pPr>
        <w:numPr>
          <w:ilvl w:val="0"/>
          <w:numId w:val="2"/>
        </w:numPr>
        <w:spacing w:before="240" w:after="240"/>
        <w:ind w:left="0" w:firstLine="0"/>
        <w:jc w:val="both"/>
      </w:pPr>
      <w:r w:rsidRPr="00A735B4">
        <w:t xml:space="preserve">In the East African Community (EAC), a framework for monitoring and evaluating the implementation of the EAC Common Market Protocol was established in 2012. This framework calls for </w:t>
      </w:r>
      <w:r w:rsidRPr="00A735B4">
        <w:lastRenderedPageBreak/>
        <w:t>the periodic preparation of reports on the de-jure implementation of Protocol provisions for submission to the Council of Ministers, which then assesses the progress made toward the original schedule. This has been complemented by the EAC Common Market Scorecard, produced by the World Bank Group for the EAC Secretariat, which assesses progress toward a common market in capital, services, and goods across the Partner States. It considers each EAC Partner State’s laws and regulations with regard to conformity to commitments under EAC Common Market protocol. The 2014 report</w:t>
      </w:r>
      <w:r w:rsidRPr="00A735B4">
        <w:endnoteReference w:id="4"/>
      </w:r>
      <w:r w:rsidRPr="00A735B4">
        <w:t xml:space="preserve"> reviews 683 laws and regulations relevant to the common market (124 in capital, 545 in services, and 14 in goods) and several legal notices, reports, and trade statistics.</w:t>
      </w:r>
    </w:p>
    <w:p w14:paraId="284C86F2" w14:textId="77777777" w:rsidR="00C4454D" w:rsidRPr="00A735B4" w:rsidRDefault="00C4454D" w:rsidP="00C4454D"/>
    <w:p w14:paraId="1AE1CC6E" w14:textId="0E854BAA" w:rsidR="00C4454D" w:rsidRPr="00A735B4" w:rsidRDefault="00C4454D" w:rsidP="00C4454D">
      <w:pPr>
        <w:numPr>
          <w:ilvl w:val="0"/>
          <w:numId w:val="2"/>
        </w:numPr>
        <w:spacing w:before="240" w:after="240"/>
        <w:ind w:left="0" w:firstLine="0"/>
        <w:jc w:val="both"/>
      </w:pPr>
      <w:r w:rsidRPr="00A735B4">
        <w:t>As part of its strategic planning, COMESA has mapped out a set of quantitative targets that it and its member states hope to meet by 2014 (COMESA 2012). A useful characteristic of the listing is that it specifies targets for particular subcategories (e.g., adoption of harmonized standards,</w:t>
      </w:r>
      <w:r w:rsidRPr="00A735B4">
        <w:endnoteReference w:id="5"/>
      </w:r>
      <w:r w:rsidRPr="00A735B4">
        <w:t xml:space="preserve"> common tariff nomenclature, and common external tariff (CET)), instead of just focusing on a broad, overall assessment of tariff commitment implementation:</w:t>
      </w:r>
    </w:p>
    <w:p w14:paraId="4F03BD6D" w14:textId="77777777" w:rsidR="00C4454D" w:rsidRPr="00A735B4" w:rsidRDefault="00C4454D" w:rsidP="00C4454D">
      <w:pPr>
        <w:spacing w:before="240" w:after="240"/>
        <w:jc w:val="both"/>
      </w:pPr>
    </w:p>
    <w:p w14:paraId="5D86D031" w14:textId="77777777" w:rsidR="00C4454D" w:rsidRPr="00A735B4" w:rsidRDefault="00C4454D" w:rsidP="00C4454D">
      <w:pPr>
        <w:numPr>
          <w:ilvl w:val="0"/>
          <w:numId w:val="3"/>
        </w:numPr>
      </w:pPr>
      <w:r w:rsidRPr="00A735B4">
        <w:t>At least 10 Member States formalize Inter-Ministerial Committees by 2014</w:t>
      </w:r>
    </w:p>
    <w:p w14:paraId="17EDE097" w14:textId="670AC712" w:rsidR="00C4454D" w:rsidRPr="00A735B4" w:rsidRDefault="00C4454D" w:rsidP="00C4454D">
      <w:pPr>
        <w:numPr>
          <w:ilvl w:val="0"/>
          <w:numId w:val="3"/>
        </w:numPr>
      </w:pPr>
      <w:r w:rsidRPr="00A735B4">
        <w:t>Full implementation of FTA by the Democratic Republic of Congo, Eritrea, Ethiopia,  and Uganda</w:t>
      </w:r>
    </w:p>
    <w:p w14:paraId="1BCDACD7" w14:textId="2383E445" w:rsidR="00C4454D" w:rsidRPr="00A735B4" w:rsidRDefault="00C4454D" w:rsidP="00C4454D">
      <w:pPr>
        <w:numPr>
          <w:ilvl w:val="0"/>
          <w:numId w:val="3"/>
        </w:numPr>
      </w:pPr>
      <w:r w:rsidRPr="00A735B4">
        <w:t>At least 30 percent of NTBs resolved per year per country</w:t>
      </w:r>
    </w:p>
    <w:p w14:paraId="3C6C7F7C" w14:textId="77777777" w:rsidR="00C4454D" w:rsidRPr="00A735B4" w:rsidRDefault="00C4454D" w:rsidP="00C4454D">
      <w:pPr>
        <w:numPr>
          <w:ilvl w:val="0"/>
          <w:numId w:val="3"/>
        </w:numPr>
      </w:pPr>
      <w:r w:rsidRPr="00A735B4">
        <w:t>At least 10 Member States implement some of the harmonized standards by 2014</w:t>
      </w:r>
    </w:p>
    <w:p w14:paraId="2963878C" w14:textId="15D8DFAB" w:rsidR="00C4454D" w:rsidRPr="00A735B4" w:rsidRDefault="00C4454D" w:rsidP="00C4454D">
      <w:pPr>
        <w:numPr>
          <w:ilvl w:val="0"/>
          <w:numId w:val="3"/>
        </w:numPr>
      </w:pPr>
      <w:r w:rsidRPr="00A735B4">
        <w:t>All Member State countries domesticate the Common Tariff Nomenclature by 2014</w:t>
      </w:r>
    </w:p>
    <w:p w14:paraId="6A53D4FB" w14:textId="77777777" w:rsidR="00C4454D" w:rsidRPr="00A735B4" w:rsidRDefault="00C4454D" w:rsidP="00C4454D">
      <w:pPr>
        <w:numPr>
          <w:ilvl w:val="0"/>
          <w:numId w:val="3"/>
        </w:numPr>
      </w:pPr>
      <w:r w:rsidRPr="00A735B4">
        <w:t>At least 10 COMESA Member States implement CET by 2014 (excluding sensitive and excluded lists)</w:t>
      </w:r>
    </w:p>
    <w:p w14:paraId="2D1E9A32" w14:textId="503D1B5F" w:rsidR="00C4454D" w:rsidRPr="00A735B4" w:rsidRDefault="00C4454D" w:rsidP="00C4454D">
      <w:pPr>
        <w:numPr>
          <w:ilvl w:val="0"/>
          <w:numId w:val="3"/>
        </w:numPr>
      </w:pPr>
      <w:r w:rsidRPr="00A735B4">
        <w:t>At least 11 Member States have their final list of sensitive products submitted to COMESA Secretariat and gazetted at Member State level by 2014</w:t>
      </w:r>
    </w:p>
    <w:p w14:paraId="0A0E310E" w14:textId="534FDF5B" w:rsidR="00C4454D" w:rsidRPr="00A735B4" w:rsidRDefault="00C4454D" w:rsidP="00C4454D">
      <w:pPr>
        <w:numPr>
          <w:ilvl w:val="0"/>
          <w:numId w:val="3"/>
        </w:numPr>
      </w:pPr>
      <w:r w:rsidRPr="00A735B4">
        <w:t>At least 10 Member States domesticate the Customs Management Regulations by 2014</w:t>
      </w:r>
    </w:p>
    <w:p w14:paraId="5D7CA519" w14:textId="77777777" w:rsidR="00C4454D" w:rsidRPr="00A735B4" w:rsidRDefault="00C4454D" w:rsidP="00C4454D">
      <w:pPr>
        <w:numPr>
          <w:ilvl w:val="0"/>
          <w:numId w:val="3"/>
        </w:numPr>
      </w:pPr>
      <w:r w:rsidRPr="00A735B4">
        <w:t>At least 10 Member States submit a final schedule of commitments by 2014</w:t>
      </w:r>
    </w:p>
    <w:p w14:paraId="11D6A712" w14:textId="77777777" w:rsidR="00C4454D" w:rsidRPr="00A735B4" w:rsidRDefault="00C4454D" w:rsidP="00C4454D">
      <w:pPr>
        <w:numPr>
          <w:ilvl w:val="0"/>
          <w:numId w:val="3"/>
        </w:numPr>
      </w:pPr>
      <w:r w:rsidRPr="00A735B4">
        <w:t>At least 10 Member States adopt the COMESA Competition Enforcement Guidelines by 2014</w:t>
      </w:r>
    </w:p>
    <w:p w14:paraId="72D42218" w14:textId="3A3889B7" w:rsidR="00C4454D" w:rsidRPr="00A735B4" w:rsidRDefault="00C4454D" w:rsidP="00C4454D">
      <w:pPr>
        <w:numPr>
          <w:ilvl w:val="0"/>
          <w:numId w:val="3"/>
        </w:numPr>
      </w:pPr>
      <w:r w:rsidRPr="00A735B4">
        <w:t xml:space="preserve">At least six Member States sign and ratify the Protocol to the </w:t>
      </w:r>
      <w:r w:rsidRPr="00A735B4">
        <w:rPr>
          <w:bCs/>
        </w:rPr>
        <w:t xml:space="preserve">Common Investment Agreement </w:t>
      </w:r>
      <w:r w:rsidRPr="00A735B4">
        <w:t>and domesticate the investment agreements by 2014</w:t>
      </w:r>
    </w:p>
    <w:p w14:paraId="4F2CFAA3" w14:textId="77777777" w:rsidR="00C4454D" w:rsidRPr="00A735B4" w:rsidRDefault="00C4454D" w:rsidP="00C4454D">
      <w:pPr>
        <w:numPr>
          <w:ilvl w:val="0"/>
          <w:numId w:val="3"/>
        </w:numPr>
      </w:pPr>
      <w:r w:rsidRPr="00A735B4">
        <w:t>Member States implement Transit Transport Facilitation Instruments by 2014.</w:t>
      </w:r>
    </w:p>
    <w:p w14:paraId="0B982C3D" w14:textId="77777777" w:rsidR="00C4454D" w:rsidRPr="00A735B4" w:rsidRDefault="00C4454D" w:rsidP="00C4454D"/>
    <w:p w14:paraId="67E5DEA6" w14:textId="1B3FF624" w:rsidR="00C4454D" w:rsidRPr="00A735B4" w:rsidRDefault="00C4454D" w:rsidP="00C4454D">
      <w:pPr>
        <w:numPr>
          <w:ilvl w:val="0"/>
          <w:numId w:val="2"/>
        </w:numPr>
        <w:ind w:left="0" w:firstLine="0"/>
      </w:pPr>
      <w:r w:rsidRPr="00A735B4">
        <w:lastRenderedPageBreak/>
        <w:t>The monitoring process at the Southern African Development Community (SADC) also keeps track, mainly of the “existence” of national institutions or laws (table 3.3). In addition, the analysis matrix contains some entries that point toward aggregate outcome indicators.</w:t>
      </w:r>
    </w:p>
    <w:p w14:paraId="789B72DF" w14:textId="77777777" w:rsidR="00C4454D" w:rsidRPr="00A735B4" w:rsidRDefault="00C4454D" w:rsidP="00C4454D"/>
    <w:p w14:paraId="632CC397" w14:textId="796479AE" w:rsidR="00C4454D" w:rsidRPr="00A735B4" w:rsidRDefault="00C4454D" w:rsidP="00C4454D">
      <w:pPr>
        <w:jc w:val="center"/>
        <w:rPr>
          <w:color w:val="1F497D" w:themeColor="text2"/>
          <w:sz w:val="24"/>
          <w:szCs w:val="24"/>
        </w:rPr>
      </w:pPr>
      <w:bookmarkStart w:id="21" w:name="_Toc410823538"/>
      <w:r w:rsidRPr="00A735B4">
        <w:rPr>
          <w:color w:val="1F497D" w:themeColor="text2"/>
          <w:sz w:val="24"/>
          <w:szCs w:val="24"/>
        </w:rPr>
        <w:t>Table 3.3 SADC trade integration monitoring matrix</w:t>
      </w:r>
      <w:bookmarkEnd w:id="21"/>
    </w:p>
    <w:p w14:paraId="47585717" w14:textId="77777777" w:rsidR="00C4454D" w:rsidRPr="00A735B4" w:rsidRDefault="00C4454D" w:rsidP="00C4454D">
      <w:pPr>
        <w:keepNext/>
      </w:pPr>
      <w:r w:rsidRPr="00A735B4">
        <w:rPr>
          <w:noProof/>
        </w:rPr>
        <w:drawing>
          <wp:inline distT="0" distB="0" distL="0" distR="0" wp14:anchorId="40599949" wp14:editId="485A5B03">
            <wp:extent cx="5486400" cy="2811145"/>
            <wp:effectExtent l="19050" t="0" r="0" b="0"/>
            <wp:docPr id="4" name="Picture 4" descr="SADC_Sta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DC_Stats.png"/>
                    <pic:cNvPicPr/>
                  </pic:nvPicPr>
                  <pic:blipFill>
                    <a:blip r:embed="rId13" cstate="print"/>
                    <a:stretch>
                      <a:fillRect/>
                    </a:stretch>
                  </pic:blipFill>
                  <pic:spPr>
                    <a:xfrm>
                      <a:off x="0" y="0"/>
                      <a:ext cx="5486400" cy="2811145"/>
                    </a:xfrm>
                    <a:prstGeom prst="rect">
                      <a:avLst/>
                    </a:prstGeom>
                  </pic:spPr>
                </pic:pic>
              </a:graphicData>
            </a:graphic>
          </wp:inline>
        </w:drawing>
      </w:r>
    </w:p>
    <w:p w14:paraId="2311E207" w14:textId="7CA11D60" w:rsidR="00C4454D" w:rsidRPr="00A735B4" w:rsidRDefault="00C4454D" w:rsidP="00C4454D">
      <w:pPr>
        <w:keepNext/>
      </w:pPr>
      <w:r w:rsidRPr="00A735B4">
        <w:rPr>
          <w:i/>
          <w:sz w:val="20"/>
        </w:rPr>
        <w:t>Source:</w:t>
      </w:r>
      <w:r w:rsidRPr="00A735B4">
        <w:rPr>
          <w:sz w:val="20"/>
        </w:rPr>
        <w:t xml:space="preserve"> SADC 2012.</w:t>
      </w:r>
    </w:p>
    <w:p w14:paraId="0018E3C3" w14:textId="77777777" w:rsidR="00C4454D" w:rsidRPr="00A735B4" w:rsidRDefault="00C4454D" w:rsidP="00C4454D"/>
    <w:p w14:paraId="55E672AD" w14:textId="77777777" w:rsidR="00C4454D" w:rsidRPr="00A735B4" w:rsidRDefault="00C4454D" w:rsidP="00C4454D">
      <w:bookmarkStart w:id="22" w:name="_Toc363830856"/>
      <w:bookmarkStart w:id="23" w:name="_Toc419565231"/>
      <w:r w:rsidRPr="00A735B4">
        <w:t>Non-tariff barriers</w:t>
      </w:r>
      <w:bookmarkEnd w:id="22"/>
      <w:bookmarkEnd w:id="23"/>
    </w:p>
    <w:p w14:paraId="04CA3197" w14:textId="74C00B75" w:rsidR="00C4454D" w:rsidRPr="00A735B4" w:rsidRDefault="00C4454D" w:rsidP="00C4454D">
      <w:pPr>
        <w:numPr>
          <w:ilvl w:val="0"/>
          <w:numId w:val="2"/>
        </w:numPr>
        <w:spacing w:before="240" w:after="240"/>
        <w:ind w:left="0" w:firstLine="0"/>
        <w:jc w:val="both"/>
        <w:rPr>
          <w:rFonts w:ascii="Helvetica" w:hAnsi="Helvetica" w:cs="Helvetica"/>
          <w:sz w:val="18"/>
          <w:szCs w:val="18"/>
        </w:rPr>
      </w:pPr>
      <w:r w:rsidRPr="00A735B4">
        <w:t>Non-tariff barriers are highly heterogeneous and quantifying their prevalence and impact is a major challenge. NTBs range from procedural and administrative issues (such as customs clearance procedures, documentation, interpretation, and application of rules of origin) to technical and regulatory matters (such as divergent standards), as well as charges and fees related to the clearance of goods in transit.</w:t>
      </w:r>
    </w:p>
    <w:p w14:paraId="5BDD2DB1" w14:textId="77777777" w:rsidR="00C4454D" w:rsidRPr="00A735B4" w:rsidRDefault="00C4454D" w:rsidP="00C4454D">
      <w:pPr>
        <w:spacing w:before="240" w:after="240"/>
        <w:jc w:val="both"/>
        <w:rPr>
          <w:rFonts w:ascii="Helvetica" w:hAnsi="Helvetica" w:cs="Helvetica"/>
          <w:sz w:val="18"/>
          <w:szCs w:val="18"/>
        </w:rPr>
      </w:pPr>
    </w:p>
    <w:p w14:paraId="4F2ED636" w14:textId="38A04104" w:rsidR="00C4454D" w:rsidRPr="00A735B4" w:rsidRDefault="00C4454D" w:rsidP="00C4454D">
      <w:pPr>
        <w:numPr>
          <w:ilvl w:val="0"/>
          <w:numId w:val="2"/>
        </w:numPr>
        <w:spacing w:before="240" w:after="240"/>
        <w:ind w:left="0" w:firstLine="0"/>
        <w:jc w:val="both"/>
        <w:rPr>
          <w:rFonts w:ascii="Helvetica" w:hAnsi="Helvetica" w:cs="Helvetica"/>
          <w:sz w:val="18"/>
          <w:szCs w:val="18"/>
        </w:rPr>
      </w:pPr>
      <w:r w:rsidRPr="00A735B4">
        <w:t xml:space="preserve">In 2007, SADC instituted a mechanism that registers complaints from private sector operators regarding NTBs, which was subsequently extended to COMESA and EAC as part of the tripartite arrangement. Implementation of the mechanism involves collaboration between traders, national focal points based in government trade departments, and the RTA secretariats in bringing contentious issues to the attention of policy makers and following up on complaints until their resolution. Between 2007 and 2012, 329 notifications were made to the SADC Secretariat, of which 223 have been resolved (SADC 2012). Table 3.4shows an excerpt on resolved NTB issues within the EAC. </w:t>
      </w:r>
    </w:p>
    <w:p w14:paraId="52DCB992" w14:textId="77777777" w:rsidR="00C4454D" w:rsidRPr="00A735B4" w:rsidRDefault="00C4454D" w:rsidP="00C4454D"/>
    <w:p w14:paraId="78C7FBB7" w14:textId="6B265025" w:rsidR="00C4454D" w:rsidRPr="00A735B4" w:rsidRDefault="00C4454D" w:rsidP="00C4454D">
      <w:pPr>
        <w:numPr>
          <w:ilvl w:val="0"/>
          <w:numId w:val="2"/>
        </w:numPr>
        <w:spacing w:before="240" w:after="240"/>
        <w:ind w:left="0" w:firstLine="0"/>
        <w:jc w:val="both"/>
        <w:rPr>
          <w:rFonts w:ascii="Helvetica" w:hAnsi="Helvetica" w:cs="Helvetica"/>
          <w:sz w:val="18"/>
          <w:szCs w:val="18"/>
        </w:rPr>
      </w:pPr>
      <w:r w:rsidRPr="00A735B4">
        <w:t>Although the process of establishing an NTB registry and negotiating the resolution of complaints is a valuable undertaking, it is important to ensure that the resolution mechanism does not remain limited to the particular case, but extends to the underlying policy issue. If complaints are treated as isolated cases that can be taken off the table through administrative derogation, the overarching aim of facilitating intraregional trade might not be achieved, as the trade impediments that triggered the complaint are not addressed. Indeed, the same type of complaints might surface again and again. In this context, it could be useful for the Regional Economic Community (REC) Secretariats, perhaps in cooperation with development partners, to undertake an assessment of the impact of the NTB complaints registry on trade policy in member countries.</w:t>
      </w:r>
    </w:p>
    <w:p w14:paraId="343D5C43" w14:textId="09C98558" w:rsidR="00C4454D" w:rsidRPr="00A735B4" w:rsidRDefault="00C4454D" w:rsidP="00C4454D">
      <w:pPr>
        <w:spacing w:after="0"/>
        <w:contextualSpacing/>
        <w:jc w:val="center"/>
        <w:rPr>
          <w:color w:val="1F497D" w:themeColor="text2"/>
          <w:sz w:val="24"/>
          <w:szCs w:val="24"/>
        </w:rPr>
      </w:pPr>
      <w:bookmarkStart w:id="24" w:name="_Toc410823539"/>
      <w:r w:rsidRPr="00A735B4">
        <w:rPr>
          <w:color w:val="1F497D" w:themeColor="text2"/>
          <w:sz w:val="24"/>
          <w:szCs w:val="24"/>
        </w:rPr>
        <w:t>Table 3.4 NTB resolution in the EAC</w:t>
      </w:r>
      <w:bookmarkEnd w:id="24"/>
    </w:p>
    <w:p w14:paraId="31093308" w14:textId="77777777" w:rsidR="00C4454D" w:rsidRPr="00A735B4" w:rsidRDefault="00C4454D" w:rsidP="00C4454D">
      <w:pPr>
        <w:keepNext/>
        <w:jc w:val="center"/>
      </w:pPr>
      <w:r w:rsidRPr="00A735B4">
        <w:rPr>
          <w:noProof/>
        </w:rPr>
        <w:lastRenderedPageBreak/>
        <w:drawing>
          <wp:inline distT="0" distB="0" distL="0" distR="0" wp14:anchorId="4D626598" wp14:editId="52E05A73">
            <wp:extent cx="4714875" cy="5753100"/>
            <wp:effectExtent l="19050" t="0" r="9525" b="0"/>
            <wp:docPr id="6" name="Picture 5" descr="EAC_NTB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C_NTBs.png"/>
                    <pic:cNvPicPr/>
                  </pic:nvPicPr>
                  <pic:blipFill>
                    <a:blip r:embed="rId14" cstate="print"/>
                    <a:stretch>
                      <a:fillRect/>
                    </a:stretch>
                  </pic:blipFill>
                  <pic:spPr>
                    <a:xfrm>
                      <a:off x="0" y="0"/>
                      <a:ext cx="4714875" cy="5753100"/>
                    </a:xfrm>
                    <a:prstGeom prst="rect">
                      <a:avLst/>
                    </a:prstGeom>
                  </pic:spPr>
                </pic:pic>
              </a:graphicData>
            </a:graphic>
          </wp:inline>
        </w:drawing>
      </w:r>
    </w:p>
    <w:p w14:paraId="48F798B1" w14:textId="430EF58D" w:rsidR="00C4454D" w:rsidRPr="00A735B4" w:rsidRDefault="00C4454D" w:rsidP="00C4454D">
      <w:pPr>
        <w:keepNext/>
        <w:ind w:firstLine="900"/>
        <w:rPr>
          <w:sz w:val="20"/>
        </w:rPr>
      </w:pPr>
      <w:r w:rsidRPr="00A735B4">
        <w:rPr>
          <w:i/>
          <w:sz w:val="20"/>
        </w:rPr>
        <w:t>Source</w:t>
      </w:r>
      <w:r w:rsidRPr="00A735B4">
        <w:rPr>
          <w:sz w:val="20"/>
        </w:rPr>
        <w:t>: EAC 2012.</w:t>
      </w:r>
    </w:p>
    <w:p w14:paraId="5DA98F86" w14:textId="77777777" w:rsidR="00C4454D" w:rsidRPr="00A735B4" w:rsidRDefault="00C4454D" w:rsidP="00C4454D"/>
    <w:p w14:paraId="4CF3DD9F" w14:textId="59B6B203" w:rsidR="00C4454D" w:rsidRPr="00A735B4" w:rsidRDefault="00C4454D" w:rsidP="00C4454D">
      <w:pPr>
        <w:numPr>
          <w:ilvl w:val="0"/>
          <w:numId w:val="2"/>
        </w:numPr>
        <w:spacing w:before="240" w:after="240"/>
        <w:ind w:left="0" w:firstLine="0"/>
        <w:jc w:val="both"/>
      </w:pPr>
      <w:r w:rsidRPr="00A735B4">
        <w:t>Data on direct costs of NTBs are generally difficult to find, but surveys of traders can help in obtaining estimates that illustrate the order of magnitude. For example, the EAC in collaboration with several development partners has regularly undertaken surveys of traders, transport service providers, and business people to obtain information on the severity of impediments related to technical standards, SPS measures, and business licensing. Figure 3.1summarizes the results on costs incurred because of the lack of information about new standards.</w:t>
      </w:r>
    </w:p>
    <w:p w14:paraId="428A03B7" w14:textId="77777777" w:rsidR="00C4454D" w:rsidRPr="00A735B4" w:rsidRDefault="00C4454D" w:rsidP="00C4454D"/>
    <w:p w14:paraId="43BD4CFC" w14:textId="3F648C18" w:rsidR="00C4454D" w:rsidRPr="00A735B4" w:rsidRDefault="00C4454D" w:rsidP="00C4454D">
      <w:pPr>
        <w:jc w:val="center"/>
        <w:rPr>
          <w:color w:val="1F497D" w:themeColor="text2"/>
          <w:sz w:val="24"/>
          <w:szCs w:val="24"/>
        </w:rPr>
      </w:pPr>
      <w:bookmarkStart w:id="25" w:name="_Toc410823472"/>
      <w:r w:rsidRPr="00A735B4">
        <w:rPr>
          <w:color w:val="1F497D" w:themeColor="text2"/>
          <w:sz w:val="24"/>
          <w:szCs w:val="24"/>
        </w:rPr>
        <w:lastRenderedPageBreak/>
        <w:t>Figure 3.1 Average extra costs incurred as a result of not being adequately informed about new/changed regulations on quality</w:t>
      </w:r>
      <w:bookmarkEnd w:id="25"/>
    </w:p>
    <w:p w14:paraId="503F40A7" w14:textId="77777777" w:rsidR="00C4454D" w:rsidRPr="00A735B4" w:rsidRDefault="00C4454D" w:rsidP="00C4454D">
      <w:pPr>
        <w:keepNext/>
      </w:pPr>
      <w:r w:rsidRPr="00A735B4">
        <w:rPr>
          <w:noProof/>
        </w:rPr>
        <w:drawing>
          <wp:inline distT="0" distB="0" distL="0" distR="0" wp14:anchorId="03FACCA4" wp14:editId="47896168">
            <wp:extent cx="5470895" cy="2588217"/>
            <wp:effectExtent l="0" t="0" r="0" b="3175"/>
            <wp:docPr id="14" name="Picture 13" descr="EAC_standar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C_standards.png"/>
                    <pic:cNvPicPr/>
                  </pic:nvPicPr>
                  <pic:blipFill>
                    <a:blip r:embed="rId15" cstate="print"/>
                    <a:stretch>
                      <a:fillRect/>
                    </a:stretch>
                  </pic:blipFill>
                  <pic:spPr>
                    <a:xfrm>
                      <a:off x="0" y="0"/>
                      <a:ext cx="5486400" cy="2595552"/>
                    </a:xfrm>
                    <a:prstGeom prst="rect">
                      <a:avLst/>
                    </a:prstGeom>
                  </pic:spPr>
                </pic:pic>
              </a:graphicData>
            </a:graphic>
          </wp:inline>
        </w:drawing>
      </w:r>
    </w:p>
    <w:p w14:paraId="25A03018" w14:textId="6B13515F" w:rsidR="00C4454D" w:rsidRPr="00A735B4" w:rsidRDefault="00C4454D" w:rsidP="00C4454D">
      <w:pPr>
        <w:keepNext/>
        <w:ind w:left="90" w:hanging="90"/>
      </w:pPr>
      <w:r w:rsidRPr="00A735B4">
        <w:rPr>
          <w:i/>
          <w:sz w:val="20"/>
        </w:rPr>
        <w:t xml:space="preserve"> Source</w:t>
      </w:r>
      <w:r w:rsidRPr="00A735B4">
        <w:rPr>
          <w:sz w:val="20"/>
        </w:rPr>
        <w:t>: EAC 2011.</w:t>
      </w:r>
    </w:p>
    <w:p w14:paraId="0D61D201" w14:textId="77777777" w:rsidR="00C4454D" w:rsidRPr="00A735B4" w:rsidRDefault="00C4454D" w:rsidP="00C4454D">
      <w:bookmarkStart w:id="26" w:name="_Toc363830858"/>
      <w:bookmarkStart w:id="27" w:name="_Toc419565232"/>
      <w:r w:rsidRPr="00A735B4">
        <w:t>Regulatory barriers to trade in services</w:t>
      </w:r>
      <w:bookmarkEnd w:id="26"/>
      <w:bookmarkEnd w:id="27"/>
    </w:p>
    <w:p w14:paraId="7CC21633" w14:textId="3FBF27C0" w:rsidR="00C4454D" w:rsidRPr="00A735B4" w:rsidRDefault="00C4454D" w:rsidP="00C4454D">
      <w:pPr>
        <w:numPr>
          <w:ilvl w:val="0"/>
          <w:numId w:val="2"/>
        </w:numPr>
        <w:spacing w:before="240" w:after="240"/>
        <w:ind w:left="0" w:firstLine="0"/>
        <w:jc w:val="both"/>
      </w:pPr>
      <w:r w:rsidRPr="00A735B4">
        <w:t>Services trade does not (yet) have a high profile in the trade integration process in Africa and effective monitoring systems do not exist for this trade area. COMESA (2011) included several indicators on services trade in its latest medium-term strategic plan, but all of these indicators focus on compliance issues and do not address trade outcomes. Table 3.5 contains the respective indicator matrix.</w:t>
      </w:r>
    </w:p>
    <w:p w14:paraId="3CDA9851" w14:textId="77777777" w:rsidR="00C4454D" w:rsidRPr="00A735B4" w:rsidRDefault="00C4454D" w:rsidP="00C4454D">
      <w:pPr>
        <w:spacing w:before="120" w:after="60"/>
        <w:jc w:val="center"/>
        <w:rPr>
          <w:sz w:val="24"/>
        </w:rPr>
      </w:pPr>
      <w:bookmarkStart w:id="28" w:name="_Ref359180143"/>
    </w:p>
    <w:p w14:paraId="29122395" w14:textId="77777777" w:rsidR="00C4454D" w:rsidRPr="00A735B4" w:rsidRDefault="00C4454D" w:rsidP="00C4454D">
      <w:pPr>
        <w:spacing w:before="120" w:after="60"/>
        <w:jc w:val="center"/>
        <w:rPr>
          <w:sz w:val="24"/>
        </w:rPr>
      </w:pPr>
    </w:p>
    <w:p w14:paraId="37EBE1E6" w14:textId="77777777" w:rsidR="00C4454D" w:rsidRPr="00A735B4" w:rsidRDefault="00C4454D" w:rsidP="00C4454D">
      <w:pPr>
        <w:spacing w:before="120" w:after="60"/>
        <w:jc w:val="center"/>
        <w:rPr>
          <w:sz w:val="24"/>
        </w:rPr>
      </w:pPr>
    </w:p>
    <w:p w14:paraId="6F45F511" w14:textId="77777777" w:rsidR="00C4454D" w:rsidRPr="00A735B4" w:rsidRDefault="00C4454D" w:rsidP="00C4454D">
      <w:pPr>
        <w:spacing w:before="120" w:after="60"/>
        <w:jc w:val="center"/>
        <w:rPr>
          <w:sz w:val="24"/>
        </w:rPr>
      </w:pPr>
    </w:p>
    <w:p w14:paraId="69D77613" w14:textId="77777777" w:rsidR="00C4454D" w:rsidRPr="00A735B4" w:rsidRDefault="00C4454D" w:rsidP="00C4454D">
      <w:pPr>
        <w:spacing w:before="120" w:after="60"/>
        <w:jc w:val="center"/>
        <w:rPr>
          <w:sz w:val="24"/>
        </w:rPr>
      </w:pPr>
    </w:p>
    <w:p w14:paraId="09D99C22" w14:textId="77777777" w:rsidR="00C4454D" w:rsidRPr="00A735B4" w:rsidRDefault="00C4454D" w:rsidP="00C4454D">
      <w:pPr>
        <w:spacing w:before="120" w:after="60"/>
        <w:jc w:val="center"/>
        <w:rPr>
          <w:sz w:val="24"/>
        </w:rPr>
      </w:pPr>
    </w:p>
    <w:p w14:paraId="7C478709" w14:textId="77777777" w:rsidR="00C4454D" w:rsidRPr="00A735B4" w:rsidRDefault="00C4454D" w:rsidP="00C4454D">
      <w:pPr>
        <w:spacing w:before="120" w:after="60"/>
        <w:jc w:val="center"/>
        <w:rPr>
          <w:sz w:val="24"/>
        </w:rPr>
      </w:pPr>
    </w:p>
    <w:p w14:paraId="5F14576F" w14:textId="77777777" w:rsidR="00C4454D" w:rsidRPr="00A735B4" w:rsidRDefault="00C4454D" w:rsidP="00C4454D">
      <w:pPr>
        <w:spacing w:before="120" w:after="60"/>
        <w:jc w:val="center"/>
        <w:rPr>
          <w:sz w:val="24"/>
        </w:rPr>
      </w:pPr>
    </w:p>
    <w:p w14:paraId="2A6B1E35" w14:textId="77777777" w:rsidR="00C4454D" w:rsidRPr="00A735B4" w:rsidRDefault="00C4454D" w:rsidP="00C4454D">
      <w:pPr>
        <w:spacing w:before="120" w:after="60"/>
        <w:jc w:val="center"/>
        <w:rPr>
          <w:sz w:val="24"/>
        </w:rPr>
      </w:pPr>
    </w:p>
    <w:p w14:paraId="6A72ABC5" w14:textId="77777777" w:rsidR="00C4454D" w:rsidRPr="00A735B4" w:rsidRDefault="00C4454D" w:rsidP="00C4454D">
      <w:pPr>
        <w:spacing w:before="120" w:after="60"/>
        <w:jc w:val="center"/>
        <w:rPr>
          <w:sz w:val="24"/>
        </w:rPr>
      </w:pPr>
    </w:p>
    <w:p w14:paraId="058AF9DF" w14:textId="643280E6" w:rsidR="00C4454D" w:rsidRPr="00A735B4" w:rsidRDefault="00C4454D" w:rsidP="00C4454D">
      <w:pPr>
        <w:jc w:val="center"/>
        <w:rPr>
          <w:color w:val="1F497D" w:themeColor="text2"/>
          <w:sz w:val="24"/>
          <w:szCs w:val="24"/>
        </w:rPr>
      </w:pPr>
      <w:bookmarkStart w:id="29" w:name="_Toc410823540"/>
      <w:r w:rsidRPr="00A735B4">
        <w:rPr>
          <w:color w:val="1F497D" w:themeColor="text2"/>
          <w:sz w:val="24"/>
          <w:szCs w:val="24"/>
        </w:rPr>
        <w:t>Table 3.5</w:t>
      </w:r>
      <w:bookmarkEnd w:id="28"/>
      <w:r w:rsidRPr="00A735B4">
        <w:rPr>
          <w:color w:val="1F497D" w:themeColor="text2"/>
          <w:sz w:val="24"/>
          <w:szCs w:val="24"/>
        </w:rPr>
        <w:t xml:space="preserve"> Matrix of services trade monitoring indicators in COMESA</w:t>
      </w:r>
      <w:bookmarkEnd w:id="29"/>
    </w:p>
    <w:tbl>
      <w:tblPr>
        <w:tblW w:w="928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442"/>
        <w:gridCol w:w="2613"/>
        <w:gridCol w:w="1935"/>
        <w:gridCol w:w="2295"/>
      </w:tblGrid>
      <w:tr w:rsidR="00C4454D" w:rsidRPr="00A735B4" w14:paraId="52CA063E" w14:textId="77777777" w:rsidTr="00C4454D">
        <w:trPr>
          <w:trHeight w:val="255"/>
        </w:trPr>
        <w:tc>
          <w:tcPr>
            <w:tcW w:w="2442" w:type="dxa"/>
            <w:shd w:val="clear" w:color="auto" w:fill="auto"/>
            <w:noWrap/>
            <w:vAlign w:val="center"/>
            <w:hideMark/>
          </w:tcPr>
          <w:p w14:paraId="3FA088A0" w14:textId="4140F84B" w:rsidR="00C4454D" w:rsidRPr="00A735B4" w:rsidRDefault="00C4454D" w:rsidP="00C4454D">
            <w:pPr>
              <w:keepNext/>
              <w:jc w:val="center"/>
              <w:rPr>
                <w:rFonts w:eastAsia="Times New Roman"/>
                <w:b/>
                <w:sz w:val="20"/>
                <w:szCs w:val="20"/>
              </w:rPr>
            </w:pPr>
            <w:r w:rsidRPr="00A735B4">
              <w:rPr>
                <w:rFonts w:eastAsia="Times New Roman"/>
                <w:b/>
                <w:sz w:val="20"/>
                <w:szCs w:val="20"/>
              </w:rPr>
              <w:lastRenderedPageBreak/>
              <w:t>Key actions</w:t>
            </w:r>
          </w:p>
        </w:tc>
        <w:tc>
          <w:tcPr>
            <w:tcW w:w="2613" w:type="dxa"/>
            <w:shd w:val="clear" w:color="auto" w:fill="auto"/>
            <w:noWrap/>
            <w:vAlign w:val="center"/>
            <w:hideMark/>
          </w:tcPr>
          <w:p w14:paraId="0CA626D6" w14:textId="74822557" w:rsidR="00C4454D" w:rsidRPr="00A735B4" w:rsidRDefault="00C4454D" w:rsidP="00C4454D">
            <w:pPr>
              <w:keepNext/>
              <w:jc w:val="center"/>
              <w:rPr>
                <w:rFonts w:eastAsia="Times New Roman"/>
                <w:b/>
                <w:sz w:val="20"/>
                <w:szCs w:val="20"/>
              </w:rPr>
            </w:pPr>
            <w:r w:rsidRPr="00A735B4">
              <w:rPr>
                <w:rFonts w:eastAsia="Times New Roman"/>
                <w:b/>
                <w:sz w:val="20"/>
                <w:szCs w:val="20"/>
              </w:rPr>
              <w:t>Key outcomes</w:t>
            </w:r>
          </w:p>
        </w:tc>
        <w:tc>
          <w:tcPr>
            <w:tcW w:w="1935" w:type="dxa"/>
            <w:shd w:val="clear" w:color="auto" w:fill="auto"/>
            <w:noWrap/>
            <w:vAlign w:val="center"/>
            <w:hideMark/>
          </w:tcPr>
          <w:p w14:paraId="5D2CA8DF" w14:textId="3FDF817A" w:rsidR="00C4454D" w:rsidRPr="00A735B4" w:rsidRDefault="00C4454D" w:rsidP="00C4454D">
            <w:pPr>
              <w:keepNext/>
              <w:jc w:val="center"/>
              <w:rPr>
                <w:rFonts w:eastAsia="Times New Roman"/>
                <w:b/>
                <w:sz w:val="20"/>
                <w:szCs w:val="20"/>
              </w:rPr>
            </w:pPr>
            <w:r w:rsidRPr="00A735B4">
              <w:rPr>
                <w:rFonts w:eastAsia="Times New Roman"/>
                <w:b/>
                <w:sz w:val="20"/>
                <w:szCs w:val="20"/>
              </w:rPr>
              <w:t>Performance statement</w:t>
            </w:r>
          </w:p>
        </w:tc>
        <w:tc>
          <w:tcPr>
            <w:tcW w:w="2295" w:type="dxa"/>
            <w:shd w:val="clear" w:color="auto" w:fill="auto"/>
            <w:noWrap/>
            <w:vAlign w:val="center"/>
            <w:hideMark/>
          </w:tcPr>
          <w:p w14:paraId="155757A5" w14:textId="7C76FD5C" w:rsidR="00C4454D" w:rsidRPr="00A735B4" w:rsidRDefault="00C4454D" w:rsidP="00C4454D">
            <w:pPr>
              <w:keepNext/>
              <w:jc w:val="center"/>
              <w:rPr>
                <w:rFonts w:eastAsia="Times New Roman"/>
                <w:b/>
                <w:sz w:val="20"/>
                <w:szCs w:val="20"/>
              </w:rPr>
            </w:pPr>
            <w:r w:rsidRPr="00A735B4">
              <w:rPr>
                <w:rFonts w:eastAsia="Times New Roman"/>
                <w:b/>
                <w:sz w:val="20"/>
                <w:szCs w:val="20"/>
              </w:rPr>
              <w:t>Target indicators</w:t>
            </w:r>
          </w:p>
        </w:tc>
      </w:tr>
      <w:tr w:rsidR="00C4454D" w:rsidRPr="00A735B4" w14:paraId="10B8BFC8" w14:textId="77777777" w:rsidTr="00C4454D">
        <w:trPr>
          <w:trHeight w:val="255"/>
        </w:trPr>
        <w:tc>
          <w:tcPr>
            <w:tcW w:w="2442" w:type="dxa"/>
            <w:shd w:val="clear" w:color="auto" w:fill="auto"/>
            <w:noWrap/>
            <w:vAlign w:val="center"/>
            <w:hideMark/>
          </w:tcPr>
          <w:p w14:paraId="2B5E664C" w14:textId="77777777" w:rsidR="00C4454D" w:rsidRPr="00A735B4" w:rsidRDefault="00C4454D" w:rsidP="00C4454D">
            <w:pPr>
              <w:keepNext/>
              <w:rPr>
                <w:rFonts w:eastAsia="Times New Roman"/>
                <w:sz w:val="20"/>
                <w:szCs w:val="20"/>
              </w:rPr>
            </w:pPr>
            <w:r w:rsidRPr="00A735B4">
              <w:rPr>
                <w:rFonts w:eastAsia="Times New Roman"/>
                <w:sz w:val="20"/>
                <w:szCs w:val="20"/>
              </w:rPr>
              <w:t>Carry out assessments and identify additional priority services sectors in the Member States</w:t>
            </w:r>
          </w:p>
        </w:tc>
        <w:tc>
          <w:tcPr>
            <w:tcW w:w="2613" w:type="dxa"/>
            <w:shd w:val="clear" w:color="auto" w:fill="auto"/>
            <w:noWrap/>
            <w:vAlign w:val="center"/>
            <w:hideMark/>
          </w:tcPr>
          <w:p w14:paraId="5F87290E" w14:textId="7BE29CAB" w:rsidR="00C4454D" w:rsidRPr="00A735B4" w:rsidRDefault="00C4454D" w:rsidP="00C4454D">
            <w:pPr>
              <w:keepNext/>
              <w:rPr>
                <w:rFonts w:eastAsia="Times New Roman"/>
                <w:sz w:val="20"/>
                <w:szCs w:val="20"/>
              </w:rPr>
            </w:pPr>
            <w:r w:rsidRPr="00A735B4">
              <w:rPr>
                <w:rFonts w:eastAsia="Times New Roman"/>
                <w:sz w:val="20"/>
                <w:szCs w:val="20"/>
              </w:rPr>
              <w:t>Additional regional priority services sectors agreed</w:t>
            </w:r>
          </w:p>
        </w:tc>
        <w:tc>
          <w:tcPr>
            <w:tcW w:w="1935" w:type="dxa"/>
            <w:shd w:val="clear" w:color="auto" w:fill="auto"/>
            <w:noWrap/>
            <w:vAlign w:val="center"/>
            <w:hideMark/>
          </w:tcPr>
          <w:p w14:paraId="5F3EE7CF" w14:textId="77777777" w:rsidR="00C4454D" w:rsidRPr="00A735B4" w:rsidRDefault="00C4454D" w:rsidP="00C4454D">
            <w:pPr>
              <w:keepNext/>
              <w:rPr>
                <w:rFonts w:eastAsia="Times New Roman"/>
                <w:sz w:val="20"/>
                <w:szCs w:val="20"/>
              </w:rPr>
            </w:pPr>
            <w:r w:rsidRPr="00A735B4">
              <w:rPr>
                <w:rFonts w:eastAsia="Times New Roman"/>
                <w:sz w:val="20"/>
                <w:szCs w:val="20"/>
              </w:rPr>
              <w:t>Priority services sectors agreed</w:t>
            </w:r>
          </w:p>
        </w:tc>
        <w:tc>
          <w:tcPr>
            <w:tcW w:w="2295" w:type="dxa"/>
            <w:shd w:val="clear" w:color="auto" w:fill="auto"/>
            <w:vAlign w:val="center"/>
          </w:tcPr>
          <w:p w14:paraId="0B4FD55B" w14:textId="77777777" w:rsidR="00C4454D" w:rsidRPr="00A735B4" w:rsidRDefault="00C4454D" w:rsidP="00C4454D">
            <w:pPr>
              <w:keepNext/>
              <w:rPr>
                <w:rFonts w:eastAsia="Times New Roman"/>
                <w:sz w:val="20"/>
                <w:szCs w:val="20"/>
              </w:rPr>
            </w:pPr>
          </w:p>
        </w:tc>
      </w:tr>
      <w:tr w:rsidR="00C4454D" w:rsidRPr="00A735B4" w14:paraId="23353A8C" w14:textId="77777777" w:rsidTr="00C4454D">
        <w:trPr>
          <w:trHeight w:val="255"/>
        </w:trPr>
        <w:tc>
          <w:tcPr>
            <w:tcW w:w="2442" w:type="dxa"/>
            <w:vMerge w:val="restart"/>
            <w:shd w:val="clear" w:color="auto" w:fill="auto"/>
            <w:noWrap/>
            <w:vAlign w:val="center"/>
            <w:hideMark/>
          </w:tcPr>
          <w:p w14:paraId="1AA20638" w14:textId="77777777" w:rsidR="00C4454D" w:rsidRPr="00A735B4" w:rsidRDefault="00C4454D" w:rsidP="00C4454D">
            <w:pPr>
              <w:keepNext/>
              <w:rPr>
                <w:rFonts w:eastAsia="Times New Roman"/>
                <w:sz w:val="20"/>
                <w:szCs w:val="20"/>
              </w:rPr>
            </w:pPr>
            <w:r w:rsidRPr="00A735B4">
              <w:rPr>
                <w:rFonts w:eastAsia="Times New Roman"/>
                <w:sz w:val="20"/>
                <w:szCs w:val="20"/>
              </w:rPr>
              <w:t>Implement the Trade in Services Regulations in accordance with the Negotiating Guidelines</w:t>
            </w:r>
          </w:p>
        </w:tc>
        <w:tc>
          <w:tcPr>
            <w:tcW w:w="2613" w:type="dxa"/>
            <w:shd w:val="clear" w:color="auto" w:fill="auto"/>
            <w:noWrap/>
            <w:vAlign w:val="center"/>
            <w:hideMark/>
          </w:tcPr>
          <w:p w14:paraId="54D54C6A" w14:textId="77777777" w:rsidR="00C4454D" w:rsidRPr="00A735B4" w:rsidRDefault="00C4454D" w:rsidP="00C4454D">
            <w:pPr>
              <w:keepNext/>
              <w:rPr>
                <w:rFonts w:eastAsia="Times New Roman"/>
                <w:sz w:val="20"/>
                <w:szCs w:val="20"/>
              </w:rPr>
            </w:pPr>
          </w:p>
        </w:tc>
        <w:tc>
          <w:tcPr>
            <w:tcW w:w="1935" w:type="dxa"/>
            <w:shd w:val="clear" w:color="auto" w:fill="auto"/>
            <w:noWrap/>
            <w:vAlign w:val="center"/>
            <w:hideMark/>
          </w:tcPr>
          <w:p w14:paraId="15E14F95" w14:textId="3FA13BD7" w:rsidR="00C4454D" w:rsidRPr="00A735B4" w:rsidRDefault="00C4454D" w:rsidP="00C4454D">
            <w:pPr>
              <w:keepNext/>
              <w:rPr>
                <w:rFonts w:eastAsia="Times New Roman"/>
                <w:sz w:val="20"/>
                <w:szCs w:val="20"/>
              </w:rPr>
            </w:pPr>
            <w:r w:rsidRPr="00A735B4">
              <w:rPr>
                <w:rFonts w:eastAsia="Times New Roman"/>
                <w:sz w:val="20"/>
                <w:szCs w:val="20"/>
              </w:rPr>
              <w:t>Regulations on trade in services implemented</w:t>
            </w:r>
          </w:p>
        </w:tc>
        <w:tc>
          <w:tcPr>
            <w:tcW w:w="2295" w:type="dxa"/>
            <w:shd w:val="clear" w:color="auto" w:fill="auto"/>
            <w:noWrap/>
            <w:vAlign w:val="center"/>
            <w:hideMark/>
          </w:tcPr>
          <w:p w14:paraId="7FB6CF22" w14:textId="77777777" w:rsidR="00C4454D" w:rsidRPr="00A735B4" w:rsidRDefault="00C4454D" w:rsidP="00C4454D">
            <w:pPr>
              <w:keepNext/>
              <w:rPr>
                <w:rFonts w:eastAsia="Times New Roman"/>
                <w:sz w:val="20"/>
                <w:szCs w:val="20"/>
              </w:rPr>
            </w:pPr>
            <w:r w:rsidRPr="00A735B4">
              <w:rPr>
                <w:rFonts w:eastAsia="Times New Roman"/>
                <w:sz w:val="20"/>
                <w:szCs w:val="20"/>
              </w:rPr>
              <w:t>No of member States that have transposed regulation</w:t>
            </w:r>
          </w:p>
        </w:tc>
      </w:tr>
      <w:tr w:rsidR="00C4454D" w:rsidRPr="00A735B4" w14:paraId="4F05DBB4" w14:textId="77777777" w:rsidTr="00C4454D">
        <w:trPr>
          <w:trHeight w:val="255"/>
        </w:trPr>
        <w:tc>
          <w:tcPr>
            <w:tcW w:w="2442" w:type="dxa"/>
            <w:vMerge/>
            <w:vAlign w:val="center"/>
            <w:hideMark/>
          </w:tcPr>
          <w:p w14:paraId="4C13D59D" w14:textId="77777777" w:rsidR="00C4454D" w:rsidRPr="00A735B4" w:rsidRDefault="00C4454D" w:rsidP="00C4454D">
            <w:pPr>
              <w:keepNext/>
              <w:rPr>
                <w:rFonts w:eastAsia="Times New Roman"/>
                <w:sz w:val="20"/>
                <w:szCs w:val="20"/>
              </w:rPr>
            </w:pPr>
          </w:p>
        </w:tc>
        <w:tc>
          <w:tcPr>
            <w:tcW w:w="2613" w:type="dxa"/>
            <w:shd w:val="clear" w:color="auto" w:fill="auto"/>
            <w:noWrap/>
            <w:vAlign w:val="center"/>
            <w:hideMark/>
          </w:tcPr>
          <w:p w14:paraId="2FF6D030" w14:textId="77777777" w:rsidR="00C4454D" w:rsidRPr="00A735B4" w:rsidRDefault="00C4454D" w:rsidP="00C4454D">
            <w:pPr>
              <w:keepNext/>
              <w:rPr>
                <w:rFonts w:eastAsia="Times New Roman"/>
                <w:sz w:val="20"/>
                <w:szCs w:val="20"/>
              </w:rPr>
            </w:pPr>
          </w:p>
        </w:tc>
        <w:tc>
          <w:tcPr>
            <w:tcW w:w="1935" w:type="dxa"/>
            <w:shd w:val="clear" w:color="auto" w:fill="auto"/>
            <w:noWrap/>
            <w:vAlign w:val="center"/>
            <w:hideMark/>
          </w:tcPr>
          <w:p w14:paraId="2A9D8759" w14:textId="77777777" w:rsidR="00C4454D" w:rsidRPr="00A735B4" w:rsidRDefault="00C4454D" w:rsidP="00C4454D">
            <w:pPr>
              <w:keepNext/>
              <w:rPr>
                <w:rFonts w:eastAsia="Times New Roman"/>
                <w:sz w:val="20"/>
                <w:szCs w:val="20"/>
              </w:rPr>
            </w:pPr>
            <w:r w:rsidRPr="00A735B4">
              <w:rPr>
                <w:rFonts w:eastAsia="Times New Roman"/>
                <w:sz w:val="20"/>
                <w:szCs w:val="20"/>
              </w:rPr>
              <w:t>Schedules of specific commitments adopted</w:t>
            </w:r>
          </w:p>
        </w:tc>
        <w:tc>
          <w:tcPr>
            <w:tcW w:w="2295" w:type="dxa"/>
            <w:shd w:val="clear" w:color="auto" w:fill="auto"/>
            <w:noWrap/>
            <w:vAlign w:val="center"/>
            <w:hideMark/>
          </w:tcPr>
          <w:p w14:paraId="785E26DD" w14:textId="27817A5A" w:rsidR="00C4454D" w:rsidRPr="00A735B4" w:rsidRDefault="00C4454D" w:rsidP="00C4454D">
            <w:pPr>
              <w:keepNext/>
              <w:rPr>
                <w:rFonts w:eastAsia="Times New Roman"/>
                <w:sz w:val="20"/>
                <w:szCs w:val="20"/>
              </w:rPr>
            </w:pPr>
            <w:r w:rsidRPr="00A735B4">
              <w:rPr>
                <w:rFonts w:eastAsia="Times New Roman"/>
                <w:sz w:val="20"/>
                <w:szCs w:val="20"/>
              </w:rPr>
              <w:t>Number of sectors offered at regional level by each member state exceeds its WTO commitments</w:t>
            </w:r>
          </w:p>
        </w:tc>
      </w:tr>
      <w:tr w:rsidR="00C4454D" w:rsidRPr="00A735B4" w14:paraId="069FFD0F" w14:textId="77777777" w:rsidTr="00C4454D">
        <w:trPr>
          <w:trHeight w:val="255"/>
        </w:trPr>
        <w:tc>
          <w:tcPr>
            <w:tcW w:w="2442" w:type="dxa"/>
            <w:shd w:val="clear" w:color="auto" w:fill="auto"/>
            <w:noWrap/>
            <w:vAlign w:val="center"/>
            <w:hideMark/>
          </w:tcPr>
          <w:p w14:paraId="2ECA6621" w14:textId="77777777" w:rsidR="00C4454D" w:rsidRPr="00A735B4" w:rsidRDefault="00C4454D" w:rsidP="00C4454D">
            <w:pPr>
              <w:keepNext/>
              <w:rPr>
                <w:rFonts w:eastAsia="Times New Roman"/>
                <w:sz w:val="20"/>
                <w:szCs w:val="20"/>
              </w:rPr>
            </w:pPr>
            <w:r w:rsidRPr="00A735B4">
              <w:rPr>
                <w:rFonts w:eastAsia="Times New Roman"/>
                <w:sz w:val="20"/>
                <w:szCs w:val="20"/>
              </w:rPr>
              <w:t>Negotiate levels of market access and national treatment to be accorded to service suppliers within the region</w:t>
            </w:r>
          </w:p>
        </w:tc>
        <w:tc>
          <w:tcPr>
            <w:tcW w:w="2613" w:type="dxa"/>
            <w:shd w:val="clear" w:color="auto" w:fill="auto"/>
            <w:noWrap/>
            <w:vAlign w:val="center"/>
            <w:hideMark/>
          </w:tcPr>
          <w:p w14:paraId="25BCBC62" w14:textId="77777777" w:rsidR="00C4454D" w:rsidRPr="00A735B4" w:rsidRDefault="00C4454D" w:rsidP="00C4454D">
            <w:pPr>
              <w:keepNext/>
              <w:rPr>
                <w:rFonts w:eastAsia="Times New Roman"/>
                <w:sz w:val="20"/>
                <w:szCs w:val="20"/>
              </w:rPr>
            </w:pPr>
            <w:r w:rsidRPr="00A735B4">
              <w:rPr>
                <w:rFonts w:eastAsia="Times New Roman"/>
                <w:sz w:val="20"/>
                <w:szCs w:val="20"/>
              </w:rPr>
              <w:t>Market access and national treatment to Member States</w:t>
            </w:r>
          </w:p>
        </w:tc>
        <w:tc>
          <w:tcPr>
            <w:tcW w:w="1935" w:type="dxa"/>
            <w:shd w:val="clear" w:color="auto" w:fill="auto"/>
            <w:noWrap/>
            <w:vAlign w:val="center"/>
            <w:hideMark/>
          </w:tcPr>
          <w:p w14:paraId="5493BE83" w14:textId="2D3FA0F8" w:rsidR="00C4454D" w:rsidRPr="00A735B4" w:rsidRDefault="00C4454D" w:rsidP="00C4454D">
            <w:pPr>
              <w:keepNext/>
              <w:rPr>
                <w:rFonts w:eastAsia="Times New Roman"/>
                <w:sz w:val="20"/>
                <w:szCs w:val="20"/>
              </w:rPr>
            </w:pPr>
            <w:r w:rsidRPr="00A735B4">
              <w:rPr>
                <w:rFonts w:eastAsia="Times New Roman"/>
                <w:sz w:val="20"/>
                <w:szCs w:val="20"/>
              </w:rPr>
              <w:t>Level of services liberalization provided for in the schedules of specific commitments</w:t>
            </w:r>
          </w:p>
        </w:tc>
        <w:tc>
          <w:tcPr>
            <w:tcW w:w="2295" w:type="dxa"/>
            <w:shd w:val="clear" w:color="auto" w:fill="auto"/>
            <w:noWrap/>
            <w:vAlign w:val="center"/>
            <w:hideMark/>
          </w:tcPr>
          <w:p w14:paraId="4300894C" w14:textId="77777777" w:rsidR="00C4454D" w:rsidRPr="00A735B4" w:rsidRDefault="00C4454D" w:rsidP="00C4454D">
            <w:pPr>
              <w:keepNext/>
              <w:rPr>
                <w:rFonts w:eastAsia="Times New Roman"/>
                <w:sz w:val="20"/>
                <w:szCs w:val="20"/>
              </w:rPr>
            </w:pPr>
            <w:r w:rsidRPr="00A735B4">
              <w:rPr>
                <w:rFonts w:eastAsia="Times New Roman"/>
                <w:sz w:val="20"/>
                <w:szCs w:val="20"/>
              </w:rPr>
              <w:t>Level of market access and national treatment accorded</w:t>
            </w:r>
          </w:p>
        </w:tc>
      </w:tr>
      <w:tr w:rsidR="00C4454D" w:rsidRPr="00A735B4" w14:paraId="01B1DC49" w14:textId="77777777" w:rsidTr="00C4454D">
        <w:trPr>
          <w:trHeight w:val="255"/>
        </w:trPr>
        <w:tc>
          <w:tcPr>
            <w:tcW w:w="2442" w:type="dxa"/>
            <w:shd w:val="clear" w:color="auto" w:fill="auto"/>
            <w:noWrap/>
            <w:vAlign w:val="center"/>
            <w:hideMark/>
          </w:tcPr>
          <w:p w14:paraId="42BBD0C3" w14:textId="77777777" w:rsidR="00C4454D" w:rsidRPr="00A735B4" w:rsidRDefault="00C4454D" w:rsidP="00C4454D">
            <w:pPr>
              <w:keepNext/>
              <w:rPr>
                <w:rFonts w:eastAsia="Times New Roman"/>
                <w:sz w:val="20"/>
                <w:szCs w:val="20"/>
              </w:rPr>
            </w:pPr>
            <w:r w:rsidRPr="00A735B4">
              <w:rPr>
                <w:rFonts w:eastAsia="Times New Roman"/>
                <w:sz w:val="20"/>
                <w:szCs w:val="20"/>
              </w:rPr>
              <w:t>Negotiate Mutual Recognition Agreements to facilitate movement of professionals in the region</w:t>
            </w:r>
          </w:p>
        </w:tc>
        <w:tc>
          <w:tcPr>
            <w:tcW w:w="2613" w:type="dxa"/>
            <w:shd w:val="clear" w:color="auto" w:fill="auto"/>
            <w:noWrap/>
            <w:vAlign w:val="center"/>
            <w:hideMark/>
          </w:tcPr>
          <w:p w14:paraId="3A44980A" w14:textId="77777777" w:rsidR="00C4454D" w:rsidRPr="00A735B4" w:rsidRDefault="00C4454D" w:rsidP="00C4454D">
            <w:pPr>
              <w:keepNext/>
              <w:rPr>
                <w:rFonts w:eastAsia="Times New Roman"/>
                <w:sz w:val="20"/>
                <w:szCs w:val="20"/>
              </w:rPr>
            </w:pPr>
            <w:r w:rsidRPr="00A735B4">
              <w:rPr>
                <w:rFonts w:eastAsia="Times New Roman"/>
                <w:sz w:val="20"/>
                <w:szCs w:val="20"/>
              </w:rPr>
              <w:t>A framework for Mutual Recognition Agreements to facilitate movement of professionals in the region developed and implemented</w:t>
            </w:r>
          </w:p>
        </w:tc>
        <w:tc>
          <w:tcPr>
            <w:tcW w:w="1935" w:type="dxa"/>
            <w:shd w:val="clear" w:color="auto" w:fill="auto"/>
            <w:noWrap/>
            <w:vAlign w:val="center"/>
            <w:hideMark/>
          </w:tcPr>
          <w:p w14:paraId="7489913F" w14:textId="77777777" w:rsidR="00C4454D" w:rsidRPr="00A735B4" w:rsidRDefault="00C4454D" w:rsidP="00C4454D">
            <w:pPr>
              <w:keepNext/>
              <w:rPr>
                <w:rFonts w:eastAsia="Times New Roman"/>
                <w:sz w:val="20"/>
                <w:szCs w:val="20"/>
              </w:rPr>
            </w:pPr>
            <w:r w:rsidRPr="00A735B4">
              <w:rPr>
                <w:rFonts w:eastAsia="Times New Roman"/>
                <w:sz w:val="20"/>
                <w:szCs w:val="20"/>
              </w:rPr>
              <w:t>Implementation of Mutual Recognition Agreements</w:t>
            </w:r>
          </w:p>
        </w:tc>
        <w:tc>
          <w:tcPr>
            <w:tcW w:w="2295" w:type="dxa"/>
            <w:shd w:val="clear" w:color="auto" w:fill="auto"/>
            <w:noWrap/>
            <w:vAlign w:val="center"/>
            <w:hideMark/>
          </w:tcPr>
          <w:p w14:paraId="5C960104" w14:textId="7D0F0E80" w:rsidR="00C4454D" w:rsidRPr="00A735B4" w:rsidRDefault="00C4454D" w:rsidP="00C4454D">
            <w:pPr>
              <w:keepNext/>
              <w:rPr>
                <w:rFonts w:eastAsia="Times New Roman"/>
                <w:sz w:val="20"/>
                <w:szCs w:val="20"/>
              </w:rPr>
            </w:pPr>
            <w:r w:rsidRPr="00A735B4">
              <w:rPr>
                <w:rFonts w:eastAsia="Times New Roman"/>
                <w:sz w:val="20"/>
                <w:szCs w:val="20"/>
              </w:rPr>
              <w:t>Number of countries implementing Mutual Recognition Agreements</w:t>
            </w:r>
          </w:p>
        </w:tc>
      </w:tr>
      <w:tr w:rsidR="00C4454D" w:rsidRPr="00A735B4" w14:paraId="2045ABE8" w14:textId="77777777" w:rsidTr="00C4454D">
        <w:trPr>
          <w:trHeight w:val="255"/>
        </w:trPr>
        <w:tc>
          <w:tcPr>
            <w:tcW w:w="2442" w:type="dxa"/>
            <w:shd w:val="clear" w:color="auto" w:fill="auto"/>
            <w:noWrap/>
            <w:vAlign w:val="center"/>
            <w:hideMark/>
          </w:tcPr>
          <w:p w14:paraId="1F5C8A3A" w14:textId="77777777" w:rsidR="00C4454D" w:rsidRPr="00A735B4" w:rsidRDefault="00C4454D" w:rsidP="00C4454D">
            <w:pPr>
              <w:keepNext/>
              <w:rPr>
                <w:rFonts w:eastAsia="Times New Roman"/>
                <w:sz w:val="20"/>
                <w:szCs w:val="20"/>
              </w:rPr>
            </w:pPr>
            <w:r w:rsidRPr="00A735B4">
              <w:rPr>
                <w:rFonts w:eastAsia="Times New Roman"/>
                <w:sz w:val="20"/>
                <w:szCs w:val="20"/>
              </w:rPr>
              <w:t>Develop methods of gathering services statistics</w:t>
            </w:r>
          </w:p>
        </w:tc>
        <w:tc>
          <w:tcPr>
            <w:tcW w:w="2613" w:type="dxa"/>
            <w:shd w:val="clear" w:color="auto" w:fill="auto"/>
            <w:noWrap/>
            <w:vAlign w:val="center"/>
            <w:hideMark/>
          </w:tcPr>
          <w:p w14:paraId="3C2FA545" w14:textId="77777777" w:rsidR="00C4454D" w:rsidRPr="00A735B4" w:rsidRDefault="00C4454D" w:rsidP="00C4454D">
            <w:pPr>
              <w:keepNext/>
              <w:rPr>
                <w:rFonts w:eastAsia="Times New Roman"/>
                <w:sz w:val="20"/>
                <w:szCs w:val="20"/>
              </w:rPr>
            </w:pPr>
            <w:r w:rsidRPr="00A735B4">
              <w:rPr>
                <w:rFonts w:eastAsia="Times New Roman"/>
                <w:sz w:val="20"/>
                <w:szCs w:val="20"/>
              </w:rPr>
              <w:t>Services statistics methodology</w:t>
            </w:r>
          </w:p>
        </w:tc>
        <w:tc>
          <w:tcPr>
            <w:tcW w:w="1935" w:type="dxa"/>
            <w:shd w:val="clear" w:color="auto" w:fill="auto"/>
            <w:noWrap/>
            <w:vAlign w:val="center"/>
            <w:hideMark/>
          </w:tcPr>
          <w:p w14:paraId="0AE41C84" w14:textId="45AC3E7C" w:rsidR="00C4454D" w:rsidRPr="00A735B4" w:rsidRDefault="00C4454D" w:rsidP="00C4454D">
            <w:pPr>
              <w:keepNext/>
              <w:rPr>
                <w:rFonts w:eastAsia="Times New Roman"/>
                <w:sz w:val="20"/>
                <w:szCs w:val="20"/>
              </w:rPr>
            </w:pPr>
            <w:r w:rsidRPr="00A735B4">
              <w:rPr>
                <w:rFonts w:eastAsia="Times New Roman"/>
                <w:sz w:val="20"/>
                <w:szCs w:val="20"/>
              </w:rPr>
              <w:t>Services statistics</w:t>
            </w:r>
          </w:p>
        </w:tc>
        <w:tc>
          <w:tcPr>
            <w:tcW w:w="2295" w:type="dxa"/>
            <w:shd w:val="clear" w:color="auto" w:fill="auto"/>
            <w:noWrap/>
            <w:vAlign w:val="center"/>
            <w:hideMark/>
          </w:tcPr>
          <w:p w14:paraId="6C269C43" w14:textId="77777777" w:rsidR="00C4454D" w:rsidRPr="00A735B4" w:rsidRDefault="00C4454D" w:rsidP="00C4454D">
            <w:pPr>
              <w:keepNext/>
              <w:rPr>
                <w:rFonts w:eastAsia="Times New Roman"/>
                <w:sz w:val="20"/>
                <w:szCs w:val="20"/>
              </w:rPr>
            </w:pPr>
            <w:r w:rsidRPr="00A735B4">
              <w:rPr>
                <w:rFonts w:eastAsia="Times New Roman"/>
                <w:sz w:val="20"/>
                <w:szCs w:val="20"/>
              </w:rPr>
              <w:t>Methodology for services statistics agreed and adopted by Member States by 2014</w:t>
            </w:r>
          </w:p>
        </w:tc>
      </w:tr>
      <w:tr w:rsidR="00C4454D" w:rsidRPr="00A735B4" w14:paraId="2B55C258" w14:textId="77777777" w:rsidTr="00C4454D">
        <w:trPr>
          <w:trHeight w:val="255"/>
        </w:trPr>
        <w:tc>
          <w:tcPr>
            <w:tcW w:w="2442" w:type="dxa"/>
            <w:shd w:val="clear" w:color="auto" w:fill="auto"/>
            <w:noWrap/>
            <w:vAlign w:val="center"/>
            <w:hideMark/>
          </w:tcPr>
          <w:p w14:paraId="2BE0969C" w14:textId="77777777" w:rsidR="00C4454D" w:rsidRPr="00A735B4" w:rsidRDefault="00C4454D" w:rsidP="00C4454D">
            <w:pPr>
              <w:keepNext/>
              <w:rPr>
                <w:rFonts w:eastAsia="Times New Roman"/>
                <w:sz w:val="20"/>
                <w:szCs w:val="20"/>
              </w:rPr>
            </w:pPr>
            <w:r w:rsidRPr="00A735B4">
              <w:rPr>
                <w:rFonts w:eastAsia="Times New Roman"/>
                <w:sz w:val="20"/>
                <w:szCs w:val="20"/>
              </w:rPr>
              <w:t>Establish the COMESA Regional Association of Services Industries</w:t>
            </w:r>
          </w:p>
        </w:tc>
        <w:tc>
          <w:tcPr>
            <w:tcW w:w="2613" w:type="dxa"/>
            <w:shd w:val="clear" w:color="auto" w:fill="auto"/>
            <w:noWrap/>
            <w:vAlign w:val="center"/>
            <w:hideMark/>
          </w:tcPr>
          <w:p w14:paraId="61FEA268" w14:textId="46D53270" w:rsidR="00C4454D" w:rsidRPr="00A735B4" w:rsidRDefault="00C4454D" w:rsidP="00C4454D">
            <w:pPr>
              <w:keepNext/>
              <w:rPr>
                <w:rFonts w:eastAsia="Times New Roman"/>
                <w:sz w:val="20"/>
                <w:szCs w:val="20"/>
              </w:rPr>
            </w:pPr>
            <w:r w:rsidRPr="00A735B4">
              <w:rPr>
                <w:rFonts w:eastAsia="Times New Roman"/>
                <w:sz w:val="20"/>
                <w:szCs w:val="20"/>
              </w:rPr>
              <w:t>COMESA Regional Association of Services Industries created.</w:t>
            </w:r>
          </w:p>
        </w:tc>
        <w:tc>
          <w:tcPr>
            <w:tcW w:w="1935" w:type="dxa"/>
            <w:shd w:val="clear" w:color="auto" w:fill="auto"/>
            <w:noWrap/>
            <w:vAlign w:val="center"/>
            <w:hideMark/>
          </w:tcPr>
          <w:p w14:paraId="00A9516B" w14:textId="77777777" w:rsidR="00C4454D" w:rsidRPr="00A735B4" w:rsidRDefault="00C4454D" w:rsidP="00C4454D">
            <w:pPr>
              <w:keepNext/>
              <w:rPr>
                <w:rFonts w:eastAsia="Times New Roman"/>
                <w:sz w:val="20"/>
                <w:szCs w:val="20"/>
              </w:rPr>
            </w:pPr>
            <w:r w:rsidRPr="00A735B4">
              <w:rPr>
                <w:rFonts w:eastAsia="Times New Roman"/>
                <w:sz w:val="20"/>
                <w:szCs w:val="20"/>
              </w:rPr>
              <w:t>Functional COMESA Regional Association</w:t>
            </w:r>
          </w:p>
        </w:tc>
        <w:tc>
          <w:tcPr>
            <w:tcW w:w="2295" w:type="dxa"/>
            <w:shd w:val="clear" w:color="auto" w:fill="auto"/>
            <w:noWrap/>
            <w:vAlign w:val="center"/>
            <w:hideMark/>
          </w:tcPr>
          <w:p w14:paraId="7AA51CFB" w14:textId="31DA517C" w:rsidR="00C4454D" w:rsidRPr="00A735B4" w:rsidRDefault="00C4454D" w:rsidP="00C4454D">
            <w:pPr>
              <w:keepNext/>
              <w:rPr>
                <w:rFonts w:eastAsia="Times New Roman"/>
                <w:sz w:val="20"/>
                <w:szCs w:val="20"/>
              </w:rPr>
            </w:pPr>
            <w:r w:rsidRPr="00A735B4">
              <w:rPr>
                <w:rFonts w:eastAsia="Times New Roman"/>
                <w:sz w:val="20"/>
                <w:szCs w:val="20"/>
              </w:rPr>
              <w:t>COMESA Regional Association of Services Industries in place by 2013</w:t>
            </w:r>
          </w:p>
        </w:tc>
      </w:tr>
      <w:tr w:rsidR="00C4454D" w:rsidRPr="00A735B4" w14:paraId="6DCBEEA5" w14:textId="77777777" w:rsidTr="00C4454D">
        <w:trPr>
          <w:trHeight w:val="255"/>
        </w:trPr>
        <w:tc>
          <w:tcPr>
            <w:tcW w:w="2442" w:type="dxa"/>
            <w:shd w:val="clear" w:color="auto" w:fill="auto"/>
            <w:noWrap/>
            <w:vAlign w:val="center"/>
            <w:hideMark/>
          </w:tcPr>
          <w:p w14:paraId="140D8469" w14:textId="77777777" w:rsidR="00C4454D" w:rsidRPr="00A735B4" w:rsidRDefault="00C4454D" w:rsidP="00C4454D">
            <w:pPr>
              <w:keepNext/>
              <w:rPr>
                <w:rFonts w:eastAsia="Times New Roman"/>
                <w:sz w:val="20"/>
                <w:szCs w:val="20"/>
              </w:rPr>
            </w:pPr>
            <w:r w:rsidRPr="00A735B4">
              <w:rPr>
                <w:rFonts w:eastAsia="Times New Roman"/>
                <w:sz w:val="20"/>
                <w:szCs w:val="20"/>
              </w:rPr>
              <w:t>Review MFN exemptions</w:t>
            </w:r>
          </w:p>
        </w:tc>
        <w:tc>
          <w:tcPr>
            <w:tcW w:w="2613" w:type="dxa"/>
            <w:shd w:val="clear" w:color="auto" w:fill="auto"/>
            <w:noWrap/>
            <w:vAlign w:val="center"/>
            <w:hideMark/>
          </w:tcPr>
          <w:p w14:paraId="659D6CD6" w14:textId="77777777" w:rsidR="00C4454D" w:rsidRPr="00A735B4" w:rsidRDefault="00C4454D" w:rsidP="00C4454D">
            <w:pPr>
              <w:keepNext/>
              <w:rPr>
                <w:rFonts w:eastAsia="Times New Roman"/>
                <w:sz w:val="20"/>
                <w:szCs w:val="20"/>
              </w:rPr>
            </w:pPr>
            <w:r w:rsidRPr="00A735B4">
              <w:rPr>
                <w:rFonts w:eastAsia="Times New Roman"/>
                <w:sz w:val="20"/>
                <w:szCs w:val="20"/>
              </w:rPr>
              <w:t>MFN exemptions finalized</w:t>
            </w:r>
          </w:p>
        </w:tc>
        <w:tc>
          <w:tcPr>
            <w:tcW w:w="1935" w:type="dxa"/>
            <w:shd w:val="clear" w:color="auto" w:fill="auto"/>
            <w:vAlign w:val="center"/>
          </w:tcPr>
          <w:p w14:paraId="63652C86" w14:textId="77777777" w:rsidR="00C4454D" w:rsidRPr="00A735B4" w:rsidRDefault="00C4454D" w:rsidP="00C4454D">
            <w:pPr>
              <w:keepNext/>
              <w:rPr>
                <w:rFonts w:eastAsia="Times New Roman"/>
                <w:sz w:val="20"/>
                <w:szCs w:val="20"/>
              </w:rPr>
            </w:pPr>
          </w:p>
        </w:tc>
        <w:tc>
          <w:tcPr>
            <w:tcW w:w="2295" w:type="dxa"/>
            <w:shd w:val="clear" w:color="auto" w:fill="auto"/>
            <w:noWrap/>
            <w:vAlign w:val="center"/>
            <w:hideMark/>
          </w:tcPr>
          <w:p w14:paraId="3B6A0844" w14:textId="77777777" w:rsidR="00C4454D" w:rsidRPr="00A735B4" w:rsidRDefault="00C4454D" w:rsidP="00C4454D">
            <w:pPr>
              <w:keepNext/>
              <w:rPr>
                <w:rFonts w:eastAsia="Times New Roman"/>
                <w:sz w:val="20"/>
                <w:szCs w:val="20"/>
              </w:rPr>
            </w:pPr>
            <w:r w:rsidRPr="00A735B4">
              <w:rPr>
                <w:rFonts w:eastAsia="Times New Roman"/>
                <w:sz w:val="20"/>
                <w:szCs w:val="20"/>
              </w:rPr>
              <w:t>Regional exemption list agreed by 2011</w:t>
            </w:r>
          </w:p>
        </w:tc>
      </w:tr>
    </w:tbl>
    <w:p w14:paraId="438F16E5" w14:textId="60E2481C" w:rsidR="00C4454D" w:rsidRPr="00A735B4" w:rsidRDefault="00C4454D" w:rsidP="00C4454D">
      <w:pPr>
        <w:keepNext/>
        <w:ind w:left="180" w:hanging="180"/>
        <w:rPr>
          <w:sz w:val="20"/>
        </w:rPr>
      </w:pPr>
      <w:r w:rsidRPr="00A735B4">
        <w:rPr>
          <w:i/>
          <w:sz w:val="20"/>
        </w:rPr>
        <w:t xml:space="preserve"> Source</w:t>
      </w:r>
      <w:r w:rsidRPr="00A735B4">
        <w:rPr>
          <w:sz w:val="20"/>
        </w:rPr>
        <w:t>: COMESA 2011.</w:t>
      </w:r>
    </w:p>
    <w:p w14:paraId="636E18D8" w14:textId="77777777" w:rsidR="00C4454D" w:rsidRPr="00A735B4" w:rsidRDefault="00C4454D" w:rsidP="00C4454D">
      <w:pPr>
        <w:keepNext/>
        <w:ind w:left="180" w:hanging="180"/>
        <w:rPr>
          <w:sz w:val="20"/>
        </w:rPr>
      </w:pPr>
      <w:r w:rsidRPr="00A735B4">
        <w:rPr>
          <w:i/>
          <w:sz w:val="20"/>
        </w:rPr>
        <w:t>Note</w:t>
      </w:r>
      <w:r w:rsidRPr="00A735B4">
        <w:rPr>
          <w:sz w:val="20"/>
        </w:rPr>
        <w:t xml:space="preserve">: COMESA = </w:t>
      </w:r>
      <w:r w:rsidRPr="00A735B4">
        <w:rPr>
          <w:rFonts w:asciiTheme="majorHAnsi" w:hAnsiTheme="majorHAnsi"/>
        </w:rPr>
        <w:t>Common Market for Eastern and Southern Africa;</w:t>
      </w:r>
      <w:r w:rsidRPr="00A735B4">
        <w:rPr>
          <w:sz w:val="20"/>
        </w:rPr>
        <w:t xml:space="preserve"> MFN = most-favored nation; WTO = World Trade Organization.</w:t>
      </w:r>
    </w:p>
    <w:p w14:paraId="1712DCF1" w14:textId="77777777" w:rsidR="00C4454D" w:rsidRPr="00A735B4" w:rsidRDefault="00C4454D">
      <w:pPr>
        <w:spacing w:after="200" w:line="276" w:lineRule="auto"/>
        <w:rPr>
          <w:rFonts w:asciiTheme="majorHAnsi" w:eastAsiaTheme="majorEastAsia" w:hAnsiTheme="majorHAnsi" w:cstheme="majorBidi"/>
          <w:b/>
          <w:bCs/>
          <w:color w:val="365F91" w:themeColor="accent1" w:themeShade="BF"/>
          <w:sz w:val="28"/>
          <w:szCs w:val="28"/>
        </w:rPr>
      </w:pPr>
      <w:bookmarkStart w:id="30" w:name="_Toc404814810"/>
      <w:bookmarkStart w:id="31" w:name="_Toc419565233"/>
      <w:r w:rsidRPr="00A735B4">
        <w:br w:type="page"/>
      </w:r>
    </w:p>
    <w:p w14:paraId="752C53C5" w14:textId="5AD4216B" w:rsidR="00C4454D" w:rsidRPr="00A735B4" w:rsidRDefault="00C4454D" w:rsidP="00C4454D">
      <w:r w:rsidRPr="00A735B4">
        <w:lastRenderedPageBreak/>
        <w:t>Generating new indicators from existing data sources</w:t>
      </w:r>
      <w:bookmarkEnd w:id="30"/>
      <w:bookmarkEnd w:id="31"/>
    </w:p>
    <w:p w14:paraId="40969CF6" w14:textId="70A0CE88" w:rsidR="00C4454D" w:rsidRPr="00A735B4" w:rsidRDefault="00C4454D" w:rsidP="00C4454D">
      <w:pPr>
        <w:numPr>
          <w:ilvl w:val="0"/>
          <w:numId w:val="2"/>
        </w:numPr>
        <w:spacing w:before="240" w:after="240"/>
        <w:ind w:left="0" w:firstLine="0"/>
        <w:jc w:val="both"/>
      </w:pPr>
      <w:r w:rsidRPr="00A735B4">
        <w:t>The preceding discussion has established that a variety of different approaches to monitor regional trade integration exist in Africa. Unfortunately, however, systematic and rigorous implementation monitoring still seems to be more of an afterthought than a well-planned practice. And the information systems that inform policy makers and civil society about the status of regional integration appear to be slow in adjusting to mounting evidence that the main impediments to regional trade expansion in Africa are no longer caused by border taxes, but to non-tariff barriers, poor trade logistics, and excessively strict services market regulations.</w:t>
      </w:r>
    </w:p>
    <w:p w14:paraId="511E375C" w14:textId="77777777" w:rsidR="00C4454D" w:rsidRPr="00A735B4" w:rsidRDefault="00C4454D" w:rsidP="00C4454D">
      <w:pPr>
        <w:spacing w:before="240" w:after="240"/>
        <w:jc w:val="both"/>
      </w:pPr>
    </w:p>
    <w:p w14:paraId="6D104E86" w14:textId="1A93EDAB" w:rsidR="00C4454D" w:rsidRPr="00A735B4" w:rsidRDefault="00C4454D" w:rsidP="00C4454D">
      <w:pPr>
        <w:numPr>
          <w:ilvl w:val="0"/>
          <w:numId w:val="2"/>
        </w:numPr>
        <w:spacing w:before="240" w:after="240"/>
        <w:ind w:left="0" w:firstLine="0"/>
        <w:jc w:val="both"/>
      </w:pPr>
      <w:r w:rsidRPr="00A735B4">
        <w:t>Current efforts to monitor regional integration in Africa rely heavily on trade flow information that is provided by the Statistical Offices, which in turn derive the information from customs information (merchandise trade) and Central Bank balance of payments data (for services trade). Although this information is useful, it is aggregate and does not make it possible to analyze developments at the level of trade transactions. Fortunately, additional data sources have been generated by national and international organizations over recent years that have the potential to improve the set of indicators available to monitor regional integration (figure 4.1). These new indicators are derived from existing sources, notably transport corridor monitoring committees, firm-level data from customs agencies, price data from statistical bodies, and trade in value-added information, or through new and innovative surveying techniques, such as mystery shopping and crowd sourcing. These new indicator sources are presented and discussed in the following.</w:t>
      </w:r>
    </w:p>
    <w:p w14:paraId="25A15D9F" w14:textId="02D42437" w:rsidR="00C4454D" w:rsidRPr="00A735B4" w:rsidRDefault="00C4454D" w:rsidP="00C4454D">
      <w:pPr>
        <w:spacing w:after="0"/>
        <w:contextualSpacing/>
        <w:jc w:val="center"/>
        <w:rPr>
          <w:color w:val="1F497D" w:themeColor="text2"/>
        </w:rPr>
      </w:pPr>
      <w:bookmarkStart w:id="32" w:name="_Ref417238101"/>
      <w:r w:rsidRPr="00A735B4">
        <w:rPr>
          <w:color w:val="1F497D" w:themeColor="text2"/>
        </w:rPr>
        <w:t>Figure 4.1</w:t>
      </w:r>
      <w:bookmarkEnd w:id="32"/>
      <w:r w:rsidRPr="00A735B4">
        <w:rPr>
          <w:color w:val="1F497D" w:themeColor="text2"/>
        </w:rPr>
        <w:t xml:space="preserve"> Data for regional integration monitoring</w:t>
      </w:r>
    </w:p>
    <w:p w14:paraId="3A9168D1" w14:textId="77777777" w:rsidR="00C4454D" w:rsidRPr="00A735B4" w:rsidRDefault="00C4454D" w:rsidP="00C4454D">
      <w:pPr>
        <w:spacing w:after="0"/>
        <w:contextualSpacing/>
        <w:jc w:val="center"/>
      </w:pPr>
      <w:r w:rsidRPr="00A735B4">
        <w:rPr>
          <w:noProof/>
        </w:rPr>
        <w:drawing>
          <wp:inline distT="0" distB="0" distL="0" distR="0" wp14:anchorId="7C6AA499" wp14:editId="22398F46">
            <wp:extent cx="4570095" cy="3082937"/>
            <wp:effectExtent l="0" t="0" r="1905" b="317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592931" cy="3098342"/>
                    </a:xfrm>
                    <a:prstGeom prst="rect">
                      <a:avLst/>
                    </a:prstGeom>
                  </pic:spPr>
                </pic:pic>
              </a:graphicData>
            </a:graphic>
          </wp:inline>
        </w:drawing>
      </w:r>
    </w:p>
    <w:p w14:paraId="776EDB69" w14:textId="77777777" w:rsidR="00C4454D" w:rsidRPr="00A735B4" w:rsidRDefault="00C4454D" w:rsidP="00C4454D">
      <w:bookmarkStart w:id="33" w:name="_Toc404814811"/>
      <w:bookmarkStart w:id="34" w:name="_Toc419565234"/>
      <w:r w:rsidRPr="00A735B4">
        <w:t>Information from transport corridor monitoring</w:t>
      </w:r>
      <w:bookmarkEnd w:id="33"/>
      <w:bookmarkEnd w:id="34"/>
    </w:p>
    <w:p w14:paraId="39C13760" w14:textId="3E34673E" w:rsidR="00C4454D" w:rsidRPr="00A735B4" w:rsidRDefault="00C4454D" w:rsidP="00C4454D">
      <w:pPr>
        <w:numPr>
          <w:ilvl w:val="0"/>
          <w:numId w:val="2"/>
        </w:numPr>
        <w:spacing w:before="240" w:after="240"/>
        <w:ind w:left="0" w:firstLine="0"/>
        <w:jc w:val="both"/>
      </w:pPr>
      <w:r w:rsidRPr="00A735B4">
        <w:lastRenderedPageBreak/>
        <w:t>Transport corridors play an important role in fostering regional integration. They notably provide the road, rail, or river infrastructure for long-distance shipments between countries within a region (map 4.1). As a result, a large share of regional and international trade passes through these routes.</w:t>
      </w:r>
    </w:p>
    <w:p w14:paraId="792EB974" w14:textId="77777777" w:rsidR="00C4454D" w:rsidRPr="00A735B4" w:rsidRDefault="00C4454D" w:rsidP="00C4454D">
      <w:pPr>
        <w:jc w:val="center"/>
        <w:rPr>
          <w:sz w:val="24"/>
          <w:szCs w:val="24"/>
        </w:rPr>
      </w:pPr>
    </w:p>
    <w:p w14:paraId="2585CB9D" w14:textId="3031D938" w:rsidR="00C4454D" w:rsidRPr="00A735B4" w:rsidRDefault="00C4454D" w:rsidP="00C4454D">
      <w:pPr>
        <w:jc w:val="center"/>
        <w:rPr>
          <w:color w:val="1F497D" w:themeColor="text2"/>
          <w:sz w:val="24"/>
          <w:szCs w:val="24"/>
        </w:rPr>
      </w:pPr>
      <w:bookmarkStart w:id="35" w:name="_Toc410823483"/>
      <w:r w:rsidRPr="00A735B4">
        <w:rPr>
          <w:color w:val="1F497D" w:themeColor="text2"/>
          <w:sz w:val="24"/>
          <w:szCs w:val="24"/>
        </w:rPr>
        <w:t>Map 4.1 Transport corridors in Africa</w:t>
      </w:r>
      <w:bookmarkEnd w:id="35"/>
    </w:p>
    <w:p w14:paraId="18E10341" w14:textId="77777777" w:rsidR="00C4454D" w:rsidRPr="00A735B4" w:rsidRDefault="00C4454D" w:rsidP="00C4454D">
      <w:pPr>
        <w:keepNext/>
        <w:autoSpaceDE w:val="0"/>
        <w:autoSpaceDN w:val="0"/>
        <w:adjustRightInd w:val="0"/>
        <w:jc w:val="center"/>
      </w:pPr>
      <w:r w:rsidRPr="00A735B4">
        <w:rPr>
          <w:noProof/>
        </w:rPr>
        <w:drawing>
          <wp:inline distT="0" distB="0" distL="0" distR="0" wp14:anchorId="153A367E" wp14:editId="75492CE1">
            <wp:extent cx="4587240" cy="5020943"/>
            <wp:effectExtent l="0" t="0" r="381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ridors-rev.gif"/>
                    <pic:cNvPicPr/>
                  </pic:nvPicPr>
                  <pic:blipFill>
                    <a:blip r:embed="rId17">
                      <a:extLst>
                        <a:ext uri="{28A0092B-C50C-407E-A947-70E740481C1C}">
                          <a14:useLocalDpi xmlns:a14="http://schemas.microsoft.com/office/drawing/2010/main" val="0"/>
                        </a:ext>
                      </a:extLst>
                    </a:blip>
                    <a:stretch>
                      <a:fillRect/>
                    </a:stretch>
                  </pic:blipFill>
                  <pic:spPr>
                    <a:xfrm>
                      <a:off x="0" y="0"/>
                      <a:ext cx="4590783" cy="5024821"/>
                    </a:xfrm>
                    <a:prstGeom prst="rect">
                      <a:avLst/>
                    </a:prstGeom>
                  </pic:spPr>
                </pic:pic>
              </a:graphicData>
            </a:graphic>
          </wp:inline>
        </w:drawing>
      </w:r>
    </w:p>
    <w:p w14:paraId="0B469774" w14:textId="77777777" w:rsidR="00C4454D" w:rsidRPr="00A735B4" w:rsidRDefault="00C4454D" w:rsidP="00C4454D">
      <w:pPr>
        <w:keepNext/>
        <w:autoSpaceDE w:val="0"/>
        <w:autoSpaceDN w:val="0"/>
        <w:adjustRightInd w:val="0"/>
        <w:ind w:firstLine="720"/>
      </w:pPr>
      <w:r w:rsidRPr="00A735B4">
        <w:rPr>
          <w:i/>
        </w:rPr>
        <w:t xml:space="preserve">   Source</w:t>
      </w:r>
      <w:r w:rsidRPr="00A735B4">
        <w:t>: Bolloré.</w:t>
      </w:r>
    </w:p>
    <w:p w14:paraId="2E2CF184" w14:textId="77777777" w:rsidR="00C4454D" w:rsidRPr="00A735B4" w:rsidRDefault="00C4454D" w:rsidP="00C4454D">
      <w:pPr>
        <w:autoSpaceDE w:val="0"/>
        <w:autoSpaceDN w:val="0"/>
        <w:adjustRightInd w:val="0"/>
      </w:pPr>
    </w:p>
    <w:p w14:paraId="0D3A2D86" w14:textId="3D6E96C9" w:rsidR="00C4454D" w:rsidRPr="00A735B4" w:rsidRDefault="00C4454D" w:rsidP="00C4454D">
      <w:pPr>
        <w:numPr>
          <w:ilvl w:val="0"/>
          <w:numId w:val="2"/>
        </w:numPr>
        <w:spacing w:before="240" w:after="240"/>
        <w:ind w:left="0" w:firstLine="0"/>
        <w:jc w:val="both"/>
      </w:pPr>
      <w:r w:rsidRPr="00A735B4">
        <w:t xml:space="preserve">Transport corridor monitoring committees have been established for several key transport ways in Africa. These bodies have started to collect a range of information about corridor performance, which is generally evaluated by assessing the quality of the services provided for goods moving along the transport way. Service quality is thereby frequently measured in the average time and cost per transport </w:t>
      </w:r>
      <w:r w:rsidRPr="00A735B4">
        <w:lastRenderedPageBreak/>
        <w:t>unit. These indicators may be further disaggregated for specific links and nodes to increase the comparability of the results across corridors.</w:t>
      </w:r>
    </w:p>
    <w:p w14:paraId="0BF1159F" w14:textId="77777777" w:rsidR="00C4454D" w:rsidRPr="00A735B4" w:rsidRDefault="00C4454D" w:rsidP="00C4454D">
      <w:pPr>
        <w:spacing w:before="240" w:after="240"/>
        <w:jc w:val="both"/>
      </w:pPr>
    </w:p>
    <w:p w14:paraId="3AD7211F" w14:textId="569B719D" w:rsidR="00C4454D" w:rsidRPr="00A735B4" w:rsidRDefault="00C4454D" w:rsidP="00C4454D">
      <w:pPr>
        <w:numPr>
          <w:ilvl w:val="0"/>
          <w:numId w:val="2"/>
        </w:numPr>
        <w:spacing w:before="240" w:after="240"/>
        <w:ind w:left="0" w:firstLine="0"/>
        <w:jc w:val="both"/>
      </w:pPr>
      <w:r w:rsidRPr="00A735B4">
        <w:t xml:space="preserve">An important distinction needs to be made between </w:t>
      </w:r>
      <w:r w:rsidRPr="00A735B4">
        <w:rPr>
          <w:i/>
        </w:rPr>
        <w:t>monitoring</w:t>
      </w:r>
      <w:r w:rsidRPr="00A735B4">
        <w:t xml:space="preserve"> and </w:t>
      </w:r>
      <w:r w:rsidRPr="00A735B4">
        <w:rPr>
          <w:i/>
        </w:rPr>
        <w:t>performance</w:t>
      </w:r>
      <w:r w:rsidRPr="00A735B4">
        <w:t xml:space="preserve"> indicators. </w:t>
      </w:r>
      <w:r w:rsidRPr="00A735B4">
        <w:rPr>
          <w:i/>
        </w:rPr>
        <w:t>Performance</w:t>
      </w:r>
      <w:r w:rsidRPr="00A735B4">
        <w:rPr>
          <w:b/>
          <w:i/>
        </w:rPr>
        <w:t xml:space="preserve"> </w:t>
      </w:r>
      <w:r w:rsidRPr="00A735B4">
        <w:t>indicators are often accompanied by detailed descriptions of how trade and logistics function in the corridor, assessments of volumes of trade, and times and costs of transport along the corridor. These assessments are then used to evaluate the relative constraints on trade activities in the corridor at that point in time and how the constraints might be reduced. Performance indicators tend to be measured infrequently, perhaps only once.</w:t>
      </w:r>
    </w:p>
    <w:p w14:paraId="6A1E6A1E" w14:textId="77777777" w:rsidR="00C4454D" w:rsidRPr="00A735B4" w:rsidRDefault="00C4454D" w:rsidP="00C4454D"/>
    <w:p w14:paraId="2BD9E228" w14:textId="246270A6" w:rsidR="00C4454D" w:rsidRPr="00A735B4" w:rsidRDefault="00C4454D" w:rsidP="00C4454D">
      <w:pPr>
        <w:numPr>
          <w:ilvl w:val="0"/>
          <w:numId w:val="2"/>
        </w:numPr>
        <w:spacing w:before="240" w:after="240"/>
        <w:ind w:left="0" w:firstLine="0"/>
        <w:jc w:val="both"/>
      </w:pPr>
      <w:r w:rsidRPr="00A735B4">
        <w:t xml:space="preserve">In contrast, </w:t>
      </w:r>
      <w:r w:rsidRPr="00A735B4">
        <w:rPr>
          <w:i/>
        </w:rPr>
        <w:t>monitoring</w:t>
      </w:r>
      <w:r w:rsidRPr="00A735B4">
        <w:t xml:space="preserve"> indicators are measured at regular intervals of time, so that changes in the performance of the corridor can be assessed over time. Because of the need for frequent measurement, the range and scope of monitoring indicators are much more restricted than those of corridor performance indicators that rely on one-off surveys of transport operators and corridor traders. However, if the value of a particular performance indicator is established, it has often been possible to find a less costly and less demanding comparable indicator that can be used as a monitoring indicator.</w:t>
      </w:r>
    </w:p>
    <w:p w14:paraId="60C5E987" w14:textId="77777777" w:rsidR="00C4454D" w:rsidRPr="00A735B4" w:rsidRDefault="00C4454D" w:rsidP="00C4454D"/>
    <w:p w14:paraId="239CC772" w14:textId="5C887FB4" w:rsidR="00C4454D" w:rsidRPr="00A735B4" w:rsidRDefault="00C4454D" w:rsidP="00C4454D">
      <w:pPr>
        <w:numPr>
          <w:ilvl w:val="0"/>
          <w:numId w:val="2"/>
        </w:numPr>
        <w:spacing w:before="240" w:after="240"/>
        <w:ind w:left="0" w:firstLine="0"/>
        <w:jc w:val="both"/>
      </w:pPr>
      <w:r w:rsidRPr="00A735B4">
        <w:t xml:space="preserve">For both types of indicator, it is useful to have benchmarks against which their values can be compared. For performance indicators, these might be the values for the corridor in question if it had no impediments and all the transport operations were undertaken with maximum efficiency. What are more often used are values for the same indicators from what are considered comparable corridors for which performance is in some sense considered “best practice” or corridors that convey products that are in competition with the corridor in question. </w:t>
      </w:r>
    </w:p>
    <w:p w14:paraId="509C2D5D" w14:textId="77777777" w:rsidR="00C4454D" w:rsidRPr="00A735B4" w:rsidRDefault="00C4454D" w:rsidP="00C4454D"/>
    <w:p w14:paraId="12853788" w14:textId="77777777" w:rsidR="00C4454D" w:rsidRPr="00A735B4" w:rsidRDefault="00C4454D" w:rsidP="00C4454D">
      <w:pPr>
        <w:numPr>
          <w:ilvl w:val="0"/>
          <w:numId w:val="2"/>
        </w:numPr>
        <w:spacing w:before="240" w:after="240"/>
        <w:ind w:left="0" w:firstLine="0"/>
        <w:jc w:val="both"/>
      </w:pPr>
      <w:r w:rsidRPr="00A735B4">
        <w:t>Benchmarks for monitoring indicators can be the same, but more often are measures of the same indicators for the corridor in question over time. Although the objectives of measuring monitoring indicators might be different between corridors, there is a core set of indicators that are nearly always included:</w:t>
      </w:r>
    </w:p>
    <w:p w14:paraId="1BB021B8" w14:textId="77777777" w:rsidR="00C4454D" w:rsidRPr="00A735B4" w:rsidRDefault="00C4454D" w:rsidP="00C4454D"/>
    <w:p w14:paraId="4F0A43FE" w14:textId="7B97F8A0" w:rsidR="00C4454D" w:rsidRPr="00A735B4" w:rsidRDefault="00C4454D" w:rsidP="00C4454D">
      <w:pPr>
        <w:numPr>
          <w:ilvl w:val="0"/>
          <w:numId w:val="4"/>
        </w:numPr>
      </w:pPr>
      <w:r w:rsidRPr="00A735B4">
        <w:t>Total transit time from port to an inland destination</w:t>
      </w:r>
    </w:p>
    <w:p w14:paraId="57DF514C" w14:textId="102A02F8" w:rsidR="00C4454D" w:rsidRPr="00A735B4" w:rsidRDefault="00C4454D" w:rsidP="00C4454D">
      <w:pPr>
        <w:numPr>
          <w:ilvl w:val="0"/>
          <w:numId w:val="4"/>
        </w:numPr>
      </w:pPr>
      <w:r w:rsidRPr="00A735B4">
        <w:t>Port delays</w:t>
      </w:r>
    </w:p>
    <w:p w14:paraId="2D3EAB46" w14:textId="36C0ACDA" w:rsidR="00C4454D" w:rsidRPr="00A735B4" w:rsidRDefault="00C4454D" w:rsidP="00C4454D">
      <w:pPr>
        <w:numPr>
          <w:ilvl w:val="0"/>
          <w:numId w:val="4"/>
        </w:numPr>
      </w:pPr>
      <w:r w:rsidRPr="00A735B4">
        <w:t>Land border crossing times</w:t>
      </w:r>
    </w:p>
    <w:p w14:paraId="583D6E07" w14:textId="18B3E8FC" w:rsidR="00C4454D" w:rsidRPr="00A735B4" w:rsidRDefault="00C4454D" w:rsidP="00C4454D">
      <w:pPr>
        <w:numPr>
          <w:ilvl w:val="0"/>
          <w:numId w:val="4"/>
        </w:numPr>
      </w:pPr>
      <w:r w:rsidRPr="00A735B4">
        <w:t>Informal transit control times and costs (bribes)</w:t>
      </w:r>
    </w:p>
    <w:p w14:paraId="47B2D4F7" w14:textId="48FDD174" w:rsidR="00C4454D" w:rsidRPr="00A735B4" w:rsidRDefault="00C4454D" w:rsidP="00C4454D">
      <w:pPr>
        <w:numPr>
          <w:ilvl w:val="0"/>
          <w:numId w:val="4"/>
        </w:numPr>
      </w:pPr>
      <w:r w:rsidRPr="00A735B4">
        <w:lastRenderedPageBreak/>
        <w:t>Time spent at formal weigh stations and other legal control points</w:t>
      </w:r>
    </w:p>
    <w:p w14:paraId="32A0DA14" w14:textId="4C593B09" w:rsidR="00C4454D" w:rsidRPr="00A735B4" w:rsidRDefault="00C4454D" w:rsidP="00C4454D">
      <w:pPr>
        <w:numPr>
          <w:ilvl w:val="0"/>
          <w:numId w:val="4"/>
        </w:numPr>
      </w:pPr>
      <w:r w:rsidRPr="00A735B4">
        <w:t>Numbers of trucks leaving/entering ports</w:t>
      </w:r>
    </w:p>
    <w:p w14:paraId="5FDAFCA4" w14:textId="77777777" w:rsidR="00C4454D" w:rsidRPr="00A735B4" w:rsidRDefault="00C4454D" w:rsidP="00C4454D">
      <w:pPr>
        <w:numPr>
          <w:ilvl w:val="0"/>
          <w:numId w:val="4"/>
        </w:numPr>
      </w:pPr>
      <w:r w:rsidRPr="00A735B4">
        <w:t>Numbers of trucks crossing land borders.</w:t>
      </w:r>
    </w:p>
    <w:p w14:paraId="6F1B1570" w14:textId="77777777" w:rsidR="00C4454D" w:rsidRPr="00A735B4" w:rsidRDefault="00C4454D" w:rsidP="00C4454D">
      <w:pPr>
        <w:autoSpaceDE w:val="0"/>
        <w:autoSpaceDN w:val="0"/>
        <w:adjustRightInd w:val="0"/>
      </w:pPr>
    </w:p>
    <w:p w14:paraId="7D125F2C" w14:textId="65A5B899" w:rsidR="00C4454D" w:rsidRPr="00A735B4" w:rsidRDefault="00C4454D" w:rsidP="00C4454D">
      <w:pPr>
        <w:numPr>
          <w:ilvl w:val="0"/>
          <w:numId w:val="2"/>
        </w:numPr>
        <w:spacing w:before="240" w:after="240"/>
        <w:ind w:left="0" w:firstLine="0"/>
        <w:jc w:val="both"/>
      </w:pPr>
      <w:r w:rsidRPr="00A735B4">
        <w:t>There are several different approaches for obtaining data for corridor monitoring. Three methodologies can be distinguished according to the way the information is generated (Raballand and others 2008):</w:t>
      </w:r>
    </w:p>
    <w:p w14:paraId="44DA13FE" w14:textId="77777777" w:rsidR="00C4454D" w:rsidRPr="00A735B4" w:rsidRDefault="00C4454D" w:rsidP="00C4454D">
      <w:pPr>
        <w:spacing w:before="240" w:after="240"/>
        <w:jc w:val="both"/>
      </w:pPr>
    </w:p>
    <w:p w14:paraId="7D3DDE99" w14:textId="21A7A15F" w:rsidR="00C4454D" w:rsidRPr="00A735B4" w:rsidRDefault="00C4454D" w:rsidP="00C4454D">
      <w:pPr>
        <w:numPr>
          <w:ilvl w:val="0"/>
          <w:numId w:val="5"/>
        </w:numPr>
        <w:autoSpaceDE w:val="0"/>
        <w:autoSpaceDN w:val="0"/>
        <w:adjustRightInd w:val="0"/>
      </w:pPr>
      <w:r w:rsidRPr="00A735B4">
        <w:t>Questionnaires filled by trip operators/drivers. Selected truck drivers may be asked to fill in trip sheets in which they report all the official and nonofficial stops made and document all official payments and bribes.</w:t>
      </w:r>
    </w:p>
    <w:p w14:paraId="49917FEE" w14:textId="77777777" w:rsidR="00C4454D" w:rsidRPr="00A735B4" w:rsidRDefault="00C4454D" w:rsidP="00C4454D">
      <w:pPr>
        <w:numPr>
          <w:ilvl w:val="0"/>
          <w:numId w:val="5"/>
        </w:numPr>
        <w:autoSpaceDE w:val="0"/>
        <w:autoSpaceDN w:val="0"/>
        <w:adjustRightInd w:val="0"/>
      </w:pPr>
      <w:r w:rsidRPr="00A735B4">
        <w:t>Surveys by independent enumerators on the behavior at bottlenecks. Observers might be posted before and after border-crossings to report the time needed to cross the border or the number of trucks transiting.</w:t>
      </w:r>
    </w:p>
    <w:p w14:paraId="6DE59A1C" w14:textId="77777777" w:rsidR="00C4454D" w:rsidRPr="00A735B4" w:rsidRDefault="00C4454D" w:rsidP="00C4454D">
      <w:pPr>
        <w:numPr>
          <w:ilvl w:val="0"/>
          <w:numId w:val="5"/>
        </w:numPr>
        <w:autoSpaceDE w:val="0"/>
        <w:autoSpaceDN w:val="0"/>
        <w:adjustRightInd w:val="0"/>
      </w:pPr>
      <w:r w:rsidRPr="00A735B4">
        <w:t>Data sharing with freight forwarders, port authorities, and customs agencies. Existing information on traffic, transport time/cost, and clearance time data is obtained from the respective services.</w:t>
      </w:r>
    </w:p>
    <w:p w14:paraId="1C561D69" w14:textId="77777777" w:rsidR="00C4454D" w:rsidRPr="00A735B4" w:rsidRDefault="00C4454D" w:rsidP="00C4454D">
      <w:pPr>
        <w:autoSpaceDE w:val="0"/>
        <w:autoSpaceDN w:val="0"/>
        <w:adjustRightInd w:val="0"/>
      </w:pPr>
    </w:p>
    <w:p w14:paraId="2EB2F4BA" w14:textId="3EC3DDFB" w:rsidR="00C4454D" w:rsidRPr="00A735B4" w:rsidRDefault="00C4454D" w:rsidP="00C4454D">
      <w:pPr>
        <w:numPr>
          <w:ilvl w:val="0"/>
          <w:numId w:val="2"/>
        </w:numPr>
        <w:spacing w:before="240" w:after="240"/>
        <w:ind w:left="0" w:firstLine="0"/>
        <w:jc w:val="both"/>
      </w:pPr>
      <w:r w:rsidRPr="00A735B4">
        <w:t>Few corridor monitoring systems provide a complete make-up of the times and costs (and their variability) between the port and an inland destination, and none provides even total times and costs between intermediate locations, as would be needed to assess corridor improvement impacts on bilateral trade. Most of the monitoring systems provide total time and/or cost between the corridor port and one inland destination, but only partial indicators of the makeup of the time and/or cost. Usually the indictors are provided for containers and sometimes also for bulk and break-bulk cargoes.</w:t>
      </w:r>
    </w:p>
    <w:p w14:paraId="22634429" w14:textId="77777777" w:rsidR="00C4454D" w:rsidRPr="00A735B4" w:rsidRDefault="00C4454D" w:rsidP="00C4454D">
      <w:pPr>
        <w:spacing w:before="240" w:after="240"/>
        <w:jc w:val="both"/>
      </w:pPr>
    </w:p>
    <w:p w14:paraId="553AA266" w14:textId="09F0DDD0" w:rsidR="00C4454D" w:rsidRPr="00A735B4" w:rsidRDefault="00C4454D" w:rsidP="00C4454D">
      <w:pPr>
        <w:numPr>
          <w:ilvl w:val="0"/>
          <w:numId w:val="2"/>
        </w:numPr>
        <w:spacing w:before="240" w:after="240"/>
        <w:ind w:left="0" w:firstLine="0"/>
        <w:jc w:val="both"/>
      </w:pPr>
      <w:r w:rsidRPr="00A735B4">
        <w:t>There are two groups of trade corridors in Sub-Saharan Africa that provide information on trade and transport indicators.</w:t>
      </w:r>
      <w:r w:rsidRPr="00A735B4">
        <w:endnoteReference w:id="6"/>
      </w:r>
      <w:r w:rsidRPr="00A735B4">
        <w:t xml:space="preserve"> One is the Northern Corridor in East Africa and the other is a group of corridors in West and Central Africa.</w:t>
      </w:r>
      <w:r w:rsidRPr="00A735B4">
        <w:endnoteReference w:id="7"/>
      </w:r>
      <w:r w:rsidRPr="00A735B4">
        <w:t xml:space="preserve"> The first only provides monitoring indicators, but the second provides monitoring and performance indicators. Consideration of the performance indicators is important, as the monitoring indicators in East and West African corridors do not provide the information that is needed to measure changes in all transaction costs or changes in intraregional trade. </w:t>
      </w:r>
    </w:p>
    <w:p w14:paraId="45750429" w14:textId="77777777" w:rsidR="00C4454D" w:rsidRPr="00A735B4" w:rsidRDefault="00C4454D" w:rsidP="00C4454D"/>
    <w:p w14:paraId="352D8252" w14:textId="787A2543" w:rsidR="00C4454D" w:rsidRPr="00A735B4" w:rsidRDefault="00C4454D" w:rsidP="00C4454D">
      <w:pPr>
        <w:numPr>
          <w:ilvl w:val="0"/>
          <w:numId w:val="2"/>
        </w:numPr>
        <w:spacing w:before="240" w:after="240"/>
        <w:ind w:left="0" w:firstLine="0"/>
        <w:jc w:val="both"/>
      </w:pPr>
      <w:r w:rsidRPr="00A735B4">
        <w:lastRenderedPageBreak/>
        <w:t xml:space="preserve">Monitoring of transport performance, and to a minimum extent also trade performance, of the Northern Corridor has been undertaken for at least 15 years, much longer than for any other corridor in Africa. The quality of the monitoring has dramatically increased since a regular source of funding has been available to the Northern Corridor Transit and Transport Coordinating Committee, which undertakes the monitoring tasks. </w:t>
      </w:r>
    </w:p>
    <w:p w14:paraId="2DED4D12" w14:textId="77777777" w:rsidR="00C4454D" w:rsidRPr="00A735B4" w:rsidRDefault="00C4454D" w:rsidP="00C4454D"/>
    <w:p w14:paraId="03B277BF" w14:textId="3E9610D9" w:rsidR="00C4454D" w:rsidRPr="00A735B4" w:rsidRDefault="00C4454D" w:rsidP="00C4454D">
      <w:pPr>
        <w:numPr>
          <w:ilvl w:val="0"/>
          <w:numId w:val="2"/>
        </w:numPr>
        <w:spacing w:before="240" w:after="240"/>
        <w:ind w:left="0" w:firstLine="0"/>
        <w:jc w:val="both"/>
      </w:pPr>
      <w:r w:rsidRPr="00A735B4">
        <w:t>West Africa trade and transport corridors lack an organization equivalent to the Trade and Transport Coordinating Committee in the Northern Corridor (except for the Abidjan-Lagos Corridor). Without such a focus for the collection of monitoring data, its collection is not well planned and tends to be left to aid agencies to organize and finance.</w:t>
      </w:r>
    </w:p>
    <w:p w14:paraId="70A88372" w14:textId="77777777" w:rsidR="00C4454D" w:rsidRPr="00A735B4" w:rsidRDefault="00C4454D" w:rsidP="00C4454D"/>
    <w:p w14:paraId="0BC79AF0" w14:textId="1E111C2B" w:rsidR="00C4454D" w:rsidRPr="00A735B4" w:rsidRDefault="00C4454D" w:rsidP="00C4454D">
      <w:pPr>
        <w:numPr>
          <w:ilvl w:val="0"/>
          <w:numId w:val="2"/>
        </w:numPr>
        <w:spacing w:before="240" w:after="240"/>
        <w:ind w:left="0" w:firstLine="0"/>
        <w:jc w:val="both"/>
      </w:pPr>
      <w:r w:rsidRPr="00A735B4">
        <w:t xml:space="preserve">One such donor-supported initiative is the Observatory for Abnormal Practices (OPA), which has evolved into a project for Improved Road Transport Governance. It represents a West African Economic and Monetary Union (UEMOA)/ECOWAS coordinated project aimed at collecting data on selected abnormal practices experienced along international corridors in West Africa. The objective is to publish and disseminate the results as part of an advocacy to bring about improvements in corridor performance. The Observatory started collecting data in 2006 with the financial and technical support of the U.S. Agency for International Development (USAID) West Africa Trade Hub. </w:t>
      </w:r>
    </w:p>
    <w:p w14:paraId="038F99AC" w14:textId="77777777" w:rsidR="00C4454D" w:rsidRPr="00A735B4" w:rsidRDefault="00C4454D" w:rsidP="00C4454D"/>
    <w:p w14:paraId="3706FC9B" w14:textId="11725991" w:rsidR="00C4454D" w:rsidRPr="00A735B4" w:rsidRDefault="00C4454D" w:rsidP="00C4454D">
      <w:pPr>
        <w:numPr>
          <w:ilvl w:val="0"/>
          <w:numId w:val="2"/>
        </w:numPr>
        <w:spacing w:before="240" w:after="240"/>
        <w:ind w:left="0" w:firstLine="0"/>
        <w:jc w:val="both"/>
      </w:pPr>
      <w:r w:rsidRPr="00A735B4">
        <w:t>Given the origins of the OPA, the indicators that are collected focus on one specific aspect of performance, that is, the incidence of informal “abnormal practices.” In particular, this refers to the incidence of formal and informal checkpoints and who operates them, the time taken to pass through them, and the amount of any bribes that are paid to pass through or to pass through more quickly.</w:t>
      </w:r>
    </w:p>
    <w:p w14:paraId="221584BA" w14:textId="77777777" w:rsidR="00C4454D" w:rsidRPr="00A735B4" w:rsidRDefault="00C4454D" w:rsidP="00C4454D"/>
    <w:p w14:paraId="2E9192D0" w14:textId="77777777" w:rsidR="00C4454D" w:rsidRPr="00A735B4" w:rsidRDefault="00C4454D" w:rsidP="00C4454D">
      <w:pPr>
        <w:numPr>
          <w:ilvl w:val="0"/>
          <w:numId w:val="2"/>
        </w:numPr>
        <w:spacing w:before="240" w:after="240"/>
        <w:ind w:left="0" w:firstLine="0"/>
        <w:jc w:val="both"/>
      </w:pPr>
      <w:r w:rsidRPr="00A735B4">
        <w:t>In particular, truck drivers are asked to fill out surveys with information on the number of control points, delays, and illicit charges. This information is collected for several major transport corridors, notably Tema-Ouagadougou, Ouagadougou-Bamako via Koury, Ouagadougou-Bamako via Hérémakono, Lomé-Ouagadougou, Dakar-Bamako, Abidjan-Ouagadougou, and Abidjan-Bamako.</w:t>
      </w:r>
    </w:p>
    <w:p w14:paraId="21B9F4BB" w14:textId="77777777" w:rsidR="00C4454D" w:rsidRPr="00A735B4" w:rsidRDefault="00C4454D" w:rsidP="00C4454D"/>
    <w:p w14:paraId="75EE6220" w14:textId="2891624A" w:rsidR="00C4454D" w:rsidRPr="00A735B4" w:rsidRDefault="00C4454D" w:rsidP="00C4454D">
      <w:pPr>
        <w:numPr>
          <w:ilvl w:val="0"/>
          <w:numId w:val="2"/>
        </w:numPr>
        <w:spacing w:before="240" w:after="240"/>
        <w:ind w:left="0" w:firstLine="0"/>
        <w:jc w:val="both"/>
      </w:pPr>
      <w:r w:rsidRPr="00A735B4">
        <w:t xml:space="preserve">OPA publishes the results of its surveys in quarterly reports that are made available on its website. These contain an overview of developments over time (figure 4.2), as well as summaries of particular abnormal practices, such as the number of road controls (figure 4.3), the delays caused (figure 4.4), or the amounts of bribes asked. Similar information is collected and published by the Permanent Interstate Committee for Drought Control in the Sahel </w:t>
      </w:r>
      <w:r w:rsidRPr="00A735B4">
        <w:rPr>
          <w:color w:val="545454"/>
        </w:rPr>
        <w:t>(</w:t>
      </w:r>
      <w:r w:rsidRPr="00A735B4">
        <w:t>CILSS) for agricultural trade along several of the major transport routes (CILSS 2014).</w:t>
      </w:r>
    </w:p>
    <w:p w14:paraId="55376EAB" w14:textId="77777777" w:rsidR="00C4454D" w:rsidRPr="00A735B4" w:rsidRDefault="00C4454D" w:rsidP="00C4454D"/>
    <w:p w14:paraId="4A9D7880" w14:textId="06B5DEA9" w:rsidR="00C4454D" w:rsidRPr="00A735B4" w:rsidRDefault="00C4454D" w:rsidP="00C4454D">
      <w:pPr>
        <w:numPr>
          <w:ilvl w:val="0"/>
          <w:numId w:val="2"/>
        </w:numPr>
        <w:spacing w:before="240" w:after="240"/>
        <w:ind w:left="0" w:firstLine="0"/>
        <w:jc w:val="both"/>
      </w:pPr>
      <w:r w:rsidRPr="00A735B4">
        <w:t>These data provide a variable picture. While figure 4.2 shows a general improvement since 2009, figure 4.4 gives a much more mixed and volatile account from which it is difficult to draw clear conclusions. This raises the issue of whether the situation really has involved a large number of ups and downs and lack of progress overall, or reflects the underlying methodology whereby data are collected from trucker surveys at specific moments rather than over a sustained period over time.</w:t>
      </w:r>
    </w:p>
    <w:p w14:paraId="1624B34C" w14:textId="16D8E5B1" w:rsidR="00C4454D" w:rsidRPr="00A735B4" w:rsidRDefault="00C4454D" w:rsidP="00C4454D">
      <w:pPr>
        <w:jc w:val="center"/>
        <w:rPr>
          <w:color w:val="1F497D" w:themeColor="text2"/>
          <w:sz w:val="24"/>
          <w:szCs w:val="24"/>
        </w:rPr>
      </w:pPr>
      <w:bookmarkStart w:id="36" w:name="_Toc410823484"/>
      <w:r w:rsidRPr="00A735B4">
        <w:rPr>
          <w:color w:val="1F497D" w:themeColor="text2"/>
          <w:sz w:val="24"/>
          <w:szCs w:val="24"/>
        </w:rPr>
        <w:t>Figure 4.2 Road transport governance indicators in West Africa (per 100 km)</w:t>
      </w:r>
      <w:bookmarkEnd w:id="36"/>
    </w:p>
    <w:p w14:paraId="18FF3A90" w14:textId="77777777" w:rsidR="00C4454D" w:rsidRPr="00A735B4" w:rsidRDefault="00C4454D" w:rsidP="00C4454D">
      <w:pPr>
        <w:jc w:val="center"/>
      </w:pPr>
      <w:r w:rsidRPr="00A735B4">
        <w:rPr>
          <w:noProof/>
        </w:rPr>
        <w:drawing>
          <wp:inline distT="0" distB="0" distL="0" distR="0" wp14:anchorId="134B9AEB" wp14:editId="73032FE4">
            <wp:extent cx="5485273" cy="2933700"/>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rderless-overview.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87544" cy="2934915"/>
                    </a:xfrm>
                    <a:prstGeom prst="rect">
                      <a:avLst/>
                    </a:prstGeom>
                  </pic:spPr>
                </pic:pic>
              </a:graphicData>
            </a:graphic>
          </wp:inline>
        </w:drawing>
      </w:r>
    </w:p>
    <w:p w14:paraId="12765286" w14:textId="3CBB2BF4" w:rsidR="00C4454D" w:rsidRPr="00A735B4" w:rsidRDefault="00C4454D" w:rsidP="00C4454D">
      <w:pPr>
        <w:autoSpaceDE w:val="0"/>
        <w:autoSpaceDN w:val="0"/>
        <w:adjustRightInd w:val="0"/>
        <w:snapToGrid w:val="0"/>
        <w:rPr>
          <w:sz w:val="20"/>
        </w:rPr>
      </w:pPr>
      <w:r w:rsidRPr="00A735B4">
        <w:rPr>
          <w:i/>
          <w:sz w:val="20"/>
        </w:rPr>
        <w:t xml:space="preserve">      Source</w:t>
      </w:r>
      <w:r w:rsidRPr="00A735B4">
        <w:rPr>
          <w:sz w:val="20"/>
        </w:rPr>
        <w:t>: Borderless Alliance 2013.</w:t>
      </w:r>
      <w:bookmarkStart w:id="37" w:name="_Ref404721780"/>
    </w:p>
    <w:p w14:paraId="60489899" w14:textId="77777777" w:rsidR="00C4454D" w:rsidRPr="00A735B4" w:rsidRDefault="00C4454D" w:rsidP="00C4454D">
      <w:pPr>
        <w:autoSpaceDE w:val="0"/>
        <w:autoSpaceDN w:val="0"/>
        <w:adjustRightInd w:val="0"/>
        <w:snapToGrid w:val="0"/>
        <w:rPr>
          <w:sz w:val="20"/>
        </w:rPr>
      </w:pPr>
    </w:p>
    <w:p w14:paraId="5C130F14" w14:textId="77777777" w:rsidR="00C4454D" w:rsidRPr="00A735B4" w:rsidRDefault="00C4454D" w:rsidP="00C4454D">
      <w:pPr>
        <w:autoSpaceDE w:val="0"/>
        <w:autoSpaceDN w:val="0"/>
        <w:adjustRightInd w:val="0"/>
        <w:snapToGrid w:val="0"/>
        <w:rPr>
          <w:color w:val="1F497D" w:themeColor="text2"/>
          <w:sz w:val="20"/>
        </w:rPr>
      </w:pPr>
    </w:p>
    <w:p w14:paraId="623668E0" w14:textId="5AEFA44C" w:rsidR="00C4454D" w:rsidRPr="00A735B4" w:rsidRDefault="00C4454D" w:rsidP="00C4454D">
      <w:pPr>
        <w:jc w:val="center"/>
        <w:rPr>
          <w:color w:val="1F497D" w:themeColor="text2"/>
          <w:sz w:val="24"/>
          <w:szCs w:val="24"/>
        </w:rPr>
      </w:pPr>
      <w:bookmarkStart w:id="38" w:name="_Toc410823485"/>
      <w:bookmarkEnd w:id="37"/>
      <w:r w:rsidRPr="00A735B4">
        <w:rPr>
          <w:color w:val="1F497D" w:themeColor="text2"/>
          <w:sz w:val="24"/>
          <w:szCs w:val="24"/>
        </w:rPr>
        <w:t>Figure 4.3 Number of controls in West Africa (per 100 km)</w:t>
      </w:r>
      <w:bookmarkEnd w:id="38"/>
    </w:p>
    <w:p w14:paraId="5C6247D1" w14:textId="77777777" w:rsidR="00C4454D" w:rsidRPr="00A735B4" w:rsidRDefault="00C4454D" w:rsidP="00C4454D">
      <w:pPr>
        <w:ind w:left="810" w:hanging="810"/>
        <w:jc w:val="center"/>
      </w:pPr>
      <w:r w:rsidRPr="00A735B4">
        <w:rPr>
          <w:noProof/>
        </w:rPr>
        <w:lastRenderedPageBreak/>
        <w:drawing>
          <wp:inline distT="0" distB="0" distL="0" distR="0" wp14:anchorId="76117A7C" wp14:editId="1794CD7A">
            <wp:extent cx="5480462" cy="3135086"/>
            <wp:effectExtent l="0" t="0" r="635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rderless-controls.jpg"/>
                    <pic:cNvPicPr/>
                  </pic:nvPicPr>
                  <pic:blipFill>
                    <a:blip r:embed="rId19">
                      <a:extLst>
                        <a:ext uri="{28A0092B-C50C-407E-A947-70E740481C1C}">
                          <a14:useLocalDpi xmlns:a14="http://schemas.microsoft.com/office/drawing/2010/main" val="0"/>
                        </a:ext>
                      </a:extLst>
                    </a:blip>
                    <a:stretch>
                      <a:fillRect/>
                    </a:stretch>
                  </pic:blipFill>
                  <pic:spPr>
                    <a:xfrm>
                      <a:off x="0" y="0"/>
                      <a:ext cx="5486400" cy="3138483"/>
                    </a:xfrm>
                    <a:prstGeom prst="rect">
                      <a:avLst/>
                    </a:prstGeom>
                  </pic:spPr>
                </pic:pic>
              </a:graphicData>
            </a:graphic>
          </wp:inline>
        </w:drawing>
      </w:r>
    </w:p>
    <w:p w14:paraId="416A1317" w14:textId="1E5DEB63" w:rsidR="00C4454D" w:rsidRPr="00A735B4" w:rsidRDefault="00C4454D" w:rsidP="00C4454D">
      <w:pPr>
        <w:autoSpaceDE w:val="0"/>
        <w:autoSpaceDN w:val="0"/>
        <w:adjustRightInd w:val="0"/>
        <w:snapToGrid w:val="0"/>
      </w:pPr>
      <w:r w:rsidRPr="00A735B4">
        <w:rPr>
          <w:i/>
          <w:sz w:val="20"/>
        </w:rPr>
        <w:t xml:space="preserve">       Source</w:t>
      </w:r>
      <w:r w:rsidRPr="00A735B4">
        <w:rPr>
          <w:sz w:val="20"/>
        </w:rPr>
        <w:t>: Borderless Alliance 2013.</w:t>
      </w:r>
    </w:p>
    <w:p w14:paraId="1D6B1DFE" w14:textId="77777777" w:rsidR="00C4454D" w:rsidRPr="00A735B4" w:rsidRDefault="00C4454D" w:rsidP="00C4454D">
      <w:pPr>
        <w:keepNext/>
        <w:autoSpaceDE w:val="0"/>
        <w:autoSpaceDN w:val="0"/>
        <w:adjustRightInd w:val="0"/>
        <w:rPr>
          <w:sz w:val="16"/>
        </w:rPr>
      </w:pPr>
    </w:p>
    <w:p w14:paraId="5C5140F4" w14:textId="77777777" w:rsidR="00C4454D" w:rsidRPr="00A735B4" w:rsidRDefault="00C4454D" w:rsidP="00C4454D">
      <w:pPr>
        <w:jc w:val="center"/>
        <w:rPr>
          <w:color w:val="1F497D" w:themeColor="text2"/>
          <w:sz w:val="24"/>
          <w:szCs w:val="24"/>
        </w:rPr>
      </w:pPr>
      <w:bookmarkStart w:id="39" w:name="_Toc410823486"/>
    </w:p>
    <w:p w14:paraId="316A5B70" w14:textId="4EC81B39" w:rsidR="00C4454D" w:rsidRPr="00A735B4" w:rsidRDefault="00C4454D" w:rsidP="00C4454D">
      <w:pPr>
        <w:jc w:val="center"/>
        <w:rPr>
          <w:color w:val="1F497D" w:themeColor="text2"/>
          <w:sz w:val="24"/>
          <w:szCs w:val="24"/>
        </w:rPr>
      </w:pPr>
      <w:r w:rsidRPr="00A735B4">
        <w:rPr>
          <w:color w:val="1F497D" w:themeColor="text2"/>
          <w:sz w:val="24"/>
          <w:szCs w:val="24"/>
        </w:rPr>
        <w:t>Figure 4.4 Delays caused by road controls in West Africa (minutes per 100 km)</w:t>
      </w:r>
      <w:bookmarkEnd w:id="39"/>
    </w:p>
    <w:p w14:paraId="58429A13" w14:textId="77777777" w:rsidR="00C4454D" w:rsidRPr="00A735B4" w:rsidRDefault="00C4454D" w:rsidP="00C4454D">
      <w:pPr>
        <w:keepNext/>
        <w:autoSpaceDE w:val="0"/>
        <w:autoSpaceDN w:val="0"/>
        <w:adjustRightInd w:val="0"/>
        <w:jc w:val="center"/>
      </w:pPr>
      <w:r w:rsidRPr="00A735B4">
        <w:rPr>
          <w:noProof/>
        </w:rPr>
        <w:drawing>
          <wp:inline distT="0" distB="0" distL="0" distR="0" wp14:anchorId="429B807C" wp14:editId="629CF39B">
            <wp:extent cx="5486400" cy="278476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rderless-delays.jpg"/>
                    <pic:cNvPicPr/>
                  </pic:nvPicPr>
                  <pic:blipFill>
                    <a:blip r:embed="rId20">
                      <a:extLst>
                        <a:ext uri="{28A0092B-C50C-407E-A947-70E740481C1C}">
                          <a14:useLocalDpi xmlns:a14="http://schemas.microsoft.com/office/drawing/2010/main" val="0"/>
                        </a:ext>
                      </a:extLst>
                    </a:blip>
                    <a:stretch>
                      <a:fillRect/>
                    </a:stretch>
                  </pic:blipFill>
                  <pic:spPr>
                    <a:xfrm>
                      <a:off x="0" y="0"/>
                      <a:ext cx="5486400" cy="2784764"/>
                    </a:xfrm>
                    <a:prstGeom prst="rect">
                      <a:avLst/>
                    </a:prstGeom>
                  </pic:spPr>
                </pic:pic>
              </a:graphicData>
            </a:graphic>
          </wp:inline>
        </w:drawing>
      </w:r>
    </w:p>
    <w:p w14:paraId="0E1DA232" w14:textId="267BDADC" w:rsidR="00C4454D" w:rsidRPr="00A735B4" w:rsidRDefault="00C4454D" w:rsidP="00C4454D">
      <w:pPr>
        <w:keepNext/>
        <w:autoSpaceDE w:val="0"/>
        <w:autoSpaceDN w:val="0"/>
        <w:adjustRightInd w:val="0"/>
        <w:ind w:left="270" w:hanging="270"/>
        <w:rPr>
          <w:sz w:val="20"/>
        </w:rPr>
      </w:pPr>
      <w:r w:rsidRPr="00A735B4">
        <w:rPr>
          <w:i/>
          <w:sz w:val="20"/>
        </w:rPr>
        <w:t xml:space="preserve">    Source</w:t>
      </w:r>
      <w:r w:rsidRPr="00A735B4">
        <w:rPr>
          <w:sz w:val="20"/>
        </w:rPr>
        <w:t>: Borderless Alliance 2013.</w:t>
      </w:r>
    </w:p>
    <w:p w14:paraId="21E42318" w14:textId="77777777" w:rsidR="00C4454D" w:rsidRPr="00A735B4" w:rsidRDefault="00C4454D" w:rsidP="00C4454D">
      <w:pPr>
        <w:autoSpaceDE w:val="0"/>
        <w:autoSpaceDN w:val="0"/>
        <w:adjustRightInd w:val="0"/>
        <w:snapToGrid w:val="0"/>
      </w:pPr>
    </w:p>
    <w:p w14:paraId="48231BC5" w14:textId="77777777" w:rsidR="00C4454D" w:rsidRPr="00A735B4" w:rsidRDefault="00C4454D" w:rsidP="00C4454D"/>
    <w:p w14:paraId="05ED3C6C" w14:textId="7887F06D" w:rsidR="00C4454D" w:rsidRPr="00A735B4" w:rsidRDefault="00C4454D" w:rsidP="00C4454D">
      <w:pPr>
        <w:numPr>
          <w:ilvl w:val="0"/>
          <w:numId w:val="2"/>
        </w:numPr>
        <w:spacing w:before="240" w:after="240"/>
        <w:ind w:left="0" w:firstLine="0"/>
        <w:jc w:val="both"/>
      </w:pPr>
      <w:r w:rsidRPr="00A735B4">
        <w:t>In principle, roadblocks, delays, and illicit payments make it more costly for traders to ship their goods within countries and across the border into neighboring markets. Related information from corridor monitoring can thus improve the information base on trade transactions costs and is directly related to integration monitoring. Effective regional integration should lead to a reduction of trade transactions costs among partner countries and indicators such as those generated by Borderless and CILSS for West Africa can help to inform the policy dialogue on related progress.</w:t>
      </w:r>
    </w:p>
    <w:p w14:paraId="7933A544" w14:textId="77777777" w:rsidR="00C4454D" w:rsidRPr="00A735B4" w:rsidRDefault="00C4454D" w:rsidP="00C4454D"/>
    <w:p w14:paraId="4D581E15" w14:textId="5DECC030" w:rsidR="00C4454D" w:rsidRPr="00A735B4" w:rsidRDefault="00C4454D" w:rsidP="00C4454D">
      <w:pPr>
        <w:numPr>
          <w:ilvl w:val="0"/>
          <w:numId w:val="2"/>
        </w:numPr>
        <w:spacing w:before="240" w:after="240"/>
        <w:ind w:left="0" w:firstLine="0"/>
        <w:jc w:val="both"/>
      </w:pPr>
      <w:r w:rsidRPr="00A735B4">
        <w:t>However, there have been several one-off measures of performance indicators that come closer to this objective. One of the most comprehensive of these was the Logistics Cost Study of Transport Corridors in West and Central Africa, prepared for the World Bank in 2013. The objective of the study was to enable regional economic communities and individual countries to formulate policies that result in reduction of transaction costs along the main West and Central African corridors.</w:t>
      </w:r>
    </w:p>
    <w:p w14:paraId="4886F98C" w14:textId="77777777" w:rsidR="00C4454D" w:rsidRPr="00A735B4" w:rsidRDefault="00C4454D" w:rsidP="00C4454D"/>
    <w:p w14:paraId="7D205B9A" w14:textId="7C274A1F" w:rsidR="00C4454D" w:rsidRPr="00A735B4" w:rsidRDefault="00C4454D" w:rsidP="00C4454D">
      <w:pPr>
        <w:numPr>
          <w:ilvl w:val="0"/>
          <w:numId w:val="2"/>
        </w:numPr>
        <w:spacing w:before="240" w:after="240"/>
        <w:ind w:left="0" w:firstLine="0"/>
        <w:jc w:val="both"/>
      </w:pPr>
      <w:r w:rsidRPr="00A735B4">
        <w:t>This study made use of a microeconomic approach first developed by Arvis and others (2007). In this approach, the total logistics supply chain costs paid by the shipper/consignee to or from a landlocked country are identified as the sum of two components: the financial costs of logistics services and costs related to the economic impact of delays and uncertainties. The formal and informal transaction cost data were derived from a combination of transport company accounts and interviews with staff and drivers of the same companies The methodology is not easy to apply, as it involves interviewing representatives of transport companies and, as indicated in the report, they do not always have the data available and if they do, are not always willing to provide it.</w:t>
      </w:r>
    </w:p>
    <w:p w14:paraId="5D672ACA" w14:textId="77777777" w:rsidR="00C4454D" w:rsidRPr="00A735B4" w:rsidRDefault="00C4454D" w:rsidP="00C4454D"/>
    <w:p w14:paraId="59E16D5C" w14:textId="42190B0C" w:rsidR="00C4454D" w:rsidRPr="00A735B4" w:rsidRDefault="00C4454D" w:rsidP="00C4454D">
      <w:pPr>
        <w:numPr>
          <w:ilvl w:val="0"/>
          <w:numId w:val="2"/>
        </w:numPr>
        <w:spacing w:before="240" w:after="240"/>
        <w:ind w:left="0" w:firstLine="0"/>
        <w:jc w:val="both"/>
      </w:pPr>
      <w:r w:rsidRPr="00A735B4">
        <w:t>However, the regular monitoring indicators collected for the East and West Africa trade and transport corridors do not provide all the information needed to assess the trade impacts of measures to improve corridor performance. They only provide data on some of the components of total transaction costs. However, some additional monitoring indicators, it might be possible to come close to measuring total transaction costs. In particular, if a panel of interested transport companies could be established in the corridor under investigation, the collected information could facilitate the provision of consistent transaction costs over time.</w:t>
      </w:r>
    </w:p>
    <w:p w14:paraId="382D446E" w14:textId="77777777" w:rsidR="00C4454D" w:rsidRPr="00A735B4" w:rsidRDefault="00C4454D" w:rsidP="00C4454D">
      <w:pPr>
        <w:spacing w:before="240" w:after="240"/>
        <w:jc w:val="both"/>
      </w:pPr>
    </w:p>
    <w:p w14:paraId="3BA6F9EA" w14:textId="5BB35E68" w:rsidR="00C4454D" w:rsidRPr="00A735B4" w:rsidRDefault="00C4454D" w:rsidP="00C4454D">
      <w:pPr>
        <w:numPr>
          <w:ilvl w:val="0"/>
          <w:numId w:val="2"/>
        </w:numPr>
        <w:spacing w:before="240" w:after="240"/>
        <w:ind w:left="0" w:firstLine="0"/>
        <w:jc w:val="both"/>
      </w:pPr>
      <w:r w:rsidRPr="00A735B4">
        <w:t xml:space="preserve">Following the methodology used in the Logistics Cost Study of Transport Corridors in West and Central Africa, prepared for the World Bank in 2013, transaction costs could be estimated in two parts, financial costs and hidden costs. The cost information might also be collected only for specific products or supply chains. </w:t>
      </w:r>
    </w:p>
    <w:p w14:paraId="0FCE6A91" w14:textId="77777777" w:rsidR="00C4454D" w:rsidRPr="00A735B4" w:rsidRDefault="00C4454D" w:rsidP="00C4454D">
      <w:pPr>
        <w:autoSpaceDE w:val="0"/>
        <w:autoSpaceDN w:val="0"/>
        <w:adjustRightInd w:val="0"/>
        <w:snapToGrid w:val="0"/>
        <w:jc w:val="both"/>
      </w:pPr>
      <w:r w:rsidRPr="00A735B4">
        <w:lastRenderedPageBreak/>
        <w:t>The indicators of financial costs would be the following:</w:t>
      </w:r>
    </w:p>
    <w:p w14:paraId="7CDAE702" w14:textId="77777777" w:rsidR="00C4454D" w:rsidRPr="00A735B4" w:rsidRDefault="00C4454D" w:rsidP="00C4454D">
      <w:pPr>
        <w:autoSpaceDE w:val="0"/>
        <w:autoSpaceDN w:val="0"/>
        <w:adjustRightInd w:val="0"/>
        <w:snapToGrid w:val="0"/>
        <w:jc w:val="both"/>
      </w:pPr>
    </w:p>
    <w:p w14:paraId="74DD299D" w14:textId="3C2ABB0E" w:rsidR="00C4454D" w:rsidRPr="00A735B4" w:rsidRDefault="00C4454D" w:rsidP="00C4454D">
      <w:pPr>
        <w:numPr>
          <w:ilvl w:val="0"/>
          <w:numId w:val="6"/>
        </w:numPr>
        <w:autoSpaceDE w:val="0"/>
        <w:autoSpaceDN w:val="0"/>
        <w:adjustRightInd w:val="0"/>
        <w:snapToGrid w:val="0"/>
        <w:jc w:val="both"/>
      </w:pPr>
      <w:r w:rsidRPr="00A735B4">
        <w:t xml:space="preserve">Gateway charges (port costs) for the handling of freight within the port. These charges can usually be provided by shipping agents and/or freight forwarders. </w:t>
      </w:r>
    </w:p>
    <w:p w14:paraId="63926FD5" w14:textId="7379F18C" w:rsidR="00C4454D" w:rsidRPr="00A735B4" w:rsidRDefault="00C4454D" w:rsidP="00C4454D">
      <w:pPr>
        <w:numPr>
          <w:ilvl w:val="0"/>
          <w:numId w:val="6"/>
        </w:numPr>
        <w:autoSpaceDE w:val="0"/>
        <w:autoSpaceDN w:val="0"/>
        <w:adjustRightInd w:val="0"/>
        <w:snapToGrid w:val="0"/>
        <w:jc w:val="both"/>
      </w:pPr>
      <w:r w:rsidRPr="00A735B4">
        <w:t>Truck or rail tariffs. Average rail tariffs can sometimes be derived from railway financial accounts (if these are available); otherwise, the best sources are shipping agents and freight forwarders.</w:t>
      </w:r>
    </w:p>
    <w:p w14:paraId="03D92BB4" w14:textId="4CC3C23C" w:rsidR="00C4454D" w:rsidRPr="00A735B4" w:rsidRDefault="00C4454D" w:rsidP="00C4454D">
      <w:pPr>
        <w:numPr>
          <w:ilvl w:val="0"/>
          <w:numId w:val="6"/>
        </w:numPr>
        <w:autoSpaceDE w:val="0"/>
        <w:autoSpaceDN w:val="0"/>
        <w:adjustRightInd w:val="0"/>
        <w:snapToGrid w:val="0"/>
        <w:jc w:val="both"/>
      </w:pPr>
      <w:r w:rsidRPr="00A735B4">
        <w:t>Inland freight handling charges. These include customs and other formal agency charges as well as those to freight handling agents. They can sometimes be found in the financial accounts of the traders, but more often must be obtained from interview information.</w:t>
      </w:r>
    </w:p>
    <w:p w14:paraId="3D6E4C64" w14:textId="77777777" w:rsidR="00C4454D" w:rsidRPr="00A735B4" w:rsidRDefault="00C4454D" w:rsidP="00C4454D">
      <w:pPr>
        <w:autoSpaceDE w:val="0"/>
        <w:autoSpaceDN w:val="0"/>
        <w:adjustRightInd w:val="0"/>
        <w:snapToGrid w:val="0"/>
        <w:jc w:val="both"/>
      </w:pPr>
    </w:p>
    <w:p w14:paraId="4B75746A" w14:textId="3C081393" w:rsidR="00C4454D" w:rsidRPr="00A735B4" w:rsidRDefault="00C4454D" w:rsidP="00C4454D">
      <w:pPr>
        <w:numPr>
          <w:ilvl w:val="0"/>
          <w:numId w:val="2"/>
        </w:numPr>
        <w:autoSpaceDE w:val="0"/>
        <w:autoSpaceDN w:val="0"/>
        <w:adjustRightInd w:val="0"/>
        <w:snapToGrid w:val="0"/>
        <w:ind w:left="0" w:firstLine="0"/>
        <w:jc w:val="both"/>
      </w:pPr>
      <w:r w:rsidRPr="00A735B4">
        <w:t>The indicators of hidden charges are more difficult to measure. All sets of the corridor monitoring indicators include some measure of these costs. The indicators that are currently collected and that would be useful for this purpose include (from the West Africa corridor monitoring indicators, which are more complete than those for the Northern Corridor):</w:t>
      </w:r>
    </w:p>
    <w:p w14:paraId="73FFE969" w14:textId="77777777" w:rsidR="00C4454D" w:rsidRPr="00A735B4" w:rsidRDefault="00C4454D" w:rsidP="00C4454D">
      <w:pPr>
        <w:autoSpaceDE w:val="0"/>
        <w:autoSpaceDN w:val="0"/>
        <w:adjustRightInd w:val="0"/>
        <w:snapToGrid w:val="0"/>
        <w:jc w:val="both"/>
      </w:pPr>
    </w:p>
    <w:p w14:paraId="3BAA585B" w14:textId="70915F51" w:rsidR="00C4454D" w:rsidRPr="00A735B4" w:rsidRDefault="00C4454D" w:rsidP="00C4454D">
      <w:pPr>
        <w:numPr>
          <w:ilvl w:val="0"/>
          <w:numId w:val="7"/>
        </w:numPr>
        <w:autoSpaceDE w:val="0"/>
        <w:autoSpaceDN w:val="0"/>
        <w:adjustRightInd w:val="0"/>
        <w:snapToGrid w:val="0"/>
        <w:jc w:val="both"/>
      </w:pPr>
      <w:r w:rsidRPr="00A735B4">
        <w:t>Number of checkpoints, including border posts manned by official agencies (customs, police gendarmerie, health and forestry, immigration), expressed as number of checkpoints per km of route</w:t>
      </w:r>
    </w:p>
    <w:p w14:paraId="110C749A" w14:textId="56A32D0C" w:rsidR="00C4454D" w:rsidRPr="00A735B4" w:rsidRDefault="00C4454D" w:rsidP="00C4454D">
      <w:pPr>
        <w:numPr>
          <w:ilvl w:val="0"/>
          <w:numId w:val="7"/>
        </w:numPr>
        <w:autoSpaceDE w:val="0"/>
        <w:autoSpaceDN w:val="0"/>
        <w:adjustRightInd w:val="0"/>
        <w:snapToGrid w:val="0"/>
        <w:jc w:val="both"/>
      </w:pPr>
      <w:r w:rsidRPr="00A735B4">
        <w:t>Time taken to conduct controls at these checkpoints, expressed as total time and time per km of route</w:t>
      </w:r>
    </w:p>
    <w:p w14:paraId="25E1EDBF" w14:textId="6F7ACC1A" w:rsidR="00C4454D" w:rsidRPr="00A735B4" w:rsidRDefault="00C4454D" w:rsidP="00C4454D">
      <w:pPr>
        <w:numPr>
          <w:ilvl w:val="0"/>
          <w:numId w:val="7"/>
        </w:numPr>
        <w:autoSpaceDE w:val="0"/>
        <w:autoSpaceDN w:val="0"/>
        <w:adjustRightInd w:val="0"/>
        <w:snapToGrid w:val="0"/>
        <w:jc w:val="both"/>
      </w:pPr>
      <w:r w:rsidRPr="00A735B4">
        <w:t>Amount of bribes or unofficial payments paid and collected at the checkpoints, expressed as a total in U.S. dollars and U.S. dollars per km of route.</w:t>
      </w:r>
    </w:p>
    <w:p w14:paraId="676A7BE5" w14:textId="77777777" w:rsidR="00C4454D" w:rsidRPr="00A735B4" w:rsidRDefault="00C4454D" w:rsidP="00C4454D">
      <w:pPr>
        <w:autoSpaceDE w:val="0"/>
        <w:autoSpaceDN w:val="0"/>
        <w:adjustRightInd w:val="0"/>
        <w:snapToGrid w:val="0"/>
        <w:jc w:val="both"/>
      </w:pPr>
    </w:p>
    <w:p w14:paraId="7B1FF347" w14:textId="11043636" w:rsidR="00C4454D" w:rsidRPr="00A735B4" w:rsidRDefault="00C4454D" w:rsidP="00C4454D">
      <w:pPr>
        <w:numPr>
          <w:ilvl w:val="0"/>
          <w:numId w:val="2"/>
        </w:numPr>
        <w:autoSpaceDE w:val="0"/>
        <w:autoSpaceDN w:val="0"/>
        <w:adjustRightInd w:val="0"/>
        <w:snapToGrid w:val="0"/>
        <w:ind w:left="0" w:firstLine="0"/>
        <w:jc w:val="both"/>
      </w:pPr>
      <w:r w:rsidRPr="00A735B4">
        <w:t>Indicators of corridor trade volumes, other than those derived from port and customs data and national trade statistics, are also difficult to obtain. The missing element is data on trade that does not pass through the port and that is not collected at the inland border crossings. These data can be measured with specific analysis of land border customs data or from roadside surveys of truck operators. Suggested trade indicators from inland border customs agencies include trade flows (volume and value) between the countries involved in the corridor and some of their close neighbors (such as Tanzania for the Northern Corridor). From truck surveys, more detailed data can be obtained on origins and destinations of traded products, but only on a sample basis compared with the population basis for customs data. In addition, there is a chance of finding some evidence and quantification of otherwise unrecorded trade flows from these surveys.</w:t>
      </w:r>
    </w:p>
    <w:p w14:paraId="13C4EB00" w14:textId="3A9161A9" w:rsidR="00C4454D" w:rsidRPr="00A735B4" w:rsidRDefault="00C4454D" w:rsidP="00C4454D">
      <w:bookmarkStart w:id="40" w:name="_Toc404814812"/>
      <w:bookmarkStart w:id="41" w:name="_Toc419565235"/>
      <w:r w:rsidRPr="00A735B4">
        <w:t>Transactions-level data from customs</w:t>
      </w:r>
      <w:bookmarkEnd w:id="40"/>
      <w:r w:rsidRPr="00A735B4">
        <w:t xml:space="preserve"> agencies</w:t>
      </w:r>
      <w:bookmarkEnd w:id="41"/>
    </w:p>
    <w:p w14:paraId="04780A63" w14:textId="77777777" w:rsidR="00C4454D" w:rsidRPr="00A735B4" w:rsidRDefault="00C4454D" w:rsidP="00C4454D"/>
    <w:p w14:paraId="0C3331F6" w14:textId="73C39054" w:rsidR="00C4454D" w:rsidRPr="00A735B4" w:rsidRDefault="00C4454D" w:rsidP="00C4454D">
      <w:pPr>
        <w:numPr>
          <w:ilvl w:val="0"/>
          <w:numId w:val="2"/>
        </w:numPr>
        <w:ind w:left="0" w:firstLine="0"/>
        <w:jc w:val="both"/>
      </w:pPr>
      <w:r w:rsidRPr="00A735B4">
        <w:lastRenderedPageBreak/>
        <w:t>In recent years, data from customs agencies on firm-level exports and imports have increasingly become available. Based on such information from 38 developing and 7 developed countries, the World Bank released the Exporter Dynamics Database in 2012 (Cebeci and others 2012). A second release of an updated and expanded database was scheduled for early 2015.</w:t>
      </w:r>
    </w:p>
    <w:p w14:paraId="23107479" w14:textId="77777777" w:rsidR="00C4454D" w:rsidRPr="00A735B4" w:rsidRDefault="00C4454D" w:rsidP="00C4454D">
      <w:pPr>
        <w:jc w:val="both"/>
      </w:pPr>
    </w:p>
    <w:p w14:paraId="49511215" w14:textId="6B2D9CBC" w:rsidR="00C4454D" w:rsidRPr="00A735B4" w:rsidRDefault="00C4454D" w:rsidP="00C4454D">
      <w:pPr>
        <w:numPr>
          <w:ilvl w:val="0"/>
          <w:numId w:val="2"/>
        </w:numPr>
        <w:ind w:left="0" w:firstLine="0"/>
        <w:jc w:val="both"/>
      </w:pPr>
      <w:r w:rsidRPr="00A735B4">
        <w:t>This quantitative information at the individual firm level makes it possible to undertake cross-country comparisons of exporters based on factors such as size, survival, growth, and concentration. It can also be used to monitor the number of firms that are exporting to regional partners, and to analyze whether and to what extent firms that are exporting primarily to regional markets differ from those that are exporting globally. For example, data for West African countries suggest that in most cases (Niger is the exception) firms that are exporting regionally supply fewer markets than those that are exporting globally (figure 4.5). This finding seems to be driven by the global exporters being markedly larger in export value than regional exporters (figure 4.6).</w:t>
      </w:r>
      <w:bookmarkStart w:id="42" w:name="_Ref404812512"/>
    </w:p>
    <w:p w14:paraId="462F9E73" w14:textId="77777777" w:rsidR="00C4454D" w:rsidRPr="00A735B4" w:rsidRDefault="00C4454D" w:rsidP="00C4454D"/>
    <w:p w14:paraId="2BDE6E0E" w14:textId="3E4BA4FC" w:rsidR="00C4454D" w:rsidRPr="00A735B4" w:rsidRDefault="00C4454D" w:rsidP="00C4454D">
      <w:pPr>
        <w:numPr>
          <w:ilvl w:val="0"/>
          <w:numId w:val="2"/>
        </w:numPr>
        <w:ind w:left="0" w:firstLine="0"/>
        <w:jc w:val="both"/>
      </w:pPr>
      <w:r w:rsidRPr="00A735B4">
        <w:t>A question of central importance for the success of regional integration is whether firms can use the experience from exporting to regional partners as a springboard toward competitiveness in global markets. So far, the time-series in the Exporter Dynamics Database are not sufficiently long for African countries to address this issue conclusively. As more customs data are integrated into the database over time, regional integration monitoring could possibly draw on such firm-level information to integrate indicators that reflect the springboard character of regional markets.</w:t>
      </w:r>
    </w:p>
    <w:p w14:paraId="0F30E57B" w14:textId="77777777" w:rsidR="00C4454D" w:rsidRPr="00A735B4" w:rsidRDefault="00C4454D" w:rsidP="00C4454D">
      <w:pPr>
        <w:jc w:val="center"/>
        <w:rPr>
          <w:color w:val="1F497D" w:themeColor="text2"/>
        </w:rPr>
      </w:pPr>
    </w:p>
    <w:p w14:paraId="61E063B7" w14:textId="4369F9B5" w:rsidR="00C4454D" w:rsidRPr="00A735B4" w:rsidRDefault="00C4454D" w:rsidP="00C4454D">
      <w:pPr>
        <w:spacing w:after="0"/>
        <w:jc w:val="center"/>
        <w:rPr>
          <w:color w:val="1F497D" w:themeColor="text2"/>
        </w:rPr>
      </w:pPr>
      <w:bookmarkStart w:id="43" w:name="_Toc410823487"/>
      <w:bookmarkEnd w:id="42"/>
      <w:r w:rsidRPr="00A735B4">
        <w:rPr>
          <w:color w:val="1F497D" w:themeColor="text2"/>
        </w:rPr>
        <w:t>Figure 4.5 Number of markets supplied by exporters oriented toward global or regional partners, 2007–12</w:t>
      </w:r>
      <w:bookmarkEnd w:id="43"/>
    </w:p>
    <w:p w14:paraId="785E60FB" w14:textId="77777777" w:rsidR="00C4454D" w:rsidRPr="00A735B4" w:rsidRDefault="00C4454D" w:rsidP="00C4454D"/>
    <w:p w14:paraId="57BB86E7" w14:textId="77777777" w:rsidR="00C4454D" w:rsidRPr="00A735B4" w:rsidRDefault="00C4454D" w:rsidP="00C4454D">
      <w:pPr>
        <w:jc w:val="center"/>
      </w:pPr>
      <w:r w:rsidRPr="00A735B4">
        <w:rPr>
          <w:noProof/>
        </w:rPr>
        <w:drawing>
          <wp:inline distT="0" distB="0" distL="0" distR="0" wp14:anchorId="3A3A63FD" wp14:editId="6D1AC337">
            <wp:extent cx="4572000" cy="2286000"/>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033205D" w14:textId="59B205EA" w:rsidR="00C4454D" w:rsidRPr="00A735B4" w:rsidRDefault="00C4454D" w:rsidP="00C4454D">
      <w:pPr>
        <w:keepNext/>
        <w:autoSpaceDE w:val="0"/>
        <w:autoSpaceDN w:val="0"/>
        <w:adjustRightInd w:val="0"/>
        <w:ind w:firstLine="1080"/>
        <w:rPr>
          <w:sz w:val="20"/>
        </w:rPr>
      </w:pPr>
      <w:r w:rsidRPr="00A735B4">
        <w:rPr>
          <w:i/>
          <w:sz w:val="20"/>
        </w:rPr>
        <w:t>Source</w:t>
      </w:r>
      <w:r w:rsidRPr="00A735B4">
        <w:rPr>
          <w:sz w:val="20"/>
        </w:rPr>
        <w:t>: World Bank Exporter Dynamics Database.</w:t>
      </w:r>
    </w:p>
    <w:p w14:paraId="546D5E75" w14:textId="77777777" w:rsidR="00C4454D" w:rsidRPr="00A735B4" w:rsidRDefault="00C4454D" w:rsidP="00C4454D"/>
    <w:p w14:paraId="261BF9CB" w14:textId="385EF624" w:rsidR="00C4454D" w:rsidRPr="00A735B4" w:rsidRDefault="00C4454D">
      <w:pPr>
        <w:spacing w:after="200" w:line="276" w:lineRule="auto"/>
        <w:rPr>
          <w:b/>
          <w:bCs/>
          <w:color w:val="1F497D" w:themeColor="text2"/>
        </w:rPr>
      </w:pPr>
      <w:bookmarkStart w:id="44" w:name="_Toc410823488"/>
    </w:p>
    <w:p w14:paraId="1A4A9D85" w14:textId="0EE00A10" w:rsidR="00C4454D" w:rsidRPr="00A735B4" w:rsidRDefault="00C4454D" w:rsidP="00C4454D">
      <w:pPr>
        <w:spacing w:after="0"/>
        <w:jc w:val="center"/>
        <w:rPr>
          <w:color w:val="1F497D" w:themeColor="text2"/>
          <w:sz w:val="24"/>
          <w:szCs w:val="24"/>
        </w:rPr>
      </w:pPr>
      <w:r w:rsidRPr="00A735B4">
        <w:rPr>
          <w:color w:val="1F497D" w:themeColor="text2"/>
          <w:sz w:val="24"/>
          <w:szCs w:val="24"/>
        </w:rPr>
        <w:t>Figure 4.6 Average export values to regional markets,</w:t>
      </w:r>
      <w:bookmarkEnd w:id="44"/>
    </w:p>
    <w:p w14:paraId="3B89A759" w14:textId="007A088B" w:rsidR="00C4454D" w:rsidRPr="00A735B4" w:rsidRDefault="00C4454D" w:rsidP="00C4454D">
      <w:pPr>
        <w:spacing w:after="0"/>
        <w:jc w:val="center"/>
        <w:rPr>
          <w:color w:val="1F497D" w:themeColor="text2"/>
          <w:sz w:val="24"/>
          <w:szCs w:val="24"/>
        </w:rPr>
      </w:pPr>
      <w:r w:rsidRPr="00A735B4">
        <w:rPr>
          <w:color w:val="1F497D" w:themeColor="text2"/>
          <w:sz w:val="24"/>
          <w:szCs w:val="24"/>
        </w:rPr>
        <w:t>global markets, or both (US$, 2007–12)</w:t>
      </w:r>
    </w:p>
    <w:p w14:paraId="2AE5C55E" w14:textId="77777777" w:rsidR="00C4454D" w:rsidRPr="00A735B4" w:rsidRDefault="00C4454D" w:rsidP="00C4454D">
      <w:pPr>
        <w:autoSpaceDE w:val="0"/>
        <w:autoSpaceDN w:val="0"/>
        <w:adjustRightInd w:val="0"/>
        <w:jc w:val="center"/>
      </w:pPr>
      <w:r w:rsidRPr="00A735B4">
        <w:rPr>
          <w:noProof/>
        </w:rPr>
        <w:drawing>
          <wp:inline distT="0" distB="0" distL="0" distR="0" wp14:anchorId="36BFFACF" wp14:editId="7E05AB57">
            <wp:extent cx="4572000" cy="2743200"/>
            <wp:effectExtent l="0" t="0" r="19050" b="1905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BD17E4A" w14:textId="64A67AFC" w:rsidR="00C4454D" w:rsidRPr="00A735B4" w:rsidRDefault="00C4454D" w:rsidP="00C4454D">
      <w:pPr>
        <w:autoSpaceDE w:val="0"/>
        <w:autoSpaceDN w:val="0"/>
        <w:adjustRightInd w:val="0"/>
        <w:ind w:firstLine="990"/>
        <w:rPr>
          <w:sz w:val="20"/>
        </w:rPr>
      </w:pPr>
      <w:r w:rsidRPr="00A735B4">
        <w:rPr>
          <w:i/>
          <w:sz w:val="20"/>
        </w:rPr>
        <w:t>Source</w:t>
      </w:r>
      <w:r w:rsidRPr="00A735B4">
        <w:rPr>
          <w:sz w:val="20"/>
        </w:rPr>
        <w:t>: World Bank Exporter Dynamics Database.</w:t>
      </w:r>
    </w:p>
    <w:p w14:paraId="3EE6C03D" w14:textId="77777777" w:rsidR="00C4454D" w:rsidRPr="00A735B4" w:rsidRDefault="00C4454D" w:rsidP="00C4454D">
      <w:pPr>
        <w:autoSpaceDE w:val="0"/>
        <w:autoSpaceDN w:val="0"/>
        <w:adjustRightInd w:val="0"/>
        <w:ind w:firstLine="990"/>
        <w:rPr>
          <w:sz w:val="20"/>
        </w:rPr>
      </w:pPr>
    </w:p>
    <w:p w14:paraId="3569B875" w14:textId="77777777" w:rsidR="00C4454D" w:rsidRPr="00A735B4" w:rsidRDefault="00C4454D" w:rsidP="00C4454D">
      <w:bookmarkStart w:id="45" w:name="_Toc404814813"/>
      <w:bookmarkStart w:id="46" w:name="_Toc419565236"/>
      <w:r w:rsidRPr="00A735B4">
        <w:t>Information on product price differences</w:t>
      </w:r>
      <w:bookmarkEnd w:id="45"/>
      <w:bookmarkEnd w:id="46"/>
    </w:p>
    <w:p w14:paraId="33D6213E" w14:textId="77777777" w:rsidR="00C4454D" w:rsidRPr="00A735B4" w:rsidRDefault="00C4454D" w:rsidP="00C4454D">
      <w:pPr>
        <w:keepNext/>
        <w:keepLines/>
        <w:jc w:val="both"/>
      </w:pPr>
    </w:p>
    <w:p w14:paraId="38C61EF7" w14:textId="77777777" w:rsidR="00C4454D" w:rsidRPr="00A735B4" w:rsidRDefault="00C4454D" w:rsidP="00C4454D">
      <w:pPr>
        <w:keepNext/>
        <w:keepLines/>
        <w:numPr>
          <w:ilvl w:val="0"/>
          <w:numId w:val="2"/>
        </w:numPr>
        <w:ind w:left="0" w:firstLine="0"/>
        <w:jc w:val="both"/>
      </w:pPr>
      <w:r w:rsidRPr="00A735B4">
        <w:t>Market price comparisons represent an indirect form of measuring regional integration. If markets are competitive, prices in different locations should not differ by more than the trade transaction costs to ship goods between locations. So as trade transactions costs fall as the result of regional integration, the prices of comparable products on different sides of the border should converge.</w:t>
      </w:r>
    </w:p>
    <w:p w14:paraId="239EC299" w14:textId="77777777" w:rsidR="00C4454D" w:rsidRPr="00A735B4" w:rsidRDefault="00C4454D" w:rsidP="00C4454D">
      <w:pPr>
        <w:keepNext/>
        <w:keepLines/>
        <w:jc w:val="both"/>
      </w:pPr>
    </w:p>
    <w:p w14:paraId="1C9C2B65" w14:textId="61C9021E" w:rsidR="00C4454D" w:rsidRPr="00A735B4" w:rsidRDefault="00C4454D" w:rsidP="00C4454D">
      <w:pPr>
        <w:keepNext/>
        <w:keepLines/>
        <w:numPr>
          <w:ilvl w:val="0"/>
          <w:numId w:val="2"/>
        </w:numPr>
        <w:ind w:left="0" w:firstLine="0"/>
        <w:jc w:val="both"/>
      </w:pPr>
      <w:r w:rsidRPr="00A735B4">
        <w:t>Price comparisons face several challenges. First, prices between two locations might converge in line with local supply and demand conditions despite persistently high transactions costs. In this case, however, there would be no trade observed between the locations and the two markets would be disconnected. Hence, to use price comparisons for regional integration analysis, analysts have to make sure that trade is occurring. This can generally be assured by focusing on comparisons between production (surplus) regions and consumption (deficit) locations.</w:t>
      </w:r>
    </w:p>
    <w:p w14:paraId="2E3983EE" w14:textId="77777777" w:rsidR="00C4454D" w:rsidRPr="00A735B4" w:rsidRDefault="00C4454D" w:rsidP="00C4454D"/>
    <w:p w14:paraId="6F870AD0" w14:textId="77777777" w:rsidR="00C4454D" w:rsidRPr="00A735B4" w:rsidRDefault="00C4454D" w:rsidP="00C4454D">
      <w:pPr>
        <w:keepNext/>
        <w:keepLines/>
        <w:numPr>
          <w:ilvl w:val="0"/>
          <w:numId w:val="2"/>
        </w:numPr>
        <w:ind w:left="0" w:firstLine="0"/>
        <w:jc w:val="both"/>
      </w:pPr>
      <w:r w:rsidRPr="00A735B4">
        <w:lastRenderedPageBreak/>
        <w:t>Second, the local markets, in which prices are collected, need to be competitive. If local traders have market power, they can influence local prices and distort the comparisons. The findings from price comparison analysis would in this case be spurious.</w:t>
      </w:r>
    </w:p>
    <w:p w14:paraId="2AB6C719" w14:textId="77777777" w:rsidR="00C4454D" w:rsidRPr="00A735B4" w:rsidRDefault="00C4454D" w:rsidP="00C4454D"/>
    <w:p w14:paraId="4100D589" w14:textId="31ACCD7C" w:rsidR="00C4454D" w:rsidRPr="00A735B4" w:rsidRDefault="00C4454D" w:rsidP="00C4454D">
      <w:pPr>
        <w:keepNext/>
        <w:keepLines/>
        <w:numPr>
          <w:ilvl w:val="0"/>
          <w:numId w:val="2"/>
        </w:numPr>
        <w:ind w:left="0" w:firstLine="0"/>
        <w:jc w:val="both"/>
      </w:pPr>
      <w:r w:rsidRPr="00A735B4">
        <w:t>Third, the products under consideration need to be homogeneous. Comparisons should focus on goods or services of identical characteristics and quality. And many prices, especially those of agricultural products, are subject to strong seasonality, so it is important to base comparisons on information that is collected at the same relative point in time (i.e., the same stage in the season).</w:t>
      </w:r>
    </w:p>
    <w:p w14:paraId="580CBF3C" w14:textId="77777777" w:rsidR="00C4454D" w:rsidRPr="00A735B4" w:rsidRDefault="00C4454D" w:rsidP="00C4454D"/>
    <w:p w14:paraId="7C115229" w14:textId="4A8113EF" w:rsidR="00C4454D" w:rsidRPr="00A735B4" w:rsidRDefault="00C4454D" w:rsidP="00C4454D">
      <w:pPr>
        <w:keepNext/>
        <w:keepLines/>
        <w:numPr>
          <w:ilvl w:val="0"/>
          <w:numId w:val="2"/>
        </w:numPr>
        <w:ind w:left="0" w:firstLine="0"/>
        <w:jc w:val="both"/>
      </w:pPr>
      <w:r w:rsidRPr="00A735B4">
        <w:t xml:space="preserve">For 29 African countries, monthly information on staple food prices is available from USAID‘s </w:t>
      </w:r>
      <w:r w:rsidRPr="00A735B4">
        <w:rPr>
          <w:color w:val="545454"/>
        </w:rPr>
        <w:t>Famine Early Warning Systems Network (</w:t>
      </w:r>
      <w:r w:rsidRPr="00A735B4">
        <w:t>FEWSNET) project. FEWSNET staff do not themselves collect price data, but the project‘s in-country representatives assemble national data sets from data gathered by government agencies. Price data are collected at different stages: wholesale, retail, assembly market, and producer market, with retail prices showing the broadest coverage. Figure 4.7 provides an example of FEWSNET reporting of food staple prices in different regions in Zambia.</w:t>
      </w:r>
    </w:p>
    <w:p w14:paraId="0BEA2F4D" w14:textId="77777777" w:rsidR="00C4454D" w:rsidRPr="00A735B4" w:rsidRDefault="00C4454D">
      <w:pPr>
        <w:spacing w:after="200" w:line="276" w:lineRule="auto"/>
        <w:rPr>
          <w:b/>
          <w:bCs/>
          <w:color w:val="1F497D" w:themeColor="text2"/>
        </w:rPr>
      </w:pPr>
      <w:bookmarkStart w:id="47" w:name="_Toc410823489"/>
      <w:r w:rsidRPr="00A735B4">
        <w:rPr>
          <w:color w:val="1F497D" w:themeColor="text2"/>
        </w:rPr>
        <w:br w:type="page"/>
      </w:r>
    </w:p>
    <w:p w14:paraId="3F89E847" w14:textId="2E158DB5" w:rsidR="00C4454D" w:rsidRPr="00A735B4" w:rsidRDefault="00C4454D" w:rsidP="00C4454D">
      <w:pPr>
        <w:jc w:val="center"/>
        <w:rPr>
          <w:color w:val="1F497D" w:themeColor="text2"/>
          <w:sz w:val="24"/>
          <w:szCs w:val="24"/>
        </w:rPr>
      </w:pPr>
      <w:r w:rsidRPr="00A735B4">
        <w:rPr>
          <w:color w:val="1F497D" w:themeColor="text2"/>
          <w:sz w:val="24"/>
          <w:szCs w:val="24"/>
        </w:rPr>
        <w:lastRenderedPageBreak/>
        <w:t>Figure 4.7 Monthly maize prices in Zambia</w:t>
      </w:r>
      <w:bookmarkEnd w:id="47"/>
    </w:p>
    <w:p w14:paraId="28A0CF86" w14:textId="77777777" w:rsidR="00C4454D" w:rsidRPr="00A735B4" w:rsidRDefault="00C4454D" w:rsidP="00C4454D">
      <w:pPr>
        <w:keepNext/>
        <w:autoSpaceDE w:val="0"/>
        <w:autoSpaceDN w:val="0"/>
        <w:adjustRightInd w:val="0"/>
        <w:jc w:val="center"/>
      </w:pPr>
      <w:r w:rsidRPr="00A735B4">
        <w:rPr>
          <w:noProof/>
        </w:rPr>
        <w:drawing>
          <wp:inline distT="0" distB="0" distL="0" distR="0" wp14:anchorId="3A8B2822" wp14:editId="078F8030">
            <wp:extent cx="5486400" cy="2892670"/>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wsnet-zambia.jpg"/>
                    <pic:cNvPicPr/>
                  </pic:nvPicPr>
                  <pic:blipFill>
                    <a:blip r:embed="rId23">
                      <a:extLst>
                        <a:ext uri="{28A0092B-C50C-407E-A947-70E740481C1C}">
                          <a14:useLocalDpi xmlns:a14="http://schemas.microsoft.com/office/drawing/2010/main" val="0"/>
                        </a:ext>
                      </a:extLst>
                    </a:blip>
                    <a:stretch>
                      <a:fillRect/>
                    </a:stretch>
                  </pic:blipFill>
                  <pic:spPr>
                    <a:xfrm>
                      <a:off x="0" y="0"/>
                      <a:ext cx="5497123" cy="2898323"/>
                    </a:xfrm>
                    <a:prstGeom prst="rect">
                      <a:avLst/>
                    </a:prstGeom>
                  </pic:spPr>
                </pic:pic>
              </a:graphicData>
            </a:graphic>
          </wp:inline>
        </w:drawing>
      </w:r>
    </w:p>
    <w:p w14:paraId="3C461874" w14:textId="77777777" w:rsidR="00C4454D" w:rsidRPr="00A735B4" w:rsidRDefault="00C4454D" w:rsidP="00C4454D">
      <w:pPr>
        <w:keepNext/>
        <w:autoSpaceDE w:val="0"/>
        <w:autoSpaceDN w:val="0"/>
        <w:adjustRightInd w:val="0"/>
        <w:ind w:left="360"/>
        <w:rPr>
          <w:sz w:val="20"/>
        </w:rPr>
      </w:pPr>
      <w:r w:rsidRPr="00A735B4">
        <w:rPr>
          <w:i/>
          <w:sz w:val="20"/>
        </w:rPr>
        <w:t>Source</w:t>
      </w:r>
      <w:r w:rsidRPr="00A735B4">
        <w:rPr>
          <w:sz w:val="20"/>
        </w:rPr>
        <w:t>: FEWSNET.</w:t>
      </w:r>
    </w:p>
    <w:p w14:paraId="6824ECA2" w14:textId="77777777" w:rsidR="00C4454D" w:rsidRPr="00A735B4" w:rsidRDefault="00C4454D" w:rsidP="00C4454D"/>
    <w:p w14:paraId="6B970287" w14:textId="1598502E" w:rsidR="00C4454D" w:rsidRPr="00A735B4" w:rsidRDefault="00C4454D" w:rsidP="00C4454D">
      <w:pPr>
        <w:numPr>
          <w:ilvl w:val="0"/>
          <w:numId w:val="2"/>
        </w:numPr>
        <w:ind w:left="0" w:firstLine="0"/>
        <w:jc w:val="both"/>
      </w:pPr>
      <w:r w:rsidRPr="00A735B4">
        <w:t>Just as FEWSNET compares prices across regions within a country, the data could similarly be used for comparisons across countries and time within an REC, and hence serve the purpose of regional integration monitoring. FEWSNET does not provide data for all African countries and the commodity coverage varies in the countries in which the service is active, but comparisons of prices along some major trade corridors would certainly enrich the integration assessments that are currently being prepared by RECs. Moreover, if more complete country and commodity coverage is desired, analysts could draw directly on the same government price reporting structures that FEWSNET does.</w:t>
      </w:r>
    </w:p>
    <w:p w14:paraId="1B48E2AA" w14:textId="17F0AD22" w:rsidR="00C4454D" w:rsidRPr="00A735B4" w:rsidRDefault="00C4454D" w:rsidP="00C4454D">
      <w:bookmarkStart w:id="48" w:name="_Toc404814814"/>
      <w:bookmarkStart w:id="49" w:name="_Toc419565237"/>
      <w:r w:rsidRPr="00A735B4">
        <w:t>Trade in value-added data</w:t>
      </w:r>
      <w:bookmarkEnd w:id="48"/>
      <w:bookmarkEnd w:id="49"/>
    </w:p>
    <w:p w14:paraId="562C63B5" w14:textId="77777777" w:rsidR="00C4454D" w:rsidRPr="00A735B4" w:rsidRDefault="00C4454D" w:rsidP="00C4454D"/>
    <w:p w14:paraId="7FF9E952" w14:textId="5BA862A2" w:rsidR="00C4454D" w:rsidRPr="00A735B4" w:rsidRDefault="00C4454D" w:rsidP="00C4454D">
      <w:pPr>
        <w:numPr>
          <w:ilvl w:val="0"/>
          <w:numId w:val="2"/>
        </w:numPr>
        <w:ind w:left="0" w:firstLine="0"/>
        <w:jc w:val="both"/>
        <w:rPr>
          <w:rFonts w:cstheme="minorHAnsi"/>
        </w:rPr>
      </w:pPr>
      <w:r w:rsidRPr="00A735B4">
        <w:rPr>
          <w:rFonts w:cstheme="minorHAnsi"/>
        </w:rPr>
        <w:t xml:space="preserve">Trade in value-added analysis has recently been used to estimate the sources of value (by country and industry) that is added in producing goods and services for export (OECD, WTO, and UNCTAD 2013; </w:t>
      </w:r>
      <w:r w:rsidRPr="00A735B4">
        <w:t>Francois, Manchin, and Tomberger 2013)</w:t>
      </w:r>
      <w:r w:rsidRPr="00A735B4">
        <w:rPr>
          <w:rFonts w:cstheme="minorHAnsi"/>
        </w:rPr>
        <w:t>. The approach explicitly recognizes that growing regional and global value chains mean that a country's exports might increasingly rely on significant intermediate imports. Understanding these interdependencies is of critical importance for explaining the competitiveness of countries and the productivity gains that can be achieved by further international integration.</w:t>
      </w:r>
    </w:p>
    <w:p w14:paraId="39FCFB61" w14:textId="77777777" w:rsidR="00C4454D" w:rsidRPr="00A735B4" w:rsidRDefault="00C4454D" w:rsidP="00C4454D">
      <w:pPr>
        <w:jc w:val="both"/>
        <w:rPr>
          <w:rFonts w:cstheme="minorHAnsi"/>
        </w:rPr>
      </w:pPr>
    </w:p>
    <w:p w14:paraId="3178F570" w14:textId="5DE54715" w:rsidR="00C4454D" w:rsidRPr="00A735B4" w:rsidRDefault="00C4454D" w:rsidP="00C4454D">
      <w:pPr>
        <w:numPr>
          <w:ilvl w:val="0"/>
          <w:numId w:val="2"/>
        </w:numPr>
        <w:ind w:left="0" w:firstLine="0"/>
        <w:jc w:val="both"/>
        <w:rPr>
          <w:rFonts w:cstheme="minorHAnsi"/>
        </w:rPr>
      </w:pPr>
      <w:r w:rsidRPr="00A735B4">
        <w:t xml:space="preserve">The analysis of trade in value-added can be undertaken in two alternative ways that yield complementary insights. In the first approach, an evaluation based on backward linkages takes stock of </w:t>
      </w:r>
      <w:r w:rsidRPr="00A735B4">
        <w:lastRenderedPageBreak/>
        <w:t>the value-added in exports of a particular sector, including the value-added that is provided by other domestic sectors through intermediate inputs. For example, the exports of the machinery sector would comprise the direct value-added in machinery production, as well as the value-added of intermediate inputs that the domestic plastics industry might have provided to the exported machinery items. The second approach that looks at forward linkages accounts for all the value-added that a sector provides directly to its own exports, but also indirectly to the exports of other sectors. For example, the exports of the machinery sector would consist of the direct value-added in machinery production for exports, but also a share of the value-added from exports of food that was produced with machinery of domestic origin.</w:t>
      </w:r>
    </w:p>
    <w:p w14:paraId="086C8CE7" w14:textId="77777777" w:rsidR="00C4454D" w:rsidRPr="00A735B4" w:rsidRDefault="00C4454D" w:rsidP="00C4454D">
      <w:pPr>
        <w:jc w:val="both"/>
        <w:rPr>
          <w:rFonts w:cstheme="minorHAnsi"/>
        </w:rPr>
      </w:pPr>
    </w:p>
    <w:p w14:paraId="47662AC5" w14:textId="38FFE505" w:rsidR="00C4454D" w:rsidRPr="00A735B4" w:rsidRDefault="00C4454D" w:rsidP="00C4454D">
      <w:pPr>
        <w:numPr>
          <w:ilvl w:val="0"/>
          <w:numId w:val="2"/>
        </w:numPr>
        <w:ind w:left="0" w:firstLine="0"/>
        <w:jc w:val="both"/>
        <w:rPr>
          <w:rFonts w:cstheme="minorHAnsi"/>
        </w:rPr>
      </w:pPr>
      <w:r w:rsidRPr="00A735B4">
        <w:t>The assessment on the relative contributions of particular sectors to export success can change markedly if trade in value-added is considered instead of gross exports. In particular, the contribution of some services sectors, such as transport and business services, is substantially larger if their inputs into exporting goods sectors are taken into account (figure 4.8). By contrast, sectors that rely heavily on imported intermediary inputs (e.g., metals in the case of Bulgaria) show a lower contribution to value-added in exports than to gross exports.</w:t>
      </w:r>
    </w:p>
    <w:p w14:paraId="3583B1E4" w14:textId="77777777" w:rsidR="00C4454D" w:rsidRPr="00A735B4" w:rsidRDefault="00C4454D" w:rsidP="00C4454D"/>
    <w:tbl>
      <w:tblPr>
        <w:tblW w:w="0" w:type="auto"/>
        <w:tblInd w:w="10" w:type="dxa"/>
        <w:tblCellMar>
          <w:left w:w="10" w:type="dxa"/>
          <w:right w:w="10" w:type="dxa"/>
        </w:tblCellMar>
        <w:tblLook w:val="04A0" w:firstRow="1" w:lastRow="0" w:firstColumn="1" w:lastColumn="0" w:noHBand="0" w:noVBand="1"/>
      </w:tblPr>
      <w:tblGrid>
        <w:gridCol w:w="8838"/>
      </w:tblGrid>
      <w:tr w:rsidR="00C4454D" w:rsidRPr="00A735B4" w14:paraId="76258F3D" w14:textId="77777777" w:rsidTr="00C4454D">
        <w:tc>
          <w:tcPr>
            <w:tcW w:w="8838" w:type="dxa"/>
          </w:tcPr>
          <w:p w14:paraId="41730F7A" w14:textId="6C10EBD6" w:rsidR="00C4454D" w:rsidRPr="00A735B4" w:rsidRDefault="00C4454D" w:rsidP="00C4454D">
            <w:pPr>
              <w:spacing w:after="0"/>
              <w:jc w:val="center"/>
              <w:rPr>
                <w:color w:val="1F497D" w:themeColor="text2"/>
                <w:sz w:val="24"/>
                <w:szCs w:val="24"/>
              </w:rPr>
            </w:pPr>
            <w:bookmarkStart w:id="50" w:name="_Toc410823490"/>
            <w:r w:rsidRPr="00A735B4">
              <w:rPr>
                <w:color w:val="1F497D" w:themeColor="text2"/>
                <w:sz w:val="24"/>
                <w:szCs w:val="24"/>
              </w:rPr>
              <w:t>Figure 4.8 Share in Bulgaria’s total exports, 2011</w:t>
            </w:r>
            <w:bookmarkEnd w:id="50"/>
          </w:p>
        </w:tc>
      </w:tr>
      <w:tr w:rsidR="00C4454D" w:rsidRPr="00A735B4" w14:paraId="675241C7" w14:textId="77777777" w:rsidTr="00C4454D">
        <w:tc>
          <w:tcPr>
            <w:tcW w:w="8838" w:type="dxa"/>
          </w:tcPr>
          <w:p w14:paraId="19F501C9" w14:textId="77777777" w:rsidR="00C4454D" w:rsidRPr="00A735B4" w:rsidRDefault="00C4454D" w:rsidP="00C4454D">
            <w:r w:rsidRPr="00A735B4">
              <w:rPr>
                <w:noProof/>
              </w:rPr>
              <w:drawing>
                <wp:inline distT="0" distB="0" distL="0" distR="0" wp14:anchorId="27357121" wp14:editId="4841C199">
                  <wp:extent cx="4572000" cy="2734573"/>
                  <wp:effectExtent l="0" t="0" r="19050" b="2794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r>
      <w:tr w:rsidR="00C4454D" w:rsidRPr="00A735B4" w14:paraId="284A87EA" w14:textId="77777777" w:rsidTr="00C4454D">
        <w:tc>
          <w:tcPr>
            <w:tcW w:w="8838" w:type="dxa"/>
          </w:tcPr>
          <w:p w14:paraId="59B24D40" w14:textId="77777777" w:rsidR="00C4454D" w:rsidRPr="00A735B4" w:rsidRDefault="00C4454D" w:rsidP="00C4454D">
            <w:r w:rsidRPr="00A735B4">
              <w:t xml:space="preserve">      </w:t>
            </w:r>
            <w:r w:rsidRPr="00A735B4">
              <w:rPr>
                <w:i/>
              </w:rPr>
              <w:t>Source:</w:t>
            </w:r>
            <w:r w:rsidRPr="00A735B4">
              <w:t xml:space="preserve"> World Bank.</w:t>
            </w:r>
          </w:p>
        </w:tc>
      </w:tr>
    </w:tbl>
    <w:p w14:paraId="4E4CD28E" w14:textId="77777777" w:rsidR="00C4454D" w:rsidRPr="00A735B4" w:rsidRDefault="00C4454D" w:rsidP="00C4454D"/>
    <w:p w14:paraId="7436746A" w14:textId="21B08DEB" w:rsidR="00C4454D" w:rsidRPr="00A735B4" w:rsidRDefault="00C4454D" w:rsidP="00C4454D">
      <w:pPr>
        <w:numPr>
          <w:ilvl w:val="0"/>
          <w:numId w:val="2"/>
        </w:numPr>
        <w:ind w:left="0" w:firstLine="0"/>
        <w:jc w:val="both"/>
      </w:pPr>
      <w:r w:rsidRPr="00A735B4">
        <w:t xml:space="preserve">The information on value-added in exports can also provide insights into the extent to which countries are integrated into regional and global value chains. The emergence of production chains has been one of the key drivers of East Asia’s success in exporting manufactured goods, while African countries have been largely left out of such production networks so far. Effective regional integration </w:t>
      </w:r>
      <w:r w:rsidRPr="00A735B4">
        <w:lastRenderedPageBreak/>
        <w:t>that reduces trade transaction costs should facilitate the emergence of regional networks, with different production stages being located in different countries according to their respective comparative advantage. In this context, the calculation of a global or regional participation index based on foreign value-added embodied in gross exports and the domestic value-added embodied in partner countries’ gross exports (Koopman and others 2011) could provide a quantitative indication on the extent to which regional integration has succeeded.</w:t>
      </w:r>
    </w:p>
    <w:p w14:paraId="681CF6C0" w14:textId="77777777" w:rsidR="00C4454D" w:rsidRPr="00A735B4" w:rsidRDefault="00C4454D" w:rsidP="00C4454D">
      <w:pPr>
        <w:jc w:val="both"/>
      </w:pPr>
    </w:p>
    <w:p w14:paraId="3A33017C" w14:textId="1964A077" w:rsidR="00C4454D" w:rsidRPr="00A735B4" w:rsidRDefault="00C4454D" w:rsidP="00C4454D">
      <w:pPr>
        <w:numPr>
          <w:ilvl w:val="0"/>
          <w:numId w:val="2"/>
        </w:numPr>
        <w:ind w:left="0" w:firstLine="0"/>
        <w:jc w:val="both"/>
      </w:pPr>
      <w:r w:rsidRPr="00A735B4">
        <w:t>The World Bank recently developed a trade in value-added database, based on the information and social accounting matrixes contained in successive versions of the Global Trade Analysis Project database (Francois, Manchin, and Tomberger 2014). Eighteen countries from Sub-Saharan Africa are covered. However, in its current form the database does not make it possible to distinguish between intraregional and extra-regional trade, so that the analysis of supply chains and the calculation of participation indexes is restricted to global production networks.</w:t>
      </w:r>
    </w:p>
    <w:p w14:paraId="7944B283" w14:textId="77777777" w:rsidR="00C4454D" w:rsidRPr="00A735B4" w:rsidRDefault="00C4454D">
      <w:pPr>
        <w:spacing w:after="200" w:line="276" w:lineRule="auto"/>
        <w:rPr>
          <w:rFonts w:asciiTheme="majorHAnsi" w:eastAsiaTheme="majorEastAsia" w:hAnsiTheme="majorHAnsi" w:cstheme="majorBidi"/>
          <w:b/>
          <w:bCs/>
          <w:color w:val="365F91" w:themeColor="accent1" w:themeShade="BF"/>
          <w:sz w:val="28"/>
          <w:szCs w:val="28"/>
        </w:rPr>
      </w:pPr>
      <w:bookmarkStart w:id="51" w:name="_Toc404814815"/>
      <w:bookmarkStart w:id="52" w:name="_Toc419565238"/>
      <w:r w:rsidRPr="00A735B4">
        <w:br w:type="page"/>
      </w:r>
    </w:p>
    <w:p w14:paraId="51CCD4CD" w14:textId="0D11A71D" w:rsidR="00C4454D" w:rsidRPr="00A735B4" w:rsidRDefault="00C4454D" w:rsidP="00C4454D">
      <w:r w:rsidRPr="00A735B4">
        <w:lastRenderedPageBreak/>
        <w:t>Generating new indicators from new types of data sources</w:t>
      </w:r>
      <w:bookmarkEnd w:id="51"/>
      <w:bookmarkEnd w:id="52"/>
    </w:p>
    <w:p w14:paraId="3A0CA5BF" w14:textId="77777777" w:rsidR="00C4454D" w:rsidRPr="00A735B4" w:rsidRDefault="00C4454D" w:rsidP="00C4454D"/>
    <w:p w14:paraId="123F7219" w14:textId="6A7A6B87" w:rsidR="00C4454D" w:rsidRPr="00A735B4" w:rsidRDefault="00C4454D" w:rsidP="00C4454D">
      <w:pPr>
        <w:numPr>
          <w:ilvl w:val="0"/>
          <w:numId w:val="2"/>
        </w:numPr>
        <w:ind w:left="0" w:firstLine="0"/>
        <w:jc w:val="both"/>
      </w:pPr>
      <w:r w:rsidRPr="00A735B4">
        <w:t>Better use of indicators from existing sources is certainly a promising avenue to enrich the information base for regional integration monitoring in a cost-effective manner. Yet, even with all the indicators discussed above, some information gaps will remain. For example, capturing regulatory aspects of services market integration is not possible with the available information on trade outcomes or policy restrictiveness. In these cases, new data sources will need to be found. Traditional surveys can be used to gather missing information, but these tend to be very costly. And it has been shown that surveys do not generate reliable information on some pertinent issues, such as the price and quality of different services, and surveys often do not cover individuals and businesses operating in the informal sector. In this context, alternative approaches to gather information have been proposed, such as mystery shopping and crowdsourcing. The following sections discuss the prospects for using these new data sources to derive new regional integration indicators and assess the representativeness and reliability of the resulting information.</w:t>
      </w:r>
    </w:p>
    <w:p w14:paraId="2708D72A" w14:textId="4F10F2F1" w:rsidR="00C4454D" w:rsidRPr="00A735B4" w:rsidRDefault="00C4454D" w:rsidP="00C4454D">
      <w:bookmarkStart w:id="53" w:name="_Toc404814816"/>
      <w:bookmarkStart w:id="54" w:name="_Toc419565239"/>
      <w:r w:rsidRPr="00A735B4">
        <w:t>Mystery shopping data</w:t>
      </w:r>
      <w:bookmarkEnd w:id="53"/>
      <w:bookmarkEnd w:id="54"/>
    </w:p>
    <w:p w14:paraId="193334EF" w14:textId="77777777" w:rsidR="00C4454D" w:rsidRPr="00A735B4" w:rsidRDefault="00C4454D" w:rsidP="00C4454D"/>
    <w:p w14:paraId="5C828406" w14:textId="77D03314" w:rsidR="00C4454D" w:rsidRPr="00A735B4" w:rsidRDefault="00C4454D" w:rsidP="00C4454D">
      <w:pPr>
        <w:numPr>
          <w:ilvl w:val="0"/>
          <w:numId w:val="2"/>
        </w:numPr>
        <w:ind w:left="0" w:firstLine="0"/>
        <w:jc w:val="both"/>
      </w:pPr>
      <w:r w:rsidRPr="00A735B4">
        <w:t>Mystery shopping involves enlisting individuals who act as prospective customers to gather specific information about products and services. The mystery shopper’s identity and purpose is thereby not known by the establishment that is being evaluated. Mystery shoppers inquire about a predetermined set of products and services and report their experiences in a consistent and comparable way. This technique is commonly used by corporations that want to ensure compliance with internal regulations and high-quality customer service, but it can equally be applied to obtain information on the availability and pricing of particular products and services. In comparison with traditional survey instruments, mystery shopping has the advantages of not requiring an appointment with a contact person in the target organization and not being subject to survey-induced bias in the responses, as the counterpart is not aware of the survey.</w:t>
      </w:r>
    </w:p>
    <w:p w14:paraId="160FB3CC" w14:textId="77777777" w:rsidR="00C4454D" w:rsidRPr="00A735B4" w:rsidRDefault="00C4454D" w:rsidP="00C4454D">
      <w:pPr>
        <w:jc w:val="both"/>
      </w:pPr>
    </w:p>
    <w:p w14:paraId="737155E0" w14:textId="09448E30" w:rsidR="00C4454D" w:rsidRPr="00A735B4" w:rsidRDefault="00C4454D" w:rsidP="00C4454D">
      <w:pPr>
        <w:numPr>
          <w:ilvl w:val="0"/>
          <w:numId w:val="2"/>
        </w:numPr>
        <w:ind w:left="0" w:firstLine="0"/>
        <w:jc w:val="both"/>
      </w:pPr>
      <w:r w:rsidRPr="00A735B4">
        <w:t xml:space="preserve">In principle, mystery shopping surveys have the potential to help fill important information gaps for regional integration monitoring. For example, the surveys could be used to assess whether services sector integration leads to a convergence in prices across the region. Similarly, they could provide insights into whether promises to remove non-tariff barriers are indeed implemented, so that the costs of NTBs decline over time. </w:t>
      </w:r>
    </w:p>
    <w:p w14:paraId="5DF85820" w14:textId="77777777" w:rsidR="00C4454D" w:rsidRPr="00A735B4" w:rsidRDefault="00C4454D" w:rsidP="00C4454D"/>
    <w:p w14:paraId="1B59B73E" w14:textId="32BAB49C" w:rsidR="00C4454D" w:rsidRPr="00A735B4" w:rsidRDefault="00C4454D" w:rsidP="00C4454D">
      <w:pPr>
        <w:numPr>
          <w:ilvl w:val="0"/>
          <w:numId w:val="2"/>
        </w:numPr>
        <w:ind w:left="0" w:firstLine="0"/>
        <w:jc w:val="both"/>
      </w:pPr>
      <w:r w:rsidRPr="00A735B4">
        <w:t xml:space="preserve">In April and May 2014, the World Bank conducted a mystery shopping pilot study to collect information on the availability of banking, insurance, and accountancy services to small- and medium-size enterprises and the pricing of these services (a more detailed discussion of this survey is provided in annex C). A total of 216 anonymous customer visits to the offices of service providers were made in six COMESA countries (Kenya, Malawi, Rwanda, Tanzania, Uganda, and Zambia). The aim of the study </w:t>
      </w:r>
      <w:r w:rsidRPr="00A735B4">
        <w:lastRenderedPageBreak/>
        <w:t xml:space="preserve">was to obtain comparable information on the availability of banking, insurance, and accounting services in the surveyed countries, as well as on the prices of standardized service products. </w:t>
      </w:r>
    </w:p>
    <w:p w14:paraId="5BD7836A" w14:textId="77777777" w:rsidR="00C4454D" w:rsidRPr="00A735B4" w:rsidRDefault="00C4454D" w:rsidP="00C4454D"/>
    <w:p w14:paraId="75D954B1" w14:textId="6202C2A3" w:rsidR="00C4454D" w:rsidRPr="00A735B4" w:rsidRDefault="00C4454D" w:rsidP="00C4454D">
      <w:pPr>
        <w:numPr>
          <w:ilvl w:val="0"/>
          <w:numId w:val="2"/>
        </w:numPr>
        <w:ind w:left="0" w:firstLine="0"/>
        <w:jc w:val="both"/>
      </w:pPr>
      <w:r w:rsidRPr="00A735B4">
        <w:t>The survey responses provide broad information on the most common banking, insurance, and accounting services offered. They also provide information on price ranges of standardized services. In banking, for example, data on the costs to customers of domestic transactions, foreign funds transfers, and business account transactions in the examined countries were generated. However, the information on prices for banking transactions shows strong variability within and between countries (figure 5.1). The pronounced variation in the sample raises questions about the reliability of the data and the usefulness of calculating average prices to undertake comparisons across countries (and across time) based on this data set. Moreover, the comparability of insurance rates across the examined countries suffered from the presence of government subsidies for insurance coverage in some of the countries, which obviously distorts the prices. Moreover, in the accounting sector, services are highly customized to the individual situation of and relationship with the client, so that standardized, self-standing service quotes are not easily and reliably available. Hence, the generated information has to be treated with care.</w:t>
      </w:r>
    </w:p>
    <w:p w14:paraId="2D930CAD" w14:textId="77777777" w:rsidR="00C4454D" w:rsidRPr="00A735B4" w:rsidRDefault="00C4454D" w:rsidP="00C4454D"/>
    <w:p w14:paraId="6777EE74" w14:textId="1D79EA77" w:rsidR="00C4454D" w:rsidRPr="00A735B4" w:rsidRDefault="00C4454D" w:rsidP="00C4454D">
      <w:pPr>
        <w:spacing w:after="0"/>
        <w:jc w:val="center"/>
        <w:rPr>
          <w:color w:val="1F497D" w:themeColor="text2"/>
          <w:sz w:val="24"/>
          <w:szCs w:val="24"/>
        </w:rPr>
      </w:pPr>
      <w:bookmarkStart w:id="55" w:name="_Ref404508506"/>
      <w:bookmarkStart w:id="56" w:name="_Toc410823491"/>
      <w:r w:rsidRPr="00A735B4">
        <w:rPr>
          <w:color w:val="1F497D" w:themeColor="text2"/>
          <w:sz w:val="24"/>
          <w:szCs w:val="24"/>
        </w:rPr>
        <w:t>Figure 5.1</w:t>
      </w:r>
      <w:bookmarkEnd w:id="55"/>
      <w:r w:rsidRPr="00A735B4">
        <w:rPr>
          <w:color w:val="1F497D" w:themeColor="text2"/>
          <w:sz w:val="24"/>
          <w:szCs w:val="24"/>
        </w:rPr>
        <w:t xml:space="preserve"> Mystery shopping: Range of prices for selected domestic banking services</w:t>
      </w:r>
      <w:bookmarkEnd w:id="56"/>
    </w:p>
    <w:p w14:paraId="7F03D27F" w14:textId="77777777" w:rsidR="00C4454D" w:rsidRPr="00A735B4" w:rsidRDefault="00C4454D" w:rsidP="00C4454D">
      <w:pPr>
        <w:spacing w:after="0"/>
        <w:jc w:val="center"/>
        <w:rPr>
          <w:color w:val="1F497D" w:themeColor="text2"/>
        </w:rPr>
      </w:pPr>
      <w:r w:rsidRPr="00A735B4">
        <w:rPr>
          <w:color w:val="1F497D" w:themeColor="text2"/>
          <w:sz w:val="24"/>
          <w:szCs w:val="24"/>
        </w:rPr>
        <w:t>(US$ per transaction</w:t>
      </w:r>
      <w:r w:rsidRPr="00A735B4">
        <w:rPr>
          <w:color w:val="1F497D" w:themeColor="text2"/>
        </w:rPr>
        <w:t>)</w:t>
      </w:r>
    </w:p>
    <w:p w14:paraId="50AF43BA" w14:textId="77777777" w:rsidR="00C4454D" w:rsidRPr="00A735B4" w:rsidRDefault="00C4454D" w:rsidP="00C4454D">
      <w:pPr>
        <w:keepNext/>
      </w:pPr>
      <w:r w:rsidRPr="00A735B4">
        <w:rPr>
          <w:noProof/>
        </w:rPr>
        <w:drawing>
          <wp:inline distT="0" distB="0" distL="0" distR="0" wp14:anchorId="1DACF6C8" wp14:editId="0F84153A">
            <wp:extent cx="5486400" cy="3385038"/>
            <wp:effectExtent l="0" t="0" r="19050" b="2540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EC61E7E" w14:textId="77777777" w:rsidR="00C4454D" w:rsidRPr="00A735B4" w:rsidRDefault="00C4454D" w:rsidP="00C4454D">
      <w:pPr>
        <w:keepNext/>
        <w:rPr>
          <w:sz w:val="20"/>
        </w:rPr>
      </w:pPr>
      <w:r w:rsidRPr="00A735B4">
        <w:rPr>
          <w:i/>
          <w:sz w:val="20"/>
        </w:rPr>
        <w:t>Source</w:t>
      </w:r>
      <w:r w:rsidRPr="00A735B4">
        <w:rPr>
          <w:sz w:val="20"/>
        </w:rPr>
        <w:t>: World Bank.</w:t>
      </w:r>
    </w:p>
    <w:p w14:paraId="418CC581" w14:textId="77777777" w:rsidR="00C4454D" w:rsidRPr="00A735B4" w:rsidRDefault="00C4454D" w:rsidP="00C4454D"/>
    <w:p w14:paraId="5081B7E9" w14:textId="0DB53459" w:rsidR="00C4454D" w:rsidRPr="00A735B4" w:rsidRDefault="00C4454D" w:rsidP="00C4454D">
      <w:pPr>
        <w:numPr>
          <w:ilvl w:val="0"/>
          <w:numId w:val="2"/>
        </w:numPr>
        <w:ind w:left="0" w:firstLine="0"/>
        <w:jc w:val="both"/>
      </w:pPr>
      <w:r w:rsidRPr="00A735B4">
        <w:lastRenderedPageBreak/>
        <w:t>The findings from the World Bank’s pilot study thus caution against the immediate use of mystery shopping data for regional integration monitoring, at least as far as the focus of the survey is non-standardized or bundled services. The large variation in the services pricing data reduces the confidence in use of this type of information to assess policy decisions on regional integration over time. The technique seems to require refinement to standardize the situational context and the services products covered, and an increase in the sample size to generate data that can reliably be compared across countries and indicate progress over time toward integration. Nonetheless, having some cross-country information on services pricing is valuable and could be included in an integration monitoring report as a descriptive insert, such as a text box, to keep the important underlying integration issues from falling out of view, so they remain on the agenda of policy makers. Moreover, there are other areas of integration where mystery shopping could work well. For example, in agriculture and transport, the technique could be a useful way to get simple price data from the market and from haulers.</w:t>
      </w:r>
    </w:p>
    <w:p w14:paraId="1B793B84" w14:textId="77777777" w:rsidR="00C4454D" w:rsidRPr="00A735B4" w:rsidRDefault="00C4454D" w:rsidP="00C4454D"/>
    <w:p w14:paraId="14ECF093" w14:textId="77777777" w:rsidR="00C4454D" w:rsidRPr="00A735B4" w:rsidRDefault="00C4454D" w:rsidP="00C4454D">
      <w:bookmarkStart w:id="57" w:name="_Toc404814817"/>
      <w:bookmarkStart w:id="58" w:name="_Toc419565240"/>
      <w:r w:rsidRPr="00A735B4">
        <w:t>Crowdsourcing data</w:t>
      </w:r>
      <w:bookmarkEnd w:id="57"/>
      <w:bookmarkEnd w:id="58"/>
    </w:p>
    <w:p w14:paraId="60D60507" w14:textId="77777777" w:rsidR="00C4454D" w:rsidRPr="00A735B4" w:rsidRDefault="00C4454D" w:rsidP="00C4454D"/>
    <w:p w14:paraId="0D8BBE47" w14:textId="7BA5E87C" w:rsidR="00C4454D" w:rsidRPr="00A735B4" w:rsidRDefault="00C4454D" w:rsidP="00C4454D">
      <w:pPr>
        <w:numPr>
          <w:ilvl w:val="0"/>
          <w:numId w:val="2"/>
        </w:numPr>
        <w:ind w:left="0" w:firstLine="0"/>
        <w:jc w:val="both"/>
      </w:pPr>
      <w:r w:rsidRPr="00A735B4">
        <w:t>Crowdsourcing is the process of soliciting contributions from a large group of people—often an online community or a group of mobile device users. The technique relies on the efforts of a large number of volunteers to assemble data and information that is then processed and aggregated to provide an overall situational assessment. Crowdsourcing can generally provide data quicker and cheaper than other surveying approaches, as the information is digitalized from the point of user input and then immediately transmitted to the data management center. There is also no need for interviewers, as the information is user provided via their digital device.</w:t>
      </w:r>
    </w:p>
    <w:p w14:paraId="450F7060" w14:textId="77777777" w:rsidR="00C4454D" w:rsidRPr="00A735B4" w:rsidRDefault="00C4454D" w:rsidP="00C4454D">
      <w:pPr>
        <w:jc w:val="both"/>
      </w:pPr>
    </w:p>
    <w:p w14:paraId="7C56F0C2" w14:textId="76846C62" w:rsidR="00C4454D" w:rsidRPr="00A735B4" w:rsidRDefault="00C4454D" w:rsidP="00C4454D">
      <w:pPr>
        <w:numPr>
          <w:ilvl w:val="0"/>
          <w:numId w:val="2"/>
        </w:numPr>
        <w:ind w:left="0" w:firstLine="0"/>
        <w:jc w:val="both"/>
      </w:pPr>
      <w:r w:rsidRPr="00A735B4">
        <w:t>Crowdsourcing seems to be increasingly well suited for use in Africa, as the prevalence of social networking and mobile applications is expanding rapidly. For example, although the penetration of mobile broadband in Africa is still lower than in other regions of the world, the growth in connectivity far outpaces the expansion rates elsewhere (figure 5.2). Hence, a growing population of potential contributors to crowdsourcing surveys exists.</w:t>
      </w:r>
    </w:p>
    <w:p w14:paraId="2E5F332C" w14:textId="77777777" w:rsidR="00C4454D" w:rsidRPr="00A735B4" w:rsidRDefault="00C4454D" w:rsidP="00C4454D"/>
    <w:p w14:paraId="153AD9A8" w14:textId="169B11AA" w:rsidR="00C4454D" w:rsidRPr="00A735B4" w:rsidRDefault="00C4454D" w:rsidP="00C4454D">
      <w:pPr>
        <w:jc w:val="center"/>
        <w:rPr>
          <w:color w:val="1F497D" w:themeColor="text2"/>
        </w:rPr>
      </w:pPr>
      <w:bookmarkStart w:id="59" w:name="_Toc410823492"/>
      <w:r w:rsidRPr="00A735B4">
        <w:rPr>
          <w:color w:val="1F497D" w:themeColor="text2"/>
        </w:rPr>
        <w:t>Figure 5.2 Penetration and growth of mobile broadband subscriptions</w:t>
      </w:r>
      <w:bookmarkEnd w:id="59"/>
    </w:p>
    <w:p w14:paraId="0DBCBE21" w14:textId="77777777" w:rsidR="00C4454D" w:rsidRPr="00A735B4" w:rsidRDefault="00C4454D" w:rsidP="00C4454D">
      <w:pPr>
        <w:keepNext/>
        <w:jc w:val="center"/>
        <w:rPr>
          <w:b/>
          <w:bCs/>
          <w:color w:val="1F497D" w:themeColor="text2"/>
          <w:sz w:val="18"/>
          <w:szCs w:val="18"/>
        </w:rPr>
      </w:pPr>
      <w:r w:rsidRPr="00A735B4">
        <w:rPr>
          <w:b/>
          <w:bCs/>
          <w:noProof/>
          <w:color w:val="1F497D" w:themeColor="text2"/>
          <w:sz w:val="18"/>
          <w:szCs w:val="18"/>
        </w:rPr>
        <w:lastRenderedPageBreak/>
        <w:drawing>
          <wp:inline distT="0" distB="0" distL="0" distR="0" wp14:anchorId="592EF8E2" wp14:editId="7A0ED362">
            <wp:extent cx="4572000" cy="2743200"/>
            <wp:effectExtent l="0" t="0" r="19050" b="1905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CD69F07" w14:textId="145C6708" w:rsidR="00C4454D" w:rsidRPr="00A735B4" w:rsidRDefault="00C4454D" w:rsidP="00C4454D">
      <w:pPr>
        <w:keepNext/>
        <w:ind w:firstLine="720"/>
        <w:rPr>
          <w:sz w:val="20"/>
        </w:rPr>
      </w:pPr>
      <w:r w:rsidRPr="00A735B4">
        <w:rPr>
          <w:i/>
          <w:sz w:val="20"/>
        </w:rPr>
        <w:t>Source</w:t>
      </w:r>
      <w:r w:rsidRPr="00A735B4">
        <w:rPr>
          <w:sz w:val="20"/>
        </w:rPr>
        <w:t>: International Telecommunications Union.</w:t>
      </w:r>
    </w:p>
    <w:p w14:paraId="709F9B5E" w14:textId="77777777" w:rsidR="00C4454D" w:rsidRPr="00A735B4" w:rsidRDefault="00C4454D" w:rsidP="00C4454D"/>
    <w:p w14:paraId="36185E75" w14:textId="0EACF9B7" w:rsidR="00C4454D" w:rsidRPr="00A735B4" w:rsidRDefault="00C4454D" w:rsidP="00C4454D">
      <w:pPr>
        <w:numPr>
          <w:ilvl w:val="0"/>
          <w:numId w:val="2"/>
        </w:numPr>
        <w:ind w:left="0" w:firstLine="0"/>
        <w:jc w:val="both"/>
      </w:pPr>
      <w:r w:rsidRPr="00A735B4">
        <w:t>There are a number of possible uses of crowdsourcing surveys for the purpose of regional integration monitoring. Contributors could be asked to provide information on particular barriers to trade they are facing or to report on product and services prices, which could then provide insights on the extent to which markets are integrated across borders. It would thereby often be useful not to undertake these surveys as self-standing processes, but to place them in the context of other interactions with the contributors to provide the latter with incentives to participate. For example, information on prices for agricultural inputs, such as fertilizer or seeds, could be collected as a by-product of an agricultural extension program, or data on border waiting times could be sourced through an app that helps truckers manage their fleet. Alternatively, contributors could receive direct financial incentives, for instance through a top-up of their mobile plan.</w:t>
      </w:r>
    </w:p>
    <w:p w14:paraId="5FEC8B57" w14:textId="77777777" w:rsidR="00C4454D" w:rsidRPr="00A735B4" w:rsidRDefault="00C4454D" w:rsidP="00C4454D">
      <w:pPr>
        <w:jc w:val="both"/>
      </w:pPr>
    </w:p>
    <w:p w14:paraId="10AA6479" w14:textId="50B3F160" w:rsidR="00C4454D" w:rsidRPr="00A735B4" w:rsidRDefault="00C4454D" w:rsidP="00C4454D">
      <w:pPr>
        <w:numPr>
          <w:ilvl w:val="0"/>
          <w:numId w:val="2"/>
        </w:numPr>
        <w:autoSpaceDE w:val="0"/>
        <w:autoSpaceDN w:val="0"/>
        <w:adjustRightInd w:val="0"/>
        <w:ind w:left="0" w:firstLine="0"/>
        <w:jc w:val="both"/>
        <w:rPr>
          <w:rFonts w:eastAsia="Times New Roman"/>
          <w:color w:val="000000"/>
        </w:rPr>
      </w:pPr>
      <w:r w:rsidRPr="00A735B4">
        <w:t xml:space="preserve">In 2014, the World Bank used short message service (SMS)-based crowdsourcing surveys to conduct three pilot studies on intraregional trade in Africa. </w:t>
      </w:r>
      <w:r w:rsidRPr="00A735B4">
        <w:rPr>
          <w:rFonts w:eastAsia="Times New Roman"/>
          <w:color w:val="000000"/>
        </w:rPr>
        <w:t>The first pilot focused on the prices and quality of maize, seeds, and fertilizers, and targeted farmers from Burkina Faso, Cameroon, Ghana, Kenya, Malawi, Mali, Tanzania, Uganda, and Zambia.</w:t>
      </w:r>
      <w:r w:rsidRPr="00A735B4">
        <w:rPr>
          <w:rFonts w:eastAsia="Times New Roman"/>
          <w:color w:val="000000"/>
        </w:rPr>
        <w:endnoteReference w:id="8"/>
      </w:r>
      <w:r w:rsidRPr="00A735B4">
        <w:rPr>
          <w:rFonts w:eastAsia="Times New Roman"/>
          <w:color w:val="000000"/>
        </w:rPr>
        <w:t xml:space="preserve"> An SMS survey was administered to about 150 respondents in each of the target countries, based on an existing phone directory.</w:t>
      </w:r>
    </w:p>
    <w:p w14:paraId="73DD1D97" w14:textId="77777777" w:rsidR="00C4454D" w:rsidRPr="00A735B4" w:rsidRDefault="00C4454D" w:rsidP="00C4454D"/>
    <w:p w14:paraId="04C52D6F" w14:textId="058EB31F" w:rsidR="00C4454D" w:rsidRPr="00A735B4" w:rsidRDefault="00C4454D" w:rsidP="00C4454D">
      <w:pPr>
        <w:numPr>
          <w:ilvl w:val="0"/>
          <w:numId w:val="2"/>
        </w:numPr>
        <w:autoSpaceDE w:val="0"/>
        <w:autoSpaceDN w:val="0"/>
        <w:adjustRightInd w:val="0"/>
        <w:ind w:left="0" w:firstLine="0"/>
        <w:jc w:val="both"/>
        <w:rPr>
          <w:rFonts w:eastAsia="Times New Roman"/>
          <w:color w:val="000000"/>
        </w:rPr>
      </w:pPr>
      <w:r w:rsidRPr="00A735B4">
        <w:t xml:space="preserve">The results of the farmer survey showed a large number of extreme price values, which are likely related to typos during the data entry. After correction for such outliers, the average prices for maize, for example, fall into a reasonable range and, in fact, correlate closely with pricing information from the Food and Agriculture Organization (FAO) in those countries where such information is available (figure 5.3). A similar level of consistency in the results was observed for fertilizer price information </w:t>
      </w:r>
      <w:r w:rsidRPr="00A735B4">
        <w:lastRenderedPageBreak/>
        <w:t>(figure 5.4), while the data on seed prices showed unexpectedly large variation, which might be related to the more heterogeneous nature of the product and the relatively low number of responses concerning seed pricing.</w:t>
      </w:r>
    </w:p>
    <w:p w14:paraId="1B6CAD4E" w14:textId="77777777" w:rsidR="00C4454D" w:rsidRPr="00A735B4" w:rsidRDefault="00C4454D" w:rsidP="00C4454D">
      <w:pPr>
        <w:jc w:val="center"/>
      </w:pPr>
    </w:p>
    <w:p w14:paraId="334142BB" w14:textId="60F95771" w:rsidR="00C4454D" w:rsidRPr="00A735B4" w:rsidRDefault="00C4454D" w:rsidP="00C4454D">
      <w:pPr>
        <w:jc w:val="center"/>
        <w:rPr>
          <w:color w:val="1F497D" w:themeColor="text2"/>
        </w:rPr>
      </w:pPr>
      <w:bookmarkStart w:id="60" w:name="_Toc410823493"/>
      <w:r w:rsidRPr="00A735B4">
        <w:rPr>
          <w:color w:val="1F497D" w:themeColor="text2"/>
        </w:rPr>
        <w:t>Figure 5.3 Price of maize in survey countries (US$/kg)</w:t>
      </w:r>
      <w:bookmarkEnd w:id="60"/>
    </w:p>
    <w:p w14:paraId="69A9DF04" w14:textId="77777777" w:rsidR="00C4454D" w:rsidRPr="00A735B4" w:rsidRDefault="00C4454D" w:rsidP="00C4454D">
      <w:pPr>
        <w:keepNext/>
        <w:jc w:val="center"/>
      </w:pPr>
      <w:r w:rsidRPr="00A735B4">
        <w:rPr>
          <w:noProof/>
        </w:rPr>
        <w:drawing>
          <wp:inline distT="0" distB="0" distL="0" distR="0" wp14:anchorId="25D05C47" wp14:editId="2D5578AF">
            <wp:extent cx="4572000" cy="2219325"/>
            <wp:effectExtent l="0" t="0" r="0" b="9525"/>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4DD898D" w14:textId="77777777" w:rsidR="00C4454D" w:rsidRPr="00A735B4" w:rsidRDefault="00C4454D" w:rsidP="00C4454D">
      <w:pPr>
        <w:keepNext/>
        <w:ind w:firstLine="720"/>
        <w:rPr>
          <w:sz w:val="20"/>
        </w:rPr>
      </w:pPr>
      <w:r w:rsidRPr="00A735B4">
        <w:rPr>
          <w:i/>
          <w:sz w:val="20"/>
        </w:rPr>
        <w:t xml:space="preserve">   Source</w:t>
      </w:r>
      <w:r w:rsidRPr="00A735B4">
        <w:rPr>
          <w:sz w:val="20"/>
        </w:rPr>
        <w:t>: World Bank.</w:t>
      </w:r>
    </w:p>
    <w:p w14:paraId="31F2ABAF" w14:textId="77777777" w:rsidR="00C4454D" w:rsidRPr="00A735B4" w:rsidRDefault="00C4454D" w:rsidP="00C4454D"/>
    <w:p w14:paraId="45B11AA9" w14:textId="670A8668" w:rsidR="00C4454D" w:rsidRPr="00A735B4" w:rsidRDefault="00C4454D" w:rsidP="00C4454D">
      <w:pPr>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both"/>
        <w:rPr>
          <w:rFonts w:eastAsia="Times New Roman"/>
        </w:rPr>
      </w:pPr>
      <w:r w:rsidRPr="00A735B4">
        <w:rPr>
          <w:rFonts w:eastAsia="Times New Roman"/>
        </w:rPr>
        <w:t>Statistics on the prices, quality, and consumption of fertilizers in Sub-Saharan Africa are poor, so that additional information is very welcome to provide a more comprehensive picture of the market. In the SMS survey, farmers were asked the price they paid for the fertilizers they use. The results suggest that prices for homogeneous products can differ substantially between neighboring countries. For example, the price of urea was found to be more than 16 percent higher in Kenya than in Tanzania.</w:t>
      </w:r>
    </w:p>
    <w:p w14:paraId="3658A72D" w14:textId="77777777" w:rsidR="00C4454D" w:rsidRPr="00A735B4" w:rsidRDefault="00C4454D" w:rsidP="00C445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rPr>
      </w:pPr>
    </w:p>
    <w:p w14:paraId="6B5A896C" w14:textId="26D3B50F" w:rsidR="00C4454D" w:rsidRPr="00A735B4" w:rsidRDefault="00C4454D" w:rsidP="00C4454D">
      <w:pPr>
        <w:spacing w:after="0"/>
        <w:jc w:val="center"/>
        <w:rPr>
          <w:color w:val="1F497D" w:themeColor="text2"/>
        </w:rPr>
      </w:pPr>
      <w:bookmarkStart w:id="61" w:name="_Toc410823494"/>
      <w:r w:rsidRPr="00A735B4">
        <w:rPr>
          <w:color w:val="1F497D" w:themeColor="text2"/>
        </w:rPr>
        <w:t>Figure 5.4 Price of fertilizers, by type (US$/kg)</w:t>
      </w:r>
      <w:bookmarkEnd w:id="61"/>
    </w:p>
    <w:p w14:paraId="0B56F604" w14:textId="77777777" w:rsidR="00C4454D" w:rsidRPr="00A735B4" w:rsidRDefault="00C4454D" w:rsidP="00C445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rPr>
      </w:pPr>
      <w:r w:rsidRPr="00A735B4">
        <w:rPr>
          <w:noProof/>
        </w:rPr>
        <w:drawing>
          <wp:inline distT="0" distB="0" distL="0" distR="0" wp14:anchorId="1244FCA3" wp14:editId="7B9CBC6C">
            <wp:extent cx="3526972" cy="2185059"/>
            <wp:effectExtent l="0" t="0" r="0" b="5715"/>
            <wp:docPr id="482" name="Chart 48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2289BA5" w14:textId="77777777" w:rsidR="00C4454D" w:rsidRPr="00A735B4" w:rsidRDefault="00C4454D" w:rsidP="00C4454D">
      <w:pPr>
        <w:keepNext/>
        <w:ind w:firstLine="720"/>
        <w:rPr>
          <w:sz w:val="20"/>
        </w:rPr>
      </w:pPr>
      <w:r w:rsidRPr="00A735B4">
        <w:rPr>
          <w:i/>
          <w:sz w:val="20"/>
        </w:rPr>
        <w:lastRenderedPageBreak/>
        <w:t xml:space="preserve">            Source</w:t>
      </w:r>
      <w:r w:rsidRPr="00A735B4">
        <w:rPr>
          <w:sz w:val="20"/>
        </w:rPr>
        <w:t>: World Bank.</w:t>
      </w:r>
    </w:p>
    <w:p w14:paraId="0AE7D885" w14:textId="77777777" w:rsidR="00C4454D" w:rsidRPr="00A735B4" w:rsidRDefault="00C4454D" w:rsidP="00C4454D">
      <w:pPr>
        <w:autoSpaceDE w:val="0"/>
        <w:autoSpaceDN w:val="0"/>
        <w:adjustRightInd w:val="0"/>
        <w:jc w:val="center"/>
      </w:pPr>
    </w:p>
    <w:p w14:paraId="7B6A160B" w14:textId="67F4B828" w:rsidR="00C4454D" w:rsidRPr="00A735B4" w:rsidRDefault="00C4454D" w:rsidP="00C4454D">
      <w:pPr>
        <w:numPr>
          <w:ilvl w:val="0"/>
          <w:numId w:val="2"/>
        </w:numPr>
        <w:autoSpaceDE w:val="0"/>
        <w:autoSpaceDN w:val="0"/>
        <w:adjustRightInd w:val="0"/>
        <w:ind w:left="0" w:firstLine="0"/>
        <w:jc w:val="both"/>
      </w:pPr>
      <w:r w:rsidRPr="00A735B4">
        <w:t>In addition to obtaining data on specific prices or quantities of goods and services, SMS surveys are also a useful tool to obtain information on the perceptions of consumers and producers or farmers on a range of qualitative aspects rather than price. Figure 5.5 shows the average level of reported farmer satisfaction with the seeds they are using. With the exception of Burkina Faso, farmers are more satisfied with using new open-pollinated varieties (OPVs) and new hybrids rather than recycled and own seeds. Interestingly, farmers in Cameroon have a much lower level of satisfaction with their seeds than farmers in other countries have.</w:t>
      </w:r>
    </w:p>
    <w:p w14:paraId="2FDC98E3" w14:textId="77777777" w:rsidR="00C4454D" w:rsidRPr="00A735B4" w:rsidRDefault="00C4454D" w:rsidP="00C4454D">
      <w:pPr>
        <w:jc w:val="both"/>
        <w:rPr>
          <w:sz w:val="24"/>
          <w:szCs w:val="24"/>
        </w:rPr>
      </w:pPr>
    </w:p>
    <w:p w14:paraId="3CE1FDBA" w14:textId="75C737C4" w:rsidR="00C4454D" w:rsidRPr="00A735B4" w:rsidRDefault="00C4454D" w:rsidP="00C4454D">
      <w:pPr>
        <w:jc w:val="center"/>
      </w:pPr>
      <w:bookmarkStart w:id="62" w:name="_Toc410823495"/>
      <w:r w:rsidRPr="00A735B4">
        <w:rPr>
          <w:color w:val="1F497D" w:themeColor="text2"/>
        </w:rPr>
        <w:t>Figure 5.5 Average level of satisfaction, by type of seed (1=dissatisfied; 5=very satisfied)</w:t>
      </w:r>
      <w:bookmarkEnd w:id="62"/>
    </w:p>
    <w:p w14:paraId="44CFAA6D" w14:textId="77777777" w:rsidR="00C4454D" w:rsidRPr="00A735B4" w:rsidRDefault="00C4454D" w:rsidP="00C4454D">
      <w:pPr>
        <w:autoSpaceDE w:val="0"/>
        <w:autoSpaceDN w:val="0"/>
        <w:adjustRightInd w:val="0"/>
        <w:jc w:val="center"/>
      </w:pPr>
      <w:r w:rsidRPr="00A735B4">
        <w:rPr>
          <w:noProof/>
        </w:rPr>
        <w:drawing>
          <wp:inline distT="0" distB="0" distL="0" distR="0" wp14:anchorId="46F578D0" wp14:editId="5228ADE3">
            <wp:extent cx="4143375" cy="2500313"/>
            <wp:effectExtent l="0" t="0" r="9525" b="14605"/>
            <wp:docPr id="483" name="Chart 48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DC9F9FA" w14:textId="77777777" w:rsidR="00C4454D" w:rsidRPr="00A735B4" w:rsidRDefault="00C4454D" w:rsidP="00C4454D">
      <w:pPr>
        <w:keepNext/>
        <w:ind w:firstLine="720"/>
        <w:rPr>
          <w:sz w:val="20"/>
        </w:rPr>
      </w:pPr>
      <w:r w:rsidRPr="00A735B4">
        <w:rPr>
          <w:i/>
          <w:sz w:val="20"/>
        </w:rPr>
        <w:t xml:space="preserve">            Source</w:t>
      </w:r>
      <w:r w:rsidRPr="00A735B4">
        <w:rPr>
          <w:sz w:val="20"/>
        </w:rPr>
        <w:t>: World Bank.</w:t>
      </w:r>
    </w:p>
    <w:p w14:paraId="7887D89D" w14:textId="77777777" w:rsidR="00C4454D" w:rsidRPr="00A735B4" w:rsidRDefault="00C4454D" w:rsidP="00C4454D">
      <w:pPr>
        <w:autoSpaceDE w:val="0"/>
        <w:autoSpaceDN w:val="0"/>
        <w:adjustRightInd w:val="0"/>
      </w:pPr>
    </w:p>
    <w:p w14:paraId="0E8DF55A" w14:textId="21234C85" w:rsidR="00C4454D" w:rsidRPr="00A735B4" w:rsidRDefault="00C4454D" w:rsidP="00C4454D">
      <w:pPr>
        <w:numPr>
          <w:ilvl w:val="0"/>
          <w:numId w:val="2"/>
        </w:numPr>
        <w:autoSpaceDE w:val="0"/>
        <w:autoSpaceDN w:val="0"/>
        <w:adjustRightInd w:val="0"/>
        <w:ind w:left="0" w:firstLine="0"/>
        <w:jc w:val="both"/>
      </w:pPr>
      <w:r w:rsidRPr="00A735B4">
        <w:t>The second pilot study gathered quantitative information on trade in health and education services in Cameroon, Ghana, Kenya, Malawi, Nigeria, Rwanda, Tanzania, Uganda, and Zambia (see annex E). The study aimed at obtaining (i) data on health and education professionals, as well as students and patients involved in trade in health and education services; (ii) information on differences in the cost and quality of education degrees and medical treatments across countries; and (iii) information on the recognition of foreign academic degrees and medical qualifications. The results from the SMS-based survey highlight the extend and importance of regional trade in health and education services, while also suggesting that service costs are not necessarily the drivers of trade flows in services. Instead, the availability and quality of services seem to be more important factors. Moreover, the crowdsourcing technique generated comparable information on selected barriers to services trade, such as the time it takes to recognize the foreign degrees of professionals (figure 5.6), or the cost of courses required for the recognition of the degrees obtained abroad.</w:t>
      </w:r>
    </w:p>
    <w:p w14:paraId="770A29FA" w14:textId="77777777" w:rsidR="00C4454D" w:rsidRPr="00A735B4" w:rsidRDefault="00C4454D" w:rsidP="00C4454D">
      <w:pPr>
        <w:autoSpaceDE w:val="0"/>
        <w:autoSpaceDN w:val="0"/>
        <w:adjustRightInd w:val="0"/>
      </w:pPr>
    </w:p>
    <w:p w14:paraId="048EEF12" w14:textId="40918174" w:rsidR="00C4454D" w:rsidRPr="00A735B4" w:rsidRDefault="00C4454D" w:rsidP="00C4454D">
      <w:pPr>
        <w:jc w:val="center"/>
        <w:rPr>
          <w:color w:val="1F497D" w:themeColor="text2"/>
          <w:sz w:val="24"/>
          <w:szCs w:val="24"/>
        </w:rPr>
      </w:pPr>
      <w:bookmarkStart w:id="63" w:name="_Toc410823496"/>
      <w:r w:rsidRPr="00A735B4">
        <w:rPr>
          <w:color w:val="1F497D" w:themeColor="text2"/>
        </w:rPr>
        <w:t>Figure 5.6 Time required to recognize medical degrees obtained abroad</w:t>
      </w:r>
      <w:bookmarkEnd w:id="63"/>
      <w:r w:rsidRPr="00A735B4">
        <w:rPr>
          <w:color w:val="1F497D" w:themeColor="text2"/>
        </w:rPr>
        <w:t xml:space="preserve"> (weeks</w:t>
      </w:r>
      <w:r w:rsidRPr="00A735B4">
        <w:rPr>
          <w:color w:val="1F497D" w:themeColor="text2"/>
          <w:sz w:val="24"/>
          <w:szCs w:val="24"/>
        </w:rPr>
        <w:t>)</w:t>
      </w:r>
    </w:p>
    <w:p w14:paraId="7A763DBB" w14:textId="77777777" w:rsidR="00C4454D" w:rsidRPr="00A735B4" w:rsidRDefault="00C4454D" w:rsidP="00C4454D">
      <w:pPr>
        <w:keepNext/>
        <w:jc w:val="center"/>
      </w:pPr>
      <w:r w:rsidRPr="00A735B4">
        <w:rPr>
          <w:noProof/>
        </w:rPr>
        <w:drawing>
          <wp:inline distT="0" distB="0" distL="0" distR="0" wp14:anchorId="7DA3ADA2" wp14:editId="0B492DB2">
            <wp:extent cx="5382883" cy="2743200"/>
            <wp:effectExtent l="0" t="0" r="27940" b="1905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52B37FB" w14:textId="77777777" w:rsidR="00C4454D" w:rsidRPr="00A735B4" w:rsidRDefault="00C4454D" w:rsidP="00C4454D">
      <w:pPr>
        <w:keepNext/>
        <w:ind w:firstLine="720"/>
        <w:rPr>
          <w:sz w:val="20"/>
        </w:rPr>
      </w:pPr>
      <w:r w:rsidRPr="00A735B4">
        <w:rPr>
          <w:i/>
          <w:sz w:val="20"/>
        </w:rPr>
        <w:t>Source</w:t>
      </w:r>
      <w:r w:rsidRPr="00A735B4">
        <w:rPr>
          <w:sz w:val="20"/>
        </w:rPr>
        <w:t>: World Bank.</w:t>
      </w:r>
    </w:p>
    <w:p w14:paraId="060F5434" w14:textId="77777777" w:rsidR="00C4454D" w:rsidRPr="00A735B4" w:rsidRDefault="00C4454D" w:rsidP="00C4454D">
      <w:pPr>
        <w:autoSpaceDE w:val="0"/>
        <w:autoSpaceDN w:val="0"/>
        <w:adjustRightInd w:val="0"/>
      </w:pPr>
    </w:p>
    <w:p w14:paraId="151E1553" w14:textId="7E1D6DCE" w:rsidR="00C4454D" w:rsidRPr="00A735B4" w:rsidRDefault="00C4454D" w:rsidP="00C4454D">
      <w:pPr>
        <w:numPr>
          <w:ilvl w:val="0"/>
          <w:numId w:val="2"/>
        </w:numPr>
        <w:autoSpaceDE w:val="0"/>
        <w:autoSpaceDN w:val="0"/>
        <w:adjustRightInd w:val="0"/>
        <w:ind w:left="0" w:firstLine="0"/>
        <w:jc w:val="both"/>
      </w:pPr>
      <w:r w:rsidRPr="00A735B4">
        <w:t xml:space="preserve">The third study obtained information from small cross-border traders in Kenya, Malawi, Tanzania, and Zambia. Through a cell-phone based questionnaire, the traders were asked about their most recent experience of crossing the border in time taken, whether they paid unofficial fees, if they were subject to insults or physical abuse, and which goods they were carrying. Figures 5.7 and 5.8 show the responses to the questions on time to cross and bribes and harassment. The data can be further disaggregated by gender. In addition to providing comparative data to authorities on progress in facilitating trade for small traders, this information also draws attention to the opportunities for peer-to-peer learning. </w:t>
      </w:r>
    </w:p>
    <w:p w14:paraId="3E24E11A" w14:textId="77777777" w:rsidR="00C4454D" w:rsidRPr="00A735B4" w:rsidRDefault="00C4454D" w:rsidP="00C4454D">
      <w:pPr>
        <w:autoSpaceDE w:val="0"/>
        <w:autoSpaceDN w:val="0"/>
        <w:adjustRightInd w:val="0"/>
      </w:pPr>
    </w:p>
    <w:p w14:paraId="27DC7505" w14:textId="77777777" w:rsidR="00C4454D" w:rsidRPr="00A735B4" w:rsidRDefault="00C4454D" w:rsidP="00C4454D">
      <w:pPr>
        <w:autoSpaceDE w:val="0"/>
        <w:autoSpaceDN w:val="0"/>
        <w:adjustRightInd w:val="0"/>
        <w:jc w:val="center"/>
        <w:rPr>
          <w:b/>
          <w:bCs/>
        </w:rPr>
      </w:pPr>
    </w:p>
    <w:p w14:paraId="4F81FABC" w14:textId="77777777" w:rsidR="00C4454D" w:rsidRPr="00A735B4" w:rsidRDefault="00C4454D" w:rsidP="00C4454D">
      <w:pPr>
        <w:autoSpaceDE w:val="0"/>
        <w:autoSpaceDN w:val="0"/>
        <w:adjustRightInd w:val="0"/>
        <w:jc w:val="center"/>
        <w:rPr>
          <w:b/>
          <w:bCs/>
        </w:rPr>
      </w:pPr>
    </w:p>
    <w:p w14:paraId="73F18970" w14:textId="77777777" w:rsidR="00C4454D" w:rsidRPr="00A735B4" w:rsidRDefault="00C4454D" w:rsidP="00C4454D">
      <w:pPr>
        <w:autoSpaceDE w:val="0"/>
        <w:autoSpaceDN w:val="0"/>
        <w:adjustRightInd w:val="0"/>
        <w:jc w:val="center"/>
        <w:rPr>
          <w:b/>
          <w:bCs/>
        </w:rPr>
      </w:pPr>
    </w:p>
    <w:p w14:paraId="14328C9E" w14:textId="77777777" w:rsidR="00C4454D" w:rsidRPr="00A735B4" w:rsidRDefault="00C4454D" w:rsidP="00C4454D">
      <w:pPr>
        <w:autoSpaceDE w:val="0"/>
        <w:autoSpaceDN w:val="0"/>
        <w:adjustRightInd w:val="0"/>
        <w:jc w:val="center"/>
        <w:rPr>
          <w:b/>
          <w:bCs/>
        </w:rPr>
      </w:pPr>
    </w:p>
    <w:p w14:paraId="487CE7CC" w14:textId="77777777" w:rsidR="00C4454D" w:rsidRPr="00A735B4" w:rsidRDefault="00C4454D" w:rsidP="00C4454D">
      <w:pPr>
        <w:autoSpaceDE w:val="0"/>
        <w:autoSpaceDN w:val="0"/>
        <w:adjustRightInd w:val="0"/>
        <w:jc w:val="center"/>
        <w:rPr>
          <w:b/>
          <w:bCs/>
        </w:rPr>
      </w:pPr>
    </w:p>
    <w:p w14:paraId="7AD54D5B" w14:textId="77777777" w:rsidR="00C4454D" w:rsidRPr="00A735B4" w:rsidRDefault="00C4454D" w:rsidP="00C4454D">
      <w:pPr>
        <w:autoSpaceDE w:val="0"/>
        <w:autoSpaceDN w:val="0"/>
        <w:adjustRightInd w:val="0"/>
        <w:jc w:val="center"/>
        <w:rPr>
          <w:b/>
          <w:bCs/>
        </w:rPr>
      </w:pPr>
    </w:p>
    <w:p w14:paraId="60591459" w14:textId="02BCBC62" w:rsidR="00C4454D" w:rsidRPr="00A735B4" w:rsidRDefault="00C4454D" w:rsidP="00C4454D">
      <w:pPr>
        <w:jc w:val="center"/>
        <w:rPr>
          <w:color w:val="1F497D" w:themeColor="text2"/>
        </w:rPr>
      </w:pPr>
      <w:r w:rsidRPr="00A735B4">
        <w:rPr>
          <w:color w:val="1F497D" w:themeColor="text2"/>
        </w:rPr>
        <w:t>Figure 5.7 Reported time to cross border</w:t>
      </w:r>
    </w:p>
    <w:p w14:paraId="546E90F1" w14:textId="77777777" w:rsidR="00C4454D" w:rsidRPr="00A735B4" w:rsidRDefault="00C4454D" w:rsidP="00C4454D">
      <w:pPr>
        <w:autoSpaceDE w:val="0"/>
        <w:autoSpaceDN w:val="0"/>
        <w:adjustRightInd w:val="0"/>
      </w:pPr>
      <w:r w:rsidRPr="00A735B4">
        <w:rPr>
          <w:noProof/>
        </w:rPr>
        <w:lastRenderedPageBreak/>
        <w:drawing>
          <wp:inline distT="0" distB="0" distL="0" distR="0" wp14:anchorId="116AB34C" wp14:editId="456D35D6">
            <wp:extent cx="5267325" cy="2867025"/>
            <wp:effectExtent l="0" t="0" r="9525" b="9525"/>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0BB5BFF" w14:textId="77777777" w:rsidR="00C4454D" w:rsidRPr="00A735B4" w:rsidRDefault="00C4454D" w:rsidP="00C4454D">
      <w:pPr>
        <w:keepNext/>
        <w:ind w:firstLine="720"/>
        <w:rPr>
          <w:sz w:val="20"/>
        </w:rPr>
      </w:pPr>
      <w:r w:rsidRPr="00A735B4">
        <w:rPr>
          <w:i/>
          <w:sz w:val="20"/>
        </w:rPr>
        <w:t>Source</w:t>
      </w:r>
      <w:r w:rsidRPr="00A735B4">
        <w:rPr>
          <w:sz w:val="20"/>
        </w:rPr>
        <w:t>: World Bank.</w:t>
      </w:r>
    </w:p>
    <w:p w14:paraId="1EC51570" w14:textId="77777777" w:rsidR="00C4454D" w:rsidRPr="00A735B4" w:rsidRDefault="00C4454D" w:rsidP="00C4454D">
      <w:pPr>
        <w:autoSpaceDE w:val="0"/>
        <w:autoSpaceDN w:val="0"/>
        <w:adjustRightInd w:val="0"/>
      </w:pPr>
    </w:p>
    <w:p w14:paraId="09D42E53" w14:textId="77777777" w:rsidR="00C4454D" w:rsidRPr="00A735B4" w:rsidRDefault="00C4454D" w:rsidP="00C4454D">
      <w:pPr>
        <w:autoSpaceDE w:val="0"/>
        <w:autoSpaceDN w:val="0"/>
        <w:adjustRightInd w:val="0"/>
      </w:pPr>
    </w:p>
    <w:p w14:paraId="2C01E851" w14:textId="5CD0ACC1" w:rsidR="00C4454D" w:rsidRPr="00A735B4" w:rsidRDefault="00C4454D" w:rsidP="00C4454D">
      <w:pPr>
        <w:jc w:val="center"/>
        <w:rPr>
          <w:color w:val="1F497D" w:themeColor="text2"/>
        </w:rPr>
      </w:pPr>
      <w:bookmarkStart w:id="64" w:name="_Toc410823498"/>
      <w:r w:rsidRPr="00A735B4">
        <w:rPr>
          <w:color w:val="1F497D" w:themeColor="text2"/>
        </w:rPr>
        <w:t>Figure 5.8 Proportion of traders reporting bribes and harassment</w:t>
      </w:r>
      <w:bookmarkEnd w:id="64"/>
    </w:p>
    <w:p w14:paraId="603A2DD0" w14:textId="77777777" w:rsidR="00C4454D" w:rsidRPr="00A735B4" w:rsidRDefault="00C4454D" w:rsidP="00C4454D">
      <w:pPr>
        <w:autoSpaceDE w:val="0"/>
        <w:autoSpaceDN w:val="0"/>
        <w:adjustRightInd w:val="0"/>
      </w:pPr>
      <w:r w:rsidRPr="00A735B4">
        <w:rPr>
          <w:noProof/>
        </w:rPr>
        <w:drawing>
          <wp:inline distT="0" distB="0" distL="0" distR="0" wp14:anchorId="09B73AAC" wp14:editId="5552897D">
            <wp:extent cx="5546785" cy="2691441"/>
            <wp:effectExtent l="0" t="0" r="15875" b="1397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2FC5BDB" w14:textId="77777777" w:rsidR="00C4454D" w:rsidRPr="00A735B4" w:rsidRDefault="00C4454D" w:rsidP="00C4454D">
      <w:pPr>
        <w:keepNext/>
        <w:ind w:firstLine="720"/>
        <w:rPr>
          <w:sz w:val="20"/>
        </w:rPr>
      </w:pPr>
      <w:r w:rsidRPr="00A735B4">
        <w:rPr>
          <w:i/>
          <w:sz w:val="20"/>
        </w:rPr>
        <w:t>Source</w:t>
      </w:r>
      <w:r w:rsidRPr="00A735B4">
        <w:rPr>
          <w:sz w:val="20"/>
        </w:rPr>
        <w:t>: World Bank.</w:t>
      </w:r>
    </w:p>
    <w:p w14:paraId="165CAB7D" w14:textId="77777777" w:rsidR="00C4454D" w:rsidRPr="00A735B4" w:rsidRDefault="00C4454D" w:rsidP="00C4454D">
      <w:pPr>
        <w:autoSpaceDE w:val="0"/>
        <w:autoSpaceDN w:val="0"/>
        <w:adjustRightInd w:val="0"/>
      </w:pPr>
    </w:p>
    <w:p w14:paraId="7C2BA676" w14:textId="612E4588" w:rsidR="00C4454D" w:rsidRPr="00A735B4" w:rsidRDefault="00C4454D" w:rsidP="00C4454D">
      <w:pPr>
        <w:numPr>
          <w:ilvl w:val="0"/>
          <w:numId w:val="2"/>
        </w:numPr>
        <w:autoSpaceDE w:val="0"/>
        <w:autoSpaceDN w:val="0"/>
        <w:adjustRightInd w:val="0"/>
        <w:ind w:left="0" w:firstLine="0"/>
        <w:jc w:val="both"/>
      </w:pPr>
      <w:r w:rsidRPr="00A735B4">
        <w:t xml:space="preserve">The three pilot studies confirm the potential of crowdsourcing techniques to generate new indicators of trade integration. Some of the data generated, such as information on product prices and </w:t>
      </w:r>
      <w:r w:rsidRPr="00A735B4">
        <w:lastRenderedPageBreak/>
        <w:t>the costs of services trade barriers, are directly relevant for regional integration monitoring. The large number of outliers in the raw data, due to input error, call for a careful verification and cleaning of the data sets. The approach naturally lends itself only to issues that can be assessed through simple, clear questions that do not need explanation.</w:t>
      </w:r>
      <w:r w:rsidRPr="00A735B4">
        <w:endnoteReference w:id="9"/>
      </w:r>
      <w:r w:rsidRPr="00A735B4">
        <w:t xml:space="preserve"> Issues concerning the representativeness of the sample and the necessary sample size to obtain meaningful results also need to be carefully addressed. While keeping these challenges in mind, the cost advantage and the capacity to deliver new and timelier data relative to traditional face-to-face surveys is such that crowdsourcing holds substantial promise for enriching the indicator set available to monitor regional integration and to fill important information gaps in Africa.</w:t>
      </w:r>
    </w:p>
    <w:p w14:paraId="02B640C1" w14:textId="77777777" w:rsidR="00C4454D" w:rsidRPr="00A735B4" w:rsidRDefault="00C4454D">
      <w:pPr>
        <w:spacing w:after="200" w:line="276" w:lineRule="auto"/>
        <w:rPr>
          <w:rFonts w:asciiTheme="majorHAnsi" w:eastAsiaTheme="majorEastAsia" w:hAnsiTheme="majorHAnsi" w:cstheme="majorBidi"/>
          <w:b/>
          <w:bCs/>
          <w:color w:val="365F91" w:themeColor="accent1" w:themeShade="BF"/>
          <w:sz w:val="28"/>
          <w:szCs w:val="28"/>
        </w:rPr>
      </w:pPr>
      <w:bookmarkStart w:id="65" w:name="_Toc404814818"/>
      <w:bookmarkStart w:id="66" w:name="_Toc419565241"/>
      <w:r w:rsidRPr="00A735B4">
        <w:br w:type="page"/>
      </w:r>
    </w:p>
    <w:p w14:paraId="319DE4B8" w14:textId="724957B2" w:rsidR="00C4454D" w:rsidRPr="00A735B4" w:rsidRDefault="00C4454D" w:rsidP="00C4454D">
      <w:r w:rsidRPr="00A735B4">
        <w:lastRenderedPageBreak/>
        <w:t>The way forward</w:t>
      </w:r>
      <w:bookmarkEnd w:id="65"/>
      <w:bookmarkEnd w:id="66"/>
    </w:p>
    <w:p w14:paraId="115C3765" w14:textId="77777777" w:rsidR="00C4454D" w:rsidRPr="00A735B4" w:rsidRDefault="00C4454D" w:rsidP="00C4454D"/>
    <w:p w14:paraId="19C5DB49" w14:textId="77777777" w:rsidR="00C4454D" w:rsidRPr="00A735B4" w:rsidRDefault="00C4454D" w:rsidP="00C4454D">
      <w:pPr>
        <w:numPr>
          <w:ilvl w:val="0"/>
          <w:numId w:val="2"/>
        </w:numPr>
        <w:ind w:left="0" w:firstLine="0"/>
        <w:jc w:val="both"/>
      </w:pPr>
      <w:r w:rsidRPr="00A735B4">
        <w:t>Formal regional integration efforts in Africa have been ongoing for more than 50 years and important poverty reduction and economic development outcomes depend on an effective implementation of the existing RTAs. Hence, regional integration monitoring cannot wait until a perfect set of indicators has been assembled. Instead, analysts and policy makers have to work with the information that exists for their particular integration arrangements while trying over time to expand and supplement the informational basis on which their monitoring assessment is built.</w:t>
      </w:r>
    </w:p>
    <w:p w14:paraId="567A3ED5" w14:textId="77777777" w:rsidR="00C4454D" w:rsidRPr="00A735B4" w:rsidRDefault="00C4454D" w:rsidP="00C4454D"/>
    <w:p w14:paraId="2AC95DE0" w14:textId="3C181959" w:rsidR="00C4454D" w:rsidRPr="00A735B4" w:rsidRDefault="00C4454D" w:rsidP="00C4454D">
      <w:pPr>
        <w:numPr>
          <w:ilvl w:val="0"/>
          <w:numId w:val="2"/>
        </w:numPr>
        <w:ind w:left="0" w:firstLine="0"/>
        <w:jc w:val="both"/>
      </w:pPr>
      <w:r w:rsidRPr="00A735B4">
        <w:t>At the same time, integration monitoring should be comprehensive, such that it covers all the different dimensions of trade integration (merchandise trade, services trade, trade facilitation, and factor movements), and effective, in the sense of making it possible to assess the extent to which regional policy reforms have lowered trade transactions costs and facilitated the cross-border operations of private sector firms. In Africa, these requirements of comprehensiveness and effectiveness can hardly be met with the currently available indicators from traditional data. Therefore, the pursuit of high-quality integration monitoring immediately suggests the need for major efforts by regional economic communities and the donor community to develop new indicators.</w:t>
      </w:r>
    </w:p>
    <w:p w14:paraId="0A2334D1" w14:textId="77777777" w:rsidR="00C4454D" w:rsidRPr="00A735B4" w:rsidRDefault="00C4454D" w:rsidP="00C4454D">
      <w:pPr>
        <w:jc w:val="both"/>
      </w:pPr>
    </w:p>
    <w:p w14:paraId="03ADF29F" w14:textId="3A49ED4C" w:rsidR="00C4454D" w:rsidRPr="00A735B4" w:rsidRDefault="00C4454D" w:rsidP="00C4454D">
      <w:pPr>
        <w:numPr>
          <w:ilvl w:val="0"/>
          <w:numId w:val="2"/>
        </w:numPr>
        <w:ind w:left="0" w:firstLine="0"/>
        <w:jc w:val="both"/>
      </w:pPr>
      <w:r w:rsidRPr="00A735B4">
        <w:t>First, the priority for indicator development in particular RECs will be determined by the currently available monitoring information and the existing indicator gaps. All the main aspects of trade integration—tariff barriers, non-tariff barriers, services trade regulations, and logistics performance impediments—should be covered by appropriate indicators. If there are monitoring gaps, addressing this complete lack of information in a particular area should be high on the list. A second consideration for the prioritization of indicator development is the relative importance of different trade transaction cost components. For example, if transport and logistics costs account for a substantial share of total trade costs, but are poorly covered by existing monitoring efforts, the focus of indicator development might usefully fall on this area. A third aspect for the prioritization of indicator development efforts is related to ongoing and prospective regional trade reforms. If some major new policy reform is in the pipeline, the set of monitoring indicators should be designed such as to make it possible to capture the impacts of the policy change. Hence, regional integration monitoring and indicator development should be forward looking and responsive to the policy agenda.</w:t>
      </w:r>
    </w:p>
    <w:p w14:paraId="4341762F" w14:textId="77777777" w:rsidR="00C4454D" w:rsidRPr="00A735B4" w:rsidRDefault="00C4454D" w:rsidP="00C4454D">
      <w:pPr>
        <w:jc w:val="both"/>
      </w:pPr>
    </w:p>
    <w:p w14:paraId="415FBA4C" w14:textId="4ED2DC24" w:rsidR="00C4454D" w:rsidRPr="00A735B4" w:rsidRDefault="00C4454D" w:rsidP="00C4454D">
      <w:pPr>
        <w:numPr>
          <w:ilvl w:val="0"/>
          <w:numId w:val="2"/>
        </w:numPr>
        <w:ind w:left="0" w:firstLine="0"/>
        <w:jc w:val="both"/>
      </w:pPr>
      <w:r w:rsidRPr="00A735B4">
        <w:t xml:space="preserve">Linking trade outcomes to particular policy changes is, of course, difficult, as trade is driven by many policy and non-policy factors. As a result, in some cases indicators might provide spurious or erroneous information on integration progress. To guard against this risk of interference from non-integration factors, the development of disaggregate indicators should be given priority. The more specific an indicator is, the fewer factors will tend to influence it and the more trustworthy it will likely be in tracking integration policy outcomes. Moreover, having several indicators for a particular policy area at hand is highly desirable, as the various measures will provide a more comprehensive account of </w:t>
      </w:r>
      <w:r w:rsidRPr="00A735B4">
        <w:lastRenderedPageBreak/>
        <w:t>the situation. If different indicators provide conflicting information, analysts will be alerted to investigate the underlying developments.</w:t>
      </w:r>
    </w:p>
    <w:p w14:paraId="107ACB8E" w14:textId="77777777" w:rsidR="00C4454D" w:rsidRPr="00A735B4" w:rsidRDefault="00C4454D" w:rsidP="00C4454D">
      <w:pPr>
        <w:jc w:val="both"/>
      </w:pPr>
    </w:p>
    <w:p w14:paraId="51DFC72C" w14:textId="0BF6CAEF" w:rsidR="00C4454D" w:rsidRPr="00A735B4" w:rsidRDefault="00C4454D" w:rsidP="00C4454D">
      <w:pPr>
        <w:numPr>
          <w:ilvl w:val="0"/>
          <w:numId w:val="2"/>
        </w:numPr>
        <w:ind w:left="0" w:firstLine="0"/>
        <w:jc w:val="both"/>
      </w:pPr>
      <w:r w:rsidRPr="00A735B4">
        <w:t>One particular attribution problem arises from non-tradables. Some parts of total trade transactions costs will likely be related to non-tradable cost components, such as some services or land-related costs. By definition, these components will not be influenced by trade and trade policy reforms, but will be driven by other factors. Thus, non-tradables will introduce “noise” into the measurement of transaction cost indicators. While this issue cannot be entirely avoided, having several disaggregate indicators for different trade transaction cost components available will mitigate the problem and help to extract the correct signal from the data. Consideration of some indicators that capture the evolution of non-tradables, such as wage developments in services or land prices, could help in identifying potential measurement problems and taking their effects into account.</w:t>
      </w:r>
    </w:p>
    <w:p w14:paraId="10E8D2DB" w14:textId="26FE4715" w:rsidR="00C4454D" w:rsidRPr="00A735B4" w:rsidRDefault="00C4454D" w:rsidP="00C4454D">
      <w:bookmarkStart w:id="67" w:name="_Toc404814819"/>
      <w:bookmarkStart w:id="68" w:name="_Toc419565242"/>
      <w:r w:rsidRPr="00A735B4">
        <w:t>Lessons from the review of new indicators</w:t>
      </w:r>
      <w:bookmarkEnd w:id="67"/>
      <w:bookmarkEnd w:id="68"/>
    </w:p>
    <w:p w14:paraId="4EEDD64D" w14:textId="77777777" w:rsidR="00C4454D" w:rsidRPr="00A735B4" w:rsidRDefault="00C4454D" w:rsidP="00C4454D"/>
    <w:p w14:paraId="15433166" w14:textId="5410C46C" w:rsidR="00C4454D" w:rsidRPr="00A735B4" w:rsidRDefault="00C4454D" w:rsidP="00C4454D">
      <w:pPr>
        <w:numPr>
          <w:ilvl w:val="0"/>
          <w:numId w:val="2"/>
        </w:numPr>
        <w:ind w:left="0" w:firstLine="0"/>
        <w:jc w:val="both"/>
      </w:pPr>
      <w:r w:rsidRPr="00A735B4">
        <w:t xml:space="preserve">The earlier analysis discussed the potential of new regional integration indicators from existing and new data sources. Table 6.1 provides a schematic overview of the prospective usefulness of different new indicator sourcing methods and their respective strengths and implementation challenges. While all the indicator sources might help to enhance the effectiveness of regional integration monitoring, they differ markedly in their relative ease of operationalization and resource demands. </w:t>
      </w:r>
    </w:p>
    <w:p w14:paraId="651E4BA1" w14:textId="5648562C" w:rsidR="00C4454D" w:rsidRPr="00A735B4" w:rsidRDefault="00C4454D">
      <w:pPr>
        <w:spacing w:after="200" w:line="276" w:lineRule="auto"/>
      </w:pPr>
      <w:r w:rsidRPr="00A735B4">
        <w:br w:type="page"/>
      </w:r>
    </w:p>
    <w:p w14:paraId="4DCADF56" w14:textId="77777777" w:rsidR="00C4454D" w:rsidRPr="00A735B4" w:rsidRDefault="00C4454D" w:rsidP="00C4454D">
      <w:pPr>
        <w:jc w:val="center"/>
      </w:pPr>
    </w:p>
    <w:tbl>
      <w:tblPr>
        <w:tblW w:w="8748" w:type="dxa"/>
        <w:tblInd w:w="10" w:type="dxa"/>
        <w:tblCellMar>
          <w:left w:w="10" w:type="dxa"/>
          <w:right w:w="10" w:type="dxa"/>
        </w:tblCellMar>
        <w:tblLook w:val="04A0" w:firstRow="1" w:lastRow="0" w:firstColumn="1" w:lastColumn="0" w:noHBand="0" w:noVBand="1"/>
      </w:tblPr>
      <w:tblGrid>
        <w:gridCol w:w="2057"/>
        <w:gridCol w:w="2176"/>
        <w:gridCol w:w="2279"/>
        <w:gridCol w:w="2236"/>
      </w:tblGrid>
      <w:tr w:rsidR="00C4454D" w:rsidRPr="00A735B4" w14:paraId="7F588ED6" w14:textId="77777777" w:rsidTr="00C4454D">
        <w:tc>
          <w:tcPr>
            <w:tcW w:w="8748" w:type="dxa"/>
            <w:gridSpan w:val="4"/>
          </w:tcPr>
          <w:p w14:paraId="7AE6B271" w14:textId="5EDACF97" w:rsidR="00C4454D" w:rsidRPr="00A735B4" w:rsidRDefault="00C4454D" w:rsidP="00C4454D">
            <w:pPr>
              <w:jc w:val="center"/>
            </w:pPr>
            <w:bookmarkStart w:id="69" w:name="_Toc410823543"/>
            <w:r w:rsidRPr="00A735B4">
              <w:rPr>
                <w:color w:val="1F497D" w:themeColor="text2"/>
              </w:rPr>
              <w:t>Table 6.1 Potential for new indicators from different data sources</w:t>
            </w:r>
            <w:bookmarkEnd w:id="69"/>
          </w:p>
        </w:tc>
      </w:tr>
      <w:tr w:rsidR="00C4454D" w:rsidRPr="00A735B4" w14:paraId="31E74E21" w14:textId="77777777" w:rsidTr="00C4454D">
        <w:tc>
          <w:tcPr>
            <w:tcW w:w="2057" w:type="dxa"/>
            <w:tcBorders>
              <w:bottom w:val="single" w:sz="4" w:space="0" w:color="auto"/>
            </w:tcBorders>
            <w:vAlign w:val="center"/>
          </w:tcPr>
          <w:p w14:paraId="036C9644" w14:textId="77777777" w:rsidR="00C4454D" w:rsidRPr="00A735B4" w:rsidRDefault="00C4454D" w:rsidP="00C4454D">
            <w:pPr>
              <w:keepNext/>
              <w:tabs>
                <w:tab w:val="left" w:pos="0"/>
              </w:tabs>
              <w:jc w:val="center"/>
              <w:rPr>
                <w:b/>
              </w:rPr>
            </w:pPr>
            <w:r w:rsidRPr="00A735B4">
              <w:rPr>
                <w:b/>
              </w:rPr>
              <w:t>Data sourcing method</w:t>
            </w:r>
          </w:p>
        </w:tc>
        <w:tc>
          <w:tcPr>
            <w:tcW w:w="2176" w:type="dxa"/>
            <w:tcBorders>
              <w:bottom w:val="single" w:sz="4" w:space="0" w:color="auto"/>
            </w:tcBorders>
            <w:vAlign w:val="center"/>
          </w:tcPr>
          <w:p w14:paraId="77CD5F2E" w14:textId="77777777" w:rsidR="00C4454D" w:rsidRPr="00A735B4" w:rsidRDefault="00C4454D" w:rsidP="00C4454D">
            <w:pPr>
              <w:keepNext/>
              <w:tabs>
                <w:tab w:val="left" w:pos="0"/>
              </w:tabs>
              <w:jc w:val="center"/>
              <w:rPr>
                <w:b/>
              </w:rPr>
            </w:pPr>
            <w:r w:rsidRPr="00A735B4">
              <w:rPr>
                <w:b/>
              </w:rPr>
              <w:t>Indicator(s)</w:t>
            </w:r>
          </w:p>
        </w:tc>
        <w:tc>
          <w:tcPr>
            <w:tcW w:w="2279" w:type="dxa"/>
            <w:tcBorders>
              <w:bottom w:val="single" w:sz="4" w:space="0" w:color="auto"/>
            </w:tcBorders>
            <w:vAlign w:val="center"/>
          </w:tcPr>
          <w:p w14:paraId="1CC9558F" w14:textId="77777777" w:rsidR="00C4454D" w:rsidRPr="00A735B4" w:rsidRDefault="00C4454D" w:rsidP="00C4454D">
            <w:pPr>
              <w:keepNext/>
              <w:tabs>
                <w:tab w:val="left" w:pos="0"/>
              </w:tabs>
              <w:jc w:val="center"/>
              <w:rPr>
                <w:b/>
              </w:rPr>
            </w:pPr>
            <w:r w:rsidRPr="00A735B4">
              <w:rPr>
                <w:b/>
              </w:rPr>
              <w:t>Strengths</w:t>
            </w:r>
          </w:p>
        </w:tc>
        <w:tc>
          <w:tcPr>
            <w:tcW w:w="2236" w:type="dxa"/>
            <w:tcBorders>
              <w:bottom w:val="single" w:sz="4" w:space="0" w:color="auto"/>
            </w:tcBorders>
            <w:vAlign w:val="center"/>
          </w:tcPr>
          <w:p w14:paraId="72E40D83" w14:textId="77777777" w:rsidR="00C4454D" w:rsidRPr="00A735B4" w:rsidRDefault="00C4454D" w:rsidP="00C4454D">
            <w:pPr>
              <w:keepNext/>
              <w:tabs>
                <w:tab w:val="left" w:pos="0"/>
              </w:tabs>
              <w:jc w:val="center"/>
              <w:rPr>
                <w:b/>
              </w:rPr>
            </w:pPr>
            <w:r w:rsidRPr="00A735B4">
              <w:rPr>
                <w:b/>
              </w:rPr>
              <w:t>Challenges</w:t>
            </w:r>
          </w:p>
        </w:tc>
      </w:tr>
      <w:tr w:rsidR="00C4454D" w:rsidRPr="00A735B4" w14:paraId="79F19A7C" w14:textId="77777777" w:rsidTr="00C4454D">
        <w:tc>
          <w:tcPr>
            <w:tcW w:w="2057" w:type="dxa"/>
            <w:tcBorders>
              <w:top w:val="single" w:sz="4" w:space="0" w:color="auto"/>
            </w:tcBorders>
          </w:tcPr>
          <w:p w14:paraId="11AD256D" w14:textId="77777777" w:rsidR="00C4454D" w:rsidRPr="00A735B4" w:rsidRDefault="00C4454D" w:rsidP="00C4454D">
            <w:pPr>
              <w:keepNext/>
              <w:tabs>
                <w:tab w:val="left" w:pos="0"/>
              </w:tabs>
            </w:pPr>
            <w:r w:rsidRPr="00A735B4">
              <w:t>Corridor monitoring</w:t>
            </w:r>
          </w:p>
        </w:tc>
        <w:tc>
          <w:tcPr>
            <w:tcW w:w="2176" w:type="dxa"/>
            <w:tcBorders>
              <w:top w:val="single" w:sz="4" w:space="0" w:color="auto"/>
            </w:tcBorders>
          </w:tcPr>
          <w:p w14:paraId="3A818D7B" w14:textId="77777777" w:rsidR="00C4454D" w:rsidRPr="00A735B4" w:rsidRDefault="00C4454D" w:rsidP="00C4454D">
            <w:pPr>
              <w:keepNext/>
              <w:tabs>
                <w:tab w:val="left" w:pos="0"/>
              </w:tabs>
            </w:pPr>
            <w:r w:rsidRPr="00A735B4">
              <w:t>Time and costs of transport</w:t>
            </w:r>
          </w:p>
        </w:tc>
        <w:tc>
          <w:tcPr>
            <w:tcW w:w="2279" w:type="dxa"/>
            <w:tcBorders>
              <w:top w:val="single" w:sz="4" w:space="0" w:color="auto"/>
            </w:tcBorders>
          </w:tcPr>
          <w:p w14:paraId="171D7B15" w14:textId="77777777" w:rsidR="00C4454D" w:rsidRPr="00A735B4" w:rsidRDefault="00C4454D" w:rsidP="00C4454D">
            <w:pPr>
              <w:keepNext/>
              <w:tabs>
                <w:tab w:val="left" w:pos="0"/>
              </w:tabs>
            </w:pPr>
            <w:r w:rsidRPr="00A735B4">
              <w:t>Operator perspective of trade facilitation</w:t>
            </w:r>
          </w:p>
        </w:tc>
        <w:tc>
          <w:tcPr>
            <w:tcW w:w="2236" w:type="dxa"/>
            <w:tcBorders>
              <w:top w:val="single" w:sz="4" w:space="0" w:color="auto"/>
            </w:tcBorders>
          </w:tcPr>
          <w:p w14:paraId="61078E79" w14:textId="77777777" w:rsidR="00C4454D" w:rsidRPr="00A735B4" w:rsidRDefault="00C4454D" w:rsidP="00C4454D">
            <w:pPr>
              <w:keepNext/>
              <w:tabs>
                <w:tab w:val="left" w:pos="0"/>
              </w:tabs>
            </w:pPr>
            <w:r w:rsidRPr="00A735B4">
              <w:t>Consistency and quality of survey instrument</w:t>
            </w:r>
          </w:p>
        </w:tc>
      </w:tr>
      <w:tr w:rsidR="00C4454D" w:rsidRPr="00A735B4" w14:paraId="62A8B06A" w14:textId="77777777" w:rsidTr="00C4454D">
        <w:tc>
          <w:tcPr>
            <w:tcW w:w="2057" w:type="dxa"/>
            <w:shd w:val="clear" w:color="auto" w:fill="F2F2F2" w:themeFill="background1" w:themeFillShade="F2"/>
          </w:tcPr>
          <w:p w14:paraId="44C081C8" w14:textId="4F26E62A" w:rsidR="00C4454D" w:rsidRPr="00A735B4" w:rsidRDefault="00C4454D" w:rsidP="00C4454D">
            <w:pPr>
              <w:keepNext/>
              <w:tabs>
                <w:tab w:val="left" w:pos="0"/>
              </w:tabs>
            </w:pPr>
            <w:r w:rsidRPr="00A735B4">
              <w:t>Firm-level customs data</w:t>
            </w:r>
          </w:p>
        </w:tc>
        <w:tc>
          <w:tcPr>
            <w:tcW w:w="2176" w:type="dxa"/>
            <w:shd w:val="clear" w:color="auto" w:fill="F2F2F2" w:themeFill="background1" w:themeFillShade="F2"/>
          </w:tcPr>
          <w:p w14:paraId="283F9D84" w14:textId="77777777" w:rsidR="00C4454D" w:rsidRPr="00A735B4" w:rsidRDefault="00C4454D" w:rsidP="00C4454D">
            <w:pPr>
              <w:keepNext/>
              <w:tabs>
                <w:tab w:val="left" w:pos="0"/>
              </w:tabs>
            </w:pPr>
            <w:r w:rsidRPr="00A735B4">
              <w:t>Exporter characteristics and dynamics</w:t>
            </w:r>
          </w:p>
        </w:tc>
        <w:tc>
          <w:tcPr>
            <w:tcW w:w="2279" w:type="dxa"/>
            <w:shd w:val="clear" w:color="auto" w:fill="F2F2F2" w:themeFill="background1" w:themeFillShade="F2"/>
          </w:tcPr>
          <w:p w14:paraId="2B8A8BD9" w14:textId="77777777" w:rsidR="00C4454D" w:rsidRPr="00A735B4" w:rsidRDefault="00C4454D" w:rsidP="00C4454D">
            <w:pPr>
              <w:keepNext/>
              <w:tabs>
                <w:tab w:val="left" w:pos="0"/>
              </w:tabs>
            </w:pPr>
            <w:r w:rsidRPr="00A735B4">
              <w:t>Microeconomic perspective of trade relations</w:t>
            </w:r>
          </w:p>
        </w:tc>
        <w:tc>
          <w:tcPr>
            <w:tcW w:w="2236" w:type="dxa"/>
            <w:shd w:val="clear" w:color="auto" w:fill="F2F2F2" w:themeFill="background1" w:themeFillShade="F2"/>
          </w:tcPr>
          <w:p w14:paraId="7D23D4D3" w14:textId="77777777" w:rsidR="00C4454D" w:rsidRPr="00A735B4" w:rsidRDefault="00C4454D" w:rsidP="00C4454D">
            <w:pPr>
              <w:keepNext/>
              <w:tabs>
                <w:tab w:val="left" w:pos="0"/>
              </w:tabs>
            </w:pPr>
            <w:r w:rsidRPr="00A735B4">
              <w:t>Confidentiality concerns</w:t>
            </w:r>
          </w:p>
        </w:tc>
      </w:tr>
      <w:tr w:rsidR="00C4454D" w:rsidRPr="00A735B4" w14:paraId="63C7AF99" w14:textId="77777777" w:rsidTr="00C4454D">
        <w:tc>
          <w:tcPr>
            <w:tcW w:w="2057" w:type="dxa"/>
          </w:tcPr>
          <w:p w14:paraId="7C84C5D2" w14:textId="77777777" w:rsidR="00C4454D" w:rsidRPr="00A735B4" w:rsidRDefault="00C4454D" w:rsidP="00C4454D">
            <w:pPr>
              <w:keepNext/>
              <w:tabs>
                <w:tab w:val="left" w:pos="0"/>
              </w:tabs>
            </w:pPr>
            <w:r w:rsidRPr="00A735B4">
              <w:t>Price comparison data</w:t>
            </w:r>
          </w:p>
        </w:tc>
        <w:tc>
          <w:tcPr>
            <w:tcW w:w="2176" w:type="dxa"/>
          </w:tcPr>
          <w:p w14:paraId="0CA5F809" w14:textId="77777777" w:rsidR="00C4454D" w:rsidRPr="00A735B4" w:rsidRDefault="00C4454D" w:rsidP="00C4454D">
            <w:pPr>
              <w:keepNext/>
              <w:tabs>
                <w:tab w:val="left" w:pos="0"/>
              </w:tabs>
            </w:pPr>
            <w:r w:rsidRPr="00A735B4">
              <w:t>Prices of food staples/commodities</w:t>
            </w:r>
          </w:p>
        </w:tc>
        <w:tc>
          <w:tcPr>
            <w:tcW w:w="2279" w:type="dxa"/>
          </w:tcPr>
          <w:p w14:paraId="562936BA" w14:textId="77777777" w:rsidR="00C4454D" w:rsidRPr="00A735B4" w:rsidRDefault="00C4454D" w:rsidP="00C4454D">
            <w:pPr>
              <w:keepNext/>
              <w:tabs>
                <w:tab w:val="left" w:pos="0"/>
              </w:tabs>
            </w:pPr>
            <w:r w:rsidRPr="00A735B4">
              <w:t>Data to assess convergence of prices over time</w:t>
            </w:r>
          </w:p>
        </w:tc>
        <w:tc>
          <w:tcPr>
            <w:tcW w:w="2236" w:type="dxa"/>
          </w:tcPr>
          <w:p w14:paraId="06256606" w14:textId="77777777" w:rsidR="00C4454D" w:rsidRPr="00A735B4" w:rsidRDefault="00C4454D" w:rsidP="00C4454D">
            <w:pPr>
              <w:keepNext/>
              <w:tabs>
                <w:tab w:val="left" w:pos="0"/>
              </w:tabs>
            </w:pPr>
            <w:r w:rsidRPr="00A735B4">
              <w:t>Comparability of observations; impact of different levels of competition among intermediaries</w:t>
            </w:r>
          </w:p>
        </w:tc>
      </w:tr>
      <w:tr w:rsidR="00C4454D" w:rsidRPr="00A735B4" w14:paraId="611FA982" w14:textId="77777777" w:rsidTr="00C4454D">
        <w:tc>
          <w:tcPr>
            <w:tcW w:w="2057" w:type="dxa"/>
            <w:shd w:val="clear" w:color="auto" w:fill="F2F2F2" w:themeFill="background1" w:themeFillShade="F2"/>
          </w:tcPr>
          <w:p w14:paraId="7EA85BFE" w14:textId="77777777" w:rsidR="00C4454D" w:rsidRPr="00A735B4" w:rsidRDefault="00C4454D" w:rsidP="00C4454D">
            <w:pPr>
              <w:keepNext/>
              <w:tabs>
                <w:tab w:val="left" w:pos="0"/>
              </w:tabs>
            </w:pPr>
            <w:r w:rsidRPr="00A735B4">
              <w:t>Trade in value-added information</w:t>
            </w:r>
          </w:p>
        </w:tc>
        <w:tc>
          <w:tcPr>
            <w:tcW w:w="2176" w:type="dxa"/>
            <w:shd w:val="clear" w:color="auto" w:fill="F2F2F2" w:themeFill="background1" w:themeFillShade="F2"/>
          </w:tcPr>
          <w:p w14:paraId="1BDE1031" w14:textId="77777777" w:rsidR="00C4454D" w:rsidRPr="00A735B4" w:rsidRDefault="00C4454D" w:rsidP="00C4454D">
            <w:pPr>
              <w:keepNext/>
              <w:tabs>
                <w:tab w:val="left" w:pos="0"/>
              </w:tabs>
            </w:pPr>
            <w:r w:rsidRPr="00A735B4">
              <w:t>Degree of integration into international supply chains</w:t>
            </w:r>
          </w:p>
        </w:tc>
        <w:tc>
          <w:tcPr>
            <w:tcW w:w="2279" w:type="dxa"/>
            <w:shd w:val="clear" w:color="auto" w:fill="F2F2F2" w:themeFill="background1" w:themeFillShade="F2"/>
          </w:tcPr>
          <w:p w14:paraId="311FF773" w14:textId="77777777" w:rsidR="00C4454D" w:rsidRPr="00A735B4" w:rsidRDefault="00C4454D" w:rsidP="00C4454D">
            <w:pPr>
              <w:keepNext/>
              <w:tabs>
                <w:tab w:val="left" w:pos="0"/>
              </w:tabs>
            </w:pPr>
            <w:r w:rsidRPr="00A735B4">
              <w:t>Possibility to evaluate network effects</w:t>
            </w:r>
          </w:p>
        </w:tc>
        <w:tc>
          <w:tcPr>
            <w:tcW w:w="2236" w:type="dxa"/>
            <w:shd w:val="clear" w:color="auto" w:fill="F2F2F2" w:themeFill="background1" w:themeFillShade="F2"/>
          </w:tcPr>
          <w:p w14:paraId="3264D3D7" w14:textId="4277E9A6" w:rsidR="00C4454D" w:rsidRPr="00A735B4" w:rsidRDefault="00C4454D" w:rsidP="00C4454D">
            <w:pPr>
              <w:keepNext/>
              <w:tabs>
                <w:tab w:val="left" w:pos="0"/>
              </w:tabs>
            </w:pPr>
            <w:r w:rsidRPr="00A735B4">
              <w:t>Need for up-to-date input-output matrix</w:t>
            </w:r>
          </w:p>
        </w:tc>
      </w:tr>
      <w:tr w:rsidR="00C4454D" w:rsidRPr="00A735B4" w14:paraId="77C3CE0E" w14:textId="77777777" w:rsidTr="00C4454D">
        <w:tc>
          <w:tcPr>
            <w:tcW w:w="2057" w:type="dxa"/>
          </w:tcPr>
          <w:p w14:paraId="16B6C83B" w14:textId="77777777" w:rsidR="00C4454D" w:rsidRPr="00A735B4" w:rsidRDefault="00C4454D" w:rsidP="00C4454D">
            <w:pPr>
              <w:keepNext/>
              <w:tabs>
                <w:tab w:val="left" w:pos="0"/>
              </w:tabs>
            </w:pPr>
            <w:r w:rsidRPr="00A735B4">
              <w:t>Mystery shopping</w:t>
            </w:r>
          </w:p>
        </w:tc>
        <w:tc>
          <w:tcPr>
            <w:tcW w:w="2176" w:type="dxa"/>
          </w:tcPr>
          <w:p w14:paraId="7D2C3767" w14:textId="77777777" w:rsidR="00C4454D" w:rsidRPr="00A735B4" w:rsidRDefault="00C4454D" w:rsidP="00C4454D">
            <w:pPr>
              <w:keepNext/>
              <w:tabs>
                <w:tab w:val="left" w:pos="0"/>
              </w:tabs>
            </w:pPr>
            <w:r w:rsidRPr="00A735B4">
              <w:t>Prices of standardized services; costs associated with non-tariff barriers</w:t>
            </w:r>
          </w:p>
        </w:tc>
        <w:tc>
          <w:tcPr>
            <w:tcW w:w="2279" w:type="dxa"/>
          </w:tcPr>
          <w:p w14:paraId="24565E8F" w14:textId="0D4B5C26" w:rsidR="00C4454D" w:rsidRPr="00A735B4" w:rsidRDefault="00C4454D" w:rsidP="00C4454D">
            <w:pPr>
              <w:keepNext/>
              <w:tabs>
                <w:tab w:val="left" w:pos="0"/>
              </w:tabs>
            </w:pPr>
            <w:r w:rsidRPr="00A735B4">
              <w:t>Firsthand data on otherwise difficult to assess integration aspects</w:t>
            </w:r>
          </w:p>
        </w:tc>
        <w:tc>
          <w:tcPr>
            <w:tcW w:w="2236" w:type="dxa"/>
          </w:tcPr>
          <w:p w14:paraId="20765C68" w14:textId="77777777" w:rsidR="00C4454D" w:rsidRPr="00A735B4" w:rsidRDefault="00C4454D" w:rsidP="00C4454D">
            <w:pPr>
              <w:keepNext/>
              <w:tabs>
                <w:tab w:val="left" w:pos="0"/>
              </w:tabs>
            </w:pPr>
            <w:r w:rsidRPr="00A735B4">
              <w:t>Costly to achieve representative sample size; high variability of results in (pilot study) findings</w:t>
            </w:r>
          </w:p>
        </w:tc>
      </w:tr>
      <w:tr w:rsidR="00C4454D" w:rsidRPr="00A735B4" w14:paraId="0B080D58" w14:textId="77777777" w:rsidTr="00C4454D">
        <w:tc>
          <w:tcPr>
            <w:tcW w:w="2057" w:type="dxa"/>
            <w:tcBorders>
              <w:bottom w:val="single" w:sz="4" w:space="0" w:color="auto"/>
            </w:tcBorders>
            <w:shd w:val="clear" w:color="auto" w:fill="F2F2F2" w:themeFill="background1" w:themeFillShade="F2"/>
          </w:tcPr>
          <w:p w14:paraId="2DC4EBD8" w14:textId="77777777" w:rsidR="00C4454D" w:rsidRPr="00A735B4" w:rsidRDefault="00C4454D" w:rsidP="00C4454D">
            <w:pPr>
              <w:keepNext/>
              <w:tabs>
                <w:tab w:val="left" w:pos="0"/>
              </w:tabs>
            </w:pPr>
            <w:r w:rsidRPr="00A735B4">
              <w:t xml:space="preserve">Crowdsourcing </w:t>
            </w:r>
          </w:p>
        </w:tc>
        <w:tc>
          <w:tcPr>
            <w:tcW w:w="2176" w:type="dxa"/>
            <w:tcBorders>
              <w:bottom w:val="single" w:sz="4" w:space="0" w:color="auto"/>
            </w:tcBorders>
            <w:shd w:val="clear" w:color="auto" w:fill="F2F2F2" w:themeFill="background1" w:themeFillShade="F2"/>
          </w:tcPr>
          <w:p w14:paraId="76988193" w14:textId="77777777" w:rsidR="00C4454D" w:rsidRPr="00A735B4" w:rsidRDefault="00C4454D" w:rsidP="00C4454D">
            <w:pPr>
              <w:keepNext/>
              <w:tabs>
                <w:tab w:val="left" w:pos="0"/>
              </w:tabs>
            </w:pPr>
            <w:r w:rsidRPr="00A735B4">
              <w:t>Prices of goods and services; satisfaction with goods and services</w:t>
            </w:r>
          </w:p>
        </w:tc>
        <w:tc>
          <w:tcPr>
            <w:tcW w:w="2279" w:type="dxa"/>
            <w:tcBorders>
              <w:bottom w:val="single" w:sz="4" w:space="0" w:color="auto"/>
            </w:tcBorders>
            <w:shd w:val="clear" w:color="auto" w:fill="F2F2F2" w:themeFill="background1" w:themeFillShade="F2"/>
          </w:tcPr>
          <w:p w14:paraId="53AFE8E0" w14:textId="77777777" w:rsidR="00C4454D" w:rsidRPr="00A735B4" w:rsidRDefault="00C4454D" w:rsidP="00C4454D">
            <w:pPr>
              <w:keepNext/>
              <w:tabs>
                <w:tab w:val="left" w:pos="0"/>
              </w:tabs>
            </w:pPr>
            <w:r w:rsidRPr="00A735B4">
              <w:t>Data to assess convergence of prices over time</w:t>
            </w:r>
          </w:p>
        </w:tc>
        <w:tc>
          <w:tcPr>
            <w:tcW w:w="2236" w:type="dxa"/>
            <w:tcBorders>
              <w:bottom w:val="single" w:sz="4" w:space="0" w:color="auto"/>
            </w:tcBorders>
            <w:shd w:val="clear" w:color="auto" w:fill="F2F2F2" w:themeFill="background1" w:themeFillShade="F2"/>
          </w:tcPr>
          <w:p w14:paraId="1E85B89C" w14:textId="77777777" w:rsidR="00C4454D" w:rsidRPr="00A735B4" w:rsidRDefault="00C4454D" w:rsidP="00C4454D">
            <w:pPr>
              <w:keepNext/>
              <w:tabs>
                <w:tab w:val="left" w:pos="0"/>
              </w:tabs>
            </w:pPr>
            <w:r w:rsidRPr="00A735B4">
              <w:t>Verification of the quality of the data</w:t>
            </w:r>
          </w:p>
        </w:tc>
      </w:tr>
      <w:tr w:rsidR="00C4454D" w:rsidRPr="00A735B4" w14:paraId="1A984247" w14:textId="77777777" w:rsidTr="00C4454D">
        <w:tc>
          <w:tcPr>
            <w:tcW w:w="8748" w:type="dxa"/>
            <w:gridSpan w:val="4"/>
            <w:tcBorders>
              <w:top w:val="single" w:sz="4" w:space="0" w:color="auto"/>
            </w:tcBorders>
          </w:tcPr>
          <w:p w14:paraId="4EF4A62F" w14:textId="77777777" w:rsidR="00C4454D" w:rsidRPr="00A735B4" w:rsidRDefault="00C4454D" w:rsidP="00C4454D">
            <w:pPr>
              <w:keepNext/>
              <w:tabs>
                <w:tab w:val="left" w:pos="375"/>
              </w:tabs>
            </w:pPr>
            <w:r w:rsidRPr="00A735B4">
              <w:rPr>
                <w:i/>
              </w:rPr>
              <w:t>Source</w:t>
            </w:r>
            <w:r w:rsidRPr="00A735B4">
              <w:t>: World Bank.</w:t>
            </w:r>
          </w:p>
        </w:tc>
      </w:tr>
    </w:tbl>
    <w:p w14:paraId="5E33522B" w14:textId="77777777" w:rsidR="00C4454D" w:rsidRPr="00A735B4" w:rsidRDefault="00C4454D" w:rsidP="00C4454D"/>
    <w:p w14:paraId="1D87F819" w14:textId="77777777" w:rsidR="00C4454D" w:rsidRPr="00A735B4" w:rsidRDefault="00C4454D" w:rsidP="00C4454D">
      <w:pPr>
        <w:numPr>
          <w:ilvl w:val="0"/>
          <w:numId w:val="2"/>
        </w:numPr>
        <w:ind w:left="0" w:firstLine="0"/>
        <w:jc w:val="both"/>
      </w:pPr>
      <w:r w:rsidRPr="00A735B4">
        <w:t>If these new indicators were to become available, the process of regional integration monitoring would certainly be enriched and extended into aspects of integration that were previously not assessed via quantitative information. The new indicator sources are not equally advanced and the development of some new indicators will take more time and resources than others. Data from transport corridor monitoring committees as well as commodity price data seem readily available and could be used for integration monitoring at relatively low costs. Meanwhile, information on firm-level trade transactions and trade in value-added is still in the process of being collected and formatted for a sizeable sample of countries and consistent time-series are missing. The pilot studies undertaken by the World Bank revealed substantial potential for indicator development with the use of crowdsourcing surveys, while the pilot mystery shopping surveys highlighted several issues and challenges that have to be overcome before the method can be confidently used to track progress on regional integration.</w:t>
      </w:r>
    </w:p>
    <w:p w14:paraId="7D7DB38D" w14:textId="77777777" w:rsidR="00C4454D" w:rsidRPr="00A735B4" w:rsidRDefault="00C4454D" w:rsidP="00C4454D">
      <w:pPr>
        <w:jc w:val="both"/>
      </w:pPr>
    </w:p>
    <w:p w14:paraId="241E7C75" w14:textId="04459BFC" w:rsidR="00C4454D" w:rsidRPr="00A735B4" w:rsidRDefault="00C4454D" w:rsidP="00C4454D">
      <w:pPr>
        <w:numPr>
          <w:ilvl w:val="0"/>
          <w:numId w:val="2"/>
        </w:numPr>
        <w:ind w:left="0" w:firstLine="0"/>
        <w:jc w:val="both"/>
      </w:pPr>
      <w:r w:rsidRPr="00A735B4">
        <w:t>Tables 6.2 and 6.3 provide an overview of a set of existing and new indicators that could be used in an integration monitoring report and list the associated data sources. This collection of indicators is, of course, not exhaustive and could readily be amended according to a particular REC’s access to supplementary indicators.</w:t>
      </w:r>
    </w:p>
    <w:p w14:paraId="40996354" w14:textId="77777777" w:rsidR="00C4454D" w:rsidRPr="00A735B4" w:rsidRDefault="00C4454D" w:rsidP="00C4454D"/>
    <w:tbl>
      <w:tblPr>
        <w:tblW w:w="9828" w:type="dxa"/>
        <w:tblInd w:w="10" w:type="dxa"/>
        <w:tblCellMar>
          <w:left w:w="10" w:type="dxa"/>
          <w:right w:w="10" w:type="dxa"/>
        </w:tblCellMar>
        <w:tblLook w:val="04A0" w:firstRow="1" w:lastRow="0" w:firstColumn="1" w:lastColumn="0" w:noHBand="0" w:noVBand="1"/>
      </w:tblPr>
      <w:tblGrid>
        <w:gridCol w:w="6408"/>
        <w:gridCol w:w="3420"/>
      </w:tblGrid>
      <w:tr w:rsidR="00C4454D" w:rsidRPr="00A735B4" w14:paraId="0DFC5A0B" w14:textId="77777777" w:rsidTr="00C4454D">
        <w:tc>
          <w:tcPr>
            <w:tcW w:w="9828" w:type="dxa"/>
            <w:gridSpan w:val="2"/>
          </w:tcPr>
          <w:p w14:paraId="57846AA6" w14:textId="4F89CED4" w:rsidR="00C4454D" w:rsidRPr="00A735B4" w:rsidRDefault="00C4454D">
            <w:pPr>
              <w:jc w:val="center"/>
            </w:pPr>
            <w:bookmarkStart w:id="70" w:name="_Toc410823544"/>
            <w:r w:rsidRPr="00A735B4">
              <w:rPr>
                <w:color w:val="1F497D" w:themeColor="text2"/>
              </w:rPr>
              <w:t>Table 6.2 Data sources for trade transaction cost indicators</w:t>
            </w:r>
            <w:bookmarkEnd w:id="70"/>
          </w:p>
        </w:tc>
      </w:tr>
      <w:tr w:rsidR="00C4454D" w:rsidRPr="00A735B4" w14:paraId="1D87513B" w14:textId="77777777" w:rsidTr="00C4454D">
        <w:tc>
          <w:tcPr>
            <w:tcW w:w="6408" w:type="dxa"/>
            <w:tcBorders>
              <w:bottom w:val="single" w:sz="4" w:space="0" w:color="auto"/>
            </w:tcBorders>
            <w:vAlign w:val="center"/>
          </w:tcPr>
          <w:p w14:paraId="25171584" w14:textId="77777777" w:rsidR="00C4454D" w:rsidRPr="00A735B4" w:rsidRDefault="00C4454D" w:rsidP="00C4454D">
            <w:pPr>
              <w:keepNext/>
              <w:tabs>
                <w:tab w:val="left" w:pos="0"/>
              </w:tabs>
              <w:jc w:val="center"/>
              <w:rPr>
                <w:b/>
              </w:rPr>
            </w:pPr>
            <w:r w:rsidRPr="00A735B4">
              <w:rPr>
                <w:b/>
              </w:rPr>
              <w:lastRenderedPageBreak/>
              <w:t>Indicator(s)</w:t>
            </w:r>
          </w:p>
        </w:tc>
        <w:tc>
          <w:tcPr>
            <w:tcW w:w="3420" w:type="dxa"/>
            <w:tcBorders>
              <w:bottom w:val="single" w:sz="4" w:space="0" w:color="auto"/>
            </w:tcBorders>
            <w:vAlign w:val="center"/>
          </w:tcPr>
          <w:p w14:paraId="01A1214E" w14:textId="77777777" w:rsidR="00C4454D" w:rsidRPr="00A735B4" w:rsidRDefault="00C4454D" w:rsidP="00C4454D">
            <w:pPr>
              <w:keepNext/>
              <w:tabs>
                <w:tab w:val="left" w:pos="0"/>
              </w:tabs>
              <w:jc w:val="center"/>
              <w:rPr>
                <w:b/>
              </w:rPr>
            </w:pPr>
            <w:r w:rsidRPr="00A735B4">
              <w:rPr>
                <w:b/>
              </w:rPr>
              <w:t>Principal source(s)</w:t>
            </w:r>
          </w:p>
        </w:tc>
      </w:tr>
      <w:tr w:rsidR="00C4454D" w:rsidRPr="00A735B4" w14:paraId="0C9CB1C0" w14:textId="77777777" w:rsidTr="00C4454D">
        <w:tc>
          <w:tcPr>
            <w:tcW w:w="6408" w:type="dxa"/>
          </w:tcPr>
          <w:p w14:paraId="6B43F822" w14:textId="77777777" w:rsidR="00C4454D" w:rsidRPr="00A735B4" w:rsidRDefault="00C4454D" w:rsidP="00C4454D">
            <w:pPr>
              <w:keepNext/>
              <w:tabs>
                <w:tab w:val="left" w:pos="0"/>
              </w:tabs>
              <w:rPr>
                <w:u w:val="single"/>
              </w:rPr>
            </w:pPr>
            <w:r w:rsidRPr="00A735B4">
              <w:rPr>
                <w:u w:val="single"/>
              </w:rPr>
              <w:t>Tariff barriers</w:t>
            </w:r>
          </w:p>
        </w:tc>
        <w:tc>
          <w:tcPr>
            <w:tcW w:w="3420" w:type="dxa"/>
          </w:tcPr>
          <w:p w14:paraId="2993226E" w14:textId="77777777" w:rsidR="00C4454D" w:rsidRPr="00A735B4" w:rsidRDefault="00C4454D" w:rsidP="00C4454D">
            <w:pPr>
              <w:keepNext/>
              <w:tabs>
                <w:tab w:val="left" w:pos="0"/>
              </w:tabs>
            </w:pPr>
          </w:p>
        </w:tc>
      </w:tr>
      <w:tr w:rsidR="00C4454D" w:rsidRPr="00A735B4" w14:paraId="564BF7F3" w14:textId="77777777" w:rsidTr="00C4454D">
        <w:tc>
          <w:tcPr>
            <w:tcW w:w="6408" w:type="dxa"/>
          </w:tcPr>
          <w:p w14:paraId="725BD9C7" w14:textId="77777777" w:rsidR="00C4454D" w:rsidRPr="00A735B4" w:rsidRDefault="00C4454D" w:rsidP="00C4454D">
            <w:pPr>
              <w:keepNext/>
              <w:tabs>
                <w:tab w:val="left" w:pos="0"/>
              </w:tabs>
            </w:pPr>
            <w:r w:rsidRPr="00A735B4">
              <w:t>Preference margin accorded to regional trade (by sector)</w:t>
            </w:r>
          </w:p>
        </w:tc>
        <w:tc>
          <w:tcPr>
            <w:tcW w:w="3420" w:type="dxa"/>
          </w:tcPr>
          <w:p w14:paraId="48BEAEFD" w14:textId="77777777" w:rsidR="00C4454D" w:rsidRPr="00A735B4" w:rsidRDefault="00C4454D" w:rsidP="00C4454D">
            <w:pPr>
              <w:keepNext/>
              <w:tabs>
                <w:tab w:val="left" w:pos="0"/>
              </w:tabs>
            </w:pPr>
            <w:r w:rsidRPr="00A735B4">
              <w:t>Customs/Ministry of Finance</w:t>
            </w:r>
          </w:p>
        </w:tc>
      </w:tr>
      <w:tr w:rsidR="00C4454D" w:rsidRPr="00A735B4" w14:paraId="6ADF977B" w14:textId="77777777" w:rsidTr="00C4454D">
        <w:tc>
          <w:tcPr>
            <w:tcW w:w="6408" w:type="dxa"/>
          </w:tcPr>
          <w:p w14:paraId="3B740F87" w14:textId="52AEE3E0" w:rsidR="00C4454D" w:rsidRPr="00A735B4" w:rsidRDefault="00C4454D" w:rsidP="00C4454D">
            <w:pPr>
              <w:keepNext/>
              <w:tabs>
                <w:tab w:val="left" w:pos="0"/>
              </w:tabs>
            </w:pPr>
            <w:r w:rsidRPr="00A735B4">
              <w:t>Tariff revenue from intraregional trade</w:t>
            </w:r>
          </w:p>
        </w:tc>
        <w:tc>
          <w:tcPr>
            <w:tcW w:w="3420" w:type="dxa"/>
          </w:tcPr>
          <w:p w14:paraId="6E84773F" w14:textId="77777777" w:rsidR="00C4454D" w:rsidRPr="00A735B4" w:rsidRDefault="00C4454D" w:rsidP="00C4454D">
            <w:pPr>
              <w:keepNext/>
              <w:tabs>
                <w:tab w:val="left" w:pos="0"/>
              </w:tabs>
            </w:pPr>
            <w:r w:rsidRPr="00A735B4">
              <w:t>Customs/Ministry of Finance</w:t>
            </w:r>
          </w:p>
        </w:tc>
      </w:tr>
      <w:tr w:rsidR="00C4454D" w:rsidRPr="00A735B4" w14:paraId="0AFB482A" w14:textId="77777777" w:rsidTr="00C4454D">
        <w:tc>
          <w:tcPr>
            <w:tcW w:w="6408" w:type="dxa"/>
          </w:tcPr>
          <w:p w14:paraId="1EC34398" w14:textId="46C6521D" w:rsidR="00C4454D" w:rsidRPr="00A735B4" w:rsidRDefault="00C4454D" w:rsidP="00C4454D">
            <w:pPr>
              <w:keepNext/>
              <w:tabs>
                <w:tab w:val="left" w:pos="0"/>
              </w:tabs>
            </w:pPr>
            <w:r w:rsidRPr="00A735B4">
              <w:t>Share of intraregional trade that pays MFN duties</w:t>
            </w:r>
          </w:p>
        </w:tc>
        <w:tc>
          <w:tcPr>
            <w:tcW w:w="3420" w:type="dxa"/>
          </w:tcPr>
          <w:p w14:paraId="4404E613" w14:textId="77777777" w:rsidR="00C4454D" w:rsidRPr="00A735B4" w:rsidRDefault="00C4454D" w:rsidP="00C4454D">
            <w:pPr>
              <w:keepNext/>
              <w:tabs>
                <w:tab w:val="left" w:pos="0"/>
              </w:tabs>
            </w:pPr>
            <w:r w:rsidRPr="00A735B4">
              <w:t>Customs/Ministry of Finance</w:t>
            </w:r>
          </w:p>
        </w:tc>
      </w:tr>
      <w:tr w:rsidR="00C4454D" w:rsidRPr="00A735B4" w14:paraId="62C6F362" w14:textId="77777777" w:rsidTr="00C4454D">
        <w:tc>
          <w:tcPr>
            <w:tcW w:w="6408" w:type="dxa"/>
          </w:tcPr>
          <w:p w14:paraId="650C1DE4" w14:textId="77777777" w:rsidR="00C4454D" w:rsidRPr="00A735B4" w:rsidRDefault="00C4454D" w:rsidP="00C4454D">
            <w:pPr>
              <w:keepNext/>
              <w:tabs>
                <w:tab w:val="left" w:pos="0"/>
              </w:tabs>
            </w:pPr>
            <w:r w:rsidRPr="00A735B4">
              <w:t>Amount of informal payments required to cross border</w:t>
            </w:r>
          </w:p>
        </w:tc>
        <w:tc>
          <w:tcPr>
            <w:tcW w:w="3420" w:type="dxa"/>
          </w:tcPr>
          <w:p w14:paraId="1CE39B3B" w14:textId="41490D29" w:rsidR="00C4454D" w:rsidRPr="00A735B4" w:rsidRDefault="00C4454D" w:rsidP="00C4454D">
            <w:pPr>
              <w:keepNext/>
              <w:tabs>
                <w:tab w:val="left" w:pos="0"/>
              </w:tabs>
            </w:pPr>
            <w:r w:rsidRPr="00A735B4">
              <w:t>Trader survey/corridor information</w:t>
            </w:r>
          </w:p>
        </w:tc>
      </w:tr>
      <w:tr w:rsidR="00C4454D" w:rsidRPr="00A735B4" w14:paraId="06B30A18" w14:textId="77777777" w:rsidTr="00C4454D">
        <w:tc>
          <w:tcPr>
            <w:tcW w:w="6408" w:type="dxa"/>
          </w:tcPr>
          <w:p w14:paraId="0573E559" w14:textId="77777777" w:rsidR="00C4454D" w:rsidRPr="00A735B4" w:rsidRDefault="00C4454D" w:rsidP="00C4454D">
            <w:pPr>
              <w:keepNext/>
              <w:tabs>
                <w:tab w:val="left" w:pos="0"/>
              </w:tabs>
            </w:pPr>
          </w:p>
        </w:tc>
        <w:tc>
          <w:tcPr>
            <w:tcW w:w="3420" w:type="dxa"/>
          </w:tcPr>
          <w:p w14:paraId="4A324CA4" w14:textId="77777777" w:rsidR="00C4454D" w:rsidRPr="00A735B4" w:rsidRDefault="00C4454D" w:rsidP="00C4454D">
            <w:pPr>
              <w:keepNext/>
              <w:tabs>
                <w:tab w:val="left" w:pos="0"/>
              </w:tabs>
            </w:pPr>
          </w:p>
        </w:tc>
      </w:tr>
      <w:tr w:rsidR="00C4454D" w:rsidRPr="00A735B4" w14:paraId="3BE7D484" w14:textId="77777777" w:rsidTr="00C4454D">
        <w:tc>
          <w:tcPr>
            <w:tcW w:w="6408" w:type="dxa"/>
          </w:tcPr>
          <w:p w14:paraId="1D96FE62" w14:textId="77777777" w:rsidR="00C4454D" w:rsidRPr="00A735B4" w:rsidRDefault="00C4454D" w:rsidP="00C4454D">
            <w:pPr>
              <w:keepNext/>
              <w:tabs>
                <w:tab w:val="left" w:pos="0"/>
              </w:tabs>
              <w:rPr>
                <w:u w:val="single"/>
              </w:rPr>
            </w:pPr>
            <w:r w:rsidRPr="00A735B4">
              <w:rPr>
                <w:u w:val="single"/>
              </w:rPr>
              <w:t>Non-tariff barriers</w:t>
            </w:r>
          </w:p>
        </w:tc>
        <w:tc>
          <w:tcPr>
            <w:tcW w:w="3420" w:type="dxa"/>
          </w:tcPr>
          <w:p w14:paraId="44A9A9E7" w14:textId="77777777" w:rsidR="00C4454D" w:rsidRPr="00A735B4" w:rsidRDefault="00C4454D" w:rsidP="00C4454D">
            <w:pPr>
              <w:keepNext/>
              <w:tabs>
                <w:tab w:val="left" w:pos="0"/>
              </w:tabs>
            </w:pPr>
          </w:p>
        </w:tc>
      </w:tr>
      <w:tr w:rsidR="00C4454D" w:rsidRPr="00A735B4" w14:paraId="4747A516" w14:textId="77777777" w:rsidTr="00C4454D">
        <w:tc>
          <w:tcPr>
            <w:tcW w:w="6408" w:type="dxa"/>
          </w:tcPr>
          <w:p w14:paraId="47D09E60" w14:textId="77777777" w:rsidR="00C4454D" w:rsidRPr="00A735B4" w:rsidRDefault="00C4454D" w:rsidP="00C4454D">
            <w:pPr>
              <w:keepNext/>
              <w:tabs>
                <w:tab w:val="left" w:pos="0"/>
              </w:tabs>
            </w:pPr>
            <w:r w:rsidRPr="00A735B4">
              <w:t>Number of tariff lines that are subject to import/export bans</w:t>
            </w:r>
          </w:p>
        </w:tc>
        <w:tc>
          <w:tcPr>
            <w:tcW w:w="3420" w:type="dxa"/>
          </w:tcPr>
          <w:p w14:paraId="29589B39" w14:textId="77777777" w:rsidR="00C4454D" w:rsidRPr="00A735B4" w:rsidRDefault="00C4454D" w:rsidP="00C4454D">
            <w:pPr>
              <w:keepNext/>
              <w:tabs>
                <w:tab w:val="left" w:pos="0"/>
              </w:tabs>
            </w:pPr>
            <w:r w:rsidRPr="00A735B4">
              <w:t>Customs</w:t>
            </w:r>
          </w:p>
        </w:tc>
      </w:tr>
      <w:tr w:rsidR="00C4454D" w:rsidRPr="00A735B4" w14:paraId="4EB4A633" w14:textId="77777777" w:rsidTr="00C4454D">
        <w:tc>
          <w:tcPr>
            <w:tcW w:w="6408" w:type="dxa"/>
          </w:tcPr>
          <w:p w14:paraId="22950C7E" w14:textId="77777777" w:rsidR="00C4454D" w:rsidRPr="00A735B4" w:rsidRDefault="00C4454D" w:rsidP="00C4454D">
            <w:pPr>
              <w:keepNext/>
              <w:tabs>
                <w:tab w:val="left" w:pos="0"/>
              </w:tabs>
            </w:pPr>
            <w:r w:rsidRPr="00A735B4">
              <w:t>Number of tariff lines that are subject to import/export quotas</w:t>
            </w:r>
          </w:p>
        </w:tc>
        <w:tc>
          <w:tcPr>
            <w:tcW w:w="3420" w:type="dxa"/>
          </w:tcPr>
          <w:p w14:paraId="4B0D0CE6" w14:textId="77777777" w:rsidR="00C4454D" w:rsidRPr="00A735B4" w:rsidRDefault="00C4454D" w:rsidP="00C4454D">
            <w:pPr>
              <w:keepNext/>
              <w:tabs>
                <w:tab w:val="left" w:pos="0"/>
              </w:tabs>
            </w:pPr>
            <w:r w:rsidRPr="00A735B4">
              <w:t>Customs</w:t>
            </w:r>
          </w:p>
        </w:tc>
      </w:tr>
      <w:tr w:rsidR="00C4454D" w:rsidRPr="00A735B4" w14:paraId="70CC731B" w14:textId="77777777" w:rsidTr="00C4454D">
        <w:tc>
          <w:tcPr>
            <w:tcW w:w="6408" w:type="dxa"/>
          </w:tcPr>
          <w:p w14:paraId="0358D9C8" w14:textId="77777777" w:rsidR="00C4454D" w:rsidRPr="00A735B4" w:rsidRDefault="00C4454D" w:rsidP="00C4454D">
            <w:pPr>
              <w:keepNext/>
              <w:tabs>
                <w:tab w:val="left" w:pos="0"/>
              </w:tabs>
            </w:pPr>
            <w:r w:rsidRPr="00A735B4">
              <w:t>Cost and time to obtain certificate of origin</w:t>
            </w:r>
          </w:p>
        </w:tc>
        <w:tc>
          <w:tcPr>
            <w:tcW w:w="3420" w:type="dxa"/>
          </w:tcPr>
          <w:p w14:paraId="02A78CAD" w14:textId="77777777" w:rsidR="00C4454D" w:rsidRPr="00A735B4" w:rsidRDefault="00C4454D" w:rsidP="00C4454D">
            <w:pPr>
              <w:keepNext/>
              <w:tabs>
                <w:tab w:val="left" w:pos="0"/>
              </w:tabs>
            </w:pPr>
            <w:r w:rsidRPr="00A735B4">
              <w:t>Customs/trader survey</w:t>
            </w:r>
          </w:p>
        </w:tc>
      </w:tr>
      <w:tr w:rsidR="00C4454D" w:rsidRPr="00A735B4" w14:paraId="157D70A8" w14:textId="77777777" w:rsidTr="00C4454D">
        <w:tc>
          <w:tcPr>
            <w:tcW w:w="6408" w:type="dxa"/>
          </w:tcPr>
          <w:p w14:paraId="6E68BDBB" w14:textId="2A8AA394" w:rsidR="00C4454D" w:rsidRPr="00A735B4" w:rsidRDefault="00C4454D" w:rsidP="00C4454D">
            <w:pPr>
              <w:keepNext/>
              <w:tabs>
                <w:tab w:val="left" w:pos="0"/>
              </w:tabs>
            </w:pPr>
            <w:r w:rsidRPr="00A735B4">
              <w:t>Percentage of certificates of origin that are rejected at the border</w:t>
            </w:r>
          </w:p>
        </w:tc>
        <w:tc>
          <w:tcPr>
            <w:tcW w:w="3420" w:type="dxa"/>
          </w:tcPr>
          <w:p w14:paraId="4343A77E" w14:textId="77777777" w:rsidR="00C4454D" w:rsidRPr="00A735B4" w:rsidRDefault="00C4454D" w:rsidP="00C4454D">
            <w:pPr>
              <w:keepNext/>
              <w:tabs>
                <w:tab w:val="left" w:pos="0"/>
              </w:tabs>
            </w:pPr>
            <w:r w:rsidRPr="00A735B4">
              <w:t>Customs/trader survey</w:t>
            </w:r>
          </w:p>
        </w:tc>
      </w:tr>
      <w:tr w:rsidR="00C4454D" w:rsidRPr="00A735B4" w14:paraId="6323DFD6" w14:textId="77777777" w:rsidTr="00C4454D">
        <w:tc>
          <w:tcPr>
            <w:tcW w:w="6408" w:type="dxa"/>
          </w:tcPr>
          <w:p w14:paraId="08579562" w14:textId="77777777" w:rsidR="00C4454D" w:rsidRPr="00A735B4" w:rsidRDefault="00C4454D" w:rsidP="00C4454D">
            <w:pPr>
              <w:keepNext/>
              <w:tabs>
                <w:tab w:val="left" w:pos="0"/>
              </w:tabs>
            </w:pPr>
            <w:r w:rsidRPr="00A735B4">
              <w:t>Time and cost of obtaining import/export permit</w:t>
            </w:r>
          </w:p>
        </w:tc>
        <w:tc>
          <w:tcPr>
            <w:tcW w:w="3420" w:type="dxa"/>
          </w:tcPr>
          <w:p w14:paraId="230A747F" w14:textId="77777777" w:rsidR="00C4454D" w:rsidRPr="00A735B4" w:rsidRDefault="00C4454D" w:rsidP="00C4454D">
            <w:pPr>
              <w:keepNext/>
              <w:tabs>
                <w:tab w:val="left" w:pos="0"/>
              </w:tabs>
            </w:pPr>
            <w:r w:rsidRPr="00A735B4">
              <w:t>Trader survey/mystery shopping</w:t>
            </w:r>
          </w:p>
        </w:tc>
      </w:tr>
      <w:tr w:rsidR="00C4454D" w:rsidRPr="00A735B4" w14:paraId="00DF3247" w14:textId="77777777" w:rsidTr="00C4454D">
        <w:tc>
          <w:tcPr>
            <w:tcW w:w="6408" w:type="dxa"/>
          </w:tcPr>
          <w:p w14:paraId="724EFB51" w14:textId="77777777" w:rsidR="00C4454D" w:rsidRPr="00A735B4" w:rsidRDefault="00C4454D" w:rsidP="00C4454D">
            <w:pPr>
              <w:keepNext/>
              <w:tabs>
                <w:tab w:val="left" w:pos="0"/>
              </w:tabs>
            </w:pPr>
            <w:r w:rsidRPr="00A735B4">
              <w:t>Time and cost of obtaining SPS certificate</w:t>
            </w:r>
          </w:p>
        </w:tc>
        <w:tc>
          <w:tcPr>
            <w:tcW w:w="3420" w:type="dxa"/>
          </w:tcPr>
          <w:p w14:paraId="5B0C45D0" w14:textId="77777777" w:rsidR="00C4454D" w:rsidRPr="00A735B4" w:rsidRDefault="00C4454D" w:rsidP="00C4454D">
            <w:pPr>
              <w:keepNext/>
              <w:tabs>
                <w:tab w:val="left" w:pos="0"/>
              </w:tabs>
            </w:pPr>
            <w:r w:rsidRPr="00A735B4">
              <w:t>Trader survey/mystery shopping</w:t>
            </w:r>
          </w:p>
        </w:tc>
      </w:tr>
      <w:tr w:rsidR="00C4454D" w:rsidRPr="00A735B4" w14:paraId="39D2BA8B" w14:textId="77777777" w:rsidTr="00C4454D">
        <w:tc>
          <w:tcPr>
            <w:tcW w:w="6408" w:type="dxa"/>
          </w:tcPr>
          <w:p w14:paraId="0D988EFC" w14:textId="77777777" w:rsidR="00C4454D" w:rsidRPr="00A735B4" w:rsidRDefault="00C4454D" w:rsidP="00C4454D">
            <w:pPr>
              <w:keepNext/>
              <w:tabs>
                <w:tab w:val="left" w:pos="0"/>
              </w:tabs>
            </w:pPr>
            <w:r w:rsidRPr="00A735B4">
              <w:t>Time and cost of standard test for aflotoxin in food staples</w:t>
            </w:r>
          </w:p>
        </w:tc>
        <w:tc>
          <w:tcPr>
            <w:tcW w:w="3420" w:type="dxa"/>
          </w:tcPr>
          <w:p w14:paraId="30B20E13" w14:textId="77777777" w:rsidR="00C4454D" w:rsidRPr="00A735B4" w:rsidRDefault="00C4454D" w:rsidP="00C4454D">
            <w:pPr>
              <w:keepNext/>
              <w:tabs>
                <w:tab w:val="left" w:pos="0"/>
              </w:tabs>
            </w:pPr>
            <w:r w:rsidRPr="00A735B4">
              <w:t>Trader survey/mystery shopping</w:t>
            </w:r>
          </w:p>
        </w:tc>
      </w:tr>
      <w:tr w:rsidR="00C4454D" w:rsidRPr="00A735B4" w14:paraId="4FBDA8D2" w14:textId="77777777" w:rsidTr="00C4454D">
        <w:tc>
          <w:tcPr>
            <w:tcW w:w="6408" w:type="dxa"/>
          </w:tcPr>
          <w:p w14:paraId="644B3B33" w14:textId="77777777" w:rsidR="00C4454D" w:rsidRPr="00A735B4" w:rsidRDefault="00C4454D" w:rsidP="00C4454D">
            <w:pPr>
              <w:keepNext/>
              <w:tabs>
                <w:tab w:val="left" w:pos="0"/>
              </w:tabs>
            </w:pPr>
          </w:p>
        </w:tc>
        <w:tc>
          <w:tcPr>
            <w:tcW w:w="3420" w:type="dxa"/>
          </w:tcPr>
          <w:p w14:paraId="352B0DD0" w14:textId="77777777" w:rsidR="00C4454D" w:rsidRPr="00A735B4" w:rsidRDefault="00C4454D" w:rsidP="00C4454D">
            <w:pPr>
              <w:keepNext/>
              <w:tabs>
                <w:tab w:val="left" w:pos="0"/>
              </w:tabs>
            </w:pPr>
          </w:p>
        </w:tc>
      </w:tr>
      <w:tr w:rsidR="00C4454D" w:rsidRPr="00A735B4" w14:paraId="2EAD3137" w14:textId="77777777" w:rsidTr="00C4454D">
        <w:tc>
          <w:tcPr>
            <w:tcW w:w="6408" w:type="dxa"/>
          </w:tcPr>
          <w:p w14:paraId="3A026C56" w14:textId="77777777" w:rsidR="00C4454D" w:rsidRPr="00A735B4" w:rsidRDefault="00C4454D" w:rsidP="00C4454D">
            <w:pPr>
              <w:keepNext/>
              <w:tabs>
                <w:tab w:val="left" w:pos="0"/>
              </w:tabs>
              <w:rPr>
                <w:u w:val="single"/>
              </w:rPr>
            </w:pPr>
            <w:r w:rsidRPr="00A735B4">
              <w:rPr>
                <w:u w:val="single"/>
              </w:rPr>
              <w:t>Trade and transport facilitation issues</w:t>
            </w:r>
          </w:p>
        </w:tc>
        <w:tc>
          <w:tcPr>
            <w:tcW w:w="3420" w:type="dxa"/>
          </w:tcPr>
          <w:p w14:paraId="0A02F63D" w14:textId="77777777" w:rsidR="00C4454D" w:rsidRPr="00A735B4" w:rsidRDefault="00C4454D" w:rsidP="00C4454D">
            <w:pPr>
              <w:keepNext/>
              <w:tabs>
                <w:tab w:val="left" w:pos="0"/>
              </w:tabs>
            </w:pPr>
          </w:p>
        </w:tc>
      </w:tr>
      <w:tr w:rsidR="00C4454D" w:rsidRPr="00A735B4" w14:paraId="283923D3" w14:textId="77777777" w:rsidTr="00C4454D">
        <w:tc>
          <w:tcPr>
            <w:tcW w:w="6408" w:type="dxa"/>
          </w:tcPr>
          <w:p w14:paraId="4545E784" w14:textId="77777777" w:rsidR="00C4454D" w:rsidRPr="00A735B4" w:rsidRDefault="00C4454D" w:rsidP="00C4454D">
            <w:pPr>
              <w:keepNext/>
              <w:tabs>
                <w:tab w:val="left" w:pos="0"/>
              </w:tabs>
            </w:pPr>
            <w:r w:rsidRPr="00A735B4">
              <w:t>Average cost per mile to transport goods to neighboring markets</w:t>
            </w:r>
          </w:p>
        </w:tc>
        <w:tc>
          <w:tcPr>
            <w:tcW w:w="3420" w:type="dxa"/>
          </w:tcPr>
          <w:p w14:paraId="25CF994F" w14:textId="77777777" w:rsidR="00C4454D" w:rsidRPr="00A735B4" w:rsidRDefault="00C4454D" w:rsidP="00C4454D">
            <w:pPr>
              <w:keepNext/>
              <w:tabs>
                <w:tab w:val="left" w:pos="0"/>
              </w:tabs>
            </w:pPr>
            <w:r w:rsidRPr="00A735B4">
              <w:t>Trader survey</w:t>
            </w:r>
          </w:p>
        </w:tc>
      </w:tr>
      <w:tr w:rsidR="00C4454D" w:rsidRPr="00A735B4" w14:paraId="5A386C0D" w14:textId="77777777" w:rsidTr="00C4454D">
        <w:tc>
          <w:tcPr>
            <w:tcW w:w="6408" w:type="dxa"/>
          </w:tcPr>
          <w:p w14:paraId="33200B01" w14:textId="23B23BC2" w:rsidR="00C4454D" w:rsidRPr="00A735B4" w:rsidRDefault="00C4454D" w:rsidP="00C4454D">
            <w:pPr>
              <w:keepNext/>
              <w:tabs>
                <w:tab w:val="left" w:pos="0"/>
              </w:tabs>
            </w:pPr>
            <w:r w:rsidRPr="00A735B4">
              <w:t>Number of roadblocks on key trade routes</w:t>
            </w:r>
          </w:p>
        </w:tc>
        <w:tc>
          <w:tcPr>
            <w:tcW w:w="3420" w:type="dxa"/>
          </w:tcPr>
          <w:p w14:paraId="6F52E56D" w14:textId="77777777" w:rsidR="00C4454D" w:rsidRPr="00A735B4" w:rsidRDefault="00C4454D" w:rsidP="00C4454D">
            <w:pPr>
              <w:keepNext/>
              <w:tabs>
                <w:tab w:val="left" w:pos="0"/>
              </w:tabs>
            </w:pPr>
            <w:r w:rsidRPr="00A735B4">
              <w:t>Corridor monitoring committee</w:t>
            </w:r>
          </w:p>
        </w:tc>
      </w:tr>
      <w:tr w:rsidR="00C4454D" w:rsidRPr="00A735B4" w14:paraId="3CB00100" w14:textId="77777777" w:rsidTr="00C4454D">
        <w:tc>
          <w:tcPr>
            <w:tcW w:w="6408" w:type="dxa"/>
          </w:tcPr>
          <w:p w14:paraId="41960677" w14:textId="07AB56E6" w:rsidR="00C4454D" w:rsidRPr="00A735B4" w:rsidRDefault="00C4454D" w:rsidP="00C4454D">
            <w:pPr>
              <w:keepNext/>
              <w:tabs>
                <w:tab w:val="left" w:pos="0"/>
              </w:tabs>
            </w:pPr>
            <w:r w:rsidRPr="00A735B4">
              <w:t>Number of weigh stations on key trade routes</w:t>
            </w:r>
          </w:p>
        </w:tc>
        <w:tc>
          <w:tcPr>
            <w:tcW w:w="3420" w:type="dxa"/>
          </w:tcPr>
          <w:p w14:paraId="3382D19B" w14:textId="77777777" w:rsidR="00C4454D" w:rsidRPr="00A735B4" w:rsidRDefault="00C4454D" w:rsidP="00C4454D">
            <w:pPr>
              <w:keepNext/>
              <w:tabs>
                <w:tab w:val="left" w:pos="0"/>
              </w:tabs>
            </w:pPr>
            <w:r w:rsidRPr="00A735B4">
              <w:t>Corridor monitoring committee</w:t>
            </w:r>
          </w:p>
        </w:tc>
      </w:tr>
      <w:tr w:rsidR="00C4454D" w:rsidRPr="00A735B4" w14:paraId="3A3C50F0" w14:textId="77777777" w:rsidTr="00C4454D">
        <w:tc>
          <w:tcPr>
            <w:tcW w:w="6408" w:type="dxa"/>
          </w:tcPr>
          <w:p w14:paraId="472320BC" w14:textId="77777777" w:rsidR="00C4454D" w:rsidRPr="00A735B4" w:rsidRDefault="00C4454D" w:rsidP="00C4454D">
            <w:pPr>
              <w:keepNext/>
              <w:tabs>
                <w:tab w:val="left" w:pos="0"/>
              </w:tabs>
            </w:pPr>
            <w:r w:rsidRPr="00A735B4">
              <w:t>Number of transport operators that traders can choose from</w:t>
            </w:r>
          </w:p>
        </w:tc>
        <w:tc>
          <w:tcPr>
            <w:tcW w:w="3420" w:type="dxa"/>
          </w:tcPr>
          <w:p w14:paraId="29ABADEE" w14:textId="77777777" w:rsidR="00C4454D" w:rsidRPr="00A735B4" w:rsidRDefault="00C4454D" w:rsidP="00C4454D">
            <w:pPr>
              <w:keepNext/>
              <w:tabs>
                <w:tab w:val="left" w:pos="0"/>
              </w:tabs>
            </w:pPr>
            <w:r w:rsidRPr="00A735B4">
              <w:t>Industry association</w:t>
            </w:r>
          </w:p>
        </w:tc>
      </w:tr>
      <w:tr w:rsidR="00C4454D" w:rsidRPr="00A735B4" w14:paraId="048684A7" w14:textId="77777777" w:rsidTr="00C4454D">
        <w:tc>
          <w:tcPr>
            <w:tcW w:w="6408" w:type="dxa"/>
          </w:tcPr>
          <w:p w14:paraId="36F9D9FC" w14:textId="77777777" w:rsidR="00C4454D" w:rsidRPr="00A735B4" w:rsidRDefault="00C4454D" w:rsidP="00C4454D">
            <w:pPr>
              <w:keepNext/>
              <w:tabs>
                <w:tab w:val="left" w:pos="0"/>
              </w:tabs>
            </w:pPr>
            <w:r w:rsidRPr="00A735B4">
              <w:t>Cost of trade transport and insurance (fob/cif difference)</w:t>
            </w:r>
          </w:p>
        </w:tc>
        <w:tc>
          <w:tcPr>
            <w:tcW w:w="3420" w:type="dxa"/>
          </w:tcPr>
          <w:p w14:paraId="2A2C6760" w14:textId="77777777" w:rsidR="00C4454D" w:rsidRPr="00A735B4" w:rsidRDefault="00C4454D" w:rsidP="00C4454D">
            <w:pPr>
              <w:keepNext/>
              <w:tabs>
                <w:tab w:val="left" w:pos="0"/>
              </w:tabs>
            </w:pPr>
            <w:r w:rsidRPr="00A735B4">
              <w:t>Firm-level data from Customs</w:t>
            </w:r>
          </w:p>
        </w:tc>
      </w:tr>
      <w:tr w:rsidR="00C4454D" w:rsidRPr="00A735B4" w14:paraId="6827DB47" w14:textId="77777777" w:rsidTr="00C4454D">
        <w:tc>
          <w:tcPr>
            <w:tcW w:w="6408" w:type="dxa"/>
          </w:tcPr>
          <w:p w14:paraId="379BA5AD" w14:textId="77777777" w:rsidR="00C4454D" w:rsidRPr="00A735B4" w:rsidRDefault="00C4454D" w:rsidP="00C4454D">
            <w:pPr>
              <w:keepNext/>
              <w:tabs>
                <w:tab w:val="left" w:pos="0"/>
              </w:tabs>
            </w:pPr>
            <w:r w:rsidRPr="00A735B4">
              <w:t>Number of documents required for import/export</w:t>
            </w:r>
          </w:p>
        </w:tc>
        <w:tc>
          <w:tcPr>
            <w:tcW w:w="3420" w:type="dxa"/>
          </w:tcPr>
          <w:p w14:paraId="692FC1BA" w14:textId="77777777" w:rsidR="00C4454D" w:rsidRPr="00A735B4" w:rsidRDefault="00C4454D" w:rsidP="00C4454D">
            <w:pPr>
              <w:keepNext/>
              <w:tabs>
                <w:tab w:val="left" w:pos="0"/>
              </w:tabs>
            </w:pPr>
            <w:r w:rsidRPr="00A735B4">
              <w:t>Doing Business database</w:t>
            </w:r>
          </w:p>
        </w:tc>
      </w:tr>
      <w:tr w:rsidR="00C4454D" w:rsidRPr="00A735B4" w14:paraId="7961D0D4" w14:textId="77777777" w:rsidTr="00C4454D">
        <w:tc>
          <w:tcPr>
            <w:tcW w:w="6408" w:type="dxa"/>
          </w:tcPr>
          <w:p w14:paraId="5C142369" w14:textId="77777777" w:rsidR="00C4454D" w:rsidRPr="00A735B4" w:rsidRDefault="00C4454D" w:rsidP="00C4454D">
            <w:pPr>
              <w:keepNext/>
              <w:tabs>
                <w:tab w:val="left" w:pos="0"/>
              </w:tabs>
            </w:pPr>
            <w:r w:rsidRPr="00A735B4">
              <w:t>Time required for import/export</w:t>
            </w:r>
          </w:p>
        </w:tc>
        <w:tc>
          <w:tcPr>
            <w:tcW w:w="3420" w:type="dxa"/>
          </w:tcPr>
          <w:p w14:paraId="0B9F4D36" w14:textId="77777777" w:rsidR="00C4454D" w:rsidRPr="00A735B4" w:rsidRDefault="00C4454D" w:rsidP="00C4454D">
            <w:pPr>
              <w:keepNext/>
              <w:tabs>
                <w:tab w:val="left" w:pos="0"/>
              </w:tabs>
            </w:pPr>
            <w:r w:rsidRPr="00A735B4">
              <w:t>Doing Business database</w:t>
            </w:r>
          </w:p>
        </w:tc>
      </w:tr>
      <w:tr w:rsidR="00C4454D" w:rsidRPr="00A735B4" w14:paraId="06BE128B" w14:textId="77777777" w:rsidTr="00C4454D">
        <w:tc>
          <w:tcPr>
            <w:tcW w:w="6408" w:type="dxa"/>
          </w:tcPr>
          <w:p w14:paraId="38954868" w14:textId="77777777" w:rsidR="00C4454D" w:rsidRPr="00A735B4" w:rsidRDefault="00C4454D" w:rsidP="00C4454D">
            <w:pPr>
              <w:keepNext/>
              <w:tabs>
                <w:tab w:val="left" w:pos="0"/>
              </w:tabs>
            </w:pPr>
            <w:r w:rsidRPr="00A735B4">
              <w:t>Perception on the performance of the logistics sector</w:t>
            </w:r>
          </w:p>
        </w:tc>
        <w:tc>
          <w:tcPr>
            <w:tcW w:w="3420" w:type="dxa"/>
          </w:tcPr>
          <w:p w14:paraId="52078D21" w14:textId="77777777" w:rsidR="00C4454D" w:rsidRPr="00A735B4" w:rsidRDefault="00C4454D" w:rsidP="00C4454D">
            <w:pPr>
              <w:keepNext/>
              <w:tabs>
                <w:tab w:val="left" w:pos="0"/>
              </w:tabs>
            </w:pPr>
            <w:r w:rsidRPr="00A735B4">
              <w:t>LPI database</w:t>
            </w:r>
          </w:p>
        </w:tc>
      </w:tr>
      <w:tr w:rsidR="00C4454D" w:rsidRPr="00A735B4" w14:paraId="31F248D9" w14:textId="77777777" w:rsidTr="00C4454D">
        <w:tc>
          <w:tcPr>
            <w:tcW w:w="6408" w:type="dxa"/>
          </w:tcPr>
          <w:p w14:paraId="44DA1305" w14:textId="77777777" w:rsidR="00C4454D" w:rsidRPr="00A735B4" w:rsidRDefault="00C4454D" w:rsidP="00C4454D">
            <w:pPr>
              <w:keepNext/>
              <w:tabs>
                <w:tab w:val="left" w:pos="0"/>
              </w:tabs>
            </w:pPr>
          </w:p>
        </w:tc>
        <w:tc>
          <w:tcPr>
            <w:tcW w:w="3420" w:type="dxa"/>
          </w:tcPr>
          <w:p w14:paraId="7D188D51" w14:textId="77777777" w:rsidR="00C4454D" w:rsidRPr="00A735B4" w:rsidRDefault="00C4454D" w:rsidP="00C4454D">
            <w:pPr>
              <w:keepNext/>
              <w:tabs>
                <w:tab w:val="left" w:pos="0"/>
              </w:tabs>
            </w:pPr>
          </w:p>
        </w:tc>
      </w:tr>
      <w:tr w:rsidR="00C4454D" w:rsidRPr="00A735B4" w14:paraId="148D871C" w14:textId="77777777" w:rsidTr="00C4454D">
        <w:tc>
          <w:tcPr>
            <w:tcW w:w="6408" w:type="dxa"/>
          </w:tcPr>
          <w:p w14:paraId="36E18061" w14:textId="77777777" w:rsidR="00C4454D" w:rsidRPr="00A735B4" w:rsidRDefault="00C4454D" w:rsidP="00C4454D">
            <w:pPr>
              <w:keepNext/>
              <w:tabs>
                <w:tab w:val="left" w:pos="0"/>
              </w:tabs>
              <w:rPr>
                <w:u w:val="single"/>
              </w:rPr>
            </w:pPr>
            <w:r w:rsidRPr="00A735B4">
              <w:rPr>
                <w:u w:val="single"/>
              </w:rPr>
              <w:t>Services barriers</w:t>
            </w:r>
          </w:p>
        </w:tc>
        <w:tc>
          <w:tcPr>
            <w:tcW w:w="3420" w:type="dxa"/>
          </w:tcPr>
          <w:p w14:paraId="0406D106" w14:textId="77777777" w:rsidR="00C4454D" w:rsidRPr="00A735B4" w:rsidRDefault="00C4454D" w:rsidP="00C4454D">
            <w:pPr>
              <w:keepNext/>
              <w:tabs>
                <w:tab w:val="left" w:pos="0"/>
              </w:tabs>
            </w:pPr>
          </w:p>
        </w:tc>
      </w:tr>
      <w:tr w:rsidR="00C4454D" w:rsidRPr="00A735B4" w14:paraId="3E65FE19" w14:textId="77777777" w:rsidTr="00C4454D">
        <w:tc>
          <w:tcPr>
            <w:tcW w:w="6408" w:type="dxa"/>
          </w:tcPr>
          <w:p w14:paraId="1484EBEE" w14:textId="77777777" w:rsidR="00C4454D" w:rsidRPr="00A735B4" w:rsidRDefault="00C4454D" w:rsidP="00C4454D">
            <w:pPr>
              <w:keepNext/>
              <w:tabs>
                <w:tab w:val="left" w:pos="0"/>
              </w:tabs>
            </w:pPr>
            <w:r w:rsidRPr="00A735B4">
              <w:lastRenderedPageBreak/>
              <w:t>Restrictiveness of services regulations</w:t>
            </w:r>
          </w:p>
        </w:tc>
        <w:tc>
          <w:tcPr>
            <w:tcW w:w="3420" w:type="dxa"/>
          </w:tcPr>
          <w:p w14:paraId="4A5BCA20" w14:textId="77777777" w:rsidR="00C4454D" w:rsidRPr="00A735B4" w:rsidRDefault="00C4454D" w:rsidP="00C4454D">
            <w:pPr>
              <w:keepNext/>
              <w:tabs>
                <w:tab w:val="left" w:pos="0"/>
              </w:tabs>
            </w:pPr>
            <w:r w:rsidRPr="00A735B4">
              <w:t>STRI database</w:t>
            </w:r>
          </w:p>
        </w:tc>
      </w:tr>
      <w:tr w:rsidR="00C4454D" w:rsidRPr="00A735B4" w14:paraId="62D22F94" w14:textId="77777777" w:rsidTr="00C4454D">
        <w:tc>
          <w:tcPr>
            <w:tcW w:w="6408" w:type="dxa"/>
          </w:tcPr>
          <w:p w14:paraId="69D1E211" w14:textId="77777777" w:rsidR="00C4454D" w:rsidRPr="00A735B4" w:rsidRDefault="00C4454D" w:rsidP="00C4454D">
            <w:pPr>
              <w:keepNext/>
              <w:tabs>
                <w:tab w:val="left" w:pos="0"/>
              </w:tabs>
            </w:pPr>
            <w:r w:rsidRPr="00A735B4">
              <w:t>Time and cost to start a foreign business</w:t>
            </w:r>
          </w:p>
        </w:tc>
        <w:tc>
          <w:tcPr>
            <w:tcW w:w="3420" w:type="dxa"/>
          </w:tcPr>
          <w:p w14:paraId="33DA8FFA" w14:textId="77777777" w:rsidR="00C4454D" w:rsidRPr="00A735B4" w:rsidRDefault="00C4454D" w:rsidP="00C4454D">
            <w:pPr>
              <w:keepNext/>
              <w:tabs>
                <w:tab w:val="left" w:pos="0"/>
              </w:tabs>
            </w:pPr>
            <w:r w:rsidRPr="00A735B4">
              <w:t>Doing Business database</w:t>
            </w:r>
          </w:p>
        </w:tc>
      </w:tr>
      <w:tr w:rsidR="00C4454D" w:rsidRPr="00A735B4" w14:paraId="458B9F8F" w14:textId="77777777" w:rsidTr="00C4454D">
        <w:tc>
          <w:tcPr>
            <w:tcW w:w="6408" w:type="dxa"/>
          </w:tcPr>
          <w:p w14:paraId="34781EBA" w14:textId="77777777" w:rsidR="00C4454D" w:rsidRPr="00A735B4" w:rsidRDefault="00C4454D" w:rsidP="00C4454D">
            <w:pPr>
              <w:keepNext/>
              <w:tabs>
                <w:tab w:val="left" w:pos="0"/>
              </w:tabs>
            </w:pPr>
            <w:r w:rsidRPr="00A735B4">
              <w:t xml:space="preserve">Time and cost to obtain a banking/insurance license </w:t>
            </w:r>
          </w:p>
        </w:tc>
        <w:tc>
          <w:tcPr>
            <w:tcW w:w="3420" w:type="dxa"/>
          </w:tcPr>
          <w:p w14:paraId="7F3F96DD" w14:textId="77777777" w:rsidR="00C4454D" w:rsidRPr="00A735B4" w:rsidRDefault="00C4454D" w:rsidP="00C4454D">
            <w:pPr>
              <w:keepNext/>
              <w:tabs>
                <w:tab w:val="left" w:pos="0"/>
              </w:tabs>
            </w:pPr>
            <w:r w:rsidRPr="00A735B4">
              <w:t>Foreign affiliate survey</w:t>
            </w:r>
          </w:p>
        </w:tc>
      </w:tr>
      <w:tr w:rsidR="00C4454D" w:rsidRPr="00A735B4" w14:paraId="2268CA5B" w14:textId="77777777" w:rsidTr="00C4454D">
        <w:tc>
          <w:tcPr>
            <w:tcW w:w="6408" w:type="dxa"/>
          </w:tcPr>
          <w:p w14:paraId="187513C8" w14:textId="77777777" w:rsidR="00C4454D" w:rsidRPr="00A735B4" w:rsidRDefault="00C4454D" w:rsidP="00C4454D">
            <w:pPr>
              <w:keepNext/>
              <w:tabs>
                <w:tab w:val="left" w:pos="0"/>
              </w:tabs>
            </w:pPr>
            <w:r w:rsidRPr="00A735B4">
              <w:t>Time and cost to obtain a business visa for neighboring markets</w:t>
            </w:r>
          </w:p>
        </w:tc>
        <w:tc>
          <w:tcPr>
            <w:tcW w:w="3420" w:type="dxa"/>
          </w:tcPr>
          <w:p w14:paraId="5E84A989" w14:textId="77777777" w:rsidR="00C4454D" w:rsidRPr="00A735B4" w:rsidRDefault="00C4454D" w:rsidP="00C4454D">
            <w:pPr>
              <w:keepNext/>
              <w:tabs>
                <w:tab w:val="left" w:pos="0"/>
              </w:tabs>
            </w:pPr>
            <w:r w:rsidRPr="00A735B4">
              <w:t>Crowdsourcing/trader survey</w:t>
            </w:r>
          </w:p>
        </w:tc>
      </w:tr>
      <w:tr w:rsidR="00C4454D" w:rsidRPr="00A735B4" w14:paraId="04DEA6CA" w14:textId="77777777" w:rsidTr="00C4454D">
        <w:tc>
          <w:tcPr>
            <w:tcW w:w="6408" w:type="dxa"/>
          </w:tcPr>
          <w:p w14:paraId="2927D9E1" w14:textId="77777777" w:rsidR="00C4454D" w:rsidRPr="00A735B4" w:rsidRDefault="00C4454D" w:rsidP="00C4454D">
            <w:pPr>
              <w:keepNext/>
              <w:tabs>
                <w:tab w:val="left" w:pos="0"/>
              </w:tabs>
            </w:pPr>
            <w:r w:rsidRPr="00A735B4">
              <w:t>Time and cost to get a foreign degree recognized</w:t>
            </w:r>
          </w:p>
        </w:tc>
        <w:tc>
          <w:tcPr>
            <w:tcW w:w="3420" w:type="dxa"/>
          </w:tcPr>
          <w:p w14:paraId="78DE57E3" w14:textId="77777777" w:rsidR="00C4454D" w:rsidRPr="00A735B4" w:rsidRDefault="00C4454D" w:rsidP="00C4454D">
            <w:pPr>
              <w:keepNext/>
              <w:tabs>
                <w:tab w:val="left" w:pos="0"/>
              </w:tabs>
            </w:pPr>
            <w:r w:rsidRPr="00A735B4">
              <w:t xml:space="preserve">Crowdsourcing </w:t>
            </w:r>
          </w:p>
        </w:tc>
      </w:tr>
      <w:tr w:rsidR="00C4454D" w:rsidRPr="00A735B4" w14:paraId="0F138923" w14:textId="77777777" w:rsidTr="00C4454D">
        <w:tc>
          <w:tcPr>
            <w:tcW w:w="6408" w:type="dxa"/>
          </w:tcPr>
          <w:p w14:paraId="6CB148A8" w14:textId="77777777" w:rsidR="00C4454D" w:rsidRPr="00A735B4" w:rsidRDefault="00C4454D" w:rsidP="00C4454D">
            <w:pPr>
              <w:keepNext/>
              <w:tabs>
                <w:tab w:val="left" w:pos="0"/>
              </w:tabs>
            </w:pPr>
            <w:r w:rsidRPr="00A735B4">
              <w:t>Time and cost to obtain a work permit for neighboring markets</w:t>
            </w:r>
          </w:p>
        </w:tc>
        <w:tc>
          <w:tcPr>
            <w:tcW w:w="3420" w:type="dxa"/>
          </w:tcPr>
          <w:p w14:paraId="683D347D" w14:textId="77777777" w:rsidR="00C4454D" w:rsidRPr="00A735B4" w:rsidRDefault="00C4454D" w:rsidP="00C4454D">
            <w:pPr>
              <w:keepNext/>
              <w:tabs>
                <w:tab w:val="left" w:pos="0"/>
              </w:tabs>
            </w:pPr>
            <w:r w:rsidRPr="00A735B4">
              <w:t>Crowdsourcing/trader survey</w:t>
            </w:r>
          </w:p>
        </w:tc>
      </w:tr>
      <w:tr w:rsidR="00C4454D" w:rsidRPr="00A735B4" w14:paraId="033B04EA" w14:textId="77777777" w:rsidTr="00C4454D">
        <w:tc>
          <w:tcPr>
            <w:tcW w:w="6408" w:type="dxa"/>
          </w:tcPr>
          <w:p w14:paraId="7B80C280" w14:textId="77777777" w:rsidR="00C4454D" w:rsidRPr="00A735B4" w:rsidRDefault="00C4454D" w:rsidP="00C4454D">
            <w:pPr>
              <w:keepNext/>
              <w:tabs>
                <w:tab w:val="left" w:pos="0"/>
              </w:tabs>
            </w:pPr>
            <w:r w:rsidRPr="00A735B4">
              <w:t>Number of joint meetings held by sector regulatory bodies</w:t>
            </w:r>
          </w:p>
        </w:tc>
        <w:tc>
          <w:tcPr>
            <w:tcW w:w="3420" w:type="dxa"/>
          </w:tcPr>
          <w:p w14:paraId="15B2B0F3" w14:textId="77777777" w:rsidR="00C4454D" w:rsidRPr="00A735B4" w:rsidRDefault="00C4454D" w:rsidP="00C4454D">
            <w:pPr>
              <w:keepNext/>
              <w:tabs>
                <w:tab w:val="left" w:pos="0"/>
              </w:tabs>
            </w:pPr>
            <w:r w:rsidRPr="00A735B4">
              <w:t>Ministry of Commerce</w:t>
            </w:r>
          </w:p>
        </w:tc>
      </w:tr>
      <w:tr w:rsidR="00C4454D" w:rsidRPr="00A735B4" w14:paraId="65F9676F" w14:textId="77777777" w:rsidTr="00C4454D">
        <w:tc>
          <w:tcPr>
            <w:tcW w:w="6408" w:type="dxa"/>
          </w:tcPr>
          <w:p w14:paraId="0A38460D" w14:textId="77777777" w:rsidR="00C4454D" w:rsidRPr="00A735B4" w:rsidRDefault="00C4454D" w:rsidP="00C4454D">
            <w:pPr>
              <w:keepNext/>
              <w:tabs>
                <w:tab w:val="left" w:pos="0"/>
              </w:tabs>
            </w:pPr>
          </w:p>
        </w:tc>
        <w:tc>
          <w:tcPr>
            <w:tcW w:w="3420" w:type="dxa"/>
          </w:tcPr>
          <w:p w14:paraId="2BE40751" w14:textId="77777777" w:rsidR="00C4454D" w:rsidRPr="00A735B4" w:rsidRDefault="00C4454D" w:rsidP="00C4454D">
            <w:pPr>
              <w:keepNext/>
              <w:tabs>
                <w:tab w:val="left" w:pos="0"/>
              </w:tabs>
            </w:pPr>
          </w:p>
        </w:tc>
      </w:tr>
      <w:tr w:rsidR="00C4454D" w:rsidRPr="00A735B4" w14:paraId="5F5D7F43" w14:textId="77777777" w:rsidTr="00C4454D">
        <w:tc>
          <w:tcPr>
            <w:tcW w:w="9828" w:type="dxa"/>
            <w:gridSpan w:val="2"/>
            <w:tcBorders>
              <w:top w:val="single" w:sz="4" w:space="0" w:color="auto"/>
            </w:tcBorders>
          </w:tcPr>
          <w:p w14:paraId="2C02070C" w14:textId="77777777" w:rsidR="00C4454D" w:rsidRPr="00A735B4" w:rsidRDefault="00C4454D" w:rsidP="00C4454D">
            <w:pPr>
              <w:keepNext/>
              <w:tabs>
                <w:tab w:val="left" w:pos="375"/>
              </w:tabs>
            </w:pPr>
            <w:r w:rsidRPr="00A735B4">
              <w:rPr>
                <w:i/>
              </w:rPr>
              <w:t>Source</w:t>
            </w:r>
            <w:r w:rsidRPr="00A735B4">
              <w:t>: World Bank.</w:t>
            </w:r>
          </w:p>
          <w:p w14:paraId="64D520F0" w14:textId="6446D21F" w:rsidR="00C4454D" w:rsidRPr="00A735B4" w:rsidRDefault="00C4454D" w:rsidP="00C4454D">
            <w:pPr>
              <w:keepNext/>
              <w:tabs>
                <w:tab w:val="left" w:pos="375"/>
              </w:tabs>
            </w:pPr>
            <w:r w:rsidRPr="00A735B4">
              <w:rPr>
                <w:i/>
              </w:rPr>
              <w:t>Note:</w:t>
            </w:r>
            <w:r w:rsidRPr="00A735B4">
              <w:t xml:space="preserve"> CIF = cost, insurance, and freight; FOB = free on board; LPI = Logistic Performance Index; MFN = most-favored nation; SPS = sanitary and phytosanitary; STRI = </w:t>
            </w:r>
            <w:r w:rsidRPr="00A735B4">
              <w:rPr>
                <w:rFonts w:asciiTheme="majorHAnsi" w:hAnsiTheme="majorHAnsi"/>
              </w:rPr>
              <w:t>Services Trade Restrictiveness Index.</w:t>
            </w:r>
          </w:p>
        </w:tc>
      </w:tr>
    </w:tbl>
    <w:p w14:paraId="20E812A5" w14:textId="77777777" w:rsidR="00C4454D" w:rsidRPr="00A735B4" w:rsidRDefault="00C4454D" w:rsidP="00C4454D"/>
    <w:p w14:paraId="02200D9A" w14:textId="77777777" w:rsidR="00C4454D" w:rsidRPr="00A735B4" w:rsidRDefault="00C4454D" w:rsidP="00C4454D"/>
    <w:tbl>
      <w:tblPr>
        <w:tblW w:w="9738" w:type="dxa"/>
        <w:tblInd w:w="10" w:type="dxa"/>
        <w:tblCellMar>
          <w:left w:w="10" w:type="dxa"/>
          <w:right w:w="10" w:type="dxa"/>
        </w:tblCellMar>
        <w:tblLook w:val="04A0" w:firstRow="1" w:lastRow="0" w:firstColumn="1" w:lastColumn="0" w:noHBand="0" w:noVBand="1"/>
      </w:tblPr>
      <w:tblGrid>
        <w:gridCol w:w="6408"/>
        <w:gridCol w:w="3330"/>
      </w:tblGrid>
      <w:tr w:rsidR="00C4454D" w:rsidRPr="00A735B4" w14:paraId="1144D793" w14:textId="77777777" w:rsidTr="00C4454D">
        <w:tc>
          <w:tcPr>
            <w:tcW w:w="9738" w:type="dxa"/>
            <w:gridSpan w:val="2"/>
          </w:tcPr>
          <w:p w14:paraId="1B867BB7" w14:textId="450D7A1E" w:rsidR="00C4454D" w:rsidRPr="00A735B4" w:rsidRDefault="00C4454D">
            <w:pPr>
              <w:jc w:val="center"/>
            </w:pPr>
            <w:bookmarkStart w:id="71" w:name="_Toc410823545"/>
            <w:r w:rsidRPr="00A735B4">
              <w:rPr>
                <w:color w:val="1F497D" w:themeColor="text2"/>
              </w:rPr>
              <w:t>Table 6.3 Data sources for trade outcome indicators</w:t>
            </w:r>
            <w:bookmarkEnd w:id="71"/>
          </w:p>
        </w:tc>
      </w:tr>
      <w:tr w:rsidR="00C4454D" w:rsidRPr="00A735B4" w14:paraId="796BB5B3" w14:textId="77777777" w:rsidTr="00C4454D">
        <w:tc>
          <w:tcPr>
            <w:tcW w:w="6408" w:type="dxa"/>
            <w:tcBorders>
              <w:bottom w:val="single" w:sz="4" w:space="0" w:color="auto"/>
            </w:tcBorders>
            <w:vAlign w:val="center"/>
          </w:tcPr>
          <w:p w14:paraId="190EEFCE" w14:textId="77777777" w:rsidR="00C4454D" w:rsidRPr="00A735B4" w:rsidRDefault="00C4454D" w:rsidP="00C4454D">
            <w:pPr>
              <w:keepNext/>
              <w:tabs>
                <w:tab w:val="left" w:pos="0"/>
              </w:tabs>
              <w:jc w:val="center"/>
              <w:rPr>
                <w:b/>
              </w:rPr>
            </w:pPr>
            <w:r w:rsidRPr="00A735B4">
              <w:rPr>
                <w:b/>
              </w:rPr>
              <w:lastRenderedPageBreak/>
              <w:t>Indicator(s)</w:t>
            </w:r>
          </w:p>
        </w:tc>
        <w:tc>
          <w:tcPr>
            <w:tcW w:w="3330" w:type="dxa"/>
            <w:tcBorders>
              <w:bottom w:val="single" w:sz="4" w:space="0" w:color="auto"/>
            </w:tcBorders>
            <w:vAlign w:val="center"/>
          </w:tcPr>
          <w:p w14:paraId="6D127DA9" w14:textId="77777777" w:rsidR="00C4454D" w:rsidRPr="00A735B4" w:rsidRDefault="00C4454D" w:rsidP="00C4454D">
            <w:pPr>
              <w:keepNext/>
              <w:tabs>
                <w:tab w:val="left" w:pos="0"/>
              </w:tabs>
              <w:jc w:val="center"/>
              <w:rPr>
                <w:b/>
              </w:rPr>
            </w:pPr>
            <w:r w:rsidRPr="00A735B4">
              <w:rPr>
                <w:b/>
              </w:rPr>
              <w:t>Principal source(s)</w:t>
            </w:r>
          </w:p>
        </w:tc>
      </w:tr>
      <w:tr w:rsidR="00C4454D" w:rsidRPr="00A735B4" w14:paraId="3D96E9B2" w14:textId="77777777" w:rsidTr="00C4454D">
        <w:tc>
          <w:tcPr>
            <w:tcW w:w="6408" w:type="dxa"/>
          </w:tcPr>
          <w:p w14:paraId="3426973A" w14:textId="77777777" w:rsidR="00C4454D" w:rsidRPr="00A735B4" w:rsidRDefault="00C4454D" w:rsidP="00C4454D">
            <w:pPr>
              <w:keepNext/>
              <w:tabs>
                <w:tab w:val="left" w:pos="0"/>
              </w:tabs>
              <w:rPr>
                <w:u w:val="single"/>
              </w:rPr>
            </w:pPr>
            <w:r w:rsidRPr="00A735B4">
              <w:rPr>
                <w:u w:val="single"/>
              </w:rPr>
              <w:t>Merchandise trade</w:t>
            </w:r>
          </w:p>
        </w:tc>
        <w:tc>
          <w:tcPr>
            <w:tcW w:w="3330" w:type="dxa"/>
          </w:tcPr>
          <w:p w14:paraId="47846802" w14:textId="77777777" w:rsidR="00C4454D" w:rsidRPr="00A735B4" w:rsidRDefault="00C4454D" w:rsidP="00C4454D">
            <w:pPr>
              <w:keepNext/>
              <w:tabs>
                <w:tab w:val="left" w:pos="0"/>
              </w:tabs>
            </w:pPr>
          </w:p>
        </w:tc>
      </w:tr>
      <w:tr w:rsidR="00C4454D" w:rsidRPr="00A735B4" w14:paraId="0BA3CF42" w14:textId="77777777" w:rsidTr="00C4454D">
        <w:tc>
          <w:tcPr>
            <w:tcW w:w="6408" w:type="dxa"/>
          </w:tcPr>
          <w:p w14:paraId="61902AC1" w14:textId="42AE1DC6" w:rsidR="00C4454D" w:rsidRPr="00A735B4" w:rsidRDefault="00C4454D" w:rsidP="00C4454D">
            <w:pPr>
              <w:keepNext/>
              <w:tabs>
                <w:tab w:val="left" w:pos="0"/>
              </w:tabs>
            </w:pPr>
            <w:r w:rsidRPr="00A735B4">
              <w:t>Imports/exports/net exports (regional/global and by sector)</w:t>
            </w:r>
          </w:p>
        </w:tc>
        <w:tc>
          <w:tcPr>
            <w:tcW w:w="3330" w:type="dxa"/>
          </w:tcPr>
          <w:p w14:paraId="72C506D3" w14:textId="77777777" w:rsidR="00C4454D" w:rsidRPr="00A735B4" w:rsidRDefault="00C4454D" w:rsidP="00C4454D">
            <w:pPr>
              <w:keepNext/>
              <w:tabs>
                <w:tab w:val="left" w:pos="0"/>
              </w:tabs>
            </w:pPr>
            <w:r w:rsidRPr="00A735B4">
              <w:t>Customs/Statistical Office</w:t>
            </w:r>
          </w:p>
        </w:tc>
      </w:tr>
      <w:tr w:rsidR="00C4454D" w:rsidRPr="00A735B4" w14:paraId="7CBCC441" w14:textId="77777777" w:rsidTr="00C4454D">
        <w:tc>
          <w:tcPr>
            <w:tcW w:w="6408" w:type="dxa"/>
          </w:tcPr>
          <w:p w14:paraId="2652BB2B" w14:textId="52FF8729" w:rsidR="00C4454D" w:rsidRPr="00A735B4" w:rsidRDefault="00C4454D" w:rsidP="00C4454D">
            <w:pPr>
              <w:keepNext/>
              <w:tabs>
                <w:tab w:val="left" w:pos="0"/>
              </w:tabs>
            </w:pPr>
            <w:r w:rsidRPr="00A735B4">
              <w:t>Merchandise trade-to-GDP ratio</w:t>
            </w:r>
          </w:p>
        </w:tc>
        <w:tc>
          <w:tcPr>
            <w:tcW w:w="3330" w:type="dxa"/>
          </w:tcPr>
          <w:p w14:paraId="4EE33032" w14:textId="77777777" w:rsidR="00C4454D" w:rsidRPr="00A735B4" w:rsidRDefault="00C4454D" w:rsidP="00C4454D">
            <w:pPr>
              <w:keepNext/>
              <w:tabs>
                <w:tab w:val="left" w:pos="0"/>
              </w:tabs>
            </w:pPr>
            <w:r w:rsidRPr="00A735B4">
              <w:t>Customs/Statistical Office</w:t>
            </w:r>
          </w:p>
        </w:tc>
      </w:tr>
      <w:tr w:rsidR="00C4454D" w:rsidRPr="00A735B4" w14:paraId="0209418F" w14:textId="77777777" w:rsidTr="00C4454D">
        <w:tc>
          <w:tcPr>
            <w:tcW w:w="6408" w:type="dxa"/>
          </w:tcPr>
          <w:p w14:paraId="70C1E680" w14:textId="2FF10769" w:rsidR="00C4454D" w:rsidRPr="00A735B4" w:rsidRDefault="00C4454D" w:rsidP="00C4454D">
            <w:pPr>
              <w:keepNext/>
              <w:tabs>
                <w:tab w:val="left" w:pos="0"/>
              </w:tabs>
            </w:pPr>
            <w:r w:rsidRPr="00A735B4">
              <w:t>Diversification indexes (across products and markets)</w:t>
            </w:r>
          </w:p>
        </w:tc>
        <w:tc>
          <w:tcPr>
            <w:tcW w:w="3330" w:type="dxa"/>
          </w:tcPr>
          <w:p w14:paraId="59B4A420" w14:textId="77777777" w:rsidR="00C4454D" w:rsidRPr="00A735B4" w:rsidRDefault="00C4454D" w:rsidP="00C4454D">
            <w:pPr>
              <w:keepNext/>
              <w:tabs>
                <w:tab w:val="left" w:pos="0"/>
              </w:tabs>
            </w:pPr>
            <w:r w:rsidRPr="00A735B4">
              <w:t>Customs/Statistical Office</w:t>
            </w:r>
          </w:p>
        </w:tc>
      </w:tr>
      <w:tr w:rsidR="00C4454D" w:rsidRPr="00A735B4" w14:paraId="6A873FD3" w14:textId="77777777" w:rsidTr="00C4454D">
        <w:tc>
          <w:tcPr>
            <w:tcW w:w="6408" w:type="dxa"/>
          </w:tcPr>
          <w:p w14:paraId="3824CDF0" w14:textId="77777777" w:rsidR="00C4454D" w:rsidRPr="00A735B4" w:rsidRDefault="00C4454D" w:rsidP="00C4454D">
            <w:pPr>
              <w:keepNext/>
              <w:tabs>
                <w:tab w:val="left" w:pos="0"/>
              </w:tabs>
            </w:pPr>
            <w:r w:rsidRPr="00A735B4">
              <w:t>Number of exported products (regional/global)</w:t>
            </w:r>
          </w:p>
        </w:tc>
        <w:tc>
          <w:tcPr>
            <w:tcW w:w="3330" w:type="dxa"/>
          </w:tcPr>
          <w:p w14:paraId="76FD3280" w14:textId="77777777" w:rsidR="00C4454D" w:rsidRPr="00A735B4" w:rsidRDefault="00C4454D" w:rsidP="00C4454D">
            <w:pPr>
              <w:keepNext/>
              <w:tabs>
                <w:tab w:val="left" w:pos="0"/>
              </w:tabs>
            </w:pPr>
            <w:r w:rsidRPr="00A735B4">
              <w:t>Customs/Statistical Office</w:t>
            </w:r>
          </w:p>
        </w:tc>
      </w:tr>
      <w:tr w:rsidR="00C4454D" w:rsidRPr="00A735B4" w14:paraId="5BC8FDB0" w14:textId="77777777" w:rsidTr="00C4454D">
        <w:tc>
          <w:tcPr>
            <w:tcW w:w="6408" w:type="dxa"/>
          </w:tcPr>
          <w:p w14:paraId="61A86E12" w14:textId="77777777" w:rsidR="00C4454D" w:rsidRPr="00A735B4" w:rsidRDefault="00C4454D" w:rsidP="00C4454D">
            <w:pPr>
              <w:keepNext/>
              <w:tabs>
                <w:tab w:val="left" w:pos="0"/>
              </w:tabs>
            </w:pPr>
            <w:r w:rsidRPr="00A735B4">
              <w:t>Technology content of exports (regional/global)</w:t>
            </w:r>
          </w:p>
        </w:tc>
        <w:tc>
          <w:tcPr>
            <w:tcW w:w="3330" w:type="dxa"/>
          </w:tcPr>
          <w:p w14:paraId="1593A260" w14:textId="77777777" w:rsidR="00C4454D" w:rsidRPr="00A735B4" w:rsidRDefault="00C4454D" w:rsidP="00C4454D">
            <w:pPr>
              <w:keepNext/>
              <w:tabs>
                <w:tab w:val="left" w:pos="0"/>
              </w:tabs>
            </w:pPr>
            <w:r w:rsidRPr="00A735B4">
              <w:t>WITS</w:t>
            </w:r>
          </w:p>
        </w:tc>
      </w:tr>
      <w:tr w:rsidR="00C4454D" w:rsidRPr="00A735B4" w14:paraId="3A1E0173" w14:textId="77777777" w:rsidTr="00C4454D">
        <w:tc>
          <w:tcPr>
            <w:tcW w:w="6408" w:type="dxa"/>
          </w:tcPr>
          <w:p w14:paraId="48B92759" w14:textId="77777777" w:rsidR="00C4454D" w:rsidRPr="00A735B4" w:rsidRDefault="00C4454D" w:rsidP="00C4454D">
            <w:pPr>
              <w:keepNext/>
              <w:tabs>
                <w:tab w:val="left" w:pos="0"/>
              </w:tabs>
            </w:pPr>
            <w:r w:rsidRPr="00A735B4">
              <w:t>Export survival rates (regional/global, by product and market)</w:t>
            </w:r>
          </w:p>
        </w:tc>
        <w:tc>
          <w:tcPr>
            <w:tcW w:w="3330" w:type="dxa"/>
          </w:tcPr>
          <w:p w14:paraId="02275614" w14:textId="77777777" w:rsidR="00C4454D" w:rsidRPr="00A735B4" w:rsidRDefault="00C4454D" w:rsidP="00C4454D">
            <w:pPr>
              <w:keepNext/>
              <w:tabs>
                <w:tab w:val="left" w:pos="0"/>
              </w:tabs>
            </w:pPr>
            <w:r w:rsidRPr="00A735B4">
              <w:t>Firm-level Customs data</w:t>
            </w:r>
          </w:p>
        </w:tc>
      </w:tr>
      <w:tr w:rsidR="00C4454D" w:rsidRPr="00A735B4" w14:paraId="145DB4D4" w14:textId="77777777" w:rsidTr="00C4454D">
        <w:tc>
          <w:tcPr>
            <w:tcW w:w="6408" w:type="dxa"/>
          </w:tcPr>
          <w:p w14:paraId="2C2A7DDC" w14:textId="77777777" w:rsidR="00C4454D" w:rsidRPr="00A735B4" w:rsidRDefault="00C4454D" w:rsidP="00C4454D">
            <w:pPr>
              <w:keepNext/>
              <w:tabs>
                <w:tab w:val="left" w:pos="0"/>
              </w:tabs>
            </w:pPr>
            <w:r w:rsidRPr="00A735B4">
              <w:t>Number of firms that are exporting to regional partners</w:t>
            </w:r>
          </w:p>
        </w:tc>
        <w:tc>
          <w:tcPr>
            <w:tcW w:w="3330" w:type="dxa"/>
          </w:tcPr>
          <w:p w14:paraId="752B2CAC" w14:textId="77777777" w:rsidR="00C4454D" w:rsidRPr="00A735B4" w:rsidRDefault="00C4454D" w:rsidP="00C4454D">
            <w:pPr>
              <w:keepNext/>
              <w:tabs>
                <w:tab w:val="left" w:pos="0"/>
              </w:tabs>
            </w:pPr>
            <w:r w:rsidRPr="00A735B4">
              <w:t>Firm-level Customs data</w:t>
            </w:r>
          </w:p>
        </w:tc>
      </w:tr>
      <w:tr w:rsidR="00C4454D" w:rsidRPr="00A735B4" w14:paraId="2D92674F" w14:textId="77777777" w:rsidTr="00C4454D">
        <w:tc>
          <w:tcPr>
            <w:tcW w:w="6408" w:type="dxa"/>
          </w:tcPr>
          <w:p w14:paraId="69EEE3AF" w14:textId="77777777" w:rsidR="00C4454D" w:rsidRPr="00A735B4" w:rsidRDefault="00C4454D" w:rsidP="00C4454D">
            <w:pPr>
              <w:keepNext/>
              <w:tabs>
                <w:tab w:val="left" w:pos="0"/>
              </w:tabs>
            </w:pPr>
            <w:r w:rsidRPr="00A735B4">
              <w:t>Number of products exported to regional partners per exporter</w:t>
            </w:r>
          </w:p>
        </w:tc>
        <w:tc>
          <w:tcPr>
            <w:tcW w:w="3330" w:type="dxa"/>
          </w:tcPr>
          <w:p w14:paraId="0CA19309" w14:textId="77777777" w:rsidR="00C4454D" w:rsidRPr="00A735B4" w:rsidRDefault="00C4454D" w:rsidP="00C4454D">
            <w:pPr>
              <w:keepNext/>
              <w:tabs>
                <w:tab w:val="left" w:pos="0"/>
              </w:tabs>
            </w:pPr>
            <w:r w:rsidRPr="00A735B4">
              <w:t>Firm-level Customs data</w:t>
            </w:r>
          </w:p>
        </w:tc>
      </w:tr>
      <w:tr w:rsidR="00C4454D" w:rsidRPr="00A735B4" w14:paraId="5B67B4AC" w14:textId="77777777" w:rsidTr="00C4454D">
        <w:tc>
          <w:tcPr>
            <w:tcW w:w="6408" w:type="dxa"/>
          </w:tcPr>
          <w:p w14:paraId="64920D86" w14:textId="77777777" w:rsidR="00C4454D" w:rsidRPr="00A735B4" w:rsidRDefault="00C4454D" w:rsidP="00C4454D">
            <w:pPr>
              <w:keepNext/>
              <w:tabs>
                <w:tab w:val="left" w:pos="0"/>
              </w:tabs>
            </w:pPr>
            <w:r w:rsidRPr="00A735B4">
              <w:t>Value of exports to regional partners per firm</w:t>
            </w:r>
          </w:p>
        </w:tc>
        <w:tc>
          <w:tcPr>
            <w:tcW w:w="3330" w:type="dxa"/>
          </w:tcPr>
          <w:p w14:paraId="521DC6FD" w14:textId="77777777" w:rsidR="00C4454D" w:rsidRPr="00A735B4" w:rsidRDefault="00C4454D" w:rsidP="00C4454D">
            <w:pPr>
              <w:keepNext/>
              <w:tabs>
                <w:tab w:val="left" w:pos="0"/>
              </w:tabs>
            </w:pPr>
            <w:r w:rsidRPr="00A735B4">
              <w:t>Firm-level Customs data</w:t>
            </w:r>
          </w:p>
        </w:tc>
      </w:tr>
      <w:tr w:rsidR="00C4454D" w:rsidRPr="00A735B4" w14:paraId="23F1EC43" w14:textId="77777777" w:rsidTr="00C4454D">
        <w:tc>
          <w:tcPr>
            <w:tcW w:w="6408" w:type="dxa"/>
          </w:tcPr>
          <w:p w14:paraId="348AFF61" w14:textId="77777777" w:rsidR="00C4454D" w:rsidRPr="00A735B4" w:rsidRDefault="00C4454D" w:rsidP="00C4454D">
            <w:pPr>
              <w:keepNext/>
              <w:tabs>
                <w:tab w:val="left" w:pos="0"/>
              </w:tabs>
            </w:pPr>
            <w:r w:rsidRPr="00A735B4">
              <w:t>Degree of supply chain integration (regional/global)</w:t>
            </w:r>
          </w:p>
        </w:tc>
        <w:tc>
          <w:tcPr>
            <w:tcW w:w="3330" w:type="dxa"/>
          </w:tcPr>
          <w:p w14:paraId="5373FE5C" w14:textId="77777777" w:rsidR="00C4454D" w:rsidRPr="00A735B4" w:rsidRDefault="00C4454D" w:rsidP="00C4454D">
            <w:pPr>
              <w:keepNext/>
              <w:tabs>
                <w:tab w:val="left" w:pos="0"/>
              </w:tabs>
            </w:pPr>
            <w:r w:rsidRPr="00A735B4">
              <w:t>TiVA database</w:t>
            </w:r>
          </w:p>
        </w:tc>
      </w:tr>
      <w:tr w:rsidR="00C4454D" w:rsidRPr="00A735B4" w14:paraId="7248AA04" w14:textId="77777777" w:rsidTr="00C4454D">
        <w:tc>
          <w:tcPr>
            <w:tcW w:w="6408" w:type="dxa"/>
          </w:tcPr>
          <w:p w14:paraId="13017BD7" w14:textId="77777777" w:rsidR="00C4454D" w:rsidRPr="00A735B4" w:rsidRDefault="00C4454D" w:rsidP="00C4454D">
            <w:pPr>
              <w:keepNext/>
              <w:tabs>
                <w:tab w:val="left" w:pos="0"/>
              </w:tabs>
            </w:pPr>
            <w:r w:rsidRPr="00A735B4">
              <w:t xml:space="preserve">Prices of homogeneous food staples/commodities </w:t>
            </w:r>
          </w:p>
        </w:tc>
        <w:tc>
          <w:tcPr>
            <w:tcW w:w="3330" w:type="dxa"/>
          </w:tcPr>
          <w:p w14:paraId="3AF8B51B" w14:textId="4CB626FA" w:rsidR="00C4454D" w:rsidRPr="00A735B4" w:rsidRDefault="00C4454D" w:rsidP="00C4454D">
            <w:pPr>
              <w:keepNext/>
              <w:tabs>
                <w:tab w:val="left" w:pos="0"/>
              </w:tabs>
            </w:pPr>
            <w:r w:rsidRPr="00A735B4">
              <w:t xml:space="preserve">Statistical Office/crowdsourcing </w:t>
            </w:r>
          </w:p>
        </w:tc>
      </w:tr>
      <w:tr w:rsidR="00C4454D" w:rsidRPr="00A735B4" w14:paraId="0B0925D7" w14:textId="77777777" w:rsidTr="00C4454D">
        <w:tc>
          <w:tcPr>
            <w:tcW w:w="6408" w:type="dxa"/>
          </w:tcPr>
          <w:p w14:paraId="68AF5A28" w14:textId="77777777" w:rsidR="00C4454D" w:rsidRPr="00A735B4" w:rsidRDefault="00C4454D" w:rsidP="00C4454D">
            <w:pPr>
              <w:keepNext/>
              <w:tabs>
                <w:tab w:val="left" w:pos="0"/>
              </w:tabs>
            </w:pPr>
          </w:p>
        </w:tc>
        <w:tc>
          <w:tcPr>
            <w:tcW w:w="3330" w:type="dxa"/>
          </w:tcPr>
          <w:p w14:paraId="2A22905E" w14:textId="77777777" w:rsidR="00C4454D" w:rsidRPr="00A735B4" w:rsidRDefault="00C4454D" w:rsidP="00C4454D">
            <w:pPr>
              <w:keepNext/>
              <w:tabs>
                <w:tab w:val="left" w:pos="0"/>
              </w:tabs>
            </w:pPr>
          </w:p>
        </w:tc>
      </w:tr>
      <w:tr w:rsidR="00C4454D" w:rsidRPr="00A735B4" w14:paraId="61D6CCC6" w14:textId="77777777" w:rsidTr="00C4454D">
        <w:tc>
          <w:tcPr>
            <w:tcW w:w="6408" w:type="dxa"/>
          </w:tcPr>
          <w:p w14:paraId="78FD6BB7" w14:textId="77777777" w:rsidR="00C4454D" w:rsidRPr="00A735B4" w:rsidRDefault="00C4454D" w:rsidP="00C4454D">
            <w:pPr>
              <w:keepNext/>
              <w:tabs>
                <w:tab w:val="left" w:pos="0"/>
              </w:tabs>
              <w:rPr>
                <w:u w:val="single"/>
              </w:rPr>
            </w:pPr>
            <w:r w:rsidRPr="00A735B4">
              <w:rPr>
                <w:u w:val="single"/>
              </w:rPr>
              <w:t>Services trade</w:t>
            </w:r>
          </w:p>
        </w:tc>
        <w:tc>
          <w:tcPr>
            <w:tcW w:w="3330" w:type="dxa"/>
          </w:tcPr>
          <w:p w14:paraId="2D1A37AE" w14:textId="77777777" w:rsidR="00C4454D" w:rsidRPr="00A735B4" w:rsidRDefault="00C4454D" w:rsidP="00C4454D">
            <w:pPr>
              <w:keepNext/>
              <w:tabs>
                <w:tab w:val="left" w:pos="0"/>
              </w:tabs>
            </w:pPr>
          </w:p>
        </w:tc>
      </w:tr>
      <w:tr w:rsidR="00C4454D" w:rsidRPr="00A735B4" w14:paraId="52DEE20C" w14:textId="77777777" w:rsidTr="00C4454D">
        <w:tc>
          <w:tcPr>
            <w:tcW w:w="6408" w:type="dxa"/>
          </w:tcPr>
          <w:p w14:paraId="087ABB79" w14:textId="03022AE0" w:rsidR="00C4454D" w:rsidRPr="00A735B4" w:rsidRDefault="00C4454D" w:rsidP="00C4454D">
            <w:pPr>
              <w:keepNext/>
              <w:tabs>
                <w:tab w:val="left" w:pos="0"/>
              </w:tabs>
            </w:pPr>
            <w:r w:rsidRPr="00A735B4">
              <w:t>Imports/exports of services (regional/global, by mode and sector)</w:t>
            </w:r>
          </w:p>
        </w:tc>
        <w:tc>
          <w:tcPr>
            <w:tcW w:w="3330" w:type="dxa"/>
          </w:tcPr>
          <w:p w14:paraId="6776C7E1" w14:textId="77777777" w:rsidR="00C4454D" w:rsidRPr="00A735B4" w:rsidRDefault="00C4454D" w:rsidP="00C4454D">
            <w:pPr>
              <w:keepNext/>
              <w:tabs>
                <w:tab w:val="left" w:pos="0"/>
              </w:tabs>
            </w:pPr>
            <w:r w:rsidRPr="00A735B4">
              <w:t>Central Bank</w:t>
            </w:r>
          </w:p>
        </w:tc>
      </w:tr>
      <w:tr w:rsidR="00C4454D" w:rsidRPr="00A735B4" w14:paraId="3F9A094B" w14:textId="77777777" w:rsidTr="00C4454D">
        <w:tc>
          <w:tcPr>
            <w:tcW w:w="6408" w:type="dxa"/>
          </w:tcPr>
          <w:p w14:paraId="4B92C1FF" w14:textId="270DD0BF" w:rsidR="00C4454D" w:rsidRPr="00A735B4" w:rsidRDefault="00C4454D" w:rsidP="00C4454D">
            <w:pPr>
              <w:keepNext/>
              <w:tabs>
                <w:tab w:val="left" w:pos="0"/>
              </w:tabs>
            </w:pPr>
            <w:r w:rsidRPr="00A735B4">
              <w:t>Services trade-to-GDP ratio</w:t>
            </w:r>
          </w:p>
        </w:tc>
        <w:tc>
          <w:tcPr>
            <w:tcW w:w="3330" w:type="dxa"/>
          </w:tcPr>
          <w:p w14:paraId="58293318" w14:textId="77777777" w:rsidR="00C4454D" w:rsidRPr="00A735B4" w:rsidRDefault="00C4454D" w:rsidP="00C4454D">
            <w:pPr>
              <w:keepNext/>
              <w:tabs>
                <w:tab w:val="left" w:pos="0"/>
              </w:tabs>
            </w:pPr>
            <w:r w:rsidRPr="00A735B4">
              <w:t>Central Bank/Statistical Office</w:t>
            </w:r>
          </w:p>
        </w:tc>
      </w:tr>
      <w:tr w:rsidR="00C4454D" w:rsidRPr="00A735B4" w14:paraId="789D9DF9" w14:textId="77777777" w:rsidTr="00C4454D">
        <w:tc>
          <w:tcPr>
            <w:tcW w:w="6408" w:type="dxa"/>
          </w:tcPr>
          <w:p w14:paraId="13635977" w14:textId="77777777" w:rsidR="00C4454D" w:rsidRPr="00A735B4" w:rsidRDefault="00C4454D" w:rsidP="00C4454D">
            <w:pPr>
              <w:keepNext/>
              <w:tabs>
                <w:tab w:val="left" w:pos="0"/>
              </w:tabs>
            </w:pPr>
            <w:r w:rsidRPr="00A735B4">
              <w:t>Number of firms that are exporting to regional partners</w:t>
            </w:r>
          </w:p>
        </w:tc>
        <w:tc>
          <w:tcPr>
            <w:tcW w:w="3330" w:type="dxa"/>
          </w:tcPr>
          <w:p w14:paraId="656BEE30" w14:textId="77777777" w:rsidR="00C4454D" w:rsidRPr="00A735B4" w:rsidRDefault="00C4454D" w:rsidP="00C4454D">
            <w:pPr>
              <w:keepNext/>
              <w:tabs>
                <w:tab w:val="left" w:pos="0"/>
              </w:tabs>
            </w:pPr>
            <w:r w:rsidRPr="00A735B4">
              <w:t>Central Bank</w:t>
            </w:r>
          </w:p>
        </w:tc>
      </w:tr>
      <w:tr w:rsidR="00C4454D" w:rsidRPr="00A735B4" w14:paraId="0EF41785" w14:textId="77777777" w:rsidTr="00C4454D">
        <w:tc>
          <w:tcPr>
            <w:tcW w:w="6408" w:type="dxa"/>
          </w:tcPr>
          <w:p w14:paraId="51C240EF" w14:textId="77777777" w:rsidR="00C4454D" w:rsidRPr="00A735B4" w:rsidRDefault="00C4454D" w:rsidP="00C4454D">
            <w:pPr>
              <w:keepNext/>
              <w:tabs>
                <w:tab w:val="left" w:pos="0"/>
              </w:tabs>
            </w:pPr>
            <w:r w:rsidRPr="00A735B4">
              <w:t>Fees charged by service providers for standardized services</w:t>
            </w:r>
          </w:p>
        </w:tc>
        <w:tc>
          <w:tcPr>
            <w:tcW w:w="3330" w:type="dxa"/>
          </w:tcPr>
          <w:p w14:paraId="2441E4D2" w14:textId="77777777" w:rsidR="00C4454D" w:rsidRPr="00A735B4" w:rsidRDefault="00C4454D" w:rsidP="00C4454D">
            <w:pPr>
              <w:keepNext/>
              <w:tabs>
                <w:tab w:val="left" w:pos="0"/>
              </w:tabs>
            </w:pPr>
            <w:r w:rsidRPr="00A735B4">
              <w:t>Mystery shopping survey</w:t>
            </w:r>
          </w:p>
        </w:tc>
      </w:tr>
      <w:tr w:rsidR="00C4454D" w:rsidRPr="00A735B4" w14:paraId="54CDAAB4" w14:textId="77777777" w:rsidTr="00C4454D">
        <w:tc>
          <w:tcPr>
            <w:tcW w:w="6408" w:type="dxa"/>
          </w:tcPr>
          <w:p w14:paraId="45370AE1" w14:textId="77777777" w:rsidR="00C4454D" w:rsidRPr="00A735B4" w:rsidRDefault="00C4454D" w:rsidP="00C4454D">
            <w:pPr>
              <w:keepNext/>
              <w:tabs>
                <w:tab w:val="left" w:pos="0"/>
              </w:tabs>
            </w:pPr>
            <w:r w:rsidRPr="00A735B4">
              <w:t>Number of professionals working abroad under MRAs</w:t>
            </w:r>
          </w:p>
        </w:tc>
        <w:tc>
          <w:tcPr>
            <w:tcW w:w="3330" w:type="dxa"/>
          </w:tcPr>
          <w:p w14:paraId="6BA9311A" w14:textId="77777777" w:rsidR="00C4454D" w:rsidRPr="00A735B4" w:rsidRDefault="00C4454D" w:rsidP="00C4454D">
            <w:pPr>
              <w:keepNext/>
              <w:tabs>
                <w:tab w:val="left" w:pos="0"/>
              </w:tabs>
            </w:pPr>
            <w:r w:rsidRPr="00A735B4">
              <w:t>Ministry of Commerce</w:t>
            </w:r>
          </w:p>
        </w:tc>
      </w:tr>
      <w:tr w:rsidR="00C4454D" w:rsidRPr="00A735B4" w14:paraId="49429D3D" w14:textId="77777777" w:rsidTr="00C4454D">
        <w:tc>
          <w:tcPr>
            <w:tcW w:w="6408" w:type="dxa"/>
          </w:tcPr>
          <w:p w14:paraId="711AA9C2" w14:textId="77777777" w:rsidR="00C4454D" w:rsidRPr="00A735B4" w:rsidRDefault="00C4454D" w:rsidP="00C4454D">
            <w:pPr>
              <w:keepNext/>
              <w:tabs>
                <w:tab w:val="left" w:pos="0"/>
              </w:tabs>
            </w:pPr>
            <w:r w:rsidRPr="00A735B4">
              <w:t>Number of university students from partner countries</w:t>
            </w:r>
          </w:p>
        </w:tc>
        <w:tc>
          <w:tcPr>
            <w:tcW w:w="3330" w:type="dxa"/>
          </w:tcPr>
          <w:p w14:paraId="26EF66AC" w14:textId="77777777" w:rsidR="00C4454D" w:rsidRPr="00A735B4" w:rsidRDefault="00C4454D" w:rsidP="00C4454D">
            <w:pPr>
              <w:keepNext/>
              <w:tabs>
                <w:tab w:val="left" w:pos="0"/>
              </w:tabs>
            </w:pPr>
            <w:r w:rsidRPr="00A735B4">
              <w:t>Ministry of Education</w:t>
            </w:r>
          </w:p>
        </w:tc>
      </w:tr>
      <w:tr w:rsidR="00C4454D" w:rsidRPr="00A735B4" w14:paraId="7F1D0CFD" w14:textId="77777777" w:rsidTr="00C4454D">
        <w:tc>
          <w:tcPr>
            <w:tcW w:w="6408" w:type="dxa"/>
          </w:tcPr>
          <w:p w14:paraId="1B971550" w14:textId="77777777" w:rsidR="00C4454D" w:rsidRPr="00A735B4" w:rsidRDefault="00C4454D" w:rsidP="00C4454D">
            <w:pPr>
              <w:keepNext/>
              <w:tabs>
                <w:tab w:val="left" w:pos="0"/>
              </w:tabs>
            </w:pPr>
          </w:p>
        </w:tc>
        <w:tc>
          <w:tcPr>
            <w:tcW w:w="3330" w:type="dxa"/>
          </w:tcPr>
          <w:p w14:paraId="0E1963F9" w14:textId="77777777" w:rsidR="00C4454D" w:rsidRPr="00A735B4" w:rsidRDefault="00C4454D" w:rsidP="00C4454D">
            <w:pPr>
              <w:keepNext/>
              <w:tabs>
                <w:tab w:val="left" w:pos="0"/>
              </w:tabs>
            </w:pPr>
          </w:p>
        </w:tc>
      </w:tr>
      <w:tr w:rsidR="00C4454D" w:rsidRPr="00A735B4" w14:paraId="17A03B02" w14:textId="77777777" w:rsidTr="00C4454D">
        <w:tc>
          <w:tcPr>
            <w:tcW w:w="6408" w:type="dxa"/>
          </w:tcPr>
          <w:p w14:paraId="18883555" w14:textId="77777777" w:rsidR="00C4454D" w:rsidRPr="00A735B4" w:rsidRDefault="00C4454D" w:rsidP="00C4454D">
            <w:pPr>
              <w:keepNext/>
              <w:tabs>
                <w:tab w:val="left" w:pos="0"/>
              </w:tabs>
              <w:rPr>
                <w:u w:val="single"/>
              </w:rPr>
            </w:pPr>
            <w:r w:rsidRPr="00A735B4">
              <w:rPr>
                <w:u w:val="single"/>
              </w:rPr>
              <w:t>Foreign direct investment</w:t>
            </w:r>
          </w:p>
        </w:tc>
        <w:tc>
          <w:tcPr>
            <w:tcW w:w="3330" w:type="dxa"/>
          </w:tcPr>
          <w:p w14:paraId="3C72B540" w14:textId="77777777" w:rsidR="00C4454D" w:rsidRPr="00A735B4" w:rsidRDefault="00C4454D" w:rsidP="00C4454D">
            <w:pPr>
              <w:keepNext/>
              <w:tabs>
                <w:tab w:val="left" w:pos="0"/>
              </w:tabs>
            </w:pPr>
          </w:p>
        </w:tc>
      </w:tr>
      <w:tr w:rsidR="00C4454D" w:rsidRPr="00A735B4" w14:paraId="58DE762D" w14:textId="77777777" w:rsidTr="00C4454D">
        <w:tc>
          <w:tcPr>
            <w:tcW w:w="6408" w:type="dxa"/>
          </w:tcPr>
          <w:p w14:paraId="79047EA2" w14:textId="580E04F2" w:rsidR="00C4454D" w:rsidRPr="00A735B4" w:rsidRDefault="00C4454D" w:rsidP="00C4454D">
            <w:pPr>
              <w:keepNext/>
              <w:tabs>
                <w:tab w:val="left" w:pos="0"/>
              </w:tabs>
            </w:pPr>
            <w:r w:rsidRPr="00A735B4">
              <w:t>Amount of FDI (regional/global, green/brownfield, and by sector)</w:t>
            </w:r>
          </w:p>
        </w:tc>
        <w:tc>
          <w:tcPr>
            <w:tcW w:w="3330" w:type="dxa"/>
          </w:tcPr>
          <w:p w14:paraId="3C7B14EC" w14:textId="77777777" w:rsidR="00C4454D" w:rsidRPr="00A735B4" w:rsidRDefault="00C4454D" w:rsidP="00C4454D">
            <w:pPr>
              <w:keepNext/>
              <w:tabs>
                <w:tab w:val="left" w:pos="0"/>
              </w:tabs>
            </w:pPr>
            <w:r w:rsidRPr="00A735B4">
              <w:t>Central Bank</w:t>
            </w:r>
          </w:p>
        </w:tc>
      </w:tr>
      <w:tr w:rsidR="00C4454D" w:rsidRPr="00A735B4" w14:paraId="33C2EEE0" w14:textId="77777777" w:rsidTr="00C4454D">
        <w:tc>
          <w:tcPr>
            <w:tcW w:w="6408" w:type="dxa"/>
          </w:tcPr>
          <w:p w14:paraId="69689162" w14:textId="3E79985B" w:rsidR="00C4454D" w:rsidRPr="00A735B4" w:rsidRDefault="00C4454D" w:rsidP="00C4454D">
            <w:pPr>
              <w:keepNext/>
              <w:tabs>
                <w:tab w:val="left" w:pos="0"/>
              </w:tabs>
            </w:pPr>
            <w:r w:rsidRPr="00A735B4">
              <w:t>FDI-to-GDP ratio</w:t>
            </w:r>
          </w:p>
        </w:tc>
        <w:tc>
          <w:tcPr>
            <w:tcW w:w="3330" w:type="dxa"/>
          </w:tcPr>
          <w:p w14:paraId="6B9E5229" w14:textId="77777777" w:rsidR="00C4454D" w:rsidRPr="00A735B4" w:rsidRDefault="00C4454D" w:rsidP="00C4454D">
            <w:pPr>
              <w:keepNext/>
              <w:tabs>
                <w:tab w:val="left" w:pos="0"/>
              </w:tabs>
            </w:pPr>
            <w:r w:rsidRPr="00A735B4">
              <w:t>Central Bank/Statistical Office</w:t>
            </w:r>
          </w:p>
        </w:tc>
      </w:tr>
      <w:tr w:rsidR="00C4454D" w:rsidRPr="00A735B4" w14:paraId="577D7E7B" w14:textId="77777777" w:rsidTr="00C4454D">
        <w:tc>
          <w:tcPr>
            <w:tcW w:w="6408" w:type="dxa"/>
          </w:tcPr>
          <w:p w14:paraId="5852C424" w14:textId="77777777" w:rsidR="00C4454D" w:rsidRPr="00A735B4" w:rsidRDefault="00C4454D" w:rsidP="00C4454D">
            <w:pPr>
              <w:keepNext/>
              <w:tabs>
                <w:tab w:val="left" w:pos="0"/>
              </w:tabs>
            </w:pPr>
            <w:r w:rsidRPr="00A735B4">
              <w:t>Number of foreign affiliates in the country</w:t>
            </w:r>
          </w:p>
        </w:tc>
        <w:tc>
          <w:tcPr>
            <w:tcW w:w="3330" w:type="dxa"/>
          </w:tcPr>
          <w:p w14:paraId="7A3B7ED4" w14:textId="77777777" w:rsidR="00C4454D" w:rsidRPr="00A735B4" w:rsidRDefault="00C4454D" w:rsidP="00C4454D">
            <w:pPr>
              <w:keepNext/>
              <w:tabs>
                <w:tab w:val="left" w:pos="0"/>
              </w:tabs>
            </w:pPr>
            <w:r w:rsidRPr="00A735B4">
              <w:t>Central Bank/Statistical Office</w:t>
            </w:r>
          </w:p>
        </w:tc>
      </w:tr>
      <w:tr w:rsidR="00C4454D" w:rsidRPr="00A735B4" w14:paraId="3D25DB1D" w14:textId="77777777" w:rsidTr="00C4454D">
        <w:tc>
          <w:tcPr>
            <w:tcW w:w="6408" w:type="dxa"/>
          </w:tcPr>
          <w:p w14:paraId="046A0B14" w14:textId="77777777" w:rsidR="00C4454D" w:rsidRPr="00A735B4" w:rsidRDefault="00C4454D" w:rsidP="00C4454D">
            <w:pPr>
              <w:keepNext/>
              <w:tabs>
                <w:tab w:val="left" w:pos="0"/>
              </w:tabs>
            </w:pPr>
          </w:p>
        </w:tc>
        <w:tc>
          <w:tcPr>
            <w:tcW w:w="3330" w:type="dxa"/>
          </w:tcPr>
          <w:p w14:paraId="7337C24C" w14:textId="77777777" w:rsidR="00C4454D" w:rsidRPr="00A735B4" w:rsidRDefault="00C4454D" w:rsidP="00C4454D">
            <w:pPr>
              <w:keepNext/>
              <w:tabs>
                <w:tab w:val="left" w:pos="0"/>
              </w:tabs>
            </w:pPr>
          </w:p>
        </w:tc>
      </w:tr>
      <w:tr w:rsidR="00C4454D" w:rsidRPr="00A735B4" w14:paraId="27303368" w14:textId="77777777" w:rsidTr="00C4454D">
        <w:tc>
          <w:tcPr>
            <w:tcW w:w="6408" w:type="dxa"/>
          </w:tcPr>
          <w:p w14:paraId="7053CAF6" w14:textId="77777777" w:rsidR="00C4454D" w:rsidRPr="00A735B4" w:rsidRDefault="00C4454D" w:rsidP="00C4454D">
            <w:pPr>
              <w:keepNext/>
              <w:tabs>
                <w:tab w:val="left" w:pos="0"/>
              </w:tabs>
              <w:rPr>
                <w:u w:val="single"/>
              </w:rPr>
            </w:pPr>
            <w:r w:rsidRPr="00A735B4">
              <w:rPr>
                <w:u w:val="single"/>
              </w:rPr>
              <w:lastRenderedPageBreak/>
              <w:t>Labor movement</w:t>
            </w:r>
          </w:p>
        </w:tc>
        <w:tc>
          <w:tcPr>
            <w:tcW w:w="3330" w:type="dxa"/>
          </w:tcPr>
          <w:p w14:paraId="599E40FE" w14:textId="77777777" w:rsidR="00C4454D" w:rsidRPr="00A735B4" w:rsidRDefault="00C4454D" w:rsidP="00C4454D">
            <w:pPr>
              <w:keepNext/>
              <w:tabs>
                <w:tab w:val="left" w:pos="0"/>
              </w:tabs>
            </w:pPr>
          </w:p>
        </w:tc>
      </w:tr>
      <w:tr w:rsidR="00C4454D" w:rsidRPr="00A735B4" w14:paraId="65E28F62" w14:textId="77777777" w:rsidTr="00C4454D">
        <w:tc>
          <w:tcPr>
            <w:tcW w:w="6408" w:type="dxa"/>
          </w:tcPr>
          <w:p w14:paraId="7F30DC2B" w14:textId="77777777" w:rsidR="00C4454D" w:rsidRPr="00A735B4" w:rsidRDefault="00C4454D" w:rsidP="00C4454D">
            <w:pPr>
              <w:keepNext/>
              <w:tabs>
                <w:tab w:val="left" w:pos="0"/>
              </w:tabs>
            </w:pPr>
            <w:r w:rsidRPr="00A735B4">
              <w:t>Number of foreigners working in partner country (by sector)</w:t>
            </w:r>
          </w:p>
        </w:tc>
        <w:tc>
          <w:tcPr>
            <w:tcW w:w="3330" w:type="dxa"/>
          </w:tcPr>
          <w:p w14:paraId="107B5117" w14:textId="77777777" w:rsidR="00C4454D" w:rsidRPr="00A735B4" w:rsidRDefault="00C4454D" w:rsidP="00C4454D">
            <w:pPr>
              <w:keepNext/>
              <w:tabs>
                <w:tab w:val="left" w:pos="0"/>
              </w:tabs>
            </w:pPr>
            <w:r w:rsidRPr="00A735B4">
              <w:t>Statistical Office</w:t>
            </w:r>
          </w:p>
        </w:tc>
      </w:tr>
      <w:tr w:rsidR="00C4454D" w:rsidRPr="00A735B4" w14:paraId="4029186F" w14:textId="77777777" w:rsidTr="00C4454D">
        <w:tc>
          <w:tcPr>
            <w:tcW w:w="6408" w:type="dxa"/>
          </w:tcPr>
          <w:p w14:paraId="3FA38D00" w14:textId="77777777" w:rsidR="00C4454D" w:rsidRPr="00A735B4" w:rsidRDefault="00C4454D" w:rsidP="00C4454D">
            <w:pPr>
              <w:keepNext/>
              <w:tabs>
                <w:tab w:val="left" w:pos="0"/>
              </w:tabs>
            </w:pPr>
            <w:r w:rsidRPr="00A735B4">
              <w:t>Share of the workforce that is of foreign origin</w:t>
            </w:r>
          </w:p>
        </w:tc>
        <w:tc>
          <w:tcPr>
            <w:tcW w:w="3330" w:type="dxa"/>
          </w:tcPr>
          <w:p w14:paraId="00651025" w14:textId="77777777" w:rsidR="00C4454D" w:rsidRPr="00A735B4" w:rsidRDefault="00C4454D" w:rsidP="00C4454D">
            <w:pPr>
              <w:keepNext/>
              <w:tabs>
                <w:tab w:val="left" w:pos="0"/>
              </w:tabs>
            </w:pPr>
            <w:r w:rsidRPr="00A735B4">
              <w:t>Statistical Office</w:t>
            </w:r>
          </w:p>
        </w:tc>
      </w:tr>
      <w:tr w:rsidR="00C4454D" w:rsidRPr="00A735B4" w14:paraId="1F56CF1D" w14:textId="77777777" w:rsidTr="00C4454D">
        <w:tc>
          <w:tcPr>
            <w:tcW w:w="6408" w:type="dxa"/>
          </w:tcPr>
          <w:p w14:paraId="039B2EA0" w14:textId="77777777" w:rsidR="00C4454D" w:rsidRPr="00A735B4" w:rsidRDefault="00C4454D" w:rsidP="00C4454D">
            <w:pPr>
              <w:keepNext/>
              <w:tabs>
                <w:tab w:val="left" w:pos="0"/>
              </w:tabs>
            </w:pPr>
          </w:p>
        </w:tc>
        <w:tc>
          <w:tcPr>
            <w:tcW w:w="3330" w:type="dxa"/>
          </w:tcPr>
          <w:p w14:paraId="735858E2" w14:textId="77777777" w:rsidR="00C4454D" w:rsidRPr="00A735B4" w:rsidRDefault="00C4454D" w:rsidP="00C4454D">
            <w:pPr>
              <w:keepNext/>
              <w:tabs>
                <w:tab w:val="left" w:pos="0"/>
              </w:tabs>
            </w:pPr>
          </w:p>
        </w:tc>
      </w:tr>
      <w:tr w:rsidR="00C4454D" w:rsidRPr="00A735B4" w14:paraId="463EB18C" w14:textId="77777777" w:rsidTr="00C4454D">
        <w:tc>
          <w:tcPr>
            <w:tcW w:w="9738" w:type="dxa"/>
            <w:gridSpan w:val="2"/>
            <w:tcBorders>
              <w:top w:val="single" w:sz="4" w:space="0" w:color="auto"/>
            </w:tcBorders>
          </w:tcPr>
          <w:p w14:paraId="60544C7F" w14:textId="77777777" w:rsidR="00C4454D" w:rsidRPr="00A735B4" w:rsidRDefault="00C4454D" w:rsidP="00C4454D">
            <w:pPr>
              <w:keepNext/>
              <w:tabs>
                <w:tab w:val="left" w:pos="375"/>
              </w:tabs>
            </w:pPr>
            <w:r w:rsidRPr="00A735B4">
              <w:rPr>
                <w:i/>
              </w:rPr>
              <w:t>Source</w:t>
            </w:r>
            <w:r w:rsidRPr="00A735B4">
              <w:t>: World Bank.</w:t>
            </w:r>
          </w:p>
          <w:p w14:paraId="1D07907C" w14:textId="77777777" w:rsidR="00C4454D" w:rsidRPr="00A735B4" w:rsidRDefault="00C4454D" w:rsidP="00C4454D">
            <w:pPr>
              <w:keepNext/>
              <w:tabs>
                <w:tab w:val="left" w:pos="375"/>
              </w:tabs>
            </w:pPr>
            <w:r w:rsidRPr="00A735B4">
              <w:rPr>
                <w:i/>
              </w:rPr>
              <w:t>Note:</w:t>
            </w:r>
            <w:r w:rsidRPr="00A735B4">
              <w:t xml:space="preserve"> FDI = foreign direct investment; GDP = gross domestic product; MRAs = mutual recognition agreements; TiVA = trade in value-added; WITS = World Integrated Trade Solution.</w:t>
            </w:r>
          </w:p>
        </w:tc>
      </w:tr>
    </w:tbl>
    <w:p w14:paraId="6E2E3327" w14:textId="77777777" w:rsidR="00C4454D" w:rsidRPr="00A735B4" w:rsidRDefault="00C4454D" w:rsidP="00C4454D">
      <w:bookmarkStart w:id="72" w:name="_Toc404814820"/>
      <w:bookmarkStart w:id="73" w:name="_Toc419565243"/>
      <w:r w:rsidRPr="00A735B4">
        <w:t>Frequency and structure of integration monitoring</w:t>
      </w:r>
      <w:bookmarkEnd w:id="72"/>
      <w:bookmarkEnd w:id="73"/>
    </w:p>
    <w:p w14:paraId="7D6D6390" w14:textId="77777777" w:rsidR="00C4454D" w:rsidRPr="00A735B4" w:rsidRDefault="00C4454D" w:rsidP="00C4454D"/>
    <w:p w14:paraId="68918A04" w14:textId="1C62732E" w:rsidR="00C4454D" w:rsidRPr="00A735B4" w:rsidRDefault="00C4454D" w:rsidP="00C4454D">
      <w:pPr>
        <w:numPr>
          <w:ilvl w:val="0"/>
          <w:numId w:val="2"/>
        </w:numPr>
        <w:ind w:left="0" w:firstLine="0"/>
        <w:jc w:val="both"/>
      </w:pPr>
      <w:r w:rsidRPr="00A735B4">
        <w:t xml:space="preserve">How frequently should an integration monitoring report be published and what form and structure should it take? It is desirable to provide stakeholders with near-term information on the progress with regional integration and release new information as soon as it becomes available. For example, the USAID-supported Borderless project in West Africa publishes the results from its surveys of transport impediments along major corridors on a quarterly basis. Such high-frequency reporting is resource-intensive, however, and many trade indicators will become available only on a less frequent, often annual basis. </w:t>
      </w:r>
    </w:p>
    <w:p w14:paraId="32689B4A" w14:textId="77777777" w:rsidR="00C4454D" w:rsidRPr="00A735B4" w:rsidRDefault="00C4454D" w:rsidP="00C4454D">
      <w:pPr>
        <w:jc w:val="both"/>
      </w:pPr>
    </w:p>
    <w:p w14:paraId="721A2592" w14:textId="3BBD8E00" w:rsidR="00C4454D" w:rsidRPr="00A735B4" w:rsidRDefault="00C4454D" w:rsidP="00C4454D">
      <w:pPr>
        <w:numPr>
          <w:ilvl w:val="0"/>
          <w:numId w:val="2"/>
        </w:numPr>
        <w:ind w:left="0" w:firstLine="0"/>
        <w:jc w:val="both"/>
      </w:pPr>
      <w:r w:rsidRPr="00A735B4">
        <w:t>A once-a-year stocktaking publication might be the most appropriate setup for many regional integration initiatives in Africa. This annual report could be supplemented by higher frequency newsletters or Internet-based updates on integration indicators that become available intermittently. The yearly cycle also provides the author team with an opportunity to plan and undertake in-depth analysis on selected issues, rather than just reporting indicator outcomes. A longer biannual or pluri-annual publication cycle – although better than no integration monitoring—would risk missing the timely assessment of developments and keeping the attention of policy makers focused on the issue of effective regional integration. Experience suggests that effective and timely dissemination of indicator information has helped to focus attention on the issue of trade barriers and led to efforts to remove them, such as roadblocks in West Africa. Hence, indicators should be used as part of regular dialogue with stakeholders to sustain the momentum toward barrier removal.</w:t>
      </w:r>
    </w:p>
    <w:p w14:paraId="70203B03" w14:textId="77777777" w:rsidR="00C4454D" w:rsidRPr="00A735B4" w:rsidRDefault="00C4454D" w:rsidP="00C4454D"/>
    <w:p w14:paraId="1F84CE5D" w14:textId="046FD8E6" w:rsidR="00C4454D" w:rsidRPr="00A735B4" w:rsidRDefault="00C4454D" w:rsidP="00C4454D">
      <w:pPr>
        <w:numPr>
          <w:ilvl w:val="0"/>
          <w:numId w:val="2"/>
        </w:numPr>
        <w:ind w:left="0" w:firstLine="0"/>
        <w:jc w:val="both"/>
      </w:pPr>
      <w:r w:rsidRPr="00A735B4">
        <w:t xml:space="preserve">One question that all authors of an integration monitoring report will have to face concerns the format and structure of the report. Trade is an area where there are a lot of data available—even without considering new indicators—and this information can be analyzed at various levels of aggregation and orientation. Hence, just describing trade outcomes could span many, many pages, so that an integration monitoring reports risks becoming too long to be an effective communication tool that busy decision makers will read and use. Moreover, the basic structure of trade outcomes and trade relations tends to change only gradually from year to year, so that the report might appear repetitive </w:t>
      </w:r>
      <w:r w:rsidRPr="00A735B4">
        <w:lastRenderedPageBreak/>
        <w:t>to the loyal reader. Similarly, the REC’s provisions on particular integration issues only change occasionally and do not need to be recited in the main text every year. These challenges of keeping an integration monitoring report short and interesting call for the extensive use of annexes to report on data and information that does not necessarily need explanation and interpretation.</w:t>
      </w:r>
    </w:p>
    <w:p w14:paraId="44ED8B65" w14:textId="77777777" w:rsidR="00C4454D" w:rsidRPr="00A735B4" w:rsidRDefault="00C4454D" w:rsidP="00C4454D"/>
    <w:p w14:paraId="680971B6" w14:textId="127DCBD5" w:rsidR="00C4454D" w:rsidRPr="00A735B4" w:rsidRDefault="00C4454D" w:rsidP="00C4454D">
      <w:pPr>
        <w:numPr>
          <w:ilvl w:val="0"/>
          <w:numId w:val="2"/>
        </w:numPr>
        <w:ind w:left="0" w:firstLine="0"/>
        <w:jc w:val="both"/>
      </w:pPr>
      <w:r w:rsidRPr="00A735B4">
        <w:t xml:space="preserve">The main body of the report could then focus on a summary of progress made toward regional integration. In the interest of presenting fresh content every year, it could usefully open with a section on recent policy changes affecting regional integration, followed by a special theme that provides a more in-depth treatment of a particular integration issue and that would change from report to report. These sections would then be followed by short discussions of the different aspects of integration—trade transactions costs, trade outcomes, and national compliance—and possibly culminate in a concluding section with a scoreboard that provides an-easy to-grasp overview of the status of integration. Hence, an outline of an integration monitoring report might look like the template presented in table 6.4. </w:t>
      </w:r>
      <w:r w:rsidRPr="00A735B4">
        <w:br w:type="page"/>
      </w:r>
    </w:p>
    <w:p w14:paraId="4D5C5305" w14:textId="77777777" w:rsidR="00C4454D" w:rsidRPr="00A735B4" w:rsidRDefault="00C4454D" w:rsidP="00C4454D"/>
    <w:p w14:paraId="69E9C2FA" w14:textId="77777777" w:rsidR="00C4454D" w:rsidRPr="00A735B4" w:rsidRDefault="00C4454D" w:rsidP="00C4454D">
      <w:pPr>
        <w:jc w:val="center"/>
      </w:pPr>
    </w:p>
    <w:tbl>
      <w:tblPr>
        <w:tblW w:w="0" w:type="auto"/>
        <w:tblInd w:w="10" w:type="dxa"/>
        <w:tblCellMar>
          <w:left w:w="10" w:type="dxa"/>
          <w:right w:w="10" w:type="dxa"/>
        </w:tblCellMar>
        <w:tblLook w:val="04A0" w:firstRow="1" w:lastRow="0" w:firstColumn="1" w:lastColumn="0" w:noHBand="0" w:noVBand="1"/>
      </w:tblPr>
      <w:tblGrid>
        <w:gridCol w:w="8856"/>
      </w:tblGrid>
      <w:tr w:rsidR="00C4454D" w:rsidRPr="00A735B4" w14:paraId="7177AB63" w14:textId="77777777" w:rsidTr="00C4454D">
        <w:tc>
          <w:tcPr>
            <w:tcW w:w="8856" w:type="dxa"/>
            <w:tcBorders>
              <w:bottom w:val="single" w:sz="4" w:space="0" w:color="auto"/>
            </w:tcBorders>
          </w:tcPr>
          <w:p w14:paraId="47E9DAB2" w14:textId="3876B2FA" w:rsidR="00C4454D" w:rsidRPr="00A735B4" w:rsidRDefault="00C4454D">
            <w:pPr>
              <w:jc w:val="center"/>
            </w:pPr>
            <w:bookmarkStart w:id="74" w:name="_Toc410823546"/>
            <w:r w:rsidRPr="00A735B4">
              <w:rPr>
                <w:color w:val="1F497D" w:themeColor="text2"/>
              </w:rPr>
              <w:t>Table 6.4 Template for an Annual Integration Monitoring Report</w:t>
            </w:r>
            <w:bookmarkEnd w:id="74"/>
          </w:p>
        </w:tc>
      </w:tr>
      <w:tr w:rsidR="00C4454D" w:rsidRPr="00A735B4" w14:paraId="1B28445F" w14:textId="77777777" w:rsidTr="00C4454D">
        <w:tc>
          <w:tcPr>
            <w:tcW w:w="8856" w:type="dxa"/>
            <w:tcBorders>
              <w:top w:val="single" w:sz="4" w:space="0" w:color="auto"/>
            </w:tcBorders>
          </w:tcPr>
          <w:p w14:paraId="16F6F52C" w14:textId="77777777" w:rsidR="00C4454D" w:rsidRPr="00A735B4" w:rsidRDefault="00C4454D" w:rsidP="00C4454D">
            <w:pPr>
              <w:keepNext/>
              <w:tabs>
                <w:tab w:val="left" w:pos="390"/>
              </w:tabs>
              <w:ind w:left="390"/>
            </w:pPr>
            <w:r w:rsidRPr="00A735B4">
              <w:t>Executive summary</w:t>
            </w:r>
          </w:p>
        </w:tc>
      </w:tr>
      <w:tr w:rsidR="00C4454D" w:rsidRPr="00A735B4" w14:paraId="3D410755" w14:textId="77777777" w:rsidTr="00C4454D">
        <w:tc>
          <w:tcPr>
            <w:tcW w:w="8856" w:type="dxa"/>
          </w:tcPr>
          <w:p w14:paraId="72D3AA81" w14:textId="77777777" w:rsidR="00C4454D" w:rsidRPr="00A735B4" w:rsidRDefault="00C4454D" w:rsidP="00C4454D">
            <w:pPr>
              <w:keepNext/>
              <w:numPr>
                <w:ilvl w:val="0"/>
                <w:numId w:val="8"/>
              </w:numPr>
            </w:pPr>
            <w:r w:rsidRPr="00A735B4">
              <w:t>Recent policy developments concerning regional integration</w:t>
            </w:r>
          </w:p>
        </w:tc>
      </w:tr>
      <w:tr w:rsidR="00C4454D" w:rsidRPr="00A735B4" w14:paraId="10E6390E" w14:textId="77777777" w:rsidTr="00C4454D">
        <w:tc>
          <w:tcPr>
            <w:tcW w:w="8856" w:type="dxa"/>
          </w:tcPr>
          <w:p w14:paraId="02C31416" w14:textId="77777777" w:rsidR="00C4454D" w:rsidRPr="00A735B4" w:rsidRDefault="00C4454D" w:rsidP="00C4454D">
            <w:pPr>
              <w:keepNext/>
              <w:numPr>
                <w:ilvl w:val="0"/>
                <w:numId w:val="8"/>
              </w:numPr>
            </w:pPr>
            <w:r w:rsidRPr="00A735B4">
              <w:t>Special theme of the edition</w:t>
            </w:r>
          </w:p>
        </w:tc>
      </w:tr>
      <w:tr w:rsidR="00C4454D" w:rsidRPr="00A735B4" w14:paraId="68BBB64B" w14:textId="77777777" w:rsidTr="00C4454D">
        <w:tc>
          <w:tcPr>
            <w:tcW w:w="8856" w:type="dxa"/>
          </w:tcPr>
          <w:p w14:paraId="6B27963E" w14:textId="77777777" w:rsidR="00C4454D" w:rsidRPr="00A735B4" w:rsidRDefault="00C4454D" w:rsidP="00C4454D">
            <w:pPr>
              <w:keepNext/>
              <w:numPr>
                <w:ilvl w:val="0"/>
                <w:numId w:val="8"/>
              </w:numPr>
            </w:pPr>
            <w:r w:rsidRPr="00A735B4">
              <w:t>Trade transactions cost analysis</w:t>
            </w:r>
          </w:p>
        </w:tc>
      </w:tr>
      <w:tr w:rsidR="00C4454D" w:rsidRPr="00A735B4" w14:paraId="219597AF" w14:textId="77777777" w:rsidTr="00C4454D">
        <w:tc>
          <w:tcPr>
            <w:tcW w:w="8856" w:type="dxa"/>
          </w:tcPr>
          <w:p w14:paraId="044D3923" w14:textId="77777777" w:rsidR="00C4454D" w:rsidRPr="00A735B4" w:rsidRDefault="00C4454D" w:rsidP="00C4454D">
            <w:pPr>
              <w:keepNext/>
              <w:numPr>
                <w:ilvl w:val="1"/>
                <w:numId w:val="8"/>
              </w:numPr>
            </w:pPr>
            <w:r w:rsidRPr="00A735B4">
              <w:t>Tariff barriers</w:t>
            </w:r>
          </w:p>
        </w:tc>
      </w:tr>
      <w:tr w:rsidR="00C4454D" w:rsidRPr="00A735B4" w14:paraId="38635FFB" w14:textId="77777777" w:rsidTr="00C4454D">
        <w:tc>
          <w:tcPr>
            <w:tcW w:w="8856" w:type="dxa"/>
          </w:tcPr>
          <w:p w14:paraId="02E8CF3F" w14:textId="77777777" w:rsidR="00C4454D" w:rsidRPr="00A735B4" w:rsidRDefault="00C4454D" w:rsidP="00C4454D">
            <w:pPr>
              <w:keepNext/>
              <w:numPr>
                <w:ilvl w:val="1"/>
                <w:numId w:val="8"/>
              </w:numPr>
            </w:pPr>
            <w:r w:rsidRPr="00A735B4">
              <w:t>Non-tariff barriers</w:t>
            </w:r>
          </w:p>
        </w:tc>
      </w:tr>
      <w:tr w:rsidR="00C4454D" w:rsidRPr="00A735B4" w14:paraId="7C587652" w14:textId="77777777" w:rsidTr="00C4454D">
        <w:tc>
          <w:tcPr>
            <w:tcW w:w="8856" w:type="dxa"/>
          </w:tcPr>
          <w:p w14:paraId="5765ED96" w14:textId="77777777" w:rsidR="00C4454D" w:rsidRPr="00A735B4" w:rsidRDefault="00C4454D" w:rsidP="00C4454D">
            <w:pPr>
              <w:keepNext/>
              <w:numPr>
                <w:ilvl w:val="1"/>
                <w:numId w:val="8"/>
              </w:numPr>
            </w:pPr>
            <w:r w:rsidRPr="00A735B4">
              <w:t>Trade and transport facilitation issues</w:t>
            </w:r>
          </w:p>
        </w:tc>
      </w:tr>
      <w:tr w:rsidR="00C4454D" w:rsidRPr="00A735B4" w14:paraId="2C66C8A5" w14:textId="77777777" w:rsidTr="00C4454D">
        <w:tc>
          <w:tcPr>
            <w:tcW w:w="8856" w:type="dxa"/>
          </w:tcPr>
          <w:p w14:paraId="68C01808" w14:textId="77777777" w:rsidR="00C4454D" w:rsidRPr="00A735B4" w:rsidRDefault="00C4454D" w:rsidP="00C4454D">
            <w:pPr>
              <w:keepNext/>
              <w:numPr>
                <w:ilvl w:val="1"/>
                <w:numId w:val="8"/>
              </w:numPr>
            </w:pPr>
            <w:r w:rsidRPr="00A735B4">
              <w:t>Services barriers</w:t>
            </w:r>
          </w:p>
        </w:tc>
      </w:tr>
      <w:tr w:rsidR="00C4454D" w:rsidRPr="00A735B4" w14:paraId="7D948C26" w14:textId="77777777" w:rsidTr="00C4454D">
        <w:tc>
          <w:tcPr>
            <w:tcW w:w="8856" w:type="dxa"/>
          </w:tcPr>
          <w:p w14:paraId="7E2C1E55" w14:textId="77777777" w:rsidR="00C4454D" w:rsidRPr="00A735B4" w:rsidRDefault="00C4454D" w:rsidP="00C4454D">
            <w:pPr>
              <w:keepNext/>
              <w:numPr>
                <w:ilvl w:val="0"/>
                <w:numId w:val="8"/>
              </w:numPr>
            </w:pPr>
            <w:r w:rsidRPr="00A735B4">
              <w:t>Trade outcomes analysis</w:t>
            </w:r>
          </w:p>
        </w:tc>
      </w:tr>
      <w:tr w:rsidR="00C4454D" w:rsidRPr="00A735B4" w14:paraId="717266C3" w14:textId="77777777" w:rsidTr="00C4454D">
        <w:tc>
          <w:tcPr>
            <w:tcW w:w="8856" w:type="dxa"/>
          </w:tcPr>
          <w:p w14:paraId="46D195F3" w14:textId="77777777" w:rsidR="00C4454D" w:rsidRPr="00A735B4" w:rsidRDefault="00C4454D" w:rsidP="00C4454D">
            <w:pPr>
              <w:keepNext/>
              <w:numPr>
                <w:ilvl w:val="1"/>
                <w:numId w:val="8"/>
              </w:numPr>
            </w:pPr>
            <w:r w:rsidRPr="00A735B4">
              <w:t>Merchandise trade</w:t>
            </w:r>
          </w:p>
        </w:tc>
      </w:tr>
      <w:tr w:rsidR="00C4454D" w:rsidRPr="00A735B4" w14:paraId="5EBC3106" w14:textId="77777777" w:rsidTr="00C4454D">
        <w:tc>
          <w:tcPr>
            <w:tcW w:w="8856" w:type="dxa"/>
          </w:tcPr>
          <w:p w14:paraId="4CDD3EBA" w14:textId="77777777" w:rsidR="00C4454D" w:rsidRPr="00A735B4" w:rsidRDefault="00C4454D" w:rsidP="00C4454D">
            <w:pPr>
              <w:keepNext/>
              <w:numPr>
                <w:ilvl w:val="1"/>
                <w:numId w:val="8"/>
              </w:numPr>
            </w:pPr>
            <w:r w:rsidRPr="00A735B4">
              <w:t>Services trade</w:t>
            </w:r>
          </w:p>
        </w:tc>
      </w:tr>
      <w:tr w:rsidR="00C4454D" w:rsidRPr="00A735B4" w14:paraId="59FA704F" w14:textId="77777777" w:rsidTr="00C4454D">
        <w:tc>
          <w:tcPr>
            <w:tcW w:w="8856" w:type="dxa"/>
          </w:tcPr>
          <w:p w14:paraId="74B189A5" w14:textId="77777777" w:rsidR="00C4454D" w:rsidRPr="00A735B4" w:rsidRDefault="00C4454D" w:rsidP="00C4454D">
            <w:pPr>
              <w:keepNext/>
              <w:numPr>
                <w:ilvl w:val="1"/>
                <w:numId w:val="8"/>
              </w:numPr>
            </w:pPr>
            <w:r w:rsidRPr="00A735B4">
              <w:t>Foreign direct investment</w:t>
            </w:r>
          </w:p>
        </w:tc>
      </w:tr>
      <w:tr w:rsidR="00C4454D" w:rsidRPr="00A735B4" w14:paraId="3688AB72" w14:textId="77777777" w:rsidTr="00C4454D">
        <w:tc>
          <w:tcPr>
            <w:tcW w:w="8856" w:type="dxa"/>
          </w:tcPr>
          <w:p w14:paraId="77B359CB" w14:textId="77777777" w:rsidR="00C4454D" w:rsidRPr="00A735B4" w:rsidRDefault="00C4454D" w:rsidP="00C4454D">
            <w:pPr>
              <w:keepNext/>
              <w:numPr>
                <w:ilvl w:val="1"/>
                <w:numId w:val="8"/>
              </w:numPr>
            </w:pPr>
            <w:r w:rsidRPr="00A735B4">
              <w:t>Labor movement</w:t>
            </w:r>
          </w:p>
        </w:tc>
      </w:tr>
      <w:tr w:rsidR="00C4454D" w:rsidRPr="00A735B4" w14:paraId="3103BC0C" w14:textId="77777777" w:rsidTr="00C4454D">
        <w:tc>
          <w:tcPr>
            <w:tcW w:w="8856" w:type="dxa"/>
          </w:tcPr>
          <w:p w14:paraId="34260111" w14:textId="77777777" w:rsidR="00C4454D" w:rsidRPr="00A735B4" w:rsidRDefault="00C4454D" w:rsidP="00C4454D">
            <w:pPr>
              <w:keepNext/>
              <w:numPr>
                <w:ilvl w:val="0"/>
                <w:numId w:val="8"/>
              </w:numPr>
            </w:pPr>
            <w:r w:rsidRPr="00A735B4">
              <w:t>Compliance with REC’s integration provisions</w:t>
            </w:r>
          </w:p>
        </w:tc>
      </w:tr>
      <w:tr w:rsidR="00C4454D" w:rsidRPr="00A735B4" w14:paraId="1D2A272F" w14:textId="77777777" w:rsidTr="00C4454D">
        <w:tc>
          <w:tcPr>
            <w:tcW w:w="8856" w:type="dxa"/>
          </w:tcPr>
          <w:p w14:paraId="7751EE26" w14:textId="77777777" w:rsidR="00C4454D" w:rsidRPr="00A735B4" w:rsidRDefault="00C4454D" w:rsidP="00C4454D">
            <w:pPr>
              <w:keepNext/>
              <w:numPr>
                <w:ilvl w:val="1"/>
                <w:numId w:val="8"/>
              </w:numPr>
            </w:pPr>
            <w:r w:rsidRPr="00A735B4">
              <w:t>Merchandise trade</w:t>
            </w:r>
          </w:p>
        </w:tc>
      </w:tr>
      <w:tr w:rsidR="00C4454D" w:rsidRPr="00A735B4" w14:paraId="01EEE3A7" w14:textId="77777777" w:rsidTr="00C4454D">
        <w:tc>
          <w:tcPr>
            <w:tcW w:w="8856" w:type="dxa"/>
          </w:tcPr>
          <w:p w14:paraId="752E07D1" w14:textId="77777777" w:rsidR="00C4454D" w:rsidRPr="00A735B4" w:rsidRDefault="00C4454D" w:rsidP="00C4454D">
            <w:pPr>
              <w:keepNext/>
              <w:numPr>
                <w:ilvl w:val="1"/>
                <w:numId w:val="8"/>
              </w:numPr>
            </w:pPr>
            <w:r w:rsidRPr="00A735B4">
              <w:t>Services trade</w:t>
            </w:r>
          </w:p>
        </w:tc>
      </w:tr>
      <w:tr w:rsidR="00C4454D" w:rsidRPr="00A735B4" w14:paraId="4E344504" w14:textId="77777777" w:rsidTr="00C4454D">
        <w:tc>
          <w:tcPr>
            <w:tcW w:w="8856" w:type="dxa"/>
          </w:tcPr>
          <w:p w14:paraId="44A0218F" w14:textId="77777777" w:rsidR="00C4454D" w:rsidRPr="00A735B4" w:rsidRDefault="00C4454D" w:rsidP="00C4454D">
            <w:pPr>
              <w:keepNext/>
              <w:numPr>
                <w:ilvl w:val="1"/>
                <w:numId w:val="8"/>
              </w:numPr>
            </w:pPr>
            <w:r w:rsidRPr="00A735B4">
              <w:t>Foreign direct investment</w:t>
            </w:r>
          </w:p>
        </w:tc>
      </w:tr>
      <w:tr w:rsidR="00C4454D" w:rsidRPr="00A735B4" w14:paraId="66A36771" w14:textId="77777777" w:rsidTr="00C4454D">
        <w:tc>
          <w:tcPr>
            <w:tcW w:w="8856" w:type="dxa"/>
          </w:tcPr>
          <w:p w14:paraId="464881AB" w14:textId="77777777" w:rsidR="00C4454D" w:rsidRPr="00A735B4" w:rsidRDefault="00C4454D" w:rsidP="00C4454D">
            <w:pPr>
              <w:keepNext/>
              <w:numPr>
                <w:ilvl w:val="1"/>
                <w:numId w:val="8"/>
              </w:numPr>
            </w:pPr>
            <w:r w:rsidRPr="00A735B4">
              <w:t>Labor movement</w:t>
            </w:r>
          </w:p>
        </w:tc>
      </w:tr>
      <w:tr w:rsidR="00C4454D" w:rsidRPr="00A735B4" w14:paraId="775471F7" w14:textId="77777777" w:rsidTr="00C4454D">
        <w:tc>
          <w:tcPr>
            <w:tcW w:w="8856" w:type="dxa"/>
          </w:tcPr>
          <w:p w14:paraId="25C45097" w14:textId="77777777" w:rsidR="00C4454D" w:rsidRPr="00A735B4" w:rsidRDefault="00C4454D" w:rsidP="00C4454D">
            <w:pPr>
              <w:keepNext/>
              <w:numPr>
                <w:ilvl w:val="0"/>
                <w:numId w:val="8"/>
              </w:numPr>
            </w:pPr>
            <w:r w:rsidRPr="00A735B4">
              <w:t>Conclusion and scoreboard</w:t>
            </w:r>
          </w:p>
        </w:tc>
      </w:tr>
      <w:tr w:rsidR="00C4454D" w:rsidRPr="00A735B4" w14:paraId="3FA45CB7" w14:textId="77777777" w:rsidTr="00C4454D">
        <w:tc>
          <w:tcPr>
            <w:tcW w:w="8856" w:type="dxa"/>
            <w:tcBorders>
              <w:bottom w:val="single" w:sz="4" w:space="0" w:color="auto"/>
            </w:tcBorders>
          </w:tcPr>
          <w:p w14:paraId="7DA50B03" w14:textId="77777777" w:rsidR="00C4454D" w:rsidRPr="00A735B4" w:rsidRDefault="00C4454D" w:rsidP="00C4454D">
            <w:pPr>
              <w:keepNext/>
              <w:tabs>
                <w:tab w:val="left" w:pos="375"/>
              </w:tabs>
              <w:ind w:left="375"/>
            </w:pPr>
            <w:r w:rsidRPr="00A735B4">
              <w:t>Data and information annexes</w:t>
            </w:r>
          </w:p>
        </w:tc>
      </w:tr>
      <w:tr w:rsidR="00C4454D" w:rsidRPr="00A735B4" w14:paraId="7DEB3E8E" w14:textId="77777777" w:rsidTr="00C4454D">
        <w:tc>
          <w:tcPr>
            <w:tcW w:w="8856" w:type="dxa"/>
            <w:tcBorders>
              <w:top w:val="single" w:sz="4" w:space="0" w:color="auto"/>
            </w:tcBorders>
          </w:tcPr>
          <w:p w14:paraId="1F859E3E" w14:textId="77777777" w:rsidR="00C4454D" w:rsidRPr="00A735B4" w:rsidRDefault="00C4454D" w:rsidP="00C4454D">
            <w:pPr>
              <w:keepNext/>
              <w:tabs>
                <w:tab w:val="left" w:pos="375"/>
              </w:tabs>
            </w:pPr>
            <w:r w:rsidRPr="00A735B4">
              <w:rPr>
                <w:i/>
              </w:rPr>
              <w:t>Source</w:t>
            </w:r>
            <w:r w:rsidRPr="00A735B4">
              <w:t>: Author.</w:t>
            </w:r>
          </w:p>
          <w:p w14:paraId="6414681E" w14:textId="77777777" w:rsidR="00C4454D" w:rsidRPr="00A735B4" w:rsidRDefault="00C4454D" w:rsidP="00C4454D">
            <w:pPr>
              <w:keepNext/>
              <w:tabs>
                <w:tab w:val="left" w:pos="375"/>
              </w:tabs>
            </w:pPr>
            <w:r w:rsidRPr="00A735B4">
              <w:rPr>
                <w:i/>
              </w:rPr>
              <w:t>Note:</w:t>
            </w:r>
            <w:r w:rsidRPr="00A735B4">
              <w:t xml:space="preserve"> REC = Regional Economic Community.</w:t>
            </w:r>
          </w:p>
        </w:tc>
      </w:tr>
    </w:tbl>
    <w:p w14:paraId="44CBD0DC" w14:textId="77777777" w:rsidR="00C4454D" w:rsidRPr="00A735B4" w:rsidRDefault="00C4454D" w:rsidP="00C4454D"/>
    <w:p w14:paraId="5A186AC0" w14:textId="4DAF915D" w:rsidR="00C4454D" w:rsidRPr="00A735B4" w:rsidRDefault="00C4454D" w:rsidP="00C4454D">
      <w:pPr>
        <w:numPr>
          <w:ilvl w:val="0"/>
          <w:numId w:val="2"/>
        </w:numPr>
        <w:ind w:left="0" w:firstLine="0"/>
        <w:jc w:val="both"/>
      </w:pPr>
      <w:r w:rsidRPr="00A735B4">
        <w:t xml:space="preserve">Inspiration for the special theme part of the report could come from different sources. A conference or workshop that the REC has organized might have generated information from member countries on particular aspects of regional integration that was not available earlier. The findings from </w:t>
      </w:r>
      <w:r w:rsidRPr="00A735B4">
        <w:lastRenderedPageBreak/>
        <w:t>a survey that an REC, donor, or research institution has undertaken could be presented, as could analysis on the prospective impacts of upcoming regional trade policy changes. There seems to be no shortage of relevant topics that could be taken up, so that the author team should find it relatively easy to give the report a fresh identity every year.</w:t>
      </w:r>
    </w:p>
    <w:p w14:paraId="75C437FD" w14:textId="77777777" w:rsidR="00C4454D" w:rsidRPr="00A735B4" w:rsidRDefault="00C4454D" w:rsidP="00C4454D">
      <w:pPr>
        <w:jc w:val="both"/>
      </w:pPr>
    </w:p>
    <w:p w14:paraId="03A4E8DD" w14:textId="63686ADC" w:rsidR="00C4454D" w:rsidRPr="00A735B4" w:rsidRDefault="00C4454D" w:rsidP="00C4454D">
      <w:pPr>
        <w:numPr>
          <w:ilvl w:val="0"/>
          <w:numId w:val="2"/>
        </w:numPr>
        <w:ind w:left="0" w:firstLine="0"/>
        <w:jc w:val="both"/>
      </w:pPr>
      <w:r w:rsidRPr="00A735B4">
        <w:t>Even with a compact report, having a good executive summary would be important for making the information more easily accessible. Indeed, the executive summary, perhaps in combination with the report’s conclusions and scoreboard, could be published as a self-standing policy note for wider dissemination to member countries, civil society, and the press. A widespread distribution of the findings among stakeholders seems critical to foster a lively, evidence-based policy dialogue about progress toward regional integration, or the lack of it.</w:t>
      </w:r>
    </w:p>
    <w:p w14:paraId="688614D0" w14:textId="755F2A3F" w:rsidR="00C4454D" w:rsidRPr="00A735B4" w:rsidRDefault="00C4454D" w:rsidP="00C4454D">
      <w:bookmarkStart w:id="75" w:name="_Toc404814821"/>
      <w:bookmarkStart w:id="76" w:name="_Toc419565244"/>
      <w:r w:rsidRPr="00A735B4">
        <w:t>Role of development partners</w:t>
      </w:r>
      <w:bookmarkEnd w:id="75"/>
      <w:bookmarkEnd w:id="76"/>
    </w:p>
    <w:p w14:paraId="7AD9680B" w14:textId="77777777" w:rsidR="00C4454D" w:rsidRPr="00A735B4" w:rsidRDefault="00C4454D" w:rsidP="00C4454D"/>
    <w:p w14:paraId="01797133" w14:textId="4AAA770A" w:rsidR="00C4454D" w:rsidRPr="00A735B4" w:rsidRDefault="00C4454D" w:rsidP="00C4454D">
      <w:pPr>
        <w:numPr>
          <w:ilvl w:val="0"/>
          <w:numId w:val="2"/>
        </w:numPr>
        <w:ind w:left="0" w:firstLine="0"/>
        <w:jc w:val="both"/>
      </w:pPr>
      <w:r w:rsidRPr="00A735B4">
        <w:t>The poor implementation of regional trade arrangements after decades of integration efforts and the rudimentary status of integration monitoring suggest that a more active engagement of the donor community might be necessary to strengthen regional integration monitoring in Africa. Interventions might be particularly productive in two areas, indicator development and editorial guidance within an overall context that stresses the importance of staying focused on outcomes rather than outputs.</w:t>
      </w:r>
    </w:p>
    <w:p w14:paraId="2AF8671A" w14:textId="77777777" w:rsidR="00C4454D" w:rsidRPr="00A735B4" w:rsidRDefault="00C4454D" w:rsidP="00C4454D">
      <w:pPr>
        <w:jc w:val="both"/>
      </w:pPr>
    </w:p>
    <w:p w14:paraId="1698256B" w14:textId="1E4EFFAC" w:rsidR="00C4454D" w:rsidRPr="00A735B4" w:rsidRDefault="00C4454D" w:rsidP="00C4454D">
      <w:pPr>
        <w:numPr>
          <w:ilvl w:val="0"/>
          <w:numId w:val="2"/>
        </w:numPr>
        <w:ind w:left="0" w:firstLine="0"/>
        <w:jc w:val="both"/>
      </w:pPr>
      <w:r w:rsidRPr="00A735B4">
        <w:t>First, given the substantial information gaps in “nontraditional” areas of trade, such as services trade, trade facilitation, and factor movements, as well as the quasi-absence of information on trade transactions costs at the firm level, support from donors for indicator development could have a critical enabling effect for effective integration monitoring in Africa. Upgrading the statistical apparatus, undertaking surveys, and developing data products is expensive and often beyond of the means of RECs. Hence, technical assistance, launch aid, and possibly even continuing support might be required from donors to help RECs assemble the indicator base required. Naturally, where equivalent lower-cost indicators from existing data or existing sources are available, these should be given priority over the development of expensive new indicators from new sources. Yet, in some cases, the expenses associated with a mystery shopping or crowdsourcing data product might be justified by the additional insights these indicators could provide. Exactly which indicators or groups of indicators warrant the support of development partners very much depends on the informational situation of the REC and the feasibility of generating the desired data in a budget-friendly manner and is thus very region specific.</w:t>
      </w:r>
    </w:p>
    <w:p w14:paraId="65E03819" w14:textId="77777777" w:rsidR="00C4454D" w:rsidRPr="00A735B4" w:rsidRDefault="00C4454D" w:rsidP="00C4454D">
      <w:pPr>
        <w:jc w:val="both"/>
      </w:pPr>
    </w:p>
    <w:p w14:paraId="65D4FE72" w14:textId="0505D256" w:rsidR="00C4454D" w:rsidRPr="00A735B4" w:rsidRDefault="00C4454D" w:rsidP="00C4454D">
      <w:pPr>
        <w:numPr>
          <w:ilvl w:val="0"/>
          <w:numId w:val="2"/>
        </w:numPr>
        <w:ind w:left="0" w:firstLine="0"/>
        <w:jc w:val="both"/>
      </w:pPr>
      <w:r w:rsidRPr="00A735B4">
        <w:t xml:space="preserve">The second area where development partners could usefully play a role is editorial guidance. Some RECs currently already prepare integration monitoring reports, which, however, are often neither very discerning in identifying the progress made toward regional integration nor very effective in stimulating policy dialogue. Technical assistance and capacity building to enhance the quality of the </w:t>
      </w:r>
      <w:r w:rsidRPr="00A735B4">
        <w:lastRenderedPageBreak/>
        <w:t xml:space="preserve">reports might, thus, be warranted. Such assistance could take different forms. For example, a donor could take the lead in drafting an integration monitoring report for an REC to provide the latter with a template to follow and develop in future years. This approach, which was pursued during the production of the </w:t>
      </w:r>
      <w:r w:rsidRPr="00A735B4">
        <w:rPr>
          <w:color w:val="545454"/>
        </w:rPr>
        <w:t>Association of Southeast Asian Nations (</w:t>
      </w:r>
      <w:r w:rsidRPr="00A735B4">
        <w:t>ASEAN) Integration Monitoring Report (ASEAN-World Bank 2013), has the advantage of generating a comprehensive, high-quality document that reflects the latest data and analytical tools available.</w:t>
      </w:r>
    </w:p>
    <w:p w14:paraId="37323807" w14:textId="77777777" w:rsidR="00C4454D" w:rsidRPr="00A735B4" w:rsidRDefault="00C4454D" w:rsidP="00C4454D"/>
    <w:p w14:paraId="1C9C2B81" w14:textId="4B62EA02" w:rsidR="00C4454D" w:rsidRPr="00A735B4" w:rsidRDefault="00C4454D" w:rsidP="00C4454D">
      <w:pPr>
        <w:numPr>
          <w:ilvl w:val="0"/>
          <w:numId w:val="2"/>
        </w:numPr>
        <w:ind w:left="0" w:firstLine="0"/>
        <w:jc w:val="both"/>
      </w:pPr>
      <w:r w:rsidRPr="00A735B4">
        <w:t>On the downside, the reference document approach might appear over-engineered from the REC’s perspective, such that the local author team does not identify with the report and does not have the resources and technical capacity to reproduce a comparable document in future years. An alternative form of cooperation in this context could be to build more gradually on the existing monitoring process by enhancing capacity in the local author teams with respect to integration monitoring and to provide selective editorial assistance in the drafting of “new” sections, as well as peer-review support. This gradual approach has been pursued in the World Bank’s support to UEMOA (UEMOA 2015). It will likely take longer to reach the targeted scope and analytical depth in the integration monitoring process and success will be contingent on the retention of the trained local author team, but the ownership of the report within the REC will likely be higher, with benefits for a more effective dissemination and policy dialogue.</w:t>
      </w:r>
    </w:p>
    <w:p w14:paraId="2E3DA7DD" w14:textId="77777777" w:rsidR="00C4454D" w:rsidRPr="00A735B4" w:rsidRDefault="00C4454D" w:rsidP="00C4454D"/>
    <w:p w14:paraId="0E5DA560" w14:textId="2CB8347B" w:rsidR="00C4454D" w:rsidRPr="00A735B4" w:rsidRDefault="00C4454D" w:rsidP="00C4454D">
      <w:pPr>
        <w:numPr>
          <w:ilvl w:val="0"/>
          <w:numId w:val="2"/>
        </w:numPr>
        <w:ind w:left="0" w:firstLine="0"/>
        <w:jc w:val="both"/>
      </w:pPr>
      <w:r w:rsidRPr="00A735B4">
        <w:t>Another type of editorial donor support could consist in the organization of peer learning events. Bringing the author teams from different RECs together for information sharing and capacity building workshops could add impetus toward updating existing integration monitoring paradigms and expose participants to global and regional best practices. This peer learning support could, of course, complement the two forms of editorial guidance mentioned earlier.</w:t>
      </w:r>
    </w:p>
    <w:p w14:paraId="399E106B" w14:textId="77777777" w:rsidR="00C4454D" w:rsidRPr="00A735B4" w:rsidRDefault="00C4454D" w:rsidP="00C4454D"/>
    <w:p w14:paraId="7FE8A9B7" w14:textId="5D601EAC" w:rsidR="00C4454D" w:rsidRPr="00A735B4" w:rsidRDefault="00C4454D" w:rsidP="00C4454D">
      <w:pPr>
        <w:numPr>
          <w:ilvl w:val="0"/>
          <w:numId w:val="2"/>
        </w:numPr>
        <w:ind w:left="0" w:firstLine="0"/>
        <w:jc w:val="both"/>
      </w:pPr>
      <w:r w:rsidRPr="00A735B4">
        <w:t>Finally, a donor or a combination of donors could launch a new annual flagship report on regional integration monitoring in Africa. This report might assess progress toward regional integration using transaction cost and trade outcome indicators across all the major RECs on the continent in a consistent and comprehensive manner. Such a report would thereby not necessarily entirely replace the existing integration monitoring efforts in RECs, but could, for example, actively seek input from RECs for REC-specific chapters on integration compliance within the report. However, the resource needs of this flagship-type assistance would exceed those of the other forms of editorial guidance and require longer-term commitments from donors to ensure the sustainability of the undertaking.</w:t>
      </w:r>
    </w:p>
    <w:p w14:paraId="1BC3D150" w14:textId="5CB86D3C" w:rsidR="00C4454D" w:rsidRPr="00A735B4" w:rsidRDefault="00C4454D" w:rsidP="00C4454D">
      <w:bookmarkStart w:id="77" w:name="_Toc419565245"/>
      <w:bookmarkStart w:id="78" w:name="_Toc404814822"/>
      <w:r w:rsidRPr="00A735B4">
        <w:t>Dissemination and next steps</w:t>
      </w:r>
      <w:bookmarkEnd w:id="77"/>
    </w:p>
    <w:p w14:paraId="4241990B" w14:textId="77777777" w:rsidR="00C4454D" w:rsidRPr="00A735B4" w:rsidRDefault="00C4454D" w:rsidP="00C4454D"/>
    <w:p w14:paraId="69991090" w14:textId="13C17950" w:rsidR="00C4454D" w:rsidRPr="00A735B4" w:rsidRDefault="00C4454D" w:rsidP="00C4454D">
      <w:pPr>
        <w:numPr>
          <w:ilvl w:val="0"/>
          <w:numId w:val="2"/>
        </w:numPr>
        <w:ind w:left="0" w:firstLine="0"/>
        <w:jc w:val="both"/>
      </w:pPr>
      <w:r w:rsidRPr="00A735B4">
        <w:t xml:space="preserve">Following the Bank review meeting of this report, the team will engage with RECs in Africa to discuss and validate the approach proposed here. Attention will focus on the secretariats of COMESA, ECOWAS, SADC, and UEMOA. The discussion will look for entry points to influence the design and </w:t>
      </w:r>
      <w:r w:rsidRPr="00A735B4">
        <w:lastRenderedPageBreak/>
        <w:t>associated data collection of regional integration monitoring reports and explore support for the production of such reports. A pilot with one of the RECs to test the recommendations from the report may be the most sensible way to proceed. Through initial dialogue with UEMOA, the project has provided inputs into the forthcoming UEMOA annual report on regional integration. The team will also engage with the relevant donors and, in particular, the European Union and Department for International Development to discuss the methodological issues and the potential for collaboration in supporting modernized regional integration reports in the context of regional support programs.</w:t>
      </w:r>
    </w:p>
    <w:p w14:paraId="301D4EC9" w14:textId="77777777" w:rsidR="00C4454D" w:rsidRPr="00A735B4" w:rsidRDefault="00C4454D" w:rsidP="00C4454D">
      <w:pPr>
        <w:jc w:val="both"/>
      </w:pPr>
    </w:p>
    <w:p w14:paraId="6F645320" w14:textId="0057BB92" w:rsidR="00C4454D" w:rsidRPr="00A735B4" w:rsidRDefault="00C4454D" w:rsidP="00C4454D">
      <w:pPr>
        <w:numPr>
          <w:ilvl w:val="0"/>
          <w:numId w:val="2"/>
        </w:numPr>
        <w:ind w:left="0" w:firstLine="0"/>
        <w:jc w:val="both"/>
      </w:pPr>
      <w:r w:rsidRPr="00A735B4">
        <w:t>Dissemination events that engage with a wider group of stakeholders in Africa will also be pursued and in particular efforts will be made to include those who are typically excluded from discussions about regional integration policies and the monitoring of policies. Efforts will be made to partner with other institutions that are already engaging with the RECs and stakeholders around the issue of regional integration and associated monitoring of impacts. The team will also discuss with telecoms and other relevant companies about how they could become actively involved in crowdsourcing initiatives, including under corporate social responsibility initiatives.</w:t>
      </w:r>
    </w:p>
    <w:p w14:paraId="76D5F838" w14:textId="77777777" w:rsidR="00C4454D" w:rsidRPr="00A735B4" w:rsidRDefault="00C4454D" w:rsidP="00C4454D"/>
    <w:p w14:paraId="2D022697" w14:textId="5285BE07" w:rsidR="00C4454D" w:rsidRPr="00A735B4" w:rsidRDefault="00C4454D" w:rsidP="00C4454D">
      <w:pPr>
        <w:spacing w:after="200" w:line="276" w:lineRule="auto"/>
        <w:rPr>
          <w:b/>
          <w:color w:val="365F91" w:themeColor="accent1" w:themeShade="BF"/>
        </w:rPr>
      </w:pPr>
      <w:r w:rsidRPr="00A735B4">
        <w:br w:type="page"/>
      </w:r>
      <w:bookmarkEnd w:id="78"/>
      <w:r w:rsidRPr="00A735B4">
        <w:rPr>
          <w:rFonts w:asciiTheme="majorHAnsi" w:hAnsiTheme="majorHAnsi"/>
          <w:b/>
          <w:color w:val="365F91" w:themeColor="accent1" w:themeShade="BF"/>
          <w:sz w:val="28"/>
          <w:szCs w:val="28"/>
        </w:rPr>
        <w:lastRenderedPageBreak/>
        <w:t>Annex A  Utility and limitations of official trade data</w:t>
      </w:r>
      <w:r w:rsidRPr="00A735B4">
        <w:rPr>
          <w:b/>
          <w:color w:val="365F91" w:themeColor="accent1" w:themeShade="BF"/>
        </w:rPr>
        <w:endnoteReference w:id="10"/>
      </w:r>
    </w:p>
    <w:p w14:paraId="468F2BD9" w14:textId="77777777" w:rsidR="00C4454D" w:rsidRPr="00A735B4" w:rsidRDefault="00C4454D" w:rsidP="00C4454D">
      <w:pPr>
        <w:rPr>
          <w:rFonts w:asciiTheme="majorHAnsi" w:hAnsiTheme="majorHAnsi"/>
        </w:rPr>
      </w:pPr>
    </w:p>
    <w:p w14:paraId="7D91F81F" w14:textId="3D6609CE" w:rsidR="00C4454D" w:rsidRPr="00A735B4" w:rsidRDefault="00C4454D" w:rsidP="00C4454D">
      <w:r w:rsidRPr="00A735B4">
        <w:t>The opportunities for Sub-Saharan Africa (SSA) to boost economic growth, improve food security, and fight poverty through increased regional trade are well known. And greater regional integration has been the focus of policy makers and development organizations for years—evidenced primarily by the proliferation of regional economic and trade communities and other preferential trade agreements. The rationale is clear: regional trade integration enables greater economies of scale; provides access to new markets, products, and services; allows food staples to move from surplus areas to areas of deficit; and reduces prices for consumers. Nevertheless, intraregional trade in SSA remains low relative to other regions around the world (Acharya and others 2011).</w:t>
      </w:r>
    </w:p>
    <w:p w14:paraId="63E8CAB9" w14:textId="77777777" w:rsidR="00C4454D" w:rsidRPr="00A735B4" w:rsidRDefault="00C4454D" w:rsidP="00C4454D"/>
    <w:p w14:paraId="74B61902" w14:textId="468D0A31" w:rsidR="00C4454D" w:rsidRPr="00A735B4" w:rsidRDefault="00C4454D" w:rsidP="00C4454D">
      <w:r w:rsidRPr="00A735B4">
        <w:t xml:space="preserve">One of the keys to improving regional integration is comprehensive and systematic monitoring of the movement of goods, services, and people within the region. With effective monitoring, policy makers will be able to target policies and interventions more appropriately to address specific issues and make needed improvements. As Walkenhorst (2013) points out, however, most of the integration monitoring conducted in Africa is based on measuring </w:t>
      </w:r>
      <w:r w:rsidRPr="00A735B4">
        <w:rPr>
          <w:i/>
        </w:rPr>
        <w:t>compliance</w:t>
      </w:r>
      <w:r w:rsidRPr="00A735B4">
        <w:t xml:space="preserve"> with various economic policies enumerated in regional trade agreements. A more adequate monitoring system would focus on </w:t>
      </w:r>
      <w:r w:rsidRPr="00A735B4">
        <w:rPr>
          <w:i/>
        </w:rPr>
        <w:t>outcomes</w:t>
      </w:r>
      <w:r w:rsidRPr="00A735B4">
        <w:t xml:space="preserve">—increased trade among SSA countries, reduced travel and transit times, improved access to imported inputs, and lowered transaction costs (official and unofficial), among others. These are more </w:t>
      </w:r>
      <w:r w:rsidRPr="00A735B4">
        <w:rPr>
          <w:i/>
        </w:rPr>
        <w:t>direct</w:t>
      </w:r>
      <w:r w:rsidRPr="00A735B4">
        <w:t xml:space="preserve"> indicators reflecting the factors that impact the day-to-day operations of businesses and traders on the ground.</w:t>
      </w:r>
    </w:p>
    <w:p w14:paraId="08EA60F5" w14:textId="77777777" w:rsidR="00C4454D" w:rsidRPr="00A735B4" w:rsidRDefault="00C4454D" w:rsidP="00C4454D"/>
    <w:p w14:paraId="22965AF7" w14:textId="4A011BEB" w:rsidR="00C4454D" w:rsidRPr="00A735B4" w:rsidRDefault="00C4454D" w:rsidP="00C4454D">
      <w:r w:rsidRPr="00A735B4">
        <w:t xml:space="preserve">At this time, however, the data needed to adequately benchmark and measure changes in regional economic integration are lacking. The World Bank is currently engaged in efforts to improve data collection and monitoring that extends well beyond what is currently available to develop new regional integration indicators that capture trade facilitation metrics, informal trade, trade in services, and agricultural integration, among others. Further, the Exporter Dynamics Database developed by the World Bank’s Research Department offers far more granular, firm-level data that allow fantastic new trade analysis opportunities—although coverage in SSA remains limited. </w:t>
      </w:r>
    </w:p>
    <w:p w14:paraId="7D2C85E6" w14:textId="77777777" w:rsidR="00C4454D" w:rsidRPr="00A735B4" w:rsidRDefault="00C4454D" w:rsidP="00C4454D"/>
    <w:p w14:paraId="3019D665" w14:textId="1F3908DE" w:rsidR="00C4454D" w:rsidRPr="00A735B4" w:rsidRDefault="00C4454D" w:rsidP="00C4454D">
      <w:r w:rsidRPr="00A735B4">
        <w:t>In the meantime, the measures of regional trade integration most widely cited by policy makers remain aggregate indicators based on official trade data, such as changes in total volume and value of intraregional trade, intraregional trade-to-GDP ratios, and the share of regional trade in total trade with the world.</w:t>
      </w:r>
    </w:p>
    <w:p w14:paraId="6A42B4AF" w14:textId="77777777" w:rsidR="00C4454D" w:rsidRPr="00A735B4" w:rsidRDefault="00C4454D" w:rsidP="00C4454D"/>
    <w:p w14:paraId="1C1A8F2B" w14:textId="60DBEE16" w:rsidR="00C4454D" w:rsidRPr="00A735B4" w:rsidRDefault="00C4454D" w:rsidP="00C4454D">
      <w:r w:rsidRPr="00A735B4">
        <w:t xml:space="preserve">On their face, regional trade integration indicators based on official trade data are simple to calculate and straightforward to understand, but they also have obvious limitations. For instance, they fail to </w:t>
      </w:r>
      <w:r w:rsidRPr="00A735B4">
        <w:lastRenderedPageBreak/>
        <w:t>capture important informal trade that occurs between neighboring SSA countries—trade that is critical for poverty reduction and, in particular, for female traders (Brenton and Isik 2012b). And cross-border smuggling is not captured in formal trade statistics. Aggregate indicators are also impacted by variables outside the region, such as demand shocks originating in major external markets. Thus, their utility in advising specific and targeted policy interventions can be limited.</w:t>
      </w:r>
    </w:p>
    <w:p w14:paraId="41F3262F" w14:textId="77777777" w:rsidR="00C4454D" w:rsidRPr="00A735B4" w:rsidRDefault="00C4454D" w:rsidP="00C4454D"/>
    <w:p w14:paraId="280CB071" w14:textId="75221E0F" w:rsidR="00C4454D" w:rsidRPr="00A735B4" w:rsidRDefault="00C4454D" w:rsidP="00C4454D">
      <w:r w:rsidRPr="00A735B4">
        <w:t xml:space="preserve">Nonetheless, given the continued widespread use of trade data for indicators of SSA regional integration and the present dearth of viable alternatives, it is important to understand what exactly regional integration indicators based on official trade data </w:t>
      </w:r>
      <w:r w:rsidRPr="00A735B4">
        <w:rPr>
          <w:i/>
        </w:rPr>
        <w:t>can</w:t>
      </w:r>
      <w:r w:rsidRPr="00A735B4">
        <w:t xml:space="preserve"> tell us and where difficulties associated with official trade data remain. Thus, the remainder of this policy note seeks to shed light on (i) the availability of trade data and what gaps exist in SSA, (ii) the challenges presented by issues with accuracy and consistency, and (iii) methods for drawing more detailed and helpful insight from trade data in SSA.</w:t>
      </w:r>
    </w:p>
    <w:p w14:paraId="09D9B0F3" w14:textId="6FD7E3EA" w:rsidR="00C4454D" w:rsidRPr="00A735B4" w:rsidRDefault="00C4454D" w:rsidP="00C4454D">
      <w:bookmarkStart w:id="79" w:name="_Toc419565246"/>
      <w:r w:rsidRPr="00A735B4">
        <w:t>A.1  Availability of official trade data in SSA</w:t>
      </w:r>
      <w:bookmarkEnd w:id="79"/>
    </w:p>
    <w:p w14:paraId="7F662234" w14:textId="77777777" w:rsidR="00C4454D" w:rsidRPr="00A735B4" w:rsidRDefault="00C4454D" w:rsidP="00C4454D">
      <w:pPr>
        <w:rPr>
          <w:rFonts w:asciiTheme="majorHAnsi" w:hAnsiTheme="majorHAnsi"/>
        </w:rPr>
      </w:pPr>
    </w:p>
    <w:p w14:paraId="0C3B337C" w14:textId="7DBF8ED8" w:rsidR="00C4454D" w:rsidRPr="00A735B4" w:rsidRDefault="00C4454D" w:rsidP="00C4454D">
      <w:r w:rsidRPr="00A735B4">
        <w:t>The UN Comtrade database is the most comprehensive source for data on global trade flows. The database compiles official trade statistics from reporting governments. Typically, these statistics are reported and updated annually and include breakdowns of trade values and volumes (by weight) by commodity/product and trade partner. The database does, however, rely on each economy’s government to report the data before they can be validated and included in the database. For this reason, gaps in data availability exist. A country may not report any data for a given year, and it is up to the country to determine how to classify its traded goods and the level of aggregation (e.g., a country may report its trade at the HS 4-digit level rather than the 6-digit level). Gaps and differences in reporting standards, therefore, can complicate efforts to measure the trade of groups of countries accurately.</w:t>
      </w:r>
    </w:p>
    <w:p w14:paraId="5632C2A2" w14:textId="77777777" w:rsidR="00C4454D" w:rsidRPr="00A735B4" w:rsidRDefault="00C4454D" w:rsidP="00C4454D"/>
    <w:p w14:paraId="7461AF98" w14:textId="169B1516" w:rsidR="00C4454D" w:rsidRPr="00A735B4" w:rsidRDefault="00C4454D" w:rsidP="00C4454D">
      <w:r w:rsidRPr="00A735B4">
        <w:t>Sub-Saharan Africa, in particular, suffers from gaps in officially reported trade data. Table A.1 provides an overview of the availability of trade data in the Comtrade database for SSA countries across 2001–12. As is evident, for any given year over the last decade, the trade statistics for between 19 and 48 percent of the 48 SSA countries remain unavailable. While nearly all countries provide data for at least some years during this period, no direct data have been reported from Angola, Chad, the Democratic Republic of Congo, Liberia, Sierra Leone, Somalia, or South Sudan.</w:t>
      </w:r>
      <w:r w:rsidRPr="00A735B4">
        <w:endnoteReference w:id="11"/>
      </w:r>
      <w:r w:rsidRPr="00A735B4">
        <w:t xml:space="preserve"> Thus, any given year, simply using reported exports to measure total or intraregional trade may dramatically underestimate the actual total—and the discrepancies may be even more pronounced at the level of Regional Economic Communities (RECs).</w:t>
      </w:r>
    </w:p>
    <w:p w14:paraId="629A45E4" w14:textId="77777777" w:rsidR="00C4454D" w:rsidRPr="00A735B4" w:rsidRDefault="00C4454D">
      <w:pPr>
        <w:spacing w:after="200" w:line="276" w:lineRule="auto"/>
        <w:rPr>
          <w:b/>
          <w:bCs/>
          <w:color w:val="4F81BD" w:themeColor="accent1"/>
        </w:rPr>
      </w:pPr>
      <w:bookmarkStart w:id="80" w:name="_Toc410823547"/>
      <w:r w:rsidRPr="00A735B4">
        <w:br w:type="page"/>
      </w:r>
    </w:p>
    <w:p w14:paraId="5378166A" w14:textId="0988A1FE" w:rsidR="00C4454D" w:rsidRPr="00A735B4" w:rsidRDefault="00C4454D" w:rsidP="00C4454D">
      <w:pPr>
        <w:jc w:val="center"/>
      </w:pPr>
      <w:r w:rsidRPr="00A735B4">
        <w:lastRenderedPageBreak/>
        <w:t>Table A.1 Availability of import/export data, Sub-Saharan Africa (Comtrade, HS1996)</w:t>
      </w:r>
      <w:bookmarkEnd w:id="80"/>
    </w:p>
    <w:p w14:paraId="4100D180" w14:textId="77777777" w:rsidR="00C4454D" w:rsidRPr="00A735B4" w:rsidRDefault="00C4454D" w:rsidP="00C4454D">
      <w:pPr>
        <w:jc w:val="center"/>
        <w:rPr>
          <w:color w:val="1F497D" w:themeColor="text2"/>
        </w:rPr>
      </w:pPr>
      <w:r w:rsidRPr="00A735B4">
        <w:rPr>
          <w:noProof/>
        </w:rPr>
        <w:drawing>
          <wp:inline distT="0" distB="0" distL="0" distR="0" wp14:anchorId="5A71524E" wp14:editId="486F68A1">
            <wp:extent cx="5497201" cy="7372350"/>
            <wp:effectExtent l="0" t="0" r="825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a:stretch>
                      <a:fillRect/>
                    </a:stretch>
                  </pic:blipFill>
                  <pic:spPr>
                    <a:xfrm>
                      <a:off x="0" y="0"/>
                      <a:ext cx="5498261" cy="7373772"/>
                    </a:xfrm>
                    <a:prstGeom prst="rect">
                      <a:avLst/>
                    </a:prstGeom>
                  </pic:spPr>
                </pic:pic>
              </a:graphicData>
            </a:graphic>
          </wp:inline>
        </w:drawing>
      </w:r>
    </w:p>
    <w:p w14:paraId="5771F20B" w14:textId="3D72BF33" w:rsidR="00C4454D" w:rsidRPr="00A735B4" w:rsidRDefault="00C4454D" w:rsidP="00C4454D">
      <w:r w:rsidRPr="00A735B4">
        <w:lastRenderedPageBreak/>
        <w:t>Often, intraregional trade in SSA is measured not at the SSA level, but at the level of the RECs. SSA consists of a network of individual RECs, each with different levels of economic and policy commitments intended to encourage greater trade, integration, and policy cooperation. For the illustrative purposes of this policy note,</w:t>
      </w:r>
      <w:r w:rsidRPr="00A735B4">
        <w:softHyphen/>
      </w:r>
      <w:r w:rsidRPr="00A735B4">
        <w:softHyphen/>
      </w:r>
      <w:r w:rsidRPr="00A735B4">
        <w:softHyphen/>
      </w:r>
      <w:r w:rsidRPr="00A735B4">
        <w:softHyphen/>
        <w:t xml:space="preserve"> we focus on four of the major SSA RECs: the Economic Community of West African States (ECOWAS), the East African Community (EAC), the Common Market for Eastern and Southern Africa (COMESA), and the Southern African Development Community (SADC). Table A.2 lists the countries for which direct trade data are unavailable through Comtrade in 2011 by REC (the Association for South East Asian Nations is included for comparison purposes).</w:t>
      </w:r>
    </w:p>
    <w:p w14:paraId="495F61F8" w14:textId="77777777" w:rsidR="00C4454D" w:rsidRPr="00A735B4" w:rsidRDefault="00C4454D" w:rsidP="00C4454D">
      <w:pPr>
        <w:jc w:val="center"/>
      </w:pPr>
    </w:p>
    <w:p w14:paraId="6B3E35FE" w14:textId="1D811B43" w:rsidR="00C4454D" w:rsidRPr="00A735B4" w:rsidRDefault="00C4454D" w:rsidP="00C4454D">
      <w:pPr>
        <w:keepNext/>
        <w:jc w:val="center"/>
        <w:rPr>
          <w:color w:val="1F497D" w:themeColor="text2"/>
        </w:rPr>
      </w:pPr>
      <w:bookmarkStart w:id="81" w:name="_Toc410823548"/>
      <w:r w:rsidRPr="00A735B4">
        <w:rPr>
          <w:color w:val="1F497D" w:themeColor="text2"/>
        </w:rPr>
        <w:t>Table A.2 Non-reporting countries by REC, 2011</w:t>
      </w:r>
      <w:bookmarkEnd w:id="81"/>
    </w:p>
    <w:p w14:paraId="4CAA3561" w14:textId="77777777" w:rsidR="00C4454D" w:rsidRPr="00A735B4" w:rsidRDefault="00C4454D" w:rsidP="00C4454D">
      <w:pPr>
        <w:spacing w:before="120" w:after="60"/>
        <w:jc w:val="center"/>
        <w:rPr>
          <w:rFonts w:asciiTheme="majorHAnsi" w:hAnsiTheme="majorHAnsi"/>
        </w:rPr>
      </w:pPr>
      <w:r w:rsidRPr="00A735B4">
        <w:rPr>
          <w:noProof/>
        </w:rPr>
        <w:drawing>
          <wp:inline distT="0" distB="0" distL="0" distR="0" wp14:anchorId="750DD0B6" wp14:editId="2E0CC95C">
            <wp:extent cx="5000625" cy="1381125"/>
            <wp:effectExtent l="0" t="0" r="952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a:stretch>
                      <a:fillRect/>
                    </a:stretch>
                  </pic:blipFill>
                  <pic:spPr>
                    <a:xfrm>
                      <a:off x="0" y="0"/>
                      <a:ext cx="5000625" cy="1381125"/>
                    </a:xfrm>
                    <a:prstGeom prst="rect">
                      <a:avLst/>
                    </a:prstGeom>
                  </pic:spPr>
                </pic:pic>
              </a:graphicData>
            </a:graphic>
          </wp:inline>
        </w:drawing>
      </w:r>
    </w:p>
    <w:p w14:paraId="38CE977D" w14:textId="77777777" w:rsidR="00C4454D" w:rsidRPr="00A735B4" w:rsidRDefault="00C4454D" w:rsidP="00C4454D">
      <w:pPr>
        <w:rPr>
          <w:rFonts w:asciiTheme="majorHAnsi" w:hAnsiTheme="majorHAnsi"/>
        </w:rPr>
      </w:pPr>
    </w:p>
    <w:p w14:paraId="68967AA9" w14:textId="295E2B18" w:rsidR="00C4454D" w:rsidRPr="00A735B4" w:rsidRDefault="00C4454D" w:rsidP="00C4454D">
      <w:pPr>
        <w:rPr>
          <w:rFonts w:asciiTheme="majorHAnsi" w:hAnsiTheme="majorHAnsi"/>
        </w:rPr>
      </w:pPr>
      <w:r w:rsidRPr="00A735B4">
        <w:rPr>
          <w:rFonts w:asciiTheme="majorHAnsi" w:hAnsiTheme="majorHAnsi"/>
        </w:rPr>
        <w:t>In all but the EAC, at least one-third of REC member countries do not have trade data available in Comtrade. Thus, using direct exports to generate indicators of intraregional trade among SSA RECs will drastically understate actual trade.</w:t>
      </w:r>
    </w:p>
    <w:p w14:paraId="6FECA6F1" w14:textId="484F6BE3" w:rsidR="00C4454D" w:rsidRPr="00A735B4" w:rsidRDefault="00C4454D" w:rsidP="00C4454D">
      <w:bookmarkStart w:id="82" w:name="_Toc419565247"/>
      <w:r w:rsidRPr="00A735B4">
        <w:t>A.2  Direct and mirrored data</w:t>
      </w:r>
      <w:bookmarkEnd w:id="82"/>
    </w:p>
    <w:p w14:paraId="64CD6DED" w14:textId="77777777" w:rsidR="00C4454D" w:rsidRPr="00A735B4" w:rsidRDefault="00C4454D" w:rsidP="00C4454D">
      <w:pPr>
        <w:rPr>
          <w:rFonts w:asciiTheme="majorHAnsi" w:hAnsiTheme="majorHAnsi"/>
          <w:b/>
        </w:rPr>
      </w:pPr>
    </w:p>
    <w:p w14:paraId="37FEF909" w14:textId="4389C23D" w:rsidR="00C4454D" w:rsidRPr="00A735B4" w:rsidRDefault="00C4454D" w:rsidP="00C4454D">
      <w:r w:rsidRPr="00A735B4">
        <w:t xml:space="preserve">One method commonly used to fill in gaps in export or import data is to look at </w:t>
      </w:r>
      <w:r w:rsidRPr="00A735B4">
        <w:rPr>
          <w:i/>
        </w:rPr>
        <w:t>direct</w:t>
      </w:r>
      <w:r w:rsidRPr="00A735B4">
        <w:t xml:space="preserve"> and/or </w:t>
      </w:r>
      <w:r w:rsidRPr="00A735B4">
        <w:rPr>
          <w:i/>
        </w:rPr>
        <w:t>mirrored</w:t>
      </w:r>
      <w:r w:rsidRPr="00A735B4">
        <w:t xml:space="preserve"> data. The difference between the two is best illustrated by an example. For instance, Ghana’s exports to Nigeria can be determined in one of two ways: (i) we could look at Ghana’s reported</w:t>
      </w:r>
      <w:r w:rsidRPr="00A735B4">
        <w:rPr>
          <w:i/>
        </w:rPr>
        <w:t xml:space="preserve"> exports to</w:t>
      </w:r>
      <w:r w:rsidRPr="00A735B4">
        <w:t xml:space="preserve"> Nigeria (the direct data); or (ii) we could look at Nigeria’s reported </w:t>
      </w:r>
      <w:r w:rsidRPr="00A735B4">
        <w:rPr>
          <w:i/>
        </w:rPr>
        <w:t>imports from</w:t>
      </w:r>
      <w:r w:rsidRPr="00A735B4">
        <w:t xml:space="preserve"> Ghana (the mirrored data). In theory these two numbers should be equal; however, in practice, the direct and mirrored numbers almost always differ by some amount—sometimes dramatically. </w:t>
      </w:r>
    </w:p>
    <w:p w14:paraId="4BA4A33D" w14:textId="77777777" w:rsidR="00C4454D" w:rsidRPr="00A735B4" w:rsidRDefault="00C4454D" w:rsidP="00C4454D"/>
    <w:p w14:paraId="06173441" w14:textId="336F52CA" w:rsidR="00C4454D" w:rsidRPr="00A735B4" w:rsidRDefault="00C4454D" w:rsidP="00C4454D">
      <w:r w:rsidRPr="00A735B4">
        <w:t xml:space="preserve">Looking at mirrored versus direct export data between the countries of ECOWAS bears this out. Table A.3 shows the difference between direct exports reported by an exporter and the imports recorded by the partner country. The degree of difference can be startlingly high. For instance, Burkina Faso reported more than US$48 million in exports to Ghana in 2011. That same year, Ghana reported imports from Burkina Faso of just US$15 million – a US$33 million discrepancy. This could in part be due to differences in cost, insurance, and freight (CIF) and free on board (FOB) valuations, smuggling, and/or poor record keeping. Differences may also reflect goods transited through Ghana bound for </w:t>
      </w:r>
      <w:r w:rsidRPr="00A735B4">
        <w:lastRenderedPageBreak/>
        <w:t>external markets that Burkina Faso recorded as exports to Ghana, but that Ghana did not record as imports. And as can be seen in table A.3, this is not the most egregious case.</w:t>
      </w:r>
    </w:p>
    <w:p w14:paraId="433C53F7" w14:textId="77777777" w:rsidR="00C4454D" w:rsidRPr="00A735B4" w:rsidRDefault="00C4454D" w:rsidP="00C4454D">
      <w:pPr>
        <w:rPr>
          <w:rFonts w:asciiTheme="majorHAnsi" w:hAnsiTheme="majorHAnsi"/>
        </w:rPr>
      </w:pPr>
    </w:p>
    <w:p w14:paraId="7C6E06F7" w14:textId="77777777" w:rsidR="00C4454D" w:rsidRPr="00A735B4" w:rsidRDefault="00C4454D" w:rsidP="00C4454D">
      <w:pPr>
        <w:rPr>
          <w:rFonts w:asciiTheme="majorHAnsi" w:hAnsiTheme="majorHAnsi"/>
        </w:rPr>
      </w:pPr>
    </w:p>
    <w:p w14:paraId="240E2293" w14:textId="77777777" w:rsidR="00C4454D" w:rsidRPr="00A735B4" w:rsidRDefault="00C4454D" w:rsidP="00C4454D">
      <w:pPr>
        <w:keepNext/>
      </w:pPr>
    </w:p>
    <w:p w14:paraId="4D512A28" w14:textId="27F08F96" w:rsidR="00C4454D" w:rsidRPr="00A735B4" w:rsidRDefault="00C4454D" w:rsidP="00C4454D">
      <w:pPr>
        <w:keepNext/>
        <w:jc w:val="center"/>
        <w:rPr>
          <w:color w:val="1F497D" w:themeColor="text2"/>
        </w:rPr>
      </w:pPr>
      <w:bookmarkStart w:id="83" w:name="_Toc410823549"/>
      <w:r w:rsidRPr="00A735B4">
        <w:rPr>
          <w:color w:val="1F497D" w:themeColor="text2"/>
        </w:rPr>
        <w:t>Table A.3 Difference between exports and mirrored data in ECOWAS (for those bilateral pairs for which both countries report: negative number indicates mirrored data are greater, in 1,000 US$)</w:t>
      </w:r>
      <w:bookmarkEnd w:id="83"/>
    </w:p>
    <w:p w14:paraId="3DCB28AF" w14:textId="77777777" w:rsidR="00C4454D" w:rsidRPr="00A735B4" w:rsidRDefault="00C4454D" w:rsidP="00C4454D">
      <w:pPr>
        <w:rPr>
          <w:rFonts w:asciiTheme="majorHAnsi" w:hAnsiTheme="majorHAnsi"/>
        </w:rPr>
      </w:pPr>
      <w:r w:rsidRPr="00A735B4">
        <w:rPr>
          <w:noProof/>
          <w:sz w:val="18"/>
          <w:szCs w:val="18"/>
        </w:rPr>
        <w:drawing>
          <wp:inline distT="0" distB="0" distL="0" distR="0" wp14:anchorId="3B958FFC" wp14:editId="73C18DE9">
            <wp:extent cx="5943600" cy="1686901"/>
            <wp:effectExtent l="0" t="0" r="0" b="889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a:stretch>
                      <a:fillRect/>
                    </a:stretch>
                  </pic:blipFill>
                  <pic:spPr>
                    <a:xfrm>
                      <a:off x="0" y="0"/>
                      <a:ext cx="5953485" cy="1689707"/>
                    </a:xfrm>
                    <a:prstGeom prst="rect">
                      <a:avLst/>
                    </a:prstGeom>
                  </pic:spPr>
                </pic:pic>
              </a:graphicData>
            </a:graphic>
          </wp:inline>
        </w:drawing>
      </w:r>
    </w:p>
    <w:p w14:paraId="35E4877C" w14:textId="77777777" w:rsidR="00C4454D" w:rsidRPr="00A735B4" w:rsidRDefault="00C4454D" w:rsidP="00C4454D"/>
    <w:p w14:paraId="1B2E6595" w14:textId="77777777" w:rsidR="00C4454D" w:rsidRPr="00A735B4" w:rsidRDefault="00C4454D" w:rsidP="00C4454D">
      <w:pPr>
        <w:rPr>
          <w:rFonts w:asciiTheme="majorHAnsi" w:hAnsiTheme="majorHAnsi"/>
        </w:rPr>
      </w:pPr>
    </w:p>
    <w:p w14:paraId="5DFBCE2F" w14:textId="13525DBD" w:rsidR="00C4454D" w:rsidRPr="00A735B4" w:rsidRDefault="00C4454D" w:rsidP="00C4454D">
      <w:r w:rsidRPr="00A735B4">
        <w:t>Whether to use direct or mirrored data to determine trade flows is a subject of debate. The International Trade Centre (ITC) gives preference to direct data when compiling the statistics for its TradeMap database, only using mirrored data to fill in gaps, explaining that mirrored statistics may incorrectly report the origin of transshipped goods and discrepancies can arise in the valuation processes as imports are recorded CIF whereas exports are recorded FOB. However, there is a strong argument to be made that government customs agencies take greater care to accurately collect import valuations, as it is on these valuations that import duties are calculated. But given the number of non-reporting countries in SSA, the best way forward may be to combine direct and mirrored data to fill in the gaps.</w:t>
      </w:r>
    </w:p>
    <w:p w14:paraId="2021BEBD" w14:textId="77777777" w:rsidR="00C4454D" w:rsidRPr="00A735B4" w:rsidRDefault="00C4454D" w:rsidP="00C4454D"/>
    <w:p w14:paraId="499F0E15" w14:textId="742883FC" w:rsidR="00C4454D" w:rsidRPr="00A735B4" w:rsidRDefault="00C4454D" w:rsidP="00C4454D">
      <w:r w:rsidRPr="00A735B4">
        <w:t>By combining mirrored and direct data when looking at intraregional trade within the RECs, gaps can be filled for most bilateral trade pairs except for trade between two non-reporting countries (e.g. between Liberia and Sierra Leone in ECOWAS) or between countries that did not trade with one another in a given year. For 2011, this method reduces missing bi-lateral trade data by nearly 50 percent for ECOWAS, 26 percent for COMESA, and 64 percent for SADC. And it eliminates all missing trade pairs in EAC. Table A.4 summarizes the differences between using only mirrored Comtrade data and using direct data to fill in the gaps. ASEAN is included for comparison purposes.</w:t>
      </w:r>
    </w:p>
    <w:p w14:paraId="75EC2905" w14:textId="77777777" w:rsidR="00C4454D" w:rsidRPr="00A735B4" w:rsidRDefault="00C4454D" w:rsidP="00C4454D">
      <w:pPr>
        <w:rPr>
          <w:rFonts w:asciiTheme="majorHAnsi" w:hAnsiTheme="majorHAnsi"/>
        </w:rPr>
      </w:pPr>
    </w:p>
    <w:p w14:paraId="7FEEAC82" w14:textId="77777777" w:rsidR="00C4454D" w:rsidRPr="00A735B4" w:rsidRDefault="00C4454D" w:rsidP="00C4454D"/>
    <w:p w14:paraId="025CF5A2" w14:textId="7972BCD5" w:rsidR="00C4454D" w:rsidRPr="00A735B4" w:rsidRDefault="00C4454D" w:rsidP="00C4454D">
      <w:pPr>
        <w:keepNext/>
        <w:jc w:val="center"/>
        <w:rPr>
          <w:color w:val="1F497D" w:themeColor="text2"/>
        </w:rPr>
      </w:pPr>
      <w:bookmarkStart w:id="84" w:name="_Toc410823550"/>
      <w:r w:rsidRPr="00A735B4">
        <w:rPr>
          <w:color w:val="1F497D" w:themeColor="text2"/>
        </w:rPr>
        <w:t>Table A.4 Missing trade data within RECs, 2011</w:t>
      </w:r>
      <w:bookmarkEnd w:id="84"/>
    </w:p>
    <w:p w14:paraId="43480BD0" w14:textId="77777777" w:rsidR="00C4454D" w:rsidRPr="00A735B4" w:rsidRDefault="00C4454D" w:rsidP="00C4454D">
      <w:pPr>
        <w:jc w:val="center"/>
        <w:rPr>
          <w:rFonts w:asciiTheme="majorHAnsi" w:hAnsiTheme="majorHAnsi"/>
        </w:rPr>
      </w:pPr>
      <w:r w:rsidRPr="00A735B4">
        <w:rPr>
          <w:noProof/>
        </w:rPr>
        <w:drawing>
          <wp:inline distT="0" distB="0" distL="0" distR="0" wp14:anchorId="636E1BE7" wp14:editId="12315B4A">
            <wp:extent cx="3371850" cy="15621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a:stretch>
                      <a:fillRect/>
                    </a:stretch>
                  </pic:blipFill>
                  <pic:spPr>
                    <a:xfrm>
                      <a:off x="0" y="0"/>
                      <a:ext cx="3371850" cy="1562100"/>
                    </a:xfrm>
                    <a:prstGeom prst="rect">
                      <a:avLst/>
                    </a:prstGeom>
                  </pic:spPr>
                </pic:pic>
              </a:graphicData>
            </a:graphic>
          </wp:inline>
        </w:drawing>
      </w:r>
    </w:p>
    <w:p w14:paraId="3DF9FABD" w14:textId="77777777" w:rsidR="00C4454D" w:rsidRPr="00A735B4" w:rsidRDefault="00C4454D" w:rsidP="00C4454D">
      <w:pPr>
        <w:rPr>
          <w:rFonts w:asciiTheme="majorHAnsi" w:hAnsiTheme="majorHAnsi"/>
        </w:rPr>
      </w:pPr>
    </w:p>
    <w:p w14:paraId="3A14FCC7" w14:textId="77777777" w:rsidR="00C4454D" w:rsidRPr="00A735B4" w:rsidRDefault="00C4454D" w:rsidP="00C4454D">
      <w:pPr>
        <w:rPr>
          <w:rFonts w:asciiTheme="majorHAnsi" w:hAnsiTheme="majorHAnsi"/>
        </w:rPr>
      </w:pPr>
    </w:p>
    <w:p w14:paraId="52322925" w14:textId="78DD1487" w:rsidR="00C4454D" w:rsidRPr="00A735B4" w:rsidRDefault="00C4454D" w:rsidP="00C4454D">
      <w:r w:rsidRPr="00A735B4">
        <w:t>While this process helps to reconcile zero values for non-reporting countries, it is not a perfect solution. First, many gaps remain, particularly in COMESA and ECOWAS. And second, because the differences between direct and mirrored data for a single trading pair can vary dramatically, using direct data primarily and filling in the gaps with mirrored data may yield a dramatically different result from using mirrored data primarily and filling in the gaps with direct data. Thus, the method used when creating an indicator of intraregional trade rates can have an impact on the resulting statistic (see table A.5). While the intraregional trade rate is relatively unaffected in COMESA (remaining 9 percent in both cases), the intraregional trade rate for ECOWAS, EAC, and SADC each changes by 4 percentage points just by using direct data and filling gaps with mirrored data rather than the other way around.</w:t>
      </w:r>
    </w:p>
    <w:p w14:paraId="69615BE3" w14:textId="77777777" w:rsidR="00C4454D" w:rsidRPr="00A735B4" w:rsidRDefault="00C4454D" w:rsidP="00C4454D">
      <w:pPr>
        <w:rPr>
          <w:rFonts w:asciiTheme="majorHAnsi" w:hAnsiTheme="majorHAnsi"/>
        </w:rPr>
      </w:pPr>
    </w:p>
    <w:p w14:paraId="570EFF6F" w14:textId="74408500" w:rsidR="00C4454D" w:rsidRPr="00A735B4" w:rsidRDefault="00C4454D" w:rsidP="00C4454D">
      <w:pPr>
        <w:keepNext/>
        <w:jc w:val="center"/>
        <w:rPr>
          <w:color w:val="1F497D" w:themeColor="text2"/>
        </w:rPr>
      </w:pPr>
      <w:bookmarkStart w:id="85" w:name="_Toc410823551"/>
      <w:r w:rsidRPr="00A735B4">
        <w:rPr>
          <w:color w:val="1F497D" w:themeColor="text2"/>
        </w:rPr>
        <w:t>Table A.5 Intra-REC trade, primarily direct vs. mirrored trade data, 2011 (1,000 US$)</w:t>
      </w:r>
      <w:bookmarkEnd w:id="85"/>
    </w:p>
    <w:p w14:paraId="756A3BB5" w14:textId="77777777" w:rsidR="00C4454D" w:rsidRPr="00A735B4" w:rsidRDefault="00C4454D" w:rsidP="00C4454D">
      <w:pPr>
        <w:spacing w:before="120" w:after="60"/>
        <w:jc w:val="center"/>
        <w:rPr>
          <w:rFonts w:asciiTheme="majorHAnsi" w:hAnsiTheme="majorHAnsi"/>
        </w:rPr>
      </w:pPr>
      <w:r w:rsidRPr="00A735B4">
        <w:rPr>
          <w:noProof/>
        </w:rPr>
        <w:drawing>
          <wp:inline distT="0" distB="0" distL="0" distR="0" wp14:anchorId="0A87EEB7" wp14:editId="1BDDAB3D">
            <wp:extent cx="5800725" cy="1323975"/>
            <wp:effectExtent l="0" t="0" r="9525"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a:stretch>
                      <a:fillRect/>
                    </a:stretch>
                  </pic:blipFill>
                  <pic:spPr>
                    <a:xfrm>
                      <a:off x="0" y="0"/>
                      <a:ext cx="5800725" cy="1323975"/>
                    </a:xfrm>
                    <a:prstGeom prst="rect">
                      <a:avLst/>
                    </a:prstGeom>
                  </pic:spPr>
                </pic:pic>
              </a:graphicData>
            </a:graphic>
          </wp:inline>
        </w:drawing>
      </w:r>
    </w:p>
    <w:p w14:paraId="07818EA9" w14:textId="77777777" w:rsidR="00C4454D" w:rsidRPr="00A735B4" w:rsidRDefault="00C4454D" w:rsidP="00C4454D">
      <w:pPr>
        <w:rPr>
          <w:rFonts w:asciiTheme="majorHAnsi" w:hAnsiTheme="majorHAnsi"/>
        </w:rPr>
      </w:pPr>
    </w:p>
    <w:p w14:paraId="104A9F45" w14:textId="5EE8F632" w:rsidR="00C4454D" w:rsidRPr="00A735B4" w:rsidRDefault="00C4454D" w:rsidP="00C4454D">
      <w:r w:rsidRPr="00A735B4">
        <w:t xml:space="preserve">Furthermore, inconsistency between using direct and mirrored data can make comparing changes over several years problematic, especially if some countries report certain years but not others. Nevertheless, despite its imperfections, a combined approach that uses primarily mirrored data with gaps filled in with direct data should yield results that more closely approach the actual intraregional </w:t>
      </w:r>
      <w:r w:rsidRPr="00A735B4">
        <w:lastRenderedPageBreak/>
        <w:t xml:space="preserve">trade flows than would be the case if just mirrored or direct data is used—and most importantly, using a consistent methodology across time is critical. </w:t>
      </w:r>
    </w:p>
    <w:p w14:paraId="19CCE48C" w14:textId="77777777" w:rsidR="00C4454D" w:rsidRPr="00A735B4" w:rsidRDefault="00C4454D" w:rsidP="00C4454D"/>
    <w:p w14:paraId="64689777" w14:textId="15FC152A" w:rsidR="00C4454D" w:rsidRPr="00A735B4" w:rsidRDefault="00C4454D" w:rsidP="00C4454D">
      <w:r w:rsidRPr="00A735B4">
        <w:t>Finally, source matters. As discussed, different methodologies for compiling international trade data can have strong effects on the resulting statistics. Thus, it should be little surprise that statistics on intraregional trade in SSA can vary considerably depending on the source. Four common and reputable sources for trade data (some of which have already been discussed) include Comtrade, the ITC TradeMap, United Nations Conference on Trade and Development (UNCTAD), and the International Monetary Fund (IMF) Direction of Trade Statistics. To exhibit the differences in intraregional trade indicators based solely on source of data, table A.6 summarizes intraregional trade totals as well as the intraregional trade rate (share of intraregional trade in total trade) in each REC across each of these sources in 2011.</w:t>
      </w:r>
    </w:p>
    <w:p w14:paraId="1B878A72" w14:textId="77777777" w:rsidR="00C4454D" w:rsidRPr="00A735B4" w:rsidRDefault="00C4454D" w:rsidP="00C4454D"/>
    <w:p w14:paraId="39D70591" w14:textId="46F3A471" w:rsidR="00C4454D" w:rsidRPr="00A735B4" w:rsidRDefault="00C4454D" w:rsidP="00C4454D">
      <w:r w:rsidRPr="00A735B4">
        <w:t>As can be seen, differences in the same statistic can vary depending on source. For instance, the value of intraregional trade in ECOWAS in 2011 ranged from US$7.5 billion (Comtrade) to US$18 billion (IMF DoTS). And the intraregional trade rate (the share of intraregional trade in total exports) for EAC might be either 15 percent or 20 percent, depending on whether you consult Comtrade, UNCTAD, the ITC TradeMap, or the IMF. In contrast, numbers for ASEAN across sources are more consistent, likely owing to greater availability and consistency of data in that region.</w:t>
      </w:r>
    </w:p>
    <w:p w14:paraId="08FD5077" w14:textId="77777777" w:rsidR="00C4454D" w:rsidRPr="00A735B4" w:rsidRDefault="00C4454D" w:rsidP="00C4454D">
      <w:pPr>
        <w:rPr>
          <w:rFonts w:asciiTheme="majorHAnsi" w:hAnsiTheme="majorHAnsi"/>
        </w:rPr>
      </w:pPr>
    </w:p>
    <w:p w14:paraId="79048EF6" w14:textId="60A7DF7C" w:rsidR="00C4454D" w:rsidRPr="00A735B4" w:rsidRDefault="00C4454D" w:rsidP="00C4454D">
      <w:pPr>
        <w:keepNext/>
        <w:jc w:val="center"/>
        <w:rPr>
          <w:color w:val="1F497D" w:themeColor="text2"/>
        </w:rPr>
      </w:pPr>
      <w:bookmarkStart w:id="86" w:name="_Toc410823552"/>
      <w:r w:rsidRPr="00A735B4">
        <w:rPr>
          <w:color w:val="1F497D" w:themeColor="text2"/>
        </w:rPr>
        <w:t>Table A.6 SSA intraregional trade and intraregional trade rates by source (1,000 US$)</w:t>
      </w:r>
      <w:bookmarkEnd w:id="86"/>
    </w:p>
    <w:p w14:paraId="3EED7A3D" w14:textId="77777777" w:rsidR="00C4454D" w:rsidRPr="00A735B4" w:rsidRDefault="00C4454D" w:rsidP="00C4454D">
      <w:pPr>
        <w:rPr>
          <w:rFonts w:asciiTheme="majorHAnsi" w:hAnsiTheme="majorHAnsi"/>
        </w:rPr>
      </w:pPr>
      <w:r w:rsidRPr="00A735B4">
        <w:rPr>
          <w:noProof/>
          <w:sz w:val="18"/>
          <w:szCs w:val="18"/>
        </w:rPr>
        <w:drawing>
          <wp:inline distT="0" distB="0" distL="0" distR="0" wp14:anchorId="21FF04F3" wp14:editId="4F6DA42F">
            <wp:extent cx="5943600" cy="1592580"/>
            <wp:effectExtent l="0" t="0" r="0" b="762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a:stretch>
                      <a:fillRect/>
                    </a:stretch>
                  </pic:blipFill>
                  <pic:spPr>
                    <a:xfrm>
                      <a:off x="0" y="0"/>
                      <a:ext cx="5943600" cy="1592580"/>
                    </a:xfrm>
                    <a:prstGeom prst="rect">
                      <a:avLst/>
                    </a:prstGeom>
                  </pic:spPr>
                </pic:pic>
              </a:graphicData>
            </a:graphic>
          </wp:inline>
        </w:drawing>
      </w:r>
    </w:p>
    <w:p w14:paraId="37774E34" w14:textId="77777777" w:rsidR="00C4454D" w:rsidRPr="00A735B4" w:rsidRDefault="00C4454D" w:rsidP="00C4454D">
      <w:pPr>
        <w:rPr>
          <w:rFonts w:asciiTheme="majorHAnsi" w:hAnsiTheme="majorHAnsi"/>
        </w:rPr>
      </w:pPr>
    </w:p>
    <w:p w14:paraId="76FFE4C6" w14:textId="17A39148" w:rsidR="00C4454D" w:rsidRPr="00A735B4" w:rsidRDefault="00C4454D" w:rsidP="00C4454D">
      <w:pPr>
        <w:rPr>
          <w:i/>
        </w:rPr>
      </w:pPr>
      <w:r w:rsidRPr="00A735B4">
        <w:t xml:space="preserve">As should now be apparent, using official trade data to monitor regional trade integration is not as straightforward as it may seem at first glance, and different methodologies can yield vastly different results. And depending on the source used, the picture of intraregional trade in Sub-Saharan Africa’s RECs can vary dramatically. This is a particularly important issue given that policy makers often use these numbers to track changes and chart progress—and differences depending on source could allow policy makers to cherry-pick which statistics they highlight to serve their own purposes. </w:t>
      </w:r>
      <w:r w:rsidRPr="00A735B4">
        <w:rPr>
          <w:i/>
        </w:rPr>
        <w:t xml:space="preserve">Thus, when </w:t>
      </w:r>
      <w:r w:rsidRPr="00A735B4">
        <w:rPr>
          <w:i/>
        </w:rPr>
        <w:lastRenderedPageBreak/>
        <w:t>building indicators to make comparisons across regions and look at trends over time, methodological consistency is critical for strong analysis.</w:t>
      </w:r>
    </w:p>
    <w:p w14:paraId="51F86F7F" w14:textId="29EAC240" w:rsidR="00C4454D" w:rsidRPr="00A735B4" w:rsidRDefault="00C4454D" w:rsidP="00C4454D">
      <w:bookmarkStart w:id="87" w:name="_Toc419565248"/>
      <w:r w:rsidRPr="00A735B4">
        <w:t>A.3  Regional integration indicators from trade data: Opportunities</w:t>
      </w:r>
      <w:bookmarkEnd w:id="87"/>
    </w:p>
    <w:p w14:paraId="42DA46CF" w14:textId="77777777" w:rsidR="00C4454D" w:rsidRPr="00A735B4" w:rsidRDefault="00C4454D" w:rsidP="00C4454D">
      <w:pPr>
        <w:rPr>
          <w:rFonts w:asciiTheme="majorHAnsi" w:hAnsiTheme="majorHAnsi"/>
          <w:sz w:val="28"/>
          <w:szCs w:val="28"/>
        </w:rPr>
      </w:pPr>
    </w:p>
    <w:p w14:paraId="4ADB4DB6" w14:textId="1A030A6E" w:rsidR="00C4454D" w:rsidRPr="00A735B4" w:rsidRDefault="00C4454D" w:rsidP="00C4454D">
      <w:r w:rsidRPr="00A735B4">
        <w:t xml:space="preserve">So, given the limitations and issues raised so far in this policy note, how </w:t>
      </w:r>
      <w:r w:rsidRPr="00A735B4">
        <w:rPr>
          <w:i/>
        </w:rPr>
        <w:t>can</w:t>
      </w:r>
      <w:r w:rsidRPr="00A735B4">
        <w:t xml:space="preserve"> official trade data be used to help measure and benchmark intraregional trade in Sub-Saharan Africa? First, as mentioned previously, absent better alternatives and given the lack of consistent, reliable data needed to construct other regional integration indicators, the use of official trade data may at present remain the best option. Second, provided that the methodology remains consistent, indicators built from official trade data can still be used to compare regions and view trends over time. And finally, disaggregating the trade data and looking at specific sectors (or excluding sectors) can yield interesting analytical insight. The following analysis is intended to provide examples of the possible uses of official trade data in developing integration indicators, but it is by no means exhaustive. Certainly, many other indicators can be developed from trade data depending on the scope and purpose.</w:t>
      </w:r>
    </w:p>
    <w:p w14:paraId="5A412924" w14:textId="77777777" w:rsidR="00C4454D" w:rsidRPr="00A735B4" w:rsidRDefault="00C4454D" w:rsidP="00C4454D"/>
    <w:p w14:paraId="10D424BF" w14:textId="43CBD4F0" w:rsidR="00C4454D" w:rsidRPr="00A735B4" w:rsidRDefault="00C4454D" w:rsidP="00C4454D">
      <w:r w:rsidRPr="00A735B4">
        <w:t>First, the value of intraregional trade within SSA’s RECs can be analyzed relative to global trade. Figure A.1 displays intraregional trade in 4 RECs in comparison with total world trade during 2001–11. As can be seen, intraregional trade in SSA has followed a similar overall upward trajectory as global trade and, in fact, based on compound annual growth rates during this period, intraregional trade has expanded at a faster clip than has global trade (see table A.7). This is largely because intraregional trade was much less dramatically impacted by the great trade collapse of 2008–09, which saw global trade contract by over 20 percent. In fact, intraregional trade in SADC fell by only 1 percent during the collapse.</w:t>
      </w:r>
    </w:p>
    <w:p w14:paraId="35925E9F" w14:textId="77777777" w:rsidR="00C4454D" w:rsidRPr="00A735B4" w:rsidRDefault="00C4454D" w:rsidP="00C4454D">
      <w:pPr>
        <w:rPr>
          <w:rFonts w:asciiTheme="majorHAnsi" w:hAnsiTheme="majorHAnsi"/>
        </w:rPr>
      </w:pPr>
    </w:p>
    <w:p w14:paraId="4B44CC2F" w14:textId="0BC1077E" w:rsidR="00C4454D" w:rsidRPr="00A735B4" w:rsidRDefault="00C4454D" w:rsidP="00C4454D">
      <w:pPr>
        <w:keepNext/>
        <w:jc w:val="center"/>
        <w:rPr>
          <w:color w:val="1F497D" w:themeColor="text2"/>
        </w:rPr>
      </w:pPr>
      <w:bookmarkStart w:id="88" w:name="_Toc410823500"/>
      <w:r w:rsidRPr="00A735B4">
        <w:rPr>
          <w:color w:val="1F497D" w:themeColor="text2"/>
        </w:rPr>
        <w:lastRenderedPageBreak/>
        <w:t>Figure A.1 Intraregional trade relative to world trade, 2001–11</w:t>
      </w:r>
      <w:bookmarkEnd w:id="88"/>
    </w:p>
    <w:p w14:paraId="2959F96C" w14:textId="77777777" w:rsidR="00C4454D" w:rsidRPr="00A735B4" w:rsidRDefault="00C4454D" w:rsidP="00C4454D">
      <w:pPr>
        <w:rPr>
          <w:rFonts w:asciiTheme="majorHAnsi" w:hAnsiTheme="majorHAnsi"/>
          <w:noProof/>
        </w:rPr>
      </w:pPr>
      <w:r w:rsidRPr="00A735B4">
        <w:rPr>
          <w:noProof/>
          <w:sz w:val="18"/>
          <w:szCs w:val="18"/>
        </w:rPr>
        <w:drawing>
          <wp:inline distT="0" distB="0" distL="0" distR="0" wp14:anchorId="3C408AF9" wp14:editId="13203B84">
            <wp:extent cx="5791200" cy="283845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a:stretch>
                      <a:fillRect/>
                    </a:stretch>
                  </pic:blipFill>
                  <pic:spPr>
                    <a:xfrm>
                      <a:off x="0" y="0"/>
                      <a:ext cx="5791200" cy="2838450"/>
                    </a:xfrm>
                    <a:prstGeom prst="rect">
                      <a:avLst/>
                    </a:prstGeom>
                  </pic:spPr>
                </pic:pic>
              </a:graphicData>
            </a:graphic>
          </wp:inline>
        </w:drawing>
      </w:r>
    </w:p>
    <w:p w14:paraId="7BC26F9C" w14:textId="77777777" w:rsidR="00C4454D" w:rsidRPr="00A735B4" w:rsidRDefault="00C4454D" w:rsidP="00C4454D">
      <w:pPr>
        <w:rPr>
          <w:rFonts w:asciiTheme="majorHAnsi" w:hAnsiTheme="majorHAnsi"/>
        </w:rPr>
      </w:pPr>
    </w:p>
    <w:p w14:paraId="6D40A988" w14:textId="1B5A3D77" w:rsidR="00C4454D" w:rsidRPr="00A735B4" w:rsidRDefault="00C4454D" w:rsidP="00C4454D">
      <w:pPr>
        <w:keepNext/>
        <w:jc w:val="center"/>
        <w:rPr>
          <w:color w:val="1F497D" w:themeColor="text2"/>
        </w:rPr>
      </w:pPr>
      <w:bookmarkStart w:id="89" w:name="_Toc410823553"/>
      <w:r w:rsidRPr="00A735B4">
        <w:rPr>
          <w:color w:val="1F497D" w:themeColor="text2"/>
        </w:rPr>
        <w:t>Table A.7 Intraregional and world trade growth, 2001–11 (million US$)</w:t>
      </w:r>
      <w:bookmarkEnd w:id="89"/>
    </w:p>
    <w:p w14:paraId="64B4BBF8" w14:textId="77777777" w:rsidR="00C4454D" w:rsidRPr="00A735B4" w:rsidRDefault="00C4454D" w:rsidP="00C4454D">
      <w:pPr>
        <w:rPr>
          <w:rFonts w:asciiTheme="majorHAnsi" w:hAnsiTheme="majorHAnsi"/>
        </w:rPr>
      </w:pPr>
      <w:r w:rsidRPr="00A735B4">
        <w:rPr>
          <w:rFonts w:asciiTheme="majorHAnsi" w:hAnsiTheme="majorHAnsi"/>
          <w:noProof/>
          <w:sz w:val="18"/>
          <w:szCs w:val="18"/>
        </w:rPr>
        <w:drawing>
          <wp:inline distT="0" distB="0" distL="0" distR="0" wp14:anchorId="5697EE40" wp14:editId="1D9BE90A">
            <wp:extent cx="6447790" cy="104775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6447790" cy="1047750"/>
                    </a:xfrm>
                    <a:prstGeom prst="rect">
                      <a:avLst/>
                    </a:prstGeom>
                    <a:noFill/>
                  </pic:spPr>
                </pic:pic>
              </a:graphicData>
            </a:graphic>
          </wp:inline>
        </w:drawing>
      </w:r>
    </w:p>
    <w:p w14:paraId="049BF2C9" w14:textId="77777777" w:rsidR="00C4454D" w:rsidRPr="00A735B4" w:rsidRDefault="00C4454D" w:rsidP="00C4454D">
      <w:pPr>
        <w:rPr>
          <w:rFonts w:asciiTheme="majorHAnsi" w:hAnsiTheme="majorHAnsi"/>
        </w:rPr>
      </w:pPr>
    </w:p>
    <w:p w14:paraId="6DBDCCC1" w14:textId="3A07BB51" w:rsidR="00C4454D" w:rsidRPr="00A735B4" w:rsidRDefault="00C4454D" w:rsidP="00C4454D">
      <w:r w:rsidRPr="00A735B4">
        <w:t>Another way to analyze intraregional trade data to provide more detailed insight is to disaggregate the data to analyze trade in specific sectors. Figures A.2 to A.5 chart intraregional trade rates in each REC from 2001 to 2011 for the following: (i) total intraregional trade, (ii) intraregional trade excluding minerals, (iii) intraregional agriculture trade, and (iv) intraregional trade in manufactured goods.</w:t>
      </w:r>
      <w:r w:rsidRPr="00A735B4">
        <w:endnoteReference w:id="12"/>
      </w:r>
    </w:p>
    <w:p w14:paraId="2564E9BF" w14:textId="77777777" w:rsidR="00C4454D" w:rsidRPr="00A735B4" w:rsidRDefault="00C4454D" w:rsidP="00C4454D"/>
    <w:p w14:paraId="2B6811F0" w14:textId="22BA28D7" w:rsidR="00C4454D" w:rsidRPr="00A735B4" w:rsidRDefault="00C4454D" w:rsidP="00C4454D">
      <w:r w:rsidRPr="00A735B4">
        <w:t xml:space="preserve">Breaking out specific sectors enables more detailed analysis that may be more useful on a practical level for policy makers and provide a more holistic understanding of intraregional integration trends. Minerals exports (including mineral fuels such as petroleum) are disproportionately destined for non-regional markets for further processing and refining, and they are a major export of many SSA countries. By excluding minerals, therefore, a slightly more nuanced understanding of intraregional trade is possible. Similarly, food security and trade in agricultural goods between SSA neighbors is of utmost concern for policy makers and development professionals. Using trade data focusing strictly on trade in agricultural goods allows for monitoring of intraregional trade trends specific to this sector. </w:t>
      </w:r>
      <w:r w:rsidRPr="00A735B4">
        <w:lastRenderedPageBreak/>
        <w:t>Finally, changes in intraregional trade in manufactured goods could signify greater integration along regional supply chains and/or movement into greater value-added production processes.</w:t>
      </w:r>
    </w:p>
    <w:p w14:paraId="5284FDF3" w14:textId="77777777" w:rsidR="00C4454D" w:rsidRPr="00A735B4" w:rsidRDefault="00C4454D" w:rsidP="00C4454D"/>
    <w:p w14:paraId="530F4458" w14:textId="78ED522D" w:rsidR="00C4454D" w:rsidRPr="00A735B4" w:rsidRDefault="00C4454D" w:rsidP="00C4454D">
      <w:r w:rsidRPr="00A735B4">
        <w:t>For instance, in each of the RECs, except for EAC, by excluding mineral exports, intraregional trade rates increase, emphasizing the degree to which minerals represent important exports and are largely bound for destinations outside the region. Further, in ECOWAS and EAC, intraregional trade rates in manufactured goods are significantly greater than rates for total trade, although the absolute amount of trade in manufactures remains low. And in SADC, intraregional trade rates in manufactured goods have been increasing since 2005, despite total intraregional trade rates staying flat at around 11–14 percent. Finally, looking at agriculture trade, analysis of EAC presents an interesting case. Among the four RECs, only EAC has an intraregional trade rate among agricultural goods that is lower than its total trade rate; however, since 2008, the agriculture trade rate is steadily increasing, whereas the REC’s total trade rate has remained largely flat.</w:t>
      </w:r>
    </w:p>
    <w:p w14:paraId="0BBDC17C" w14:textId="77777777" w:rsidR="00C4454D" w:rsidRPr="00A735B4" w:rsidRDefault="00C4454D" w:rsidP="00C4454D"/>
    <w:p w14:paraId="09B4598A" w14:textId="437688ED" w:rsidR="00C4454D" w:rsidRPr="00A735B4" w:rsidRDefault="00C4454D" w:rsidP="00C4454D">
      <w:r w:rsidRPr="00A735B4">
        <w:t xml:space="preserve">Again, these are only a few of many possible ways to use existing official trade data to monitor and benchmark regional integration in Sub-Saharan Africa. Others, such as analyzing changes in the </w:t>
      </w:r>
      <w:r w:rsidRPr="00A735B4">
        <w:rPr>
          <w:i/>
        </w:rPr>
        <w:t>extensive</w:t>
      </w:r>
      <w:r w:rsidRPr="00A735B4">
        <w:t xml:space="preserve"> margin of trade by looking at the variety and diversity of traded goods (rather than just value), can also be of use in analysis.</w:t>
      </w:r>
    </w:p>
    <w:p w14:paraId="66DBAC0B" w14:textId="77777777" w:rsidR="00C4454D" w:rsidRPr="00A735B4" w:rsidRDefault="00C4454D" w:rsidP="00C4454D"/>
    <w:p w14:paraId="14640295" w14:textId="0C0D1CA0" w:rsidR="00C4454D" w:rsidRPr="00A735B4" w:rsidRDefault="00C4454D" w:rsidP="00C4454D">
      <w:r w:rsidRPr="00A735B4">
        <w:t>Nevertheless, it remains clear that a greater effort must be made by governments and international organizations to collect accurately, organize, and report official trade data in SSA to provide the reliable, accurate, and consistent data needed to monitor trade and economic relationships in SSA. This, combined with other efforts to develop outcome-oriented regional integration indicators, will assist governments, policy makers, development organizations, traders, and businesspeople in better understanding where opportunities and challenges lie.</w:t>
      </w:r>
    </w:p>
    <w:p w14:paraId="5BC3C6C6" w14:textId="77777777" w:rsidR="00C4454D" w:rsidRPr="00A735B4" w:rsidRDefault="00C4454D"/>
    <w:p w14:paraId="00AD8010" w14:textId="77777777" w:rsidR="00C4454D" w:rsidRPr="00A735B4" w:rsidRDefault="00C4454D">
      <w:pPr>
        <w:spacing w:after="200" w:line="276" w:lineRule="auto"/>
        <w:rPr>
          <w:b/>
          <w:bCs/>
          <w:color w:val="1F497D" w:themeColor="text2"/>
        </w:rPr>
      </w:pPr>
      <w:bookmarkStart w:id="90" w:name="_Toc410823501"/>
      <w:r w:rsidRPr="00A735B4">
        <w:rPr>
          <w:color w:val="1F497D" w:themeColor="text2"/>
        </w:rPr>
        <w:br w:type="page"/>
      </w:r>
    </w:p>
    <w:bookmarkEnd w:id="90"/>
    <w:p w14:paraId="1C554CA7" w14:textId="77777777" w:rsidR="00C4454D" w:rsidRPr="00A735B4" w:rsidRDefault="00C4454D" w:rsidP="00C4454D">
      <w:pPr>
        <w:keepNext/>
        <w:jc w:val="center"/>
        <w:rPr>
          <w:color w:val="1F497D" w:themeColor="text2"/>
        </w:rPr>
      </w:pPr>
      <w:r w:rsidRPr="00A735B4">
        <w:rPr>
          <w:color w:val="1F497D" w:themeColor="text2"/>
        </w:rPr>
        <w:lastRenderedPageBreak/>
        <w:t xml:space="preserve"> ECOWAS, EAC, COMESA, and SADC intraregional trade</w:t>
      </w:r>
    </w:p>
    <w:p w14:paraId="2044D335" w14:textId="73F77A4B" w:rsidR="00C4454D" w:rsidRPr="00A735B4" w:rsidRDefault="00C4454D" w:rsidP="00C4454D">
      <w:pPr>
        <w:keepNext/>
        <w:jc w:val="center"/>
        <w:rPr>
          <w:rFonts w:asciiTheme="majorHAnsi" w:hAnsiTheme="majorHAnsi"/>
        </w:rPr>
      </w:pPr>
      <w:r w:rsidRPr="00A735B4">
        <w:rPr>
          <w:rFonts w:asciiTheme="majorHAnsi" w:hAnsiTheme="majorHAnsi"/>
          <w:noProof/>
        </w:rPr>
        <w:drawing>
          <wp:anchor distT="0" distB="0" distL="114300" distR="114300" simplePos="0" relativeHeight="251706368" behindDoc="0" locked="0" layoutInCell="1" allowOverlap="1" wp14:anchorId="00D8D431" wp14:editId="19510204">
            <wp:simplePos x="0" y="0"/>
            <wp:positionH relativeFrom="margin">
              <wp:posOffset>-681037</wp:posOffset>
            </wp:positionH>
            <wp:positionV relativeFrom="paragraph">
              <wp:posOffset>4228782</wp:posOffset>
            </wp:positionV>
            <wp:extent cx="3741420" cy="3084195"/>
            <wp:effectExtent l="4762"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cstate="print">
                      <a:extLst>
                        <a:ext uri="{28A0092B-C50C-407E-A947-70E740481C1C}">
                          <a14:useLocalDpi xmlns:a14="http://schemas.microsoft.com/office/drawing/2010/main" val="0"/>
                        </a:ext>
                      </a:extLst>
                    </a:blip>
                    <a:srcRect/>
                    <a:stretch>
                      <a:fillRect/>
                    </a:stretch>
                  </pic:blipFill>
                  <pic:spPr bwMode="auto">
                    <a:xfrm rot="5400000">
                      <a:off x="0" y="0"/>
                      <a:ext cx="3741420" cy="3084195"/>
                    </a:xfrm>
                    <a:prstGeom prst="rect">
                      <a:avLst/>
                    </a:prstGeom>
                    <a:noFill/>
                  </pic:spPr>
                </pic:pic>
              </a:graphicData>
            </a:graphic>
            <wp14:sizeRelH relativeFrom="margin">
              <wp14:pctWidth>0</wp14:pctWidth>
            </wp14:sizeRelH>
            <wp14:sizeRelV relativeFrom="margin">
              <wp14:pctHeight>0</wp14:pctHeight>
            </wp14:sizeRelV>
          </wp:anchor>
        </w:drawing>
      </w:r>
      <w:r w:rsidRPr="00A735B4">
        <w:rPr>
          <w:rFonts w:asciiTheme="majorHAnsi" w:hAnsiTheme="majorHAnsi"/>
          <w:noProof/>
        </w:rPr>
        <w:drawing>
          <wp:anchor distT="0" distB="0" distL="114300" distR="114300" simplePos="0" relativeHeight="251704320" behindDoc="0" locked="0" layoutInCell="1" allowOverlap="1" wp14:anchorId="53C71F5B" wp14:editId="190ACB7A">
            <wp:simplePos x="0" y="0"/>
            <wp:positionH relativeFrom="margin">
              <wp:posOffset>2486025</wp:posOffset>
            </wp:positionH>
            <wp:positionV relativeFrom="paragraph">
              <wp:posOffset>4172585</wp:posOffset>
            </wp:positionV>
            <wp:extent cx="3743325" cy="3085465"/>
            <wp:effectExtent l="508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cstate="print">
                      <a:extLst>
                        <a:ext uri="{28A0092B-C50C-407E-A947-70E740481C1C}">
                          <a14:useLocalDpi xmlns:a14="http://schemas.microsoft.com/office/drawing/2010/main" val="0"/>
                        </a:ext>
                      </a:extLst>
                    </a:blip>
                    <a:srcRect/>
                    <a:stretch>
                      <a:fillRect/>
                    </a:stretch>
                  </pic:blipFill>
                  <pic:spPr bwMode="auto">
                    <a:xfrm rot="5400000">
                      <a:off x="0" y="0"/>
                      <a:ext cx="3743325" cy="3085465"/>
                    </a:xfrm>
                    <a:prstGeom prst="rect">
                      <a:avLst/>
                    </a:prstGeom>
                    <a:noFill/>
                  </pic:spPr>
                </pic:pic>
              </a:graphicData>
            </a:graphic>
            <wp14:sizeRelH relativeFrom="margin">
              <wp14:pctWidth>0</wp14:pctWidth>
            </wp14:sizeRelH>
            <wp14:sizeRelV relativeFrom="margin">
              <wp14:pctHeight>0</wp14:pctHeight>
            </wp14:sizeRelV>
          </wp:anchor>
        </w:drawing>
      </w:r>
      <w:r w:rsidRPr="00A735B4">
        <w:rPr>
          <w:rFonts w:asciiTheme="majorHAnsi" w:hAnsiTheme="majorHAnsi"/>
          <w:noProof/>
        </w:rPr>
        <w:drawing>
          <wp:anchor distT="0" distB="0" distL="114300" distR="114300" simplePos="0" relativeHeight="251703296" behindDoc="0" locked="0" layoutInCell="1" allowOverlap="1" wp14:anchorId="4E2CC835" wp14:editId="27097EA2">
            <wp:simplePos x="0" y="0"/>
            <wp:positionH relativeFrom="margin">
              <wp:posOffset>2488883</wp:posOffset>
            </wp:positionH>
            <wp:positionV relativeFrom="paragraph">
              <wp:posOffset>315277</wp:posOffset>
            </wp:positionV>
            <wp:extent cx="3716624" cy="3079499"/>
            <wp:effectExtent l="0" t="5398"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cstate="print">
                      <a:extLst>
                        <a:ext uri="{28A0092B-C50C-407E-A947-70E740481C1C}">
                          <a14:useLocalDpi xmlns:a14="http://schemas.microsoft.com/office/drawing/2010/main" val="0"/>
                        </a:ext>
                      </a:extLst>
                    </a:blip>
                    <a:srcRect/>
                    <a:stretch>
                      <a:fillRect/>
                    </a:stretch>
                  </pic:blipFill>
                  <pic:spPr bwMode="auto">
                    <a:xfrm rot="5400000">
                      <a:off x="0" y="0"/>
                      <a:ext cx="3716624" cy="3079499"/>
                    </a:xfrm>
                    <a:prstGeom prst="rect">
                      <a:avLst/>
                    </a:prstGeom>
                    <a:noFill/>
                  </pic:spPr>
                </pic:pic>
              </a:graphicData>
            </a:graphic>
            <wp14:sizeRelH relativeFrom="margin">
              <wp14:pctWidth>0</wp14:pctWidth>
            </wp14:sizeRelH>
            <wp14:sizeRelV relativeFrom="margin">
              <wp14:pctHeight>0</wp14:pctHeight>
            </wp14:sizeRelV>
          </wp:anchor>
        </w:drawing>
      </w:r>
      <w:r w:rsidRPr="00A735B4">
        <w:rPr>
          <w:rFonts w:asciiTheme="majorHAnsi" w:hAnsiTheme="majorHAnsi"/>
          <w:noProof/>
        </w:rPr>
        <w:drawing>
          <wp:anchor distT="0" distB="0" distL="114300" distR="114300" simplePos="0" relativeHeight="251705344" behindDoc="0" locked="0" layoutInCell="1" allowOverlap="1" wp14:anchorId="324BDD7A" wp14:editId="237C55E2">
            <wp:simplePos x="0" y="0"/>
            <wp:positionH relativeFrom="column">
              <wp:posOffset>-718185</wp:posOffset>
            </wp:positionH>
            <wp:positionV relativeFrom="paragraph">
              <wp:posOffset>323215</wp:posOffset>
            </wp:positionV>
            <wp:extent cx="3842558" cy="3067755"/>
            <wp:effectExtent l="635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cstate="print">
                      <a:extLst>
                        <a:ext uri="{28A0092B-C50C-407E-A947-70E740481C1C}">
                          <a14:useLocalDpi xmlns:a14="http://schemas.microsoft.com/office/drawing/2010/main" val="0"/>
                        </a:ext>
                      </a:extLst>
                    </a:blip>
                    <a:srcRect/>
                    <a:stretch>
                      <a:fillRect/>
                    </a:stretch>
                  </pic:blipFill>
                  <pic:spPr bwMode="auto">
                    <a:xfrm rot="5400000">
                      <a:off x="0" y="0"/>
                      <a:ext cx="3842558" cy="3067755"/>
                    </a:xfrm>
                    <a:prstGeom prst="rect">
                      <a:avLst/>
                    </a:prstGeom>
                    <a:noFill/>
                  </pic:spPr>
                </pic:pic>
              </a:graphicData>
            </a:graphic>
            <wp14:sizeRelH relativeFrom="margin">
              <wp14:pctWidth>0</wp14:pctWidth>
            </wp14:sizeRelH>
            <wp14:sizeRelV relativeFrom="margin">
              <wp14:pctHeight>0</wp14:pctHeight>
            </wp14:sizeRelV>
          </wp:anchor>
        </w:drawing>
      </w:r>
      <w:r w:rsidRPr="00A735B4">
        <w:rPr>
          <w:rFonts w:asciiTheme="majorHAnsi" w:hAnsiTheme="majorHAnsi"/>
        </w:rPr>
        <w:br w:type="page"/>
      </w:r>
    </w:p>
    <w:p w14:paraId="2C3A39FF" w14:textId="01C34E0F" w:rsidR="00C4454D" w:rsidRPr="00A735B4" w:rsidRDefault="00C4454D" w:rsidP="00C4454D">
      <w:pPr>
        <w:ind w:left="270"/>
      </w:pPr>
      <w:bookmarkStart w:id="91" w:name="_Toc419565249"/>
      <w:r w:rsidRPr="00A735B4">
        <w:lastRenderedPageBreak/>
        <w:t>Annex B  Corridor monitoring indicators for transaction costs and trade volumes</w:t>
      </w:r>
      <w:r w:rsidRPr="00A735B4">
        <w:endnoteReference w:id="13"/>
      </w:r>
      <w:bookmarkEnd w:id="91"/>
    </w:p>
    <w:p w14:paraId="50CFB49E" w14:textId="2E2AE279" w:rsidR="00C4454D" w:rsidRPr="00A735B4" w:rsidRDefault="00C4454D" w:rsidP="00C4454D">
      <w:bookmarkStart w:id="92" w:name="_Toc419565250"/>
      <w:r w:rsidRPr="00A735B4">
        <w:t>B.1  Objective</w:t>
      </w:r>
      <w:bookmarkEnd w:id="92"/>
    </w:p>
    <w:p w14:paraId="4B50E817" w14:textId="77777777" w:rsidR="00C4454D" w:rsidRPr="00A735B4" w:rsidRDefault="00C4454D" w:rsidP="00C4454D">
      <w:pPr>
        <w:jc w:val="both"/>
      </w:pPr>
    </w:p>
    <w:p w14:paraId="79E49A43" w14:textId="77777777" w:rsidR="00C4454D" w:rsidRPr="00A735B4" w:rsidRDefault="00C4454D" w:rsidP="00C4454D">
      <w:pPr>
        <w:jc w:val="both"/>
      </w:pPr>
      <w:r w:rsidRPr="00A735B4">
        <w:t>The first objectives of this review of corridor monitoring indicators in East Africa, is to see what monitoring indictors are currently available. The second is to consider if these indicators can provide, or be adapted to provide, assessments of the outcomes of policy measures and reforms aimed at reducing trade transaction costs for traders. The third is to use these new indicators as the basis of a guide on how to implement those measures. These indicators may in turn be used to improve the more aggregate indicators.</w:t>
      </w:r>
    </w:p>
    <w:p w14:paraId="51FEE95C" w14:textId="3E3F11E6" w:rsidR="00C4454D" w:rsidRPr="00A735B4" w:rsidRDefault="00C4454D" w:rsidP="00C4454D">
      <w:pPr>
        <w:jc w:val="both"/>
      </w:pPr>
      <w:bookmarkStart w:id="93" w:name="_Toc419565251"/>
      <w:r w:rsidRPr="00A735B4">
        <w:t>B.2  Context</w:t>
      </w:r>
      <w:bookmarkEnd w:id="93"/>
    </w:p>
    <w:p w14:paraId="6CC8FA26" w14:textId="77777777" w:rsidR="00C4454D" w:rsidRPr="00A735B4" w:rsidRDefault="00C4454D" w:rsidP="00C4454D">
      <w:pPr>
        <w:jc w:val="both"/>
      </w:pPr>
    </w:p>
    <w:p w14:paraId="3B4B535A" w14:textId="77777777" w:rsidR="00C4454D" w:rsidRPr="00A735B4" w:rsidRDefault="00C4454D" w:rsidP="00C4454D">
      <w:pPr>
        <w:jc w:val="both"/>
      </w:pPr>
      <w:r w:rsidRPr="00A735B4">
        <w:t>The currently available monitoring indicators for East African trade performance are too general and unspecific to be useful in helping the impact assessment of various measures that might be taken to increase regional trade. In contrast, at the other extreme, most of the transport performance indicators are too detailed and specific for this purpose.</w:t>
      </w:r>
    </w:p>
    <w:p w14:paraId="53C970DF" w14:textId="77777777" w:rsidR="00C4454D" w:rsidRPr="00A735B4" w:rsidRDefault="00C4454D" w:rsidP="00C4454D">
      <w:pPr>
        <w:jc w:val="both"/>
      </w:pPr>
    </w:p>
    <w:p w14:paraId="71FBF84B" w14:textId="5865B9B3" w:rsidR="00C4454D" w:rsidRPr="00A735B4" w:rsidRDefault="00C4454D" w:rsidP="00C4454D">
      <w:pPr>
        <w:jc w:val="both"/>
      </w:pPr>
      <w:r w:rsidRPr="00A735B4">
        <w:t>The assessment provided here is of the corridor-monitoring indicators that are available for trade and transport corridors, one in East Africa and eight in West Africa. Corridors in some other sub-regions have also provided data on indicators, but these are less complete and less regularly measured. They do not provide any data that are not included in the indicators for the corridors described here.</w:t>
      </w:r>
    </w:p>
    <w:p w14:paraId="6A715AEA" w14:textId="149E8B82" w:rsidR="00C4454D" w:rsidRPr="00A735B4" w:rsidRDefault="00C4454D" w:rsidP="00C4454D">
      <w:pPr>
        <w:jc w:val="both"/>
      </w:pPr>
      <w:bookmarkStart w:id="94" w:name="_Toc419565252"/>
      <w:r w:rsidRPr="00A735B4">
        <w:t>B.3  Monitoring and performance indicators</w:t>
      </w:r>
      <w:bookmarkEnd w:id="94"/>
    </w:p>
    <w:p w14:paraId="753173E5" w14:textId="77777777" w:rsidR="00C4454D" w:rsidRPr="00A735B4" w:rsidRDefault="00C4454D" w:rsidP="00C4454D">
      <w:pPr>
        <w:jc w:val="both"/>
      </w:pPr>
    </w:p>
    <w:p w14:paraId="19B9C503" w14:textId="77777777" w:rsidR="00C4454D" w:rsidRPr="00A735B4" w:rsidRDefault="00C4454D" w:rsidP="00C4454D">
      <w:pPr>
        <w:jc w:val="both"/>
      </w:pPr>
      <w:r w:rsidRPr="00A735B4">
        <w:t xml:space="preserve">A distinction is made between </w:t>
      </w:r>
      <w:r w:rsidRPr="00A735B4">
        <w:rPr>
          <w:i/>
        </w:rPr>
        <w:t>monitoring</w:t>
      </w:r>
      <w:r w:rsidRPr="00A735B4">
        <w:t xml:space="preserve"> and </w:t>
      </w:r>
      <w:r w:rsidRPr="00A735B4">
        <w:rPr>
          <w:i/>
        </w:rPr>
        <w:t>performance</w:t>
      </w:r>
      <w:r w:rsidRPr="00A735B4">
        <w:t xml:space="preserve"> indicators. There are many similarities between them, and both are aimed at providing an understanding of the impediments to trade arising from movement of goods through the corridor. Measures of </w:t>
      </w:r>
      <w:r w:rsidRPr="00A735B4">
        <w:rPr>
          <w:i/>
        </w:rPr>
        <w:t>performance</w:t>
      </w:r>
      <w:r w:rsidRPr="00A735B4">
        <w:rPr>
          <w:b/>
          <w:i/>
        </w:rPr>
        <w:t xml:space="preserve"> </w:t>
      </w:r>
      <w:r w:rsidRPr="00A735B4">
        <w:t>indicators are often accompanied by detailed descriptions of how trade and logistics function in the corridor, assessments of volumes of trade, and times and costs of transport in the corridor. These assessments are then used to assess the relative trade impedance of activities in the corridor at that point in time and how they might be reduced.</w:t>
      </w:r>
    </w:p>
    <w:p w14:paraId="06C7BD30" w14:textId="77777777" w:rsidR="00C4454D" w:rsidRPr="00A735B4" w:rsidRDefault="00C4454D" w:rsidP="00C4454D">
      <w:pPr>
        <w:jc w:val="both"/>
      </w:pPr>
    </w:p>
    <w:p w14:paraId="37B19DA6" w14:textId="77777777" w:rsidR="00C4454D" w:rsidRPr="00A735B4" w:rsidRDefault="00C4454D" w:rsidP="00C4454D">
      <w:pPr>
        <w:jc w:val="both"/>
      </w:pPr>
      <w:r w:rsidRPr="00A735B4">
        <w:t xml:space="preserve">In contrast, measures of monitoring indicators are less often accompanied by details of how the corridor functions or of total logistics costs and times. However, changes in </w:t>
      </w:r>
      <w:r w:rsidRPr="00A735B4">
        <w:rPr>
          <w:i/>
        </w:rPr>
        <w:t>monitoring indicators</w:t>
      </w:r>
      <w:r w:rsidRPr="00A735B4">
        <w:t xml:space="preserve"> over time are often the basis of assessments similar to those made with performance indicators. Monitoring indicators have the added advantage that they can be used to assess the impact of measures aimed at improving corridor performance.</w:t>
      </w:r>
    </w:p>
    <w:p w14:paraId="33F9C086" w14:textId="77777777" w:rsidR="00C4454D" w:rsidRPr="00A735B4" w:rsidRDefault="00C4454D" w:rsidP="00C4454D"/>
    <w:p w14:paraId="0F5B98A5" w14:textId="73A9976F" w:rsidR="00C4454D" w:rsidRPr="00A735B4" w:rsidRDefault="00C4454D" w:rsidP="00C4454D">
      <w:pPr>
        <w:jc w:val="both"/>
      </w:pPr>
      <w:r w:rsidRPr="00A735B4">
        <w:t xml:space="preserve">The most significant difference between the indicators is that monitoring indicators are measured at regular intervals of time, whereas performance indicators tend to be measured only once. Performance indicators can be expanded to become monitoring indicators when they are measured several times, preferably on a regular basis, so that changes in the performance of the corridor can be assessed over time. </w:t>
      </w:r>
    </w:p>
    <w:p w14:paraId="47FB9BC0" w14:textId="215AC3BC" w:rsidR="00C4454D" w:rsidRPr="00A735B4" w:rsidRDefault="00C4454D" w:rsidP="00C4454D">
      <w:pPr>
        <w:jc w:val="both"/>
        <w:rPr>
          <w:color w:val="1F497D" w:themeColor="text2"/>
        </w:rPr>
      </w:pPr>
      <w:bookmarkStart w:id="95" w:name="_Toc419565253"/>
      <w:r w:rsidRPr="00A735B4">
        <w:rPr>
          <w:color w:val="1F497D" w:themeColor="text2"/>
        </w:rPr>
        <w:t>B.4  Corridor monitoring Indicators</w:t>
      </w:r>
      <w:bookmarkEnd w:id="95"/>
    </w:p>
    <w:p w14:paraId="3C964B06" w14:textId="77777777" w:rsidR="00C4454D" w:rsidRPr="00A735B4" w:rsidRDefault="00C4454D" w:rsidP="00C4454D">
      <w:pPr>
        <w:jc w:val="both"/>
      </w:pPr>
    </w:p>
    <w:p w14:paraId="1A92FC3B" w14:textId="77777777" w:rsidR="00C4454D" w:rsidRPr="00A735B4" w:rsidRDefault="00C4454D" w:rsidP="00C4454D">
      <w:pPr>
        <w:jc w:val="both"/>
      </w:pPr>
      <w:r w:rsidRPr="00A735B4">
        <w:t xml:space="preserve">As they are measured only once, much more effort can be put into measuring performance indicators, so they are not subject to the same operational and financial constraints as monitoring indicators. The range and scope of monitoring indicators are much more restricted by the need for frequent measurement. One-off special surveys of transport operators and corridor traders that might be feasible for the collection of performance indicators are not feasible for the regular collection of monitoring indicators. However, if the value of a particular performance indicator is established, it is often possible to find a less costly and less demanding comparable indicator that can be used as a monitoring indicator. </w:t>
      </w:r>
    </w:p>
    <w:p w14:paraId="13E310FE" w14:textId="77777777" w:rsidR="00C4454D" w:rsidRPr="00A735B4" w:rsidRDefault="00C4454D" w:rsidP="00C4454D">
      <w:pPr>
        <w:jc w:val="both"/>
      </w:pPr>
    </w:p>
    <w:p w14:paraId="090FA489" w14:textId="586E8530" w:rsidR="00C4454D" w:rsidRPr="00A735B4" w:rsidRDefault="00C4454D" w:rsidP="00C4454D">
      <w:pPr>
        <w:jc w:val="both"/>
      </w:pPr>
      <w:r w:rsidRPr="00A735B4">
        <w:t>For both types of indicator it is useful to have benchmarks against which their values can be compared. For performance indicators, these might be the values for the corridor in question if it had no impediments and all the transport operations were undertaken with maximum efficiency. More often, values are used for the same indicators from what are considered comparable corridors for which performance is in some sense considered “best practice” or corridors that convey products that are in competition with the corridor in question. Benchmarks for monitoring indicators can be the same, but more often are measures of the same indicators for the corridor in question over time.</w:t>
      </w:r>
    </w:p>
    <w:p w14:paraId="3827E174" w14:textId="77777777" w:rsidR="00C4454D" w:rsidRPr="00A735B4" w:rsidRDefault="00C4454D" w:rsidP="00C4454D">
      <w:pPr>
        <w:jc w:val="both"/>
      </w:pPr>
    </w:p>
    <w:p w14:paraId="6D00F621" w14:textId="2CF8E177" w:rsidR="00C4454D" w:rsidRPr="00A735B4" w:rsidRDefault="00C4454D" w:rsidP="00C4454D">
      <w:pPr>
        <w:jc w:val="both"/>
      </w:pPr>
      <w:r w:rsidRPr="00A735B4">
        <w:t>The following are among the characteristics that are necessary for the sustainability of measuring monitoring indicators:</w:t>
      </w:r>
    </w:p>
    <w:p w14:paraId="58EF4BC5" w14:textId="77777777" w:rsidR="00C4454D" w:rsidRPr="00A735B4" w:rsidRDefault="00C4454D" w:rsidP="00C4454D">
      <w:pPr>
        <w:jc w:val="both"/>
      </w:pPr>
    </w:p>
    <w:p w14:paraId="6F3AA11A" w14:textId="6FA380FC" w:rsidR="00C4454D" w:rsidRPr="00A735B4" w:rsidRDefault="00C4454D" w:rsidP="00C4454D">
      <w:pPr>
        <w:numPr>
          <w:ilvl w:val="0"/>
          <w:numId w:val="9"/>
        </w:numPr>
        <w:spacing w:line="264" w:lineRule="auto"/>
        <w:jc w:val="both"/>
      </w:pPr>
      <w:r w:rsidRPr="00A735B4">
        <w:t>Easy to measure and collect</w:t>
      </w:r>
    </w:p>
    <w:p w14:paraId="374348CC" w14:textId="604F86CF" w:rsidR="00C4454D" w:rsidRPr="00A735B4" w:rsidRDefault="00C4454D" w:rsidP="00C4454D">
      <w:pPr>
        <w:numPr>
          <w:ilvl w:val="0"/>
          <w:numId w:val="9"/>
        </w:numPr>
        <w:spacing w:line="264" w:lineRule="auto"/>
        <w:jc w:val="both"/>
      </w:pPr>
      <w:r w:rsidRPr="00A735B4">
        <w:t>Based on consistent and defined parameters that are readily understood</w:t>
      </w:r>
    </w:p>
    <w:p w14:paraId="2B4C98BF" w14:textId="3D67B2EB" w:rsidR="00C4454D" w:rsidRPr="00A735B4" w:rsidRDefault="00C4454D" w:rsidP="00C4454D">
      <w:pPr>
        <w:numPr>
          <w:ilvl w:val="0"/>
          <w:numId w:val="9"/>
        </w:numPr>
        <w:spacing w:line="264" w:lineRule="auto"/>
        <w:jc w:val="both"/>
      </w:pPr>
      <w:r w:rsidRPr="00A735B4">
        <w:t>Able to capture formal and informal transport costs or time</w:t>
      </w:r>
    </w:p>
    <w:p w14:paraId="348C9AAC" w14:textId="4E47A33C" w:rsidR="00C4454D" w:rsidRPr="00A735B4" w:rsidRDefault="00C4454D" w:rsidP="00C4454D">
      <w:pPr>
        <w:numPr>
          <w:ilvl w:val="0"/>
          <w:numId w:val="9"/>
        </w:numPr>
        <w:spacing w:line="264" w:lineRule="auto"/>
        <w:jc w:val="both"/>
        <w:rPr>
          <w:rFonts w:ascii="ShowcardGothic" w:hAnsi="ShowcardGothic"/>
          <w:sz w:val="28"/>
          <w:szCs w:val="28"/>
        </w:rPr>
      </w:pPr>
      <w:r w:rsidRPr="00A735B4">
        <w:t>As much as possible, already collected by a public agency (such as customs).</w:t>
      </w:r>
    </w:p>
    <w:p w14:paraId="111696AC" w14:textId="77777777" w:rsidR="00C4454D" w:rsidRPr="00A735B4" w:rsidRDefault="00C4454D" w:rsidP="00C4454D">
      <w:pPr>
        <w:spacing w:after="0"/>
        <w:jc w:val="both"/>
        <w:rPr>
          <w:rFonts w:ascii="ShowcardGothic" w:hAnsi="ShowcardGothic"/>
        </w:rPr>
      </w:pPr>
    </w:p>
    <w:p w14:paraId="2A9F0453" w14:textId="3213BE0B" w:rsidR="00C4454D" w:rsidRPr="00A735B4" w:rsidRDefault="00C4454D" w:rsidP="00C4454D">
      <w:pPr>
        <w:jc w:val="both"/>
      </w:pPr>
      <w:bookmarkStart w:id="96" w:name="_Toc419565254"/>
      <w:r w:rsidRPr="00A735B4">
        <w:t>B.5  Baseline monitoring indicators</w:t>
      </w:r>
      <w:bookmarkEnd w:id="96"/>
    </w:p>
    <w:p w14:paraId="05380E35" w14:textId="77777777" w:rsidR="00C4454D" w:rsidRPr="00A735B4" w:rsidRDefault="00C4454D" w:rsidP="00C4454D">
      <w:pPr>
        <w:jc w:val="both"/>
      </w:pPr>
    </w:p>
    <w:p w14:paraId="3175B4B4" w14:textId="77777777" w:rsidR="00C4454D" w:rsidRPr="00A735B4" w:rsidRDefault="00C4454D" w:rsidP="00C4454D">
      <w:pPr>
        <w:jc w:val="both"/>
      </w:pPr>
      <w:r w:rsidRPr="00A735B4">
        <w:lastRenderedPageBreak/>
        <w:t>Although the objectives of measuring monitoring indicators might be different between corridors, there is a core set of indicators that are nearly always included:</w:t>
      </w:r>
    </w:p>
    <w:p w14:paraId="0BA21AFC" w14:textId="77777777" w:rsidR="00C4454D" w:rsidRPr="00A735B4" w:rsidRDefault="00C4454D" w:rsidP="00C4454D">
      <w:pPr>
        <w:jc w:val="both"/>
      </w:pPr>
    </w:p>
    <w:p w14:paraId="64F1F4DC" w14:textId="77777777" w:rsidR="00C4454D" w:rsidRPr="00A735B4" w:rsidRDefault="00C4454D" w:rsidP="00C4454D">
      <w:pPr>
        <w:numPr>
          <w:ilvl w:val="0"/>
          <w:numId w:val="10"/>
        </w:numPr>
        <w:spacing w:line="264" w:lineRule="auto"/>
        <w:jc w:val="both"/>
      </w:pPr>
      <w:r w:rsidRPr="00A735B4">
        <w:t>Total transit time from port to an inland destination</w:t>
      </w:r>
    </w:p>
    <w:p w14:paraId="314B886B" w14:textId="77777777" w:rsidR="00C4454D" w:rsidRPr="00A735B4" w:rsidRDefault="00C4454D" w:rsidP="00C4454D">
      <w:pPr>
        <w:numPr>
          <w:ilvl w:val="0"/>
          <w:numId w:val="10"/>
        </w:numPr>
        <w:spacing w:line="264" w:lineRule="auto"/>
        <w:jc w:val="both"/>
      </w:pPr>
      <w:r w:rsidRPr="00A735B4">
        <w:t>Port delays</w:t>
      </w:r>
    </w:p>
    <w:p w14:paraId="39BD4B4F" w14:textId="77777777" w:rsidR="00C4454D" w:rsidRPr="00A735B4" w:rsidRDefault="00C4454D" w:rsidP="00C4454D">
      <w:pPr>
        <w:numPr>
          <w:ilvl w:val="0"/>
          <w:numId w:val="10"/>
        </w:numPr>
        <w:spacing w:line="264" w:lineRule="auto"/>
        <w:jc w:val="both"/>
      </w:pPr>
      <w:r w:rsidRPr="00A735B4">
        <w:t>Land border crossing times</w:t>
      </w:r>
    </w:p>
    <w:p w14:paraId="2DFEF8C1" w14:textId="77777777" w:rsidR="00C4454D" w:rsidRPr="00A735B4" w:rsidRDefault="00C4454D" w:rsidP="00C4454D">
      <w:pPr>
        <w:numPr>
          <w:ilvl w:val="0"/>
          <w:numId w:val="10"/>
        </w:numPr>
        <w:spacing w:line="264" w:lineRule="auto"/>
        <w:jc w:val="both"/>
      </w:pPr>
      <w:r w:rsidRPr="00A735B4">
        <w:t>Informal transit control times and costs (bribes).</w:t>
      </w:r>
    </w:p>
    <w:p w14:paraId="2999E2E6" w14:textId="77777777" w:rsidR="00C4454D" w:rsidRPr="00A735B4" w:rsidRDefault="00C4454D" w:rsidP="00C4454D">
      <w:pPr>
        <w:jc w:val="both"/>
      </w:pPr>
    </w:p>
    <w:p w14:paraId="0FA262C8" w14:textId="77777777" w:rsidR="00C4454D" w:rsidRPr="00A735B4" w:rsidRDefault="00C4454D" w:rsidP="00C4454D">
      <w:pPr>
        <w:jc w:val="both"/>
      </w:pPr>
      <w:r w:rsidRPr="00A735B4">
        <w:t>Other frequently measured indicators include:</w:t>
      </w:r>
    </w:p>
    <w:p w14:paraId="63B4423C" w14:textId="77777777" w:rsidR="00C4454D" w:rsidRPr="00A735B4" w:rsidRDefault="00C4454D" w:rsidP="00C4454D">
      <w:pPr>
        <w:jc w:val="both"/>
      </w:pPr>
    </w:p>
    <w:p w14:paraId="155DDEC0" w14:textId="77777777" w:rsidR="00C4454D" w:rsidRPr="00A735B4" w:rsidRDefault="00C4454D" w:rsidP="00C4454D">
      <w:pPr>
        <w:numPr>
          <w:ilvl w:val="0"/>
          <w:numId w:val="11"/>
        </w:numPr>
        <w:spacing w:line="264" w:lineRule="auto"/>
        <w:jc w:val="both"/>
      </w:pPr>
      <w:r w:rsidRPr="00A735B4">
        <w:t>Time spent at formal weigh stations and other legal control points</w:t>
      </w:r>
    </w:p>
    <w:p w14:paraId="4D373541" w14:textId="3B458B38" w:rsidR="00C4454D" w:rsidRPr="00A735B4" w:rsidRDefault="00C4454D" w:rsidP="00C4454D">
      <w:pPr>
        <w:numPr>
          <w:ilvl w:val="0"/>
          <w:numId w:val="11"/>
        </w:numPr>
        <w:spacing w:line="264" w:lineRule="auto"/>
        <w:jc w:val="both"/>
      </w:pPr>
      <w:r w:rsidRPr="00A735B4">
        <w:t>Numbers of trucks leaving and entering ports</w:t>
      </w:r>
    </w:p>
    <w:p w14:paraId="5A02DFB8" w14:textId="77777777" w:rsidR="00C4454D" w:rsidRPr="00A735B4" w:rsidRDefault="00C4454D" w:rsidP="00C4454D">
      <w:pPr>
        <w:numPr>
          <w:ilvl w:val="0"/>
          <w:numId w:val="11"/>
        </w:numPr>
        <w:spacing w:after="120" w:line="264" w:lineRule="auto"/>
        <w:jc w:val="both"/>
      </w:pPr>
      <w:r w:rsidRPr="00A735B4">
        <w:t>Numbers of trucks crossing land borders.</w:t>
      </w:r>
    </w:p>
    <w:p w14:paraId="3B4D7F45" w14:textId="0030BFA2" w:rsidR="00C4454D" w:rsidRPr="00A735B4" w:rsidRDefault="00C4454D" w:rsidP="00C4454D">
      <w:pPr>
        <w:jc w:val="both"/>
      </w:pPr>
      <w:r w:rsidRPr="00A735B4">
        <w:t>Few corridor monitoring systems provide a complete makeup of the times and costs (and their variability) between the port and an inland destination, and none provides even total times and costs between intermediate locations as would be needed to assess corridor improvement impacts on bilateral trade. Most of the monitoring systems provide total time and/or cost between the corridor port and one inland destination, but only partial indicators of the makeup of the time and/or cost. Usually the indictors are provided for containers and sometimes also for bulk and break-bulk cargoes.</w:t>
      </w:r>
    </w:p>
    <w:p w14:paraId="27184359" w14:textId="3A6E6F0F" w:rsidR="00C4454D" w:rsidRPr="00A735B4" w:rsidRDefault="00C4454D" w:rsidP="00C4454D">
      <w:pPr>
        <w:jc w:val="both"/>
      </w:pPr>
      <w:bookmarkStart w:id="97" w:name="_Toc419565255"/>
      <w:r w:rsidRPr="00A735B4">
        <w:t>B.6  Indicators from selected corridors</w:t>
      </w:r>
      <w:bookmarkEnd w:id="97"/>
    </w:p>
    <w:p w14:paraId="39A75BBB" w14:textId="77777777" w:rsidR="00C4454D" w:rsidRPr="00A735B4" w:rsidRDefault="00C4454D" w:rsidP="00C4454D">
      <w:pPr>
        <w:jc w:val="both"/>
      </w:pPr>
    </w:p>
    <w:p w14:paraId="68DC7988" w14:textId="2BC454E1" w:rsidR="00C4454D" w:rsidRPr="00A735B4" w:rsidRDefault="00C4454D" w:rsidP="00C4454D">
      <w:pPr>
        <w:jc w:val="both"/>
      </w:pPr>
      <w:r w:rsidRPr="00A735B4">
        <w:t>There are two groups of trade corridors in Sub-Saharan Africa that provide information on trade and transport indicators. One is the Northern Corridor in East Africa</w:t>
      </w:r>
      <w:r w:rsidRPr="00A735B4">
        <w:endnoteReference w:id="14"/>
      </w:r>
      <w:r w:rsidRPr="00A735B4">
        <w:t xml:space="preserve"> and the other is a group of corridors in West and Central Africa. The first only provides monitoring indicators but the second provides monitoring and performance indicators. Consideration of the performance indicators is important as the monitoring indicators in the East and West African corridors do not provide the information that is needed to measure changes in all transaction costs or changes in intraregional trade. The method used to collect the performance indicators gives guidance as to how similar indicators might be measured on a regular basis as monitoring indicators to provide this missing information.</w:t>
      </w:r>
    </w:p>
    <w:p w14:paraId="6D2F4C31" w14:textId="76BF41EA" w:rsidR="00C4454D" w:rsidRPr="00A735B4" w:rsidRDefault="00C4454D" w:rsidP="00C4454D">
      <w:pPr>
        <w:jc w:val="both"/>
      </w:pPr>
      <w:bookmarkStart w:id="98" w:name="_Toc419565256"/>
      <w:r w:rsidRPr="00A735B4">
        <w:t>B.7  Northern Corridor</w:t>
      </w:r>
      <w:bookmarkEnd w:id="98"/>
    </w:p>
    <w:p w14:paraId="10A07543" w14:textId="77777777" w:rsidR="00C4454D" w:rsidRPr="00A735B4" w:rsidRDefault="00C4454D" w:rsidP="00C4454D">
      <w:pPr>
        <w:jc w:val="both"/>
        <w:rPr>
          <w:color w:val="000000" w:themeColor="text1"/>
        </w:rPr>
      </w:pPr>
    </w:p>
    <w:p w14:paraId="4A8AE252" w14:textId="56D2C5D9" w:rsidR="00C4454D" w:rsidRPr="00A735B4" w:rsidRDefault="00C4454D" w:rsidP="00C4454D">
      <w:pPr>
        <w:jc w:val="both"/>
        <w:rPr>
          <w:color w:val="000000" w:themeColor="text1"/>
          <w:spacing w:val="42"/>
        </w:rPr>
      </w:pPr>
      <w:r w:rsidRPr="00A735B4">
        <w:rPr>
          <w:color w:val="000000" w:themeColor="text1"/>
        </w:rPr>
        <w:t>A Northern Corridor Transport and Trade Coordinating Agreement was signed in 1985 and the Committee that it established now operates a Transport Observatory. The Co</w:t>
      </w:r>
      <w:r w:rsidRPr="00A735B4">
        <w:rPr>
          <w:color w:val="000000" w:themeColor="text1"/>
          <w:spacing w:val="-8"/>
        </w:rPr>
        <w:t>r</w:t>
      </w:r>
      <w:r w:rsidRPr="00A735B4">
        <w:rPr>
          <w:color w:val="000000" w:themeColor="text1"/>
        </w:rPr>
        <w:t xml:space="preserve">ridor transport system </w:t>
      </w:r>
      <w:r w:rsidRPr="00A735B4">
        <w:rPr>
          <w:color w:val="000000" w:themeColor="text1"/>
        </w:rPr>
        <w:lastRenderedPageBreak/>
        <w:t>links the Port of Mombasa with Burundi,</w:t>
      </w:r>
      <w:r w:rsidRPr="00A735B4">
        <w:rPr>
          <w:color w:val="000000" w:themeColor="text1"/>
          <w:spacing w:val="-5"/>
        </w:rPr>
        <w:t xml:space="preserve"> the </w:t>
      </w:r>
      <w:r w:rsidRPr="00A735B4">
        <w:rPr>
          <w:color w:val="000000" w:themeColor="text1"/>
        </w:rPr>
        <w:t xml:space="preserve">Democratic Republic of Congo, Kenya, </w:t>
      </w:r>
      <w:r w:rsidRPr="00A735B4">
        <w:rPr>
          <w:color w:val="000000" w:themeColor="text1"/>
          <w:spacing w:val="-2"/>
        </w:rPr>
        <w:t>R</w:t>
      </w:r>
      <w:r w:rsidRPr="00A735B4">
        <w:rPr>
          <w:color w:val="000000" w:themeColor="text1"/>
        </w:rPr>
        <w:t>wanda, South Sudan, and Uganda (map B.1). The Co</w:t>
      </w:r>
      <w:r w:rsidRPr="00A735B4">
        <w:rPr>
          <w:color w:val="000000" w:themeColor="text1"/>
          <w:spacing w:val="-8"/>
        </w:rPr>
        <w:t>r</w:t>
      </w:r>
      <w:r w:rsidRPr="00A735B4">
        <w:rPr>
          <w:color w:val="000000" w:themeColor="text1"/>
        </w:rPr>
        <w:t xml:space="preserve">ridor Committee has a remit not only to foster trade in its own corridor, but also to develop trade links with other countries in the region, such as Ethiopia and </w:t>
      </w:r>
      <w:r w:rsidRPr="00A735B4">
        <w:rPr>
          <w:color w:val="000000" w:themeColor="text1"/>
          <w:spacing w:val="-10"/>
        </w:rPr>
        <w:t>T</w:t>
      </w:r>
      <w:r w:rsidRPr="00A735B4">
        <w:rPr>
          <w:color w:val="000000" w:themeColor="text1"/>
        </w:rPr>
        <w:t xml:space="preserve">anzania. The </w:t>
      </w:r>
      <w:r w:rsidRPr="00A735B4">
        <w:rPr>
          <w:color w:val="000000" w:themeColor="text1"/>
          <w:spacing w:val="4"/>
        </w:rPr>
        <w:t xml:space="preserve">Committee’s </w:t>
      </w:r>
      <w:r w:rsidRPr="00A735B4">
        <w:rPr>
          <w:color w:val="000000" w:themeColor="text1"/>
          <w:spacing w:val="-2"/>
        </w:rPr>
        <w:t>P</w:t>
      </w:r>
      <w:r w:rsidRPr="00A735B4">
        <w:rPr>
          <w:color w:val="000000" w:themeColor="text1"/>
        </w:rPr>
        <w:t>ermanent Secretariat has</w:t>
      </w:r>
      <w:r w:rsidRPr="00A735B4">
        <w:rPr>
          <w:color w:val="000000" w:themeColor="text1"/>
          <w:spacing w:val="50"/>
        </w:rPr>
        <w:t xml:space="preserve"> a</w:t>
      </w:r>
      <w:r w:rsidRPr="00A735B4">
        <w:rPr>
          <w:color w:val="000000" w:themeColor="text1"/>
        </w:rPr>
        <w:t xml:space="preserve"> mandate to coordinate activities along the co</w:t>
      </w:r>
      <w:r w:rsidRPr="00A735B4">
        <w:rPr>
          <w:color w:val="000000" w:themeColor="text1"/>
          <w:spacing w:val="-8"/>
        </w:rPr>
        <w:t>r</w:t>
      </w:r>
      <w:r w:rsidRPr="00A735B4">
        <w:rPr>
          <w:color w:val="000000" w:themeColor="text1"/>
        </w:rPr>
        <w:t xml:space="preserve">ridor to facilitate trade, </w:t>
      </w:r>
      <w:r w:rsidRPr="00A735B4">
        <w:rPr>
          <w:color w:val="000000" w:themeColor="text1"/>
          <w:spacing w:val="5"/>
        </w:rPr>
        <w:t xml:space="preserve">and the </w:t>
      </w:r>
      <w:r w:rsidRPr="00A735B4">
        <w:rPr>
          <w:color w:val="000000" w:themeColor="text1"/>
        </w:rPr>
        <w:t>m</w:t>
      </w:r>
      <w:r w:rsidRPr="00A735B4">
        <w:rPr>
          <w:color w:val="000000" w:themeColor="text1"/>
          <w:spacing w:val="-2"/>
        </w:rPr>
        <w:t>ov</w:t>
      </w:r>
      <w:r w:rsidRPr="00A735B4">
        <w:rPr>
          <w:color w:val="000000" w:themeColor="text1"/>
        </w:rPr>
        <w:t xml:space="preserve">ement of people, </w:t>
      </w:r>
      <w:r w:rsidRPr="00A735B4">
        <w:rPr>
          <w:color w:val="000000" w:themeColor="text1"/>
          <w:spacing w:val="-2"/>
        </w:rPr>
        <w:t>v</w:t>
      </w:r>
      <w:r w:rsidRPr="00A735B4">
        <w:rPr>
          <w:color w:val="000000" w:themeColor="text1"/>
        </w:rPr>
        <w:t>ehicles and goods, and hence stimulate regional integration through economic and social de</w:t>
      </w:r>
      <w:r w:rsidRPr="00A735B4">
        <w:rPr>
          <w:color w:val="000000" w:themeColor="text1"/>
          <w:spacing w:val="-2"/>
        </w:rPr>
        <w:t>v</w:t>
      </w:r>
      <w:r w:rsidRPr="00A735B4">
        <w:rPr>
          <w:color w:val="000000" w:themeColor="text1"/>
        </w:rPr>
        <w:t>elopment. The Northern Co</w:t>
      </w:r>
      <w:r w:rsidRPr="00A735B4">
        <w:rPr>
          <w:color w:val="000000" w:themeColor="text1"/>
          <w:spacing w:val="-7"/>
        </w:rPr>
        <w:t>r</w:t>
      </w:r>
      <w:r w:rsidRPr="00A735B4">
        <w:rPr>
          <w:color w:val="000000" w:themeColor="text1"/>
        </w:rPr>
        <w:t>ridor has also been mandated to initiate programs</w:t>
      </w:r>
      <w:r w:rsidRPr="00A735B4">
        <w:rPr>
          <w:color w:val="000000" w:themeColor="text1"/>
          <w:w w:val="102"/>
        </w:rPr>
        <w:t xml:space="preserve"> </w:t>
      </w:r>
      <w:r w:rsidRPr="00A735B4">
        <w:rPr>
          <w:color w:val="000000" w:themeColor="text1"/>
        </w:rPr>
        <w:t xml:space="preserve">aimed at turning the </w:t>
      </w:r>
      <w:r w:rsidRPr="00A735B4">
        <w:rPr>
          <w:color w:val="000000" w:themeColor="text1"/>
          <w:spacing w:val="-8"/>
        </w:rPr>
        <w:t>T</w:t>
      </w:r>
      <w:r w:rsidRPr="00A735B4">
        <w:rPr>
          <w:color w:val="000000" w:themeColor="text1"/>
        </w:rPr>
        <w:t>ransport Co</w:t>
      </w:r>
      <w:r w:rsidRPr="00A735B4">
        <w:rPr>
          <w:color w:val="000000" w:themeColor="text1"/>
          <w:spacing w:val="-8"/>
        </w:rPr>
        <w:t>r</w:t>
      </w:r>
      <w:r w:rsidRPr="00A735B4">
        <w:rPr>
          <w:color w:val="000000" w:themeColor="text1"/>
        </w:rPr>
        <w:t>ridor into an Economic De</w:t>
      </w:r>
      <w:r w:rsidRPr="00A735B4">
        <w:rPr>
          <w:color w:val="000000" w:themeColor="text1"/>
          <w:spacing w:val="-2"/>
        </w:rPr>
        <w:t>v</w:t>
      </w:r>
      <w:r w:rsidRPr="00A735B4">
        <w:rPr>
          <w:color w:val="000000" w:themeColor="text1"/>
        </w:rPr>
        <w:t>elopment Co</w:t>
      </w:r>
      <w:r w:rsidRPr="00A735B4">
        <w:rPr>
          <w:color w:val="000000" w:themeColor="text1"/>
          <w:spacing w:val="-8"/>
        </w:rPr>
        <w:t>r</w:t>
      </w:r>
      <w:r w:rsidRPr="00A735B4">
        <w:rPr>
          <w:color w:val="000000" w:themeColor="text1"/>
        </w:rPr>
        <w:t>ridor.</w:t>
      </w:r>
    </w:p>
    <w:p w14:paraId="4D193AA1" w14:textId="77777777" w:rsidR="00C4454D" w:rsidRPr="00A735B4" w:rsidRDefault="00C4454D" w:rsidP="00C4454D">
      <w:pPr>
        <w:rPr>
          <w:color w:val="000000" w:themeColor="text1"/>
          <w:spacing w:val="42"/>
        </w:rPr>
      </w:pPr>
    </w:p>
    <w:p w14:paraId="5BEB2055" w14:textId="77777777" w:rsidR="00C4454D" w:rsidRPr="00A735B4" w:rsidRDefault="00C4454D" w:rsidP="00C4454D">
      <w:pPr>
        <w:rPr>
          <w:color w:val="000000" w:themeColor="text1"/>
          <w:spacing w:val="42"/>
        </w:rPr>
      </w:pPr>
    </w:p>
    <w:p w14:paraId="664441A8" w14:textId="77777777" w:rsidR="00C4454D" w:rsidRPr="00A735B4" w:rsidRDefault="00C4454D" w:rsidP="00C4454D">
      <w:pPr>
        <w:rPr>
          <w:color w:val="000000" w:themeColor="text1"/>
          <w:spacing w:val="42"/>
        </w:rPr>
      </w:pPr>
    </w:p>
    <w:p w14:paraId="6397AFA2" w14:textId="77777777" w:rsidR="00C4454D" w:rsidRPr="00A735B4" w:rsidRDefault="00C4454D" w:rsidP="00C4454D">
      <w:pPr>
        <w:rPr>
          <w:color w:val="000000" w:themeColor="text1"/>
          <w:spacing w:val="42"/>
        </w:rPr>
      </w:pPr>
    </w:p>
    <w:p w14:paraId="4D39BF61" w14:textId="77777777" w:rsidR="00C4454D" w:rsidRPr="00A735B4" w:rsidRDefault="00C4454D" w:rsidP="00C4454D">
      <w:pPr>
        <w:ind w:right="590"/>
        <w:jc w:val="center"/>
        <w:rPr>
          <w:rFonts w:asciiTheme="majorHAnsi" w:hAnsiTheme="majorHAnsi"/>
          <w:b/>
          <w:color w:val="000000" w:themeColor="text1"/>
          <w:spacing w:val="-14"/>
        </w:rPr>
      </w:pPr>
    </w:p>
    <w:p w14:paraId="3B6FCACC" w14:textId="77777777" w:rsidR="00C4454D" w:rsidRPr="00A735B4" w:rsidRDefault="00C4454D" w:rsidP="00C4454D">
      <w:pPr>
        <w:ind w:right="590"/>
        <w:jc w:val="center"/>
        <w:rPr>
          <w:rFonts w:asciiTheme="majorHAnsi" w:hAnsiTheme="majorHAnsi"/>
          <w:b/>
          <w:color w:val="000000" w:themeColor="text1"/>
          <w:spacing w:val="-14"/>
        </w:rPr>
      </w:pPr>
    </w:p>
    <w:p w14:paraId="4AC3D6CA" w14:textId="77777777" w:rsidR="00C4454D" w:rsidRPr="00A735B4" w:rsidRDefault="00C4454D" w:rsidP="00C4454D">
      <w:pPr>
        <w:ind w:right="590"/>
        <w:jc w:val="center"/>
        <w:rPr>
          <w:rFonts w:asciiTheme="majorHAnsi" w:hAnsiTheme="majorHAnsi"/>
          <w:b/>
          <w:color w:val="000000" w:themeColor="text1"/>
          <w:spacing w:val="-14"/>
        </w:rPr>
      </w:pPr>
    </w:p>
    <w:p w14:paraId="5613E5B0" w14:textId="77777777" w:rsidR="00C4454D" w:rsidRPr="00A735B4" w:rsidRDefault="00C4454D" w:rsidP="00C4454D">
      <w:pPr>
        <w:ind w:right="590"/>
        <w:jc w:val="center"/>
        <w:rPr>
          <w:rFonts w:asciiTheme="majorHAnsi" w:hAnsiTheme="majorHAnsi"/>
          <w:b/>
          <w:color w:val="000000" w:themeColor="text1"/>
          <w:spacing w:val="-14"/>
        </w:rPr>
      </w:pPr>
    </w:p>
    <w:p w14:paraId="545F76C4" w14:textId="77777777" w:rsidR="00C4454D" w:rsidRPr="00A735B4" w:rsidRDefault="00C4454D" w:rsidP="00C4454D">
      <w:pPr>
        <w:ind w:right="590"/>
        <w:jc w:val="center"/>
        <w:rPr>
          <w:rFonts w:asciiTheme="majorHAnsi" w:hAnsiTheme="majorHAnsi"/>
          <w:b/>
          <w:color w:val="000000" w:themeColor="text1"/>
          <w:spacing w:val="-14"/>
        </w:rPr>
      </w:pPr>
    </w:p>
    <w:p w14:paraId="6D5C1145" w14:textId="5F4F74E1" w:rsidR="00C4454D" w:rsidRPr="00A735B4" w:rsidRDefault="00C4454D" w:rsidP="00C4454D">
      <w:pPr>
        <w:keepNext/>
        <w:spacing w:after="0"/>
        <w:jc w:val="center"/>
        <w:rPr>
          <w:color w:val="1F497D" w:themeColor="text2"/>
        </w:rPr>
      </w:pPr>
      <w:bookmarkStart w:id="99" w:name="_Toc410823554"/>
      <w:r w:rsidRPr="00A735B4">
        <w:rPr>
          <w:color w:val="1F497D" w:themeColor="text2"/>
        </w:rPr>
        <w:t>Map B.1 East Africa Northern Corridor</w:t>
      </w:r>
      <w:bookmarkEnd w:id="99"/>
    </w:p>
    <w:p w14:paraId="000F7CA1" w14:textId="77777777" w:rsidR="00C4454D" w:rsidRPr="00A735B4" w:rsidRDefault="00C4454D" w:rsidP="00C4454D">
      <w:pPr>
        <w:jc w:val="center"/>
      </w:pPr>
      <w:r w:rsidRPr="00A735B4">
        <w:rPr>
          <w:noProof/>
          <w:sz w:val="18"/>
          <w:szCs w:val="18"/>
          <w:bdr w:val="single" w:sz="12" w:space="0" w:color="auto"/>
        </w:rPr>
        <w:drawing>
          <wp:inline distT="0" distB="0" distL="0" distR="0" wp14:anchorId="7C2193F3" wp14:editId="2F35CA10">
            <wp:extent cx="5248940" cy="2847662"/>
            <wp:effectExtent l="0" t="0" r="8890" b="0"/>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a:stretch>
                      <a:fillRect/>
                    </a:stretch>
                  </pic:blipFill>
                  <pic:spPr>
                    <a:xfrm>
                      <a:off x="0" y="0"/>
                      <a:ext cx="5260428" cy="2853895"/>
                    </a:xfrm>
                    <a:prstGeom prst="rect">
                      <a:avLst/>
                    </a:prstGeom>
                  </pic:spPr>
                </pic:pic>
              </a:graphicData>
            </a:graphic>
          </wp:inline>
        </w:drawing>
      </w:r>
    </w:p>
    <w:p w14:paraId="08BDC2CF" w14:textId="364E3934" w:rsidR="00C4454D" w:rsidRPr="00A735B4" w:rsidRDefault="00C4454D" w:rsidP="00C4454D">
      <w:pPr>
        <w:jc w:val="both"/>
        <w:rPr>
          <w:sz w:val="20"/>
          <w:szCs w:val="20"/>
        </w:rPr>
      </w:pPr>
      <w:r w:rsidRPr="00A735B4">
        <w:rPr>
          <w:i/>
          <w:sz w:val="20"/>
          <w:szCs w:val="20"/>
        </w:rPr>
        <w:t>Source:</w:t>
      </w:r>
      <w:r w:rsidRPr="00A735B4">
        <w:rPr>
          <w:sz w:val="20"/>
          <w:szCs w:val="20"/>
        </w:rPr>
        <w:tab/>
        <w:t>Northern Corridor Transit and Transport Coordination Authority.</w:t>
      </w:r>
    </w:p>
    <w:p w14:paraId="7BB8A22B" w14:textId="77777777" w:rsidR="00C4454D" w:rsidRPr="00A735B4" w:rsidRDefault="00C4454D" w:rsidP="00C4454D">
      <w:pPr>
        <w:jc w:val="both"/>
      </w:pPr>
    </w:p>
    <w:p w14:paraId="6D2CEA01" w14:textId="1570D891" w:rsidR="00C4454D" w:rsidRPr="00A735B4" w:rsidRDefault="00C4454D" w:rsidP="00C4454D">
      <w:pPr>
        <w:jc w:val="both"/>
      </w:pPr>
      <w:r w:rsidRPr="00A735B4">
        <w:lastRenderedPageBreak/>
        <w:t xml:space="preserve">Monitoring of transport performance, and to a minimum extent also trade performance, of the Northern Corridor has been undertaken for at least 15 years, much longer than for any other corridor in Africa. The quality of the monitoring has dramatically increased since a regular source of funding has been available to the Northern Corridor Transit and Transport Coordinating Committee, which undertakes the monitoring tasks. </w:t>
      </w:r>
    </w:p>
    <w:p w14:paraId="6F1A0712" w14:textId="77777777" w:rsidR="00C4454D" w:rsidRPr="00A735B4" w:rsidRDefault="00C4454D" w:rsidP="00C4454D">
      <w:pPr>
        <w:jc w:val="both"/>
        <w:rPr>
          <w:color w:val="000000" w:themeColor="text1"/>
        </w:rPr>
      </w:pPr>
    </w:p>
    <w:p w14:paraId="548E3BF1" w14:textId="2F877814" w:rsidR="00C4454D" w:rsidRPr="00A735B4" w:rsidRDefault="00C4454D" w:rsidP="00C4454D">
      <w:pPr>
        <w:jc w:val="both"/>
        <w:rPr>
          <w:color w:val="000000" w:themeColor="text1"/>
          <w:spacing w:val="-14"/>
        </w:rPr>
      </w:pPr>
      <w:r w:rsidRPr="00A735B4">
        <w:rPr>
          <w:color w:val="000000" w:themeColor="text1"/>
        </w:rPr>
        <w:t xml:space="preserve">The Transport Observatory helps in identification of the causes of delays </w:t>
      </w:r>
      <w:r w:rsidRPr="00A735B4">
        <w:rPr>
          <w:color w:val="000000" w:themeColor="text1"/>
          <w:spacing w:val="4"/>
        </w:rPr>
        <w:t>in the corridor</w:t>
      </w:r>
      <w:r w:rsidRPr="00A735B4">
        <w:t>—</w:t>
      </w:r>
      <w:r w:rsidRPr="00A735B4">
        <w:rPr>
          <w:color w:val="000000" w:themeColor="text1"/>
        </w:rPr>
        <w:t xml:space="preserve">at ports, borders, </w:t>
      </w:r>
      <w:r w:rsidRPr="00A735B4">
        <w:rPr>
          <w:color w:val="000000" w:themeColor="text1"/>
          <w:spacing w:val="-2"/>
        </w:rPr>
        <w:t>w</w:t>
      </w:r>
      <w:r w:rsidRPr="00A735B4">
        <w:rPr>
          <w:color w:val="000000" w:themeColor="text1"/>
        </w:rPr>
        <w:t xml:space="preserve">eighbridges, informal checkpoints, </w:t>
      </w:r>
      <w:r w:rsidRPr="00A735B4">
        <w:rPr>
          <w:color w:val="000000" w:themeColor="text1"/>
          <w:w w:val="103"/>
        </w:rPr>
        <w:t xml:space="preserve">and </w:t>
      </w:r>
      <w:r w:rsidRPr="00A735B4">
        <w:rPr>
          <w:color w:val="000000" w:themeColor="text1"/>
        </w:rPr>
        <w:t xml:space="preserve">in transit). It </w:t>
      </w:r>
      <w:r w:rsidRPr="00A735B4">
        <w:rPr>
          <w:color w:val="000000" w:themeColor="text1"/>
          <w:spacing w:val="6"/>
        </w:rPr>
        <w:t xml:space="preserve">aims to </w:t>
      </w:r>
      <w:r w:rsidRPr="00A735B4">
        <w:rPr>
          <w:color w:val="000000" w:themeColor="text1"/>
        </w:rPr>
        <w:t>pr</w:t>
      </w:r>
      <w:r w:rsidRPr="00A735B4">
        <w:rPr>
          <w:color w:val="000000" w:themeColor="text1"/>
          <w:spacing w:val="-2"/>
        </w:rPr>
        <w:t>o</w:t>
      </w:r>
      <w:r w:rsidRPr="00A735B4">
        <w:rPr>
          <w:color w:val="000000" w:themeColor="text1"/>
        </w:rPr>
        <w:t>vide in</w:t>
      </w:r>
      <w:r w:rsidRPr="00A735B4">
        <w:rPr>
          <w:color w:val="000000" w:themeColor="text1"/>
          <w:spacing w:val="-2"/>
        </w:rPr>
        <w:t>f</w:t>
      </w:r>
      <w:r w:rsidRPr="00A735B4">
        <w:rPr>
          <w:color w:val="000000" w:themeColor="text1"/>
        </w:rPr>
        <w:t>ormation to support decision</w:t>
      </w:r>
      <w:r w:rsidRPr="00A735B4">
        <w:rPr>
          <w:color w:val="000000" w:themeColor="text1"/>
          <w:spacing w:val="8"/>
        </w:rPr>
        <w:t>-</w:t>
      </w:r>
      <w:r w:rsidRPr="00A735B4">
        <w:rPr>
          <w:color w:val="000000" w:themeColor="text1"/>
        </w:rPr>
        <w:t xml:space="preserve">making </w:t>
      </w:r>
      <w:r w:rsidRPr="00A735B4">
        <w:rPr>
          <w:color w:val="000000" w:themeColor="text1"/>
          <w:spacing w:val="-2"/>
        </w:rPr>
        <w:t>b</w:t>
      </w:r>
      <w:r w:rsidRPr="00A735B4">
        <w:rPr>
          <w:color w:val="000000" w:themeColor="text1"/>
        </w:rPr>
        <w:t>y the users of the co</w:t>
      </w:r>
      <w:r w:rsidRPr="00A735B4">
        <w:rPr>
          <w:color w:val="000000" w:themeColor="text1"/>
          <w:spacing w:val="-8"/>
        </w:rPr>
        <w:t>r</w:t>
      </w:r>
      <w:r w:rsidRPr="00A735B4">
        <w:rPr>
          <w:color w:val="000000" w:themeColor="text1"/>
        </w:rPr>
        <w:t xml:space="preserve">ridor, regulators, and </w:t>
      </w:r>
      <w:r w:rsidRPr="00A735B4">
        <w:rPr>
          <w:color w:val="000000" w:themeColor="text1"/>
          <w:w w:val="92"/>
        </w:rPr>
        <w:t xml:space="preserve">policy </w:t>
      </w:r>
      <w:r w:rsidRPr="00A735B4">
        <w:rPr>
          <w:color w:val="000000" w:themeColor="text1"/>
        </w:rPr>
        <w:t xml:space="preserve">makers, </w:t>
      </w:r>
      <w:r w:rsidRPr="00A735B4">
        <w:rPr>
          <w:color w:val="000000" w:themeColor="text1"/>
          <w:w w:val="95"/>
        </w:rPr>
        <w:t xml:space="preserve">which </w:t>
      </w:r>
      <w:r w:rsidRPr="00A735B4">
        <w:rPr>
          <w:color w:val="000000" w:themeColor="text1"/>
          <w:spacing w:val="6"/>
          <w:w w:val="95"/>
        </w:rPr>
        <w:t xml:space="preserve">in turn </w:t>
      </w:r>
      <w:r w:rsidRPr="00A735B4">
        <w:rPr>
          <w:color w:val="000000" w:themeColor="text1"/>
        </w:rPr>
        <w:t xml:space="preserve">would implement measures to address the causes </w:t>
      </w:r>
      <w:r w:rsidRPr="00A735B4">
        <w:rPr>
          <w:color w:val="000000" w:themeColor="text1"/>
          <w:w w:val="101"/>
        </w:rPr>
        <w:t xml:space="preserve">of </w:t>
      </w:r>
      <w:r w:rsidRPr="00A735B4">
        <w:rPr>
          <w:color w:val="000000" w:themeColor="text1"/>
        </w:rPr>
        <w:t>delays.</w:t>
      </w:r>
    </w:p>
    <w:p w14:paraId="6F9E76DF" w14:textId="77777777" w:rsidR="00C4454D" w:rsidRPr="00A735B4" w:rsidRDefault="00C4454D" w:rsidP="00C4454D">
      <w:pPr>
        <w:jc w:val="both"/>
      </w:pPr>
    </w:p>
    <w:p w14:paraId="2D433F8D" w14:textId="77777777" w:rsidR="00C4454D" w:rsidRPr="00A735B4" w:rsidRDefault="00C4454D" w:rsidP="00C4454D">
      <w:pPr>
        <w:jc w:val="both"/>
      </w:pPr>
      <w:r w:rsidRPr="00A735B4">
        <w:t>Despite this wide mandate to facilitate trade in the corridor and specifically to promote regional trade integration, very few of the monitoring indicators that its Observatory collects and publishes are directly related to trade. Rather, they mostly relate to its other responsibility, which is to identify causes of delays. It does little to measure the impact of measures aimed at solving bottlenecks other than in the straightforward sense of monitoring delay times and seeing how they reduce in following the implementation of specific measures. There is an implied but not demonstrated cause and effect between the measures and reduced delays, but no attempt is made to measure or assess the trade impacts.</w:t>
      </w:r>
    </w:p>
    <w:p w14:paraId="07E9C57D" w14:textId="77777777" w:rsidR="00C4454D" w:rsidRPr="00A735B4" w:rsidRDefault="00C4454D" w:rsidP="00C4454D">
      <w:pPr>
        <w:jc w:val="both"/>
      </w:pPr>
    </w:p>
    <w:p w14:paraId="2E4A07E8" w14:textId="7B16602B" w:rsidR="00C4454D" w:rsidRPr="00A735B4" w:rsidRDefault="00C4454D" w:rsidP="00C4454D">
      <w:pPr>
        <w:jc w:val="both"/>
      </w:pPr>
      <w:r w:rsidRPr="00A735B4">
        <w:t>The monitoring indicators published by the Observatory are categorized in four ways:</w:t>
      </w:r>
    </w:p>
    <w:p w14:paraId="691E0B4C" w14:textId="77777777" w:rsidR="00C4454D" w:rsidRPr="00A735B4" w:rsidRDefault="00C4454D" w:rsidP="00C4454D">
      <w:pPr>
        <w:jc w:val="both"/>
      </w:pPr>
      <w:r w:rsidRPr="00A735B4">
        <w:t xml:space="preserve"> </w:t>
      </w:r>
    </w:p>
    <w:p w14:paraId="40A44F68" w14:textId="59DCBB4D" w:rsidR="00C4454D" w:rsidRPr="00A735B4" w:rsidRDefault="00C4454D" w:rsidP="00C4454D">
      <w:pPr>
        <w:numPr>
          <w:ilvl w:val="0"/>
          <w:numId w:val="12"/>
        </w:numPr>
        <w:spacing w:line="264" w:lineRule="auto"/>
        <w:jc w:val="both"/>
      </w:pPr>
      <w:r w:rsidRPr="00A735B4">
        <w:t>Category (trade volumes and transport capacity)</w:t>
      </w:r>
    </w:p>
    <w:p w14:paraId="7A8718BA" w14:textId="1D456E26" w:rsidR="00C4454D" w:rsidRPr="00A735B4" w:rsidRDefault="00C4454D" w:rsidP="00C4454D">
      <w:pPr>
        <w:numPr>
          <w:ilvl w:val="0"/>
          <w:numId w:val="12"/>
        </w:numPr>
        <w:spacing w:line="264" w:lineRule="auto"/>
        <w:jc w:val="both"/>
      </w:pPr>
      <w:r w:rsidRPr="00A735B4">
        <w:t>Level of disaggregation (transport capacity and performance)</w:t>
      </w:r>
    </w:p>
    <w:p w14:paraId="2BCC9082" w14:textId="7C5820FF" w:rsidR="00C4454D" w:rsidRPr="00A735B4" w:rsidRDefault="00C4454D" w:rsidP="00C4454D">
      <w:pPr>
        <w:numPr>
          <w:ilvl w:val="0"/>
          <w:numId w:val="12"/>
        </w:numPr>
        <w:spacing w:line="264" w:lineRule="auto"/>
        <w:jc w:val="both"/>
      </w:pPr>
      <w:r w:rsidRPr="00A735B4">
        <w:t>Data source (electronic, surveys, and transport node audits)</w:t>
      </w:r>
    </w:p>
    <w:p w14:paraId="61D0854B" w14:textId="5BF6D018" w:rsidR="00C4454D" w:rsidRPr="00A735B4" w:rsidRDefault="00C4454D" w:rsidP="00C4454D">
      <w:pPr>
        <w:numPr>
          <w:ilvl w:val="0"/>
          <w:numId w:val="12"/>
        </w:numPr>
        <w:spacing w:line="264" w:lineRule="auto"/>
        <w:jc w:val="both"/>
      </w:pPr>
      <w:r w:rsidRPr="00A735B4">
        <w:t>Location (for specific ports and border crossings).</w:t>
      </w:r>
    </w:p>
    <w:p w14:paraId="179685AF" w14:textId="77777777" w:rsidR="00C4454D" w:rsidRPr="00A735B4" w:rsidRDefault="00C4454D" w:rsidP="00C4454D"/>
    <w:p w14:paraId="04935296" w14:textId="72F9B517" w:rsidR="00C4454D" w:rsidRPr="00A735B4" w:rsidRDefault="00C4454D" w:rsidP="00C4454D">
      <w:pPr>
        <w:jc w:val="both"/>
        <w:rPr>
          <w:b/>
        </w:rPr>
      </w:pPr>
      <w:r w:rsidRPr="00A735B4">
        <w:t>Only the first is considered here, as it includes all the indicators that are collected and is the most useful for considering how the indicators can be used to assess transaction costs and trade volumes. The four categories of the indicators are:</w:t>
      </w:r>
    </w:p>
    <w:p w14:paraId="22D3E6F6" w14:textId="77777777" w:rsidR="00C4454D" w:rsidRPr="00A735B4" w:rsidRDefault="00C4454D" w:rsidP="00C4454D">
      <w:pPr>
        <w:jc w:val="both"/>
      </w:pPr>
    </w:p>
    <w:p w14:paraId="36503420" w14:textId="7FEA9C64" w:rsidR="00C4454D" w:rsidRPr="00A735B4" w:rsidRDefault="00C4454D" w:rsidP="00C4454D">
      <w:r w:rsidRPr="00A735B4">
        <w:t>i.</w:t>
      </w:r>
      <w:r w:rsidRPr="00A735B4">
        <w:tab/>
        <w:t>Volume and capacity</w:t>
      </w:r>
    </w:p>
    <w:p w14:paraId="3DEC716A" w14:textId="1890D224" w:rsidR="00C4454D" w:rsidRPr="00A735B4" w:rsidRDefault="00C4454D" w:rsidP="00C4454D">
      <w:pPr>
        <w:ind w:left="450"/>
        <w:jc w:val="both"/>
      </w:pPr>
      <w:r w:rsidRPr="00A735B4">
        <w:t xml:space="preserve">1. </w:t>
      </w:r>
      <w:r w:rsidRPr="00A735B4">
        <w:rPr>
          <w:spacing w:val="-12"/>
        </w:rPr>
        <w:t>T</w:t>
      </w:r>
      <w:r w:rsidRPr="00A735B4">
        <w:t>otal cargo through-put of the Port of Mombasa versus transit traffic in tons</w:t>
      </w:r>
    </w:p>
    <w:p w14:paraId="32C7B56B" w14:textId="06DA6B66" w:rsidR="00C4454D" w:rsidRPr="00A735B4" w:rsidRDefault="00C4454D" w:rsidP="00C4454D">
      <w:pPr>
        <w:ind w:left="450"/>
        <w:jc w:val="both"/>
      </w:pPr>
      <w:r w:rsidRPr="00A735B4">
        <w:lastRenderedPageBreak/>
        <w:t xml:space="preserve">2.  </w:t>
      </w:r>
      <w:r w:rsidRPr="00A735B4">
        <w:rPr>
          <w:spacing w:val="-6"/>
        </w:rPr>
        <w:t>V</w:t>
      </w:r>
      <w:r w:rsidRPr="00A735B4">
        <w:t>olume per country of destination</w:t>
      </w:r>
    </w:p>
    <w:p w14:paraId="32878F68" w14:textId="0456E400" w:rsidR="00C4454D" w:rsidRPr="00A735B4" w:rsidRDefault="00C4454D" w:rsidP="00C4454D">
      <w:pPr>
        <w:ind w:left="450"/>
        <w:jc w:val="both"/>
      </w:pPr>
      <w:r w:rsidRPr="00A735B4">
        <w:t xml:space="preserve">3 .Rate of containerization of transit traffic in percentage, annual basis, at the </w:t>
      </w:r>
      <w:r w:rsidRPr="00A735B4">
        <w:rPr>
          <w:spacing w:val="-2"/>
        </w:rPr>
        <w:t>P</w:t>
      </w:r>
      <w:r w:rsidRPr="00A735B4">
        <w:t>ort of Mombasa</w:t>
      </w:r>
    </w:p>
    <w:p w14:paraId="159551D7" w14:textId="14759378" w:rsidR="00C4454D" w:rsidRPr="00A735B4" w:rsidRDefault="00C4454D" w:rsidP="00C4454D">
      <w:pPr>
        <w:ind w:left="450"/>
        <w:jc w:val="both"/>
      </w:pPr>
      <w:r w:rsidRPr="00A735B4">
        <w:t>4. E</w:t>
      </w:r>
      <w:r w:rsidRPr="00A735B4">
        <w:rPr>
          <w:spacing w:val="-2"/>
        </w:rPr>
        <w:t>v</w:t>
      </w:r>
      <w:r w:rsidRPr="00A735B4">
        <w:t>olution of licensed fleet of trucks per countr</w:t>
      </w:r>
      <w:r w:rsidRPr="00A735B4">
        <w:rPr>
          <w:spacing w:val="-12"/>
        </w:rPr>
        <w:t>y</w:t>
      </w:r>
    </w:p>
    <w:p w14:paraId="1C715C68" w14:textId="7DA7104C" w:rsidR="00C4454D" w:rsidRPr="00A735B4" w:rsidRDefault="00C4454D" w:rsidP="00C4454D">
      <w:pPr>
        <w:tabs>
          <w:tab w:val="left" w:pos="450"/>
        </w:tabs>
        <w:ind w:left="450"/>
        <w:jc w:val="both"/>
      </w:pPr>
      <w:r w:rsidRPr="00A735B4">
        <w:t xml:space="preserve">5.  </w:t>
      </w:r>
      <w:r w:rsidRPr="00A735B4">
        <w:rPr>
          <w:spacing w:val="-6"/>
        </w:rPr>
        <w:t>A</w:t>
      </w:r>
      <w:r w:rsidRPr="00A735B4">
        <w:rPr>
          <w:spacing w:val="-2"/>
        </w:rPr>
        <w:t>v</w:t>
      </w:r>
      <w:r w:rsidRPr="00A735B4">
        <w:t xml:space="preserve">erage annual distance per truck in km per </w:t>
      </w:r>
      <w:r w:rsidRPr="00A735B4">
        <w:rPr>
          <w:spacing w:val="-2"/>
        </w:rPr>
        <w:t>y</w:t>
      </w:r>
      <w:r w:rsidRPr="00A735B4">
        <w:t>ear</w:t>
      </w:r>
    </w:p>
    <w:p w14:paraId="43F2B735" w14:textId="77777777" w:rsidR="00C4454D" w:rsidRPr="00A735B4" w:rsidRDefault="00C4454D" w:rsidP="00C4454D">
      <w:pPr>
        <w:widowControl w:val="0"/>
        <w:tabs>
          <w:tab w:val="left" w:pos="450"/>
          <w:tab w:val="left" w:pos="1260"/>
        </w:tabs>
        <w:autoSpaceDE w:val="0"/>
        <w:autoSpaceDN w:val="0"/>
        <w:adjustRightInd w:val="0"/>
        <w:spacing w:after="100"/>
        <w:ind w:left="450" w:right="100"/>
        <w:jc w:val="both"/>
      </w:pPr>
      <w:r w:rsidRPr="00A735B4">
        <w:t xml:space="preserve">6.  </w:t>
      </w:r>
      <w:r w:rsidRPr="00A735B4">
        <w:rPr>
          <w:spacing w:val="-8"/>
        </w:rPr>
        <w:t>T</w:t>
      </w:r>
      <w:r w:rsidRPr="00A735B4">
        <w:t xml:space="preserve">ransport capacity </w:t>
      </w:r>
      <w:r w:rsidRPr="00A735B4">
        <w:rPr>
          <w:spacing w:val="-2"/>
        </w:rPr>
        <w:t>b</w:t>
      </w:r>
      <w:r w:rsidRPr="00A735B4">
        <w:t>y rail (locomoti</w:t>
      </w:r>
      <w:r w:rsidRPr="00A735B4">
        <w:rPr>
          <w:spacing w:val="-2"/>
        </w:rPr>
        <w:t>v</w:t>
      </w:r>
      <w:r w:rsidRPr="00A735B4">
        <w:t>es and wagons)</w:t>
      </w:r>
    </w:p>
    <w:p w14:paraId="516B3349" w14:textId="0D292C2C" w:rsidR="00C4454D" w:rsidRPr="00A735B4" w:rsidRDefault="00C4454D" w:rsidP="00C4454D">
      <w:r w:rsidRPr="00A735B4">
        <w:t>ii.</w:t>
      </w:r>
      <w:r w:rsidRPr="00A735B4">
        <w:tab/>
        <w:t>Rate and costs</w:t>
      </w:r>
    </w:p>
    <w:p w14:paraId="189B58DB" w14:textId="7F90517F" w:rsidR="00C4454D" w:rsidRPr="00A735B4" w:rsidRDefault="00C4454D" w:rsidP="00C4454D">
      <w:pPr>
        <w:ind w:left="630" w:hanging="180"/>
        <w:jc w:val="both"/>
      </w:pPr>
      <w:r w:rsidRPr="00A735B4">
        <w:t xml:space="preserve">7.  </w:t>
      </w:r>
      <w:r w:rsidRPr="00A735B4">
        <w:rPr>
          <w:spacing w:val="-8"/>
        </w:rPr>
        <w:t>T</w:t>
      </w:r>
      <w:r w:rsidRPr="00A735B4">
        <w:t>ransport costs per route and per model (including transit charges)</w:t>
      </w:r>
    </w:p>
    <w:p w14:paraId="1AAC7B2A" w14:textId="3406CC14" w:rsidR="00C4454D" w:rsidRPr="00A735B4" w:rsidRDefault="00C4454D" w:rsidP="00C4454D">
      <w:pPr>
        <w:ind w:left="630" w:hanging="180"/>
        <w:jc w:val="both"/>
      </w:pPr>
      <w:r w:rsidRPr="00A735B4">
        <w:t xml:space="preserve">8.  Rail </w:t>
      </w:r>
      <w:r w:rsidRPr="00A735B4">
        <w:rPr>
          <w:spacing w:val="-4"/>
        </w:rPr>
        <w:t>f</w:t>
      </w:r>
      <w:r w:rsidRPr="00A735B4">
        <w:t>reight charge</w:t>
      </w:r>
    </w:p>
    <w:p w14:paraId="65FDB72C" w14:textId="70247777" w:rsidR="00C4454D" w:rsidRPr="00A735B4" w:rsidRDefault="00C4454D" w:rsidP="00C4454D">
      <w:pPr>
        <w:ind w:left="630" w:hanging="180"/>
        <w:jc w:val="both"/>
      </w:pPr>
      <w:r w:rsidRPr="00A735B4">
        <w:t xml:space="preserve">9.  Road </w:t>
      </w:r>
      <w:r w:rsidRPr="00A735B4">
        <w:rPr>
          <w:spacing w:val="-4"/>
        </w:rPr>
        <w:t>f</w:t>
      </w:r>
      <w:r w:rsidRPr="00A735B4">
        <w:t>reight charge</w:t>
      </w:r>
    </w:p>
    <w:p w14:paraId="516906AC" w14:textId="57A410BD" w:rsidR="00C4454D" w:rsidRPr="00A735B4" w:rsidRDefault="00C4454D" w:rsidP="00C4454D">
      <w:pPr>
        <w:ind w:left="633" w:hanging="187"/>
        <w:jc w:val="both"/>
      </w:pPr>
      <w:r w:rsidRPr="00A735B4">
        <w:t xml:space="preserve">10. </w:t>
      </w:r>
      <w:r w:rsidRPr="00A735B4">
        <w:rPr>
          <w:spacing w:val="-2"/>
        </w:rPr>
        <w:t>P</w:t>
      </w:r>
      <w:r w:rsidRPr="00A735B4">
        <w:t xml:space="preserve">ort </w:t>
      </w:r>
      <w:r w:rsidRPr="00A735B4">
        <w:rPr>
          <w:spacing w:val="-8"/>
        </w:rPr>
        <w:t>t</w:t>
      </w:r>
      <w:r w:rsidRPr="00A735B4">
        <w:t>ransit charges</w:t>
      </w:r>
    </w:p>
    <w:p w14:paraId="4531DFB5" w14:textId="4C2306D7" w:rsidR="00C4454D" w:rsidRPr="00A735B4" w:rsidRDefault="00C4454D" w:rsidP="00C4454D">
      <w:pPr>
        <w:ind w:left="633" w:hanging="187"/>
        <w:jc w:val="both"/>
      </w:pPr>
      <w:r w:rsidRPr="00A735B4">
        <w:t>11. Return of empty containers (grace period, penalties, and deposit)</w:t>
      </w:r>
    </w:p>
    <w:p w14:paraId="255FF9D3" w14:textId="77777777" w:rsidR="00C4454D" w:rsidRPr="00A735B4" w:rsidRDefault="00C4454D" w:rsidP="00C4454D">
      <w:pPr>
        <w:ind w:left="633" w:hanging="187"/>
        <w:jc w:val="both"/>
      </w:pPr>
    </w:p>
    <w:p w14:paraId="6DFFC9AC" w14:textId="76CA3A52" w:rsidR="00C4454D" w:rsidRPr="00A735B4" w:rsidRDefault="00C4454D" w:rsidP="00C4454D">
      <w:r w:rsidRPr="00A735B4">
        <w:t>iii.</w:t>
      </w:r>
      <w:r w:rsidRPr="00A735B4">
        <w:tab/>
        <w:t>Productivity and efficiency</w:t>
      </w:r>
    </w:p>
    <w:p w14:paraId="08E8CA44" w14:textId="777F5029" w:rsidR="00C4454D" w:rsidRPr="00A735B4" w:rsidRDefault="00C4454D" w:rsidP="00C4454D">
      <w:pPr>
        <w:ind w:left="450" w:hanging="90"/>
        <w:jc w:val="both"/>
      </w:pPr>
      <w:r w:rsidRPr="00A735B4">
        <w:t>12. Number of checkpoints, (</w:t>
      </w:r>
      <w:r w:rsidRPr="00A735B4">
        <w:rPr>
          <w:spacing w:val="-6"/>
        </w:rPr>
        <w:t>w</w:t>
      </w:r>
      <w:r w:rsidRPr="00A735B4">
        <w:t xml:space="preserve">eighbridge, </w:t>
      </w:r>
      <w:r w:rsidRPr="00A735B4">
        <w:rPr>
          <w:spacing w:val="-2"/>
        </w:rPr>
        <w:t>p</w:t>
      </w:r>
      <w:r w:rsidRPr="00A735B4">
        <w:t xml:space="preserve">olice, customs, road </w:t>
      </w:r>
      <w:r w:rsidRPr="00A735B4">
        <w:rPr>
          <w:spacing w:val="-10"/>
        </w:rPr>
        <w:t>t</w:t>
      </w:r>
      <w:r w:rsidRPr="00A735B4">
        <w:t>oll) per country per route</w:t>
      </w:r>
    </w:p>
    <w:p w14:paraId="65A45311" w14:textId="3A8C9F78" w:rsidR="00C4454D" w:rsidRPr="00A735B4" w:rsidRDefault="00C4454D" w:rsidP="00C4454D">
      <w:pPr>
        <w:ind w:left="450" w:hanging="90"/>
        <w:jc w:val="both"/>
      </w:pPr>
      <w:r w:rsidRPr="00A735B4">
        <w:t xml:space="preserve">13. Rate of </w:t>
      </w:r>
      <w:r w:rsidRPr="00A735B4">
        <w:rPr>
          <w:spacing w:val="-4"/>
        </w:rPr>
        <w:t>f</w:t>
      </w:r>
      <w:r w:rsidRPr="00A735B4">
        <w:t xml:space="preserve">raud or declared damage </w:t>
      </w:r>
      <w:r w:rsidRPr="00A735B4">
        <w:rPr>
          <w:spacing w:val="-2"/>
        </w:rPr>
        <w:t>f</w:t>
      </w:r>
      <w:r w:rsidRPr="00A735B4">
        <w:t>or transit of sin goods (percentage of total transit)</w:t>
      </w:r>
    </w:p>
    <w:p w14:paraId="6C138E23" w14:textId="3FCE8C5F" w:rsidR="00C4454D" w:rsidRPr="00A735B4" w:rsidRDefault="00C4454D" w:rsidP="00C4454D">
      <w:pPr>
        <w:ind w:left="450" w:hanging="90"/>
        <w:jc w:val="both"/>
      </w:pPr>
      <w:r w:rsidRPr="00A735B4">
        <w:t>14.  Quality of the transport infrastructure</w:t>
      </w:r>
    </w:p>
    <w:p w14:paraId="4540C22F" w14:textId="011C96A2" w:rsidR="00C4454D" w:rsidRPr="00A735B4" w:rsidRDefault="00C4454D" w:rsidP="00C4454D">
      <w:pPr>
        <w:ind w:left="450" w:hanging="90"/>
        <w:jc w:val="both"/>
      </w:pPr>
      <w:r w:rsidRPr="00A735B4">
        <w:t>15. Gross m</w:t>
      </w:r>
      <w:r w:rsidRPr="00A735B4">
        <w:rPr>
          <w:spacing w:val="-2"/>
        </w:rPr>
        <w:t>ov</w:t>
      </w:r>
      <w:r w:rsidRPr="00A735B4">
        <w:t>es per ship per hour at the Port of Mombasa</w:t>
      </w:r>
    </w:p>
    <w:p w14:paraId="60666D73" w14:textId="69B28F4B" w:rsidR="00C4454D" w:rsidRPr="00A735B4" w:rsidRDefault="00C4454D" w:rsidP="00C4454D">
      <w:pPr>
        <w:ind w:left="450" w:hanging="90"/>
        <w:jc w:val="both"/>
      </w:pPr>
      <w:r w:rsidRPr="00A735B4">
        <w:t xml:space="preserve">16.  </w:t>
      </w:r>
      <w:r w:rsidRPr="00A735B4">
        <w:rPr>
          <w:spacing w:val="-6"/>
        </w:rPr>
        <w:t>V</w:t>
      </w:r>
      <w:r w:rsidRPr="00A735B4">
        <w:t xml:space="preserve">olume of containerized and general cargo handled per day, month, and quarterly at the </w:t>
      </w:r>
      <w:r w:rsidRPr="00A735B4">
        <w:rPr>
          <w:spacing w:val="-2"/>
        </w:rPr>
        <w:t>P</w:t>
      </w:r>
      <w:r w:rsidRPr="00A735B4">
        <w:t>ort of Mombasa</w:t>
      </w:r>
    </w:p>
    <w:p w14:paraId="5481AF97" w14:textId="02300E6F" w:rsidR="00C4454D" w:rsidRPr="00A735B4" w:rsidRDefault="00C4454D" w:rsidP="00C4454D">
      <w:pPr>
        <w:ind w:left="450" w:hanging="90"/>
        <w:jc w:val="both"/>
      </w:pPr>
      <w:r w:rsidRPr="00A735B4">
        <w:t>17. Number of accidents per route</w:t>
      </w:r>
    </w:p>
    <w:p w14:paraId="0E3A1364" w14:textId="755CB3CE" w:rsidR="00C4454D" w:rsidRPr="00A735B4" w:rsidRDefault="00C4454D" w:rsidP="00C4454D">
      <w:pPr>
        <w:ind w:left="450" w:hanging="90"/>
        <w:jc w:val="both"/>
      </w:pPr>
      <w:r w:rsidRPr="00A735B4">
        <w:t xml:space="preserve">18. </w:t>
      </w:r>
      <w:r w:rsidRPr="00A735B4">
        <w:rPr>
          <w:spacing w:val="-6"/>
        </w:rPr>
        <w:t>W</w:t>
      </w:r>
      <w:r w:rsidRPr="00A735B4">
        <w:t xml:space="preserve">eighbridge </w:t>
      </w:r>
      <w:r w:rsidRPr="00A735B4">
        <w:rPr>
          <w:spacing w:val="-8"/>
        </w:rPr>
        <w:t>t</w:t>
      </w:r>
      <w:r w:rsidRPr="00A735B4">
        <w:t>raffic against time</w:t>
      </w:r>
    </w:p>
    <w:p w14:paraId="6506AD81" w14:textId="77777777" w:rsidR="00C4454D" w:rsidRPr="00A735B4" w:rsidRDefault="00C4454D" w:rsidP="00C4454D">
      <w:pPr>
        <w:ind w:left="450" w:hanging="90"/>
        <w:jc w:val="both"/>
      </w:pPr>
      <w:r w:rsidRPr="00A735B4">
        <w:t xml:space="preserve">19. </w:t>
      </w:r>
      <w:r w:rsidRPr="00A735B4">
        <w:rPr>
          <w:spacing w:val="-6"/>
        </w:rPr>
        <w:t>W</w:t>
      </w:r>
      <w:r w:rsidRPr="00A735B4">
        <w:t>eight compliance</w:t>
      </w:r>
    </w:p>
    <w:p w14:paraId="4C3B2752" w14:textId="77777777" w:rsidR="00C4454D" w:rsidRPr="00A735B4" w:rsidRDefault="00C4454D" w:rsidP="00C4454D">
      <w:pPr>
        <w:ind w:left="450" w:hanging="90"/>
        <w:jc w:val="both"/>
      </w:pPr>
    </w:p>
    <w:p w14:paraId="14605F7D" w14:textId="006AE0CA" w:rsidR="00C4454D" w:rsidRPr="00A735B4" w:rsidRDefault="00C4454D" w:rsidP="00C4454D">
      <w:r w:rsidRPr="00A735B4">
        <w:t>iv.</w:t>
      </w:r>
      <w:r w:rsidRPr="00A735B4">
        <w:tab/>
        <w:t>Time and delays</w:t>
      </w:r>
    </w:p>
    <w:p w14:paraId="503C0B10" w14:textId="34069710" w:rsidR="00C4454D" w:rsidRPr="00A735B4" w:rsidRDefault="00C4454D" w:rsidP="00C4454D">
      <w:pPr>
        <w:ind w:left="389"/>
        <w:jc w:val="both"/>
      </w:pPr>
      <w:r w:rsidRPr="00A735B4">
        <w:t xml:space="preserve">20. </w:t>
      </w:r>
      <w:r w:rsidRPr="00A735B4">
        <w:rPr>
          <w:spacing w:val="-8"/>
        </w:rPr>
        <w:t>T</w:t>
      </w:r>
      <w:r w:rsidRPr="00A735B4">
        <w:t xml:space="preserve">ransit </w:t>
      </w:r>
      <w:r w:rsidRPr="00A735B4">
        <w:rPr>
          <w:spacing w:val="-8"/>
        </w:rPr>
        <w:t>t</w:t>
      </w:r>
      <w:r w:rsidRPr="00A735B4">
        <w:t>ime per route per mode of transport (</w:t>
      </w:r>
      <w:r w:rsidRPr="00A735B4">
        <w:rPr>
          <w:spacing w:val="-2"/>
        </w:rPr>
        <w:t>b</w:t>
      </w:r>
      <w:r w:rsidRPr="00A735B4">
        <w:t>y country)</w:t>
      </w:r>
    </w:p>
    <w:p w14:paraId="2A8137AF" w14:textId="0C591255" w:rsidR="00C4454D" w:rsidRPr="00A735B4" w:rsidRDefault="00C4454D" w:rsidP="00C4454D">
      <w:pPr>
        <w:ind w:left="389"/>
        <w:jc w:val="both"/>
      </w:pPr>
      <w:r w:rsidRPr="00A735B4">
        <w:t xml:space="preserve">21. </w:t>
      </w:r>
      <w:r w:rsidRPr="00A735B4">
        <w:rPr>
          <w:spacing w:val="-8"/>
        </w:rPr>
        <w:t>T</w:t>
      </w:r>
      <w:r w:rsidRPr="00A735B4">
        <w:t xml:space="preserve">ransit </w:t>
      </w:r>
      <w:r w:rsidRPr="00A735B4">
        <w:rPr>
          <w:spacing w:val="-8"/>
        </w:rPr>
        <w:t>t</w:t>
      </w:r>
      <w:r w:rsidRPr="00A735B4">
        <w:t>ime in Burundi, Democratic Republic of Congo, Rwanda, and Uganda (road)</w:t>
      </w:r>
    </w:p>
    <w:p w14:paraId="3A420A5E" w14:textId="1DA6F5EC" w:rsidR="00C4454D" w:rsidRPr="00A735B4" w:rsidRDefault="00C4454D" w:rsidP="00C4454D">
      <w:pPr>
        <w:ind w:left="389"/>
        <w:jc w:val="both"/>
      </w:pPr>
      <w:r w:rsidRPr="00A735B4">
        <w:t xml:space="preserve">22. </w:t>
      </w:r>
      <w:r w:rsidRPr="00A735B4">
        <w:rPr>
          <w:spacing w:val="-8"/>
        </w:rPr>
        <w:t>T</w:t>
      </w:r>
      <w:r w:rsidRPr="00A735B4">
        <w:t>ransit time in Kenya (road through Malaba or Busia)</w:t>
      </w:r>
    </w:p>
    <w:p w14:paraId="1294912B" w14:textId="2935131C" w:rsidR="00C4454D" w:rsidRPr="00A735B4" w:rsidRDefault="00C4454D" w:rsidP="00C4454D">
      <w:pPr>
        <w:ind w:left="389"/>
        <w:jc w:val="both"/>
      </w:pPr>
      <w:r w:rsidRPr="00A735B4">
        <w:t xml:space="preserve">23. </w:t>
      </w:r>
      <w:r w:rsidRPr="00A735B4">
        <w:rPr>
          <w:spacing w:val="-8"/>
        </w:rPr>
        <w:t>T</w:t>
      </w:r>
      <w:r w:rsidRPr="00A735B4">
        <w:t xml:space="preserve">ransit time origin to destination </w:t>
      </w:r>
      <w:r w:rsidRPr="00A735B4">
        <w:rPr>
          <w:spacing w:val="-2"/>
        </w:rPr>
        <w:t>b</w:t>
      </w:r>
      <w:r w:rsidRPr="00A735B4">
        <w:t>y countr</w:t>
      </w:r>
      <w:r w:rsidRPr="00A735B4">
        <w:rPr>
          <w:spacing w:val="-12"/>
        </w:rPr>
        <w:t>y</w:t>
      </w:r>
    </w:p>
    <w:p w14:paraId="6891CA01" w14:textId="77777777" w:rsidR="00C4454D" w:rsidRPr="00A735B4" w:rsidRDefault="00C4454D" w:rsidP="00C4454D">
      <w:pPr>
        <w:ind w:left="389"/>
        <w:jc w:val="both"/>
      </w:pPr>
      <w:r w:rsidRPr="00A735B4">
        <w:lastRenderedPageBreak/>
        <w:t>24. Ship turnaround time</w:t>
      </w:r>
    </w:p>
    <w:p w14:paraId="3BFF68B9" w14:textId="77777777" w:rsidR="00C4454D" w:rsidRPr="00A735B4" w:rsidRDefault="00C4454D" w:rsidP="00C4454D">
      <w:pPr>
        <w:ind w:left="389"/>
        <w:jc w:val="both"/>
      </w:pPr>
      <w:r w:rsidRPr="00A735B4">
        <w:t xml:space="preserve">25. </w:t>
      </w:r>
      <w:r w:rsidRPr="00A735B4">
        <w:rPr>
          <w:spacing w:val="-6"/>
        </w:rPr>
        <w:t>V</w:t>
      </w:r>
      <w:r w:rsidRPr="00A735B4">
        <w:t>essel waiting time be</w:t>
      </w:r>
      <w:r w:rsidRPr="00A735B4">
        <w:rPr>
          <w:spacing w:val="-2"/>
        </w:rPr>
        <w:t>f</w:t>
      </w:r>
      <w:r w:rsidRPr="00A735B4">
        <w:t>ore berth</w:t>
      </w:r>
    </w:p>
    <w:p w14:paraId="50614B4F" w14:textId="2E88ADF6" w:rsidR="00C4454D" w:rsidRPr="00A735B4" w:rsidRDefault="00C4454D" w:rsidP="00C4454D">
      <w:pPr>
        <w:ind w:left="389"/>
        <w:jc w:val="both"/>
      </w:pPr>
      <w:r w:rsidRPr="00A735B4">
        <w:t xml:space="preserve">26. </w:t>
      </w:r>
      <w:r w:rsidRPr="00A735B4">
        <w:rPr>
          <w:spacing w:val="-6"/>
        </w:rPr>
        <w:t>A</w:t>
      </w:r>
      <w:r w:rsidRPr="00A735B4">
        <w:rPr>
          <w:spacing w:val="-2"/>
        </w:rPr>
        <w:t>v</w:t>
      </w:r>
      <w:r w:rsidRPr="00A735B4">
        <w:t>erage cargo d</w:t>
      </w:r>
      <w:r w:rsidRPr="00A735B4">
        <w:rPr>
          <w:spacing w:val="-2"/>
        </w:rPr>
        <w:t>w</w:t>
      </w:r>
      <w:r w:rsidRPr="00A735B4">
        <w:t>ell time in Mombasa Port</w:t>
      </w:r>
    </w:p>
    <w:p w14:paraId="3F930831" w14:textId="6B4FD0DD" w:rsidR="00C4454D" w:rsidRPr="00A735B4" w:rsidRDefault="00C4454D" w:rsidP="00C4454D">
      <w:pPr>
        <w:ind w:left="389"/>
        <w:jc w:val="both"/>
      </w:pPr>
      <w:r w:rsidRPr="00A735B4">
        <w:t xml:space="preserve">27. </w:t>
      </w:r>
      <w:r w:rsidRPr="00A735B4">
        <w:rPr>
          <w:spacing w:val="-8"/>
        </w:rPr>
        <w:t>T</w:t>
      </w:r>
      <w:r w:rsidRPr="00A735B4">
        <w:t xml:space="preserve">ime </w:t>
      </w:r>
      <w:r w:rsidRPr="00A735B4">
        <w:rPr>
          <w:spacing w:val="-2"/>
        </w:rPr>
        <w:t>f</w:t>
      </w:r>
      <w:r w:rsidRPr="00A735B4">
        <w:t>or customs clearance at the document processing center</w:t>
      </w:r>
    </w:p>
    <w:p w14:paraId="06AE0843" w14:textId="700C9EE6" w:rsidR="00C4454D" w:rsidRPr="00A735B4" w:rsidRDefault="00C4454D" w:rsidP="00C4454D">
      <w:pPr>
        <w:ind w:left="389"/>
        <w:jc w:val="both"/>
      </w:pPr>
      <w:r w:rsidRPr="00A735B4">
        <w:t xml:space="preserve">28. </w:t>
      </w:r>
      <w:r w:rsidRPr="00A735B4">
        <w:rPr>
          <w:spacing w:val="-8"/>
        </w:rPr>
        <w:t>T</w:t>
      </w:r>
      <w:r w:rsidRPr="00A735B4">
        <w:t>ransit time at Mombasa One-Stop Centre</w:t>
      </w:r>
    </w:p>
    <w:p w14:paraId="5D7F9841" w14:textId="33ABACB5" w:rsidR="00C4454D" w:rsidRPr="00A735B4" w:rsidRDefault="00C4454D" w:rsidP="00C4454D">
      <w:pPr>
        <w:ind w:left="389"/>
        <w:jc w:val="both"/>
      </w:pPr>
      <w:r w:rsidRPr="00A735B4">
        <w:t xml:space="preserve">29. </w:t>
      </w:r>
      <w:r w:rsidRPr="00A735B4">
        <w:rPr>
          <w:spacing w:val="-8"/>
        </w:rPr>
        <w:t>T</w:t>
      </w:r>
      <w:r w:rsidRPr="00A735B4">
        <w:t xml:space="preserve">ransit time after customs release at the </w:t>
      </w:r>
      <w:r w:rsidRPr="00A735B4">
        <w:rPr>
          <w:spacing w:val="-2"/>
        </w:rPr>
        <w:t>P</w:t>
      </w:r>
      <w:r w:rsidRPr="00A735B4">
        <w:t>ort of Mombasa</w:t>
      </w:r>
    </w:p>
    <w:p w14:paraId="0300CC02" w14:textId="7F1193C9" w:rsidR="00C4454D" w:rsidRPr="00A735B4" w:rsidRDefault="00C4454D" w:rsidP="00C4454D">
      <w:pPr>
        <w:ind w:left="384"/>
      </w:pPr>
      <w:r w:rsidRPr="00A735B4">
        <w:t xml:space="preserve">30. Border </w:t>
      </w:r>
      <w:r w:rsidRPr="00A735B4">
        <w:rPr>
          <w:spacing w:val="-2"/>
        </w:rPr>
        <w:t>p</w:t>
      </w:r>
      <w:r w:rsidRPr="00A735B4">
        <w:t xml:space="preserve">ost-crossing </w:t>
      </w:r>
      <w:r w:rsidRPr="00A735B4">
        <w:rPr>
          <w:spacing w:val="-8"/>
        </w:rPr>
        <w:t>t</w:t>
      </w:r>
      <w:r w:rsidRPr="00A735B4">
        <w:t>ime</w:t>
      </w:r>
    </w:p>
    <w:p w14:paraId="509F2CC3" w14:textId="605F901C" w:rsidR="00C4454D" w:rsidRPr="00A735B4" w:rsidRDefault="00C4454D" w:rsidP="00C4454D">
      <w:pPr>
        <w:ind w:left="384"/>
      </w:pPr>
      <w:r w:rsidRPr="00A735B4">
        <w:t xml:space="preserve">33. </w:t>
      </w:r>
      <w:r w:rsidRPr="00A735B4">
        <w:rPr>
          <w:spacing w:val="-6"/>
        </w:rPr>
        <w:t>W</w:t>
      </w:r>
      <w:r w:rsidRPr="00A735B4">
        <w:t>eighbridge crossing time.</w:t>
      </w:r>
    </w:p>
    <w:p w14:paraId="24DECD9C" w14:textId="77777777" w:rsidR="00C4454D" w:rsidRPr="00A735B4" w:rsidRDefault="00C4454D" w:rsidP="00C4454D">
      <w:pPr>
        <w:jc w:val="both"/>
      </w:pPr>
      <w:bookmarkStart w:id="100" w:name="_Toc419565257"/>
    </w:p>
    <w:p w14:paraId="05850BFD" w14:textId="22509842" w:rsidR="00C4454D" w:rsidRPr="00A735B4" w:rsidRDefault="00C4454D" w:rsidP="00C4454D">
      <w:pPr>
        <w:jc w:val="both"/>
      </w:pPr>
      <w:r w:rsidRPr="00A735B4">
        <w:t>B.8  West Africa trade and transport corridors</w:t>
      </w:r>
      <w:bookmarkEnd w:id="100"/>
    </w:p>
    <w:p w14:paraId="08EDE52F" w14:textId="77777777" w:rsidR="00C4454D" w:rsidRPr="00A735B4" w:rsidRDefault="00C4454D" w:rsidP="00C4454D">
      <w:pPr>
        <w:jc w:val="both"/>
      </w:pPr>
    </w:p>
    <w:p w14:paraId="5C29968A" w14:textId="2F755AD9" w:rsidR="00C4454D" w:rsidRPr="00A735B4" w:rsidRDefault="00C4454D" w:rsidP="00C4454D">
      <w:pPr>
        <w:jc w:val="both"/>
      </w:pPr>
      <w:r w:rsidRPr="00A735B4">
        <w:t>West Africa trade and transport corridors lack an organization equivalent to the Trade and Transport Coordinating Committee in the Northern Corridor (except for the Abidjan-Lagos Corridor). Without such a focus for the collection of monitoring data, the collection is not so well planned and tends to be left to aid agencies to organize and finance.</w:t>
      </w:r>
    </w:p>
    <w:p w14:paraId="42811DB9" w14:textId="77777777" w:rsidR="00C4454D" w:rsidRPr="00A735B4" w:rsidRDefault="00C4454D" w:rsidP="00C4454D">
      <w:pPr>
        <w:jc w:val="both"/>
      </w:pPr>
    </w:p>
    <w:p w14:paraId="6E5E2A21" w14:textId="14949E06" w:rsidR="00C4454D" w:rsidRPr="00A735B4" w:rsidRDefault="00C4454D" w:rsidP="00C4454D">
      <w:pPr>
        <w:jc w:val="both"/>
      </w:pPr>
      <w:r w:rsidRPr="00A735B4">
        <w:t xml:space="preserve">The Observatory for Abnormal Practices (OPA) has evolved into a project for Improved Road Transport Governance. It is an UEMOA/ECOWAS coordinated project aimed at collecting data on selected abnormal practices experienced along international corridors in West Africa (map B.2). The objective is to publish and disseminate the results as part of an advocacy to bring about improvements in corridor performance. The Observatory started collecting data in 2006 with the financial and technical support of the USAID West Africa Trade Hub. </w:t>
      </w:r>
    </w:p>
    <w:p w14:paraId="2D8331B8" w14:textId="77777777" w:rsidR="00C4454D" w:rsidRPr="00A735B4" w:rsidRDefault="00C4454D" w:rsidP="00C4454D">
      <w:pPr>
        <w:jc w:val="both"/>
      </w:pPr>
    </w:p>
    <w:p w14:paraId="1D1731E5" w14:textId="75409A2A" w:rsidR="00C4454D" w:rsidRPr="00A735B4" w:rsidRDefault="00C4454D" w:rsidP="00C4454D">
      <w:pPr>
        <w:jc w:val="both"/>
      </w:pPr>
      <w:r w:rsidRPr="00A735B4">
        <w:t>Given the origins of the OPA, the indicators that are collected focus on one specific aspect of performance, which is the incidence of informal “abnormal practices.” This refers to the incidence of formal and informal checkpoints and who operates them, the time taken to pass through them, and the amount of any bribes that are paid to pass through or to pass through more quickly.</w:t>
      </w:r>
    </w:p>
    <w:p w14:paraId="1DE1CDB3" w14:textId="77777777" w:rsidR="00C4454D" w:rsidRPr="00A735B4" w:rsidRDefault="00C4454D" w:rsidP="00C4454D"/>
    <w:p w14:paraId="7A9D05A5" w14:textId="5C68EB51" w:rsidR="00C4454D" w:rsidRPr="00A735B4" w:rsidRDefault="00C4454D" w:rsidP="00C4454D">
      <w:pPr>
        <w:keepNext/>
        <w:spacing w:after="0"/>
        <w:jc w:val="center"/>
        <w:rPr>
          <w:color w:val="1F497D" w:themeColor="text2"/>
        </w:rPr>
      </w:pPr>
      <w:bookmarkStart w:id="101" w:name="_Toc410823555"/>
      <w:r w:rsidRPr="00A735B4">
        <w:rPr>
          <w:color w:val="1F497D" w:themeColor="text2"/>
        </w:rPr>
        <w:lastRenderedPageBreak/>
        <w:t>Map B.2 West and Central African corridors that have some monitoring indicators</w:t>
      </w:r>
      <w:bookmarkEnd w:id="101"/>
    </w:p>
    <w:p w14:paraId="74EE7EED" w14:textId="77777777" w:rsidR="00C4454D" w:rsidRPr="00A735B4" w:rsidRDefault="00C4454D" w:rsidP="00C4454D">
      <w:pPr>
        <w:jc w:val="center"/>
      </w:pPr>
      <w:r w:rsidRPr="00A735B4">
        <w:rPr>
          <w:noProof/>
          <w:sz w:val="18"/>
          <w:szCs w:val="18"/>
          <w:bdr w:val="single" w:sz="12" w:space="0" w:color="auto"/>
        </w:rPr>
        <w:drawing>
          <wp:inline distT="0" distB="0" distL="0" distR="0" wp14:anchorId="3D959A29" wp14:editId="2F47E246">
            <wp:extent cx="5740484" cy="2924810"/>
            <wp:effectExtent l="0" t="0" r="0" b="8890"/>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44073" cy="2926639"/>
                    </a:xfrm>
                    <a:prstGeom prst="rect">
                      <a:avLst/>
                    </a:prstGeom>
                    <a:noFill/>
                    <a:ln>
                      <a:noFill/>
                    </a:ln>
                  </pic:spPr>
                </pic:pic>
              </a:graphicData>
            </a:graphic>
          </wp:inline>
        </w:drawing>
      </w:r>
    </w:p>
    <w:p w14:paraId="129D0834" w14:textId="45F148DF" w:rsidR="00C4454D" w:rsidRPr="00A735B4" w:rsidRDefault="00C4454D" w:rsidP="00C4454D">
      <w:pPr>
        <w:jc w:val="center"/>
        <w:rPr>
          <w:rFonts w:eastAsia="Times New Roman"/>
          <w:i/>
          <w:color w:val="000000"/>
          <w:sz w:val="20"/>
          <w:szCs w:val="20"/>
        </w:rPr>
      </w:pPr>
      <w:r w:rsidRPr="00A735B4">
        <w:rPr>
          <w:rFonts w:eastAsia="Times New Roman"/>
          <w:i/>
          <w:color w:val="000000"/>
          <w:sz w:val="20"/>
          <w:szCs w:val="20"/>
        </w:rPr>
        <w:t>Source</w:t>
      </w:r>
      <w:r w:rsidRPr="00A735B4">
        <w:rPr>
          <w:rFonts w:eastAsia="Times New Roman"/>
          <w:color w:val="000000"/>
          <w:sz w:val="20"/>
          <w:szCs w:val="20"/>
        </w:rPr>
        <w:t>: Logistics Cost Study of Transport Corridors in Central and West Africa, Final Report, Nathan and Associates for World Bank 2013.</w:t>
      </w:r>
    </w:p>
    <w:p w14:paraId="7C885131" w14:textId="77777777" w:rsidR="00C4454D" w:rsidRPr="00A735B4" w:rsidRDefault="00C4454D" w:rsidP="00C4454D"/>
    <w:p w14:paraId="12829492" w14:textId="77777777" w:rsidR="00C4454D" w:rsidRPr="00A735B4" w:rsidRDefault="00C4454D" w:rsidP="00C4454D"/>
    <w:p w14:paraId="368A66AD" w14:textId="77777777" w:rsidR="00C4454D" w:rsidRPr="00A735B4" w:rsidRDefault="00C4454D" w:rsidP="00C4454D"/>
    <w:p w14:paraId="7691D92E" w14:textId="77777777" w:rsidR="00C4454D" w:rsidRPr="00A735B4" w:rsidRDefault="00C4454D" w:rsidP="00C4454D"/>
    <w:p w14:paraId="149FB1D3" w14:textId="77777777" w:rsidR="00C4454D" w:rsidRPr="00A735B4" w:rsidRDefault="00C4454D" w:rsidP="00C4454D">
      <w:r w:rsidRPr="00A735B4">
        <w:t>The monitoring indicators that have been collected over a period of more than six years are in three groups:</w:t>
      </w:r>
    </w:p>
    <w:p w14:paraId="5445ADD9" w14:textId="77777777" w:rsidR="00C4454D" w:rsidRPr="00A735B4" w:rsidRDefault="00C4454D" w:rsidP="00C4454D"/>
    <w:p w14:paraId="4D75AA38" w14:textId="79BDC73E" w:rsidR="00C4454D" w:rsidRPr="00A735B4" w:rsidRDefault="00C4454D" w:rsidP="00C4454D">
      <w:pPr>
        <w:numPr>
          <w:ilvl w:val="0"/>
          <w:numId w:val="13"/>
        </w:numPr>
        <w:spacing w:line="264" w:lineRule="auto"/>
      </w:pPr>
      <w:r w:rsidRPr="00A735B4">
        <w:rPr>
          <w:bCs/>
        </w:rPr>
        <w:t>The n</w:t>
      </w:r>
      <w:r w:rsidRPr="00A735B4">
        <w:rPr>
          <w:rFonts w:eastAsia="Times New Roman"/>
          <w:bCs/>
        </w:rPr>
        <w:t xml:space="preserve">umber of checkpoints, </w:t>
      </w:r>
      <w:r w:rsidRPr="00A735B4">
        <w:rPr>
          <w:rFonts w:eastAsia="Times New Roman"/>
        </w:rPr>
        <w:t xml:space="preserve">including border posts manned by official agencies (customs, police </w:t>
      </w:r>
      <w:r w:rsidRPr="00A735B4">
        <w:t>gendarmerie,</w:t>
      </w:r>
      <w:r w:rsidRPr="00A735B4">
        <w:rPr>
          <w:rFonts w:eastAsia="Times New Roman"/>
        </w:rPr>
        <w:t xml:space="preserve"> health and forestry, immigration )</w:t>
      </w:r>
      <w:r w:rsidRPr="00A735B4">
        <w:t>, usually expressed as the number of checkpoints per km of route</w:t>
      </w:r>
    </w:p>
    <w:p w14:paraId="360FF385" w14:textId="6A890524" w:rsidR="00C4454D" w:rsidRPr="00A735B4" w:rsidRDefault="00C4454D" w:rsidP="00C4454D">
      <w:pPr>
        <w:numPr>
          <w:ilvl w:val="0"/>
          <w:numId w:val="13"/>
        </w:numPr>
        <w:spacing w:line="264" w:lineRule="auto"/>
      </w:pPr>
      <w:r w:rsidRPr="00A735B4">
        <w:t>The t</w:t>
      </w:r>
      <w:r w:rsidRPr="00A735B4">
        <w:rPr>
          <w:rFonts w:eastAsia="Times New Roman"/>
        </w:rPr>
        <w:t xml:space="preserve">ime </w:t>
      </w:r>
      <w:r w:rsidRPr="00A735B4">
        <w:t>taken to</w:t>
      </w:r>
      <w:r w:rsidRPr="00A735B4">
        <w:rPr>
          <w:rFonts w:eastAsia="Times New Roman"/>
        </w:rPr>
        <w:t xml:space="preserve"> conduct controls at </w:t>
      </w:r>
      <w:r w:rsidRPr="00A735B4">
        <w:t>these checkpoints, usually expressed as a time per km of route</w:t>
      </w:r>
    </w:p>
    <w:p w14:paraId="1CFE129B" w14:textId="349FEA14" w:rsidR="00C4454D" w:rsidRPr="00A735B4" w:rsidRDefault="00C4454D" w:rsidP="00C4454D">
      <w:pPr>
        <w:numPr>
          <w:ilvl w:val="0"/>
          <w:numId w:val="13"/>
        </w:numPr>
        <w:spacing w:line="264" w:lineRule="auto"/>
      </w:pPr>
      <w:r w:rsidRPr="00A735B4">
        <w:t>The amount of b</w:t>
      </w:r>
      <w:r w:rsidRPr="00A735B4">
        <w:rPr>
          <w:rFonts w:eastAsia="Times New Roman"/>
        </w:rPr>
        <w:t xml:space="preserve">ribes and unofficial payments </w:t>
      </w:r>
      <w:r w:rsidRPr="00A735B4">
        <w:t xml:space="preserve">paid and </w:t>
      </w:r>
      <w:r w:rsidRPr="00A735B4">
        <w:rPr>
          <w:rFonts w:eastAsia="Times New Roman"/>
        </w:rPr>
        <w:t xml:space="preserve">collected at </w:t>
      </w:r>
      <w:r w:rsidRPr="00A735B4">
        <w:t xml:space="preserve">the </w:t>
      </w:r>
      <w:r w:rsidRPr="00A735B4">
        <w:rPr>
          <w:rFonts w:eastAsia="Times New Roman"/>
        </w:rPr>
        <w:t>checkpoints</w:t>
      </w:r>
      <w:r w:rsidRPr="00A735B4">
        <w:t>, expressed as US$ per km of route.</w:t>
      </w:r>
    </w:p>
    <w:p w14:paraId="5A1C7D41" w14:textId="77777777" w:rsidR="00C4454D" w:rsidRPr="00A735B4" w:rsidRDefault="00C4454D" w:rsidP="00C4454D">
      <w:pPr>
        <w:spacing w:line="264" w:lineRule="auto"/>
      </w:pPr>
    </w:p>
    <w:p w14:paraId="11FE0241" w14:textId="42380C3F" w:rsidR="00C4454D" w:rsidRPr="00A735B4" w:rsidRDefault="00C4454D" w:rsidP="00C4454D">
      <w:pPr>
        <w:keepNext/>
        <w:spacing w:after="0"/>
        <w:jc w:val="center"/>
        <w:rPr>
          <w:color w:val="1F497D" w:themeColor="text2"/>
        </w:rPr>
      </w:pPr>
      <w:bookmarkStart w:id="102" w:name="_Toc410823556"/>
      <w:r w:rsidRPr="00A735B4">
        <w:rPr>
          <w:color w:val="1F497D" w:themeColor="text2"/>
        </w:rPr>
        <w:lastRenderedPageBreak/>
        <w:t>Map B.3 Example of presentation of some monitoring indicators in 2013</w:t>
      </w:r>
      <w:bookmarkEnd w:id="102"/>
    </w:p>
    <w:p w14:paraId="015CCB59" w14:textId="3E91C65D" w:rsidR="00C4454D" w:rsidRPr="00C4454D" w:rsidRDefault="00C4454D" w:rsidP="00C4454D">
      <w:pPr>
        <w:rPr>
          <w:sz w:val="20"/>
          <w:szCs w:val="20"/>
          <w:lang w:val="fr-FR"/>
        </w:rPr>
      </w:pPr>
      <w:r w:rsidRPr="00A735B4">
        <w:rPr>
          <w:noProof/>
          <w:sz w:val="18"/>
          <w:szCs w:val="18"/>
          <w:bdr w:val="single" w:sz="12" w:space="0" w:color="auto"/>
        </w:rPr>
        <w:drawing>
          <wp:inline distT="0" distB="0" distL="0" distR="0" wp14:anchorId="73C066ED" wp14:editId="3C8DB620">
            <wp:extent cx="5695315" cy="3181350"/>
            <wp:effectExtent l="0" t="0" r="635" b="0"/>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41318" cy="3207047"/>
                    </a:xfrm>
                    <a:prstGeom prst="rect">
                      <a:avLst/>
                    </a:prstGeom>
                  </pic:spPr>
                </pic:pic>
              </a:graphicData>
            </a:graphic>
          </wp:inline>
        </w:drawing>
      </w:r>
      <w:r w:rsidRPr="00C4454D">
        <w:rPr>
          <w:i/>
          <w:sz w:val="20"/>
          <w:szCs w:val="20"/>
          <w:lang w:val="fr-FR"/>
        </w:rPr>
        <w:t xml:space="preserve"> Source:</w:t>
      </w:r>
      <w:r w:rsidRPr="00C4454D">
        <w:rPr>
          <w:sz w:val="20"/>
          <w:szCs w:val="20"/>
          <w:lang w:val="fr-FR"/>
        </w:rPr>
        <w:tab/>
        <w:t xml:space="preserve">23rd Road Governance Report, </w:t>
      </w:r>
      <w:r w:rsidRPr="00C4454D">
        <w:rPr>
          <w:sz w:val="20"/>
          <w:szCs w:val="20"/>
          <w:shd w:val="clear" w:color="auto" w:fill="FFFFFF"/>
          <w:lang w:val="fr-FR"/>
        </w:rPr>
        <w:t>Union économique et monétaire ouest-africaine (</w:t>
      </w:r>
      <w:r w:rsidRPr="00C4454D">
        <w:rPr>
          <w:sz w:val="20"/>
          <w:szCs w:val="20"/>
          <w:lang w:val="fr-FR"/>
        </w:rPr>
        <w:t>UEMOA).</w:t>
      </w:r>
    </w:p>
    <w:p w14:paraId="6DBE7953" w14:textId="77777777" w:rsidR="00C4454D" w:rsidRPr="00C4454D" w:rsidRDefault="00C4454D" w:rsidP="00C4454D">
      <w:pPr>
        <w:rPr>
          <w:lang w:val="fr-FR"/>
        </w:rPr>
      </w:pPr>
    </w:p>
    <w:p w14:paraId="3F4162BC" w14:textId="62A99614" w:rsidR="00C4454D" w:rsidRPr="00A735B4" w:rsidRDefault="00C4454D" w:rsidP="00C4454D">
      <w:pPr>
        <w:jc w:val="both"/>
        <w:rPr>
          <w:b/>
        </w:rPr>
      </w:pPr>
      <w:r w:rsidRPr="00A735B4">
        <w:t>The indicators are collected for eight corridors (map B.3):</w:t>
      </w:r>
    </w:p>
    <w:p w14:paraId="4A758A42" w14:textId="77777777" w:rsidR="00C4454D" w:rsidRPr="00A735B4" w:rsidRDefault="00C4454D" w:rsidP="00C4454D"/>
    <w:p w14:paraId="1A45D627" w14:textId="4DF804EC" w:rsidR="00C4454D" w:rsidRPr="00C4454D" w:rsidRDefault="00C4454D" w:rsidP="00C4454D">
      <w:pPr>
        <w:ind w:left="360"/>
        <w:rPr>
          <w:lang w:val="fr-FR"/>
        </w:rPr>
      </w:pPr>
      <w:r w:rsidRPr="00C4454D">
        <w:rPr>
          <w:lang w:val="fr-FR"/>
        </w:rPr>
        <w:t>Tema-Ouagadougou (pilot corridor)</w:t>
      </w:r>
    </w:p>
    <w:p w14:paraId="04355749" w14:textId="3EE19EE9" w:rsidR="00C4454D" w:rsidRPr="00C4454D" w:rsidRDefault="00C4454D" w:rsidP="00C4454D">
      <w:pPr>
        <w:ind w:left="360"/>
        <w:rPr>
          <w:lang w:val="fr-FR"/>
        </w:rPr>
      </w:pPr>
      <w:r w:rsidRPr="00C4454D">
        <w:rPr>
          <w:lang w:val="fr-FR"/>
        </w:rPr>
        <w:t>Lomé-Ouagadougou</w:t>
      </w:r>
    </w:p>
    <w:p w14:paraId="0D623914" w14:textId="77777777" w:rsidR="00C4454D" w:rsidRPr="00A735B4" w:rsidRDefault="00C4454D" w:rsidP="00C4454D">
      <w:pPr>
        <w:ind w:left="360"/>
      </w:pPr>
      <w:r w:rsidRPr="00A735B4">
        <w:t>Dakar-Bamako</w:t>
      </w:r>
    </w:p>
    <w:p w14:paraId="0C347887" w14:textId="709A2DED" w:rsidR="00C4454D" w:rsidRPr="00A735B4" w:rsidRDefault="00C4454D" w:rsidP="00C4454D">
      <w:pPr>
        <w:ind w:left="360"/>
      </w:pPr>
      <w:r w:rsidRPr="00A735B4">
        <w:t>Abidjan-Ouagadougou</w:t>
      </w:r>
    </w:p>
    <w:p w14:paraId="540098BA" w14:textId="77777777" w:rsidR="00C4454D" w:rsidRPr="00A735B4" w:rsidRDefault="00C4454D" w:rsidP="00C4454D">
      <w:pPr>
        <w:ind w:left="360"/>
      </w:pPr>
      <w:r w:rsidRPr="00A735B4">
        <w:t>Abidjan-Bamako</w:t>
      </w:r>
    </w:p>
    <w:p w14:paraId="35EFEE90" w14:textId="65E0E2C5" w:rsidR="00C4454D" w:rsidRPr="00A735B4" w:rsidRDefault="00C4454D" w:rsidP="00C4454D">
      <w:pPr>
        <w:ind w:left="360"/>
      </w:pPr>
      <w:r w:rsidRPr="00A735B4">
        <w:t>Bamako-Ouagadougou via Koury</w:t>
      </w:r>
    </w:p>
    <w:p w14:paraId="509FDFBB" w14:textId="7F687B33" w:rsidR="00C4454D" w:rsidRPr="00A735B4" w:rsidRDefault="00C4454D" w:rsidP="00C4454D">
      <w:pPr>
        <w:ind w:left="360"/>
      </w:pPr>
      <w:r w:rsidRPr="00A735B4">
        <w:t>Ouagadougou-Bamako via Hermankono</w:t>
      </w:r>
    </w:p>
    <w:p w14:paraId="2056E579" w14:textId="77777777" w:rsidR="00C4454D" w:rsidRPr="00A735B4" w:rsidRDefault="00C4454D" w:rsidP="00C4454D">
      <w:pPr>
        <w:ind w:left="360"/>
      </w:pPr>
      <w:r w:rsidRPr="00A735B4">
        <w:t>Niamey-Cotonou.</w:t>
      </w:r>
    </w:p>
    <w:p w14:paraId="40AE12F2" w14:textId="77777777" w:rsidR="00C4454D" w:rsidRPr="00A735B4" w:rsidRDefault="00C4454D" w:rsidP="00C4454D">
      <w:pPr>
        <w:jc w:val="both"/>
      </w:pPr>
    </w:p>
    <w:p w14:paraId="7119AC65" w14:textId="31F61F3E" w:rsidR="00C4454D" w:rsidRPr="00A735B4" w:rsidRDefault="00C4454D" w:rsidP="00C4454D">
      <w:pPr>
        <w:jc w:val="both"/>
      </w:pPr>
      <w:r w:rsidRPr="00A735B4">
        <w:t>There is an intention to extend the monitoring to at least three more corridors: Dakar-Bissau, Cotonou-Ouagadougou, and Lomé-Niamey.</w:t>
      </w:r>
    </w:p>
    <w:p w14:paraId="00F7A0C5" w14:textId="23A65169" w:rsidR="00C4454D" w:rsidRPr="00A735B4" w:rsidRDefault="00C4454D" w:rsidP="00C4454D">
      <w:pPr>
        <w:jc w:val="both"/>
      </w:pPr>
      <w:bookmarkStart w:id="103" w:name="_Toc419565258"/>
      <w:r w:rsidRPr="00A735B4">
        <w:t>B.9  Abidjan-Lagos corridor indicators</w:t>
      </w:r>
      <w:bookmarkEnd w:id="103"/>
    </w:p>
    <w:p w14:paraId="75F3C3AA" w14:textId="77777777" w:rsidR="00C4454D" w:rsidRPr="00A735B4" w:rsidRDefault="00C4454D" w:rsidP="00C4454D">
      <w:pPr>
        <w:jc w:val="both"/>
      </w:pPr>
    </w:p>
    <w:p w14:paraId="36DF65A2" w14:textId="3BD1BD44" w:rsidR="00C4454D" w:rsidRPr="00A735B4" w:rsidRDefault="00C4454D" w:rsidP="00C4454D">
      <w:pPr>
        <w:jc w:val="both"/>
      </w:pPr>
      <w:r w:rsidRPr="00A735B4">
        <w:t>The Abidjan-Lagos corridor is unlike most of the others in that it is a coastal corridor rather than a corridor from a single port to one or more landlocked countries. The Abidjan-Lagos Corridor Organization (ALCO) was set up with rather different objectives and has a different organization and financing structure to the corridors covered by the OPA. It was an ECOWAS project supported by the World Bank that evolved into an ECOWAS established corridor management institution, which started its activities in 2007.</w:t>
      </w:r>
    </w:p>
    <w:p w14:paraId="334AB6F2" w14:textId="77777777" w:rsidR="00C4454D" w:rsidRPr="00A735B4" w:rsidRDefault="00C4454D" w:rsidP="00C4454D">
      <w:pPr>
        <w:jc w:val="both"/>
        <w:rPr>
          <w:bCs/>
        </w:rPr>
      </w:pPr>
    </w:p>
    <w:p w14:paraId="54591E9B" w14:textId="1814DAD1" w:rsidR="00C4454D" w:rsidRPr="00A735B4" w:rsidRDefault="00C4454D" w:rsidP="00C4454D">
      <w:pPr>
        <w:jc w:val="both"/>
      </w:pPr>
      <w:r w:rsidRPr="00A735B4">
        <w:rPr>
          <w:bCs/>
        </w:rPr>
        <w:t xml:space="preserve">Its mandate is the </w:t>
      </w:r>
      <w:r w:rsidRPr="00A735B4">
        <w:t xml:space="preserve">collection, processing, and publication of data relating to selected indicators. The indicators are intended to show progress in reducing trade and transport barriers in the corridor ports and roads. Another very specific objective that attracts attention is the collection and dissemination of data relating to the incidence of HIV among those active in the corridor. </w:t>
      </w:r>
    </w:p>
    <w:p w14:paraId="79F7FF17" w14:textId="77777777" w:rsidR="00C4454D" w:rsidRPr="00A735B4" w:rsidRDefault="00C4454D" w:rsidP="00C4454D">
      <w:pPr>
        <w:jc w:val="both"/>
      </w:pPr>
    </w:p>
    <w:p w14:paraId="3A020CF1" w14:textId="731B4629" w:rsidR="00C4454D" w:rsidRPr="00A735B4" w:rsidRDefault="00C4454D" w:rsidP="00C4454D">
      <w:pPr>
        <w:rPr>
          <w:i/>
        </w:rPr>
      </w:pPr>
      <w:r w:rsidRPr="00A735B4">
        <w:rPr>
          <w:i/>
        </w:rPr>
        <w:t>The indicators that are collected include some that are the same as in the Northern Corridor (port dwell time, border crossing time, number of roadblocks, and road condition). However, additional indicators relate to the level of HIV/AIDS awareness and prevention measures by transporters.</w:t>
      </w:r>
    </w:p>
    <w:p w14:paraId="7BB74F7D" w14:textId="77777777" w:rsidR="00C4454D" w:rsidRPr="00A735B4" w:rsidRDefault="00C4454D" w:rsidP="00C4454D"/>
    <w:p w14:paraId="42717BBA" w14:textId="3D7CCEBF" w:rsidR="00C4454D" w:rsidRPr="00A735B4" w:rsidRDefault="00C4454D" w:rsidP="00C4454D">
      <w:pPr>
        <w:rPr>
          <w:b/>
        </w:rPr>
      </w:pPr>
      <w:r w:rsidRPr="00A735B4">
        <w:t>The main source of funding for ALCO is the World Bank Abidjan-Lagos Transport and Transit Facilitation Project. The corridor transits five countries (Benin, Cote d’Ivoire, Ghana, Nigeria, and Togo) and includes seven ports (Abidjan, Accra, Cotonou, Lagon, Lomé, Porto Novo, and Tema) (map B.4). ALCO has not been as successful as OPA in publishing and disseminating its monitoring indicators, and it is difficult to find values for them.</w:t>
      </w:r>
    </w:p>
    <w:p w14:paraId="16A4583A" w14:textId="77777777" w:rsidR="00C4454D" w:rsidRPr="00A735B4" w:rsidRDefault="00C4454D" w:rsidP="00C4454D">
      <w:pPr>
        <w:jc w:val="center"/>
        <w:rPr>
          <w:b/>
          <w:color w:val="1F497D" w:themeColor="text2"/>
        </w:rPr>
      </w:pPr>
    </w:p>
    <w:p w14:paraId="39D971C0" w14:textId="72CBCC17" w:rsidR="00C4454D" w:rsidRPr="00A735B4" w:rsidRDefault="00C4454D" w:rsidP="00C4454D">
      <w:pPr>
        <w:spacing w:after="0"/>
        <w:jc w:val="center"/>
        <w:rPr>
          <w:color w:val="1F497D" w:themeColor="text2"/>
        </w:rPr>
      </w:pPr>
      <w:bookmarkStart w:id="104" w:name="_Toc410823557"/>
      <w:r w:rsidRPr="00A735B4">
        <w:rPr>
          <w:color w:val="1F497D" w:themeColor="text2"/>
        </w:rPr>
        <w:t>Map B.4 Abidjan-Lagos Corridor</w:t>
      </w:r>
      <w:bookmarkEnd w:id="104"/>
    </w:p>
    <w:p w14:paraId="65EDB3EE" w14:textId="77777777" w:rsidR="00C4454D" w:rsidRPr="00A735B4" w:rsidRDefault="00C4454D" w:rsidP="00C4454D">
      <w:pPr>
        <w:jc w:val="center"/>
      </w:pPr>
      <w:r w:rsidRPr="00A735B4">
        <w:rPr>
          <w:noProof/>
          <w:sz w:val="18"/>
          <w:szCs w:val="18"/>
        </w:rPr>
        <w:lastRenderedPageBreak/>
        <w:drawing>
          <wp:inline distT="0" distB="0" distL="0" distR="0" wp14:anchorId="35135824" wp14:editId="7CCF6367">
            <wp:extent cx="5590443" cy="2981325"/>
            <wp:effectExtent l="0" t="0" r="0" b="0"/>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620159" cy="2997172"/>
                    </a:xfrm>
                    <a:prstGeom prst="rect">
                      <a:avLst/>
                    </a:prstGeom>
                  </pic:spPr>
                </pic:pic>
              </a:graphicData>
            </a:graphic>
          </wp:inline>
        </w:drawing>
      </w:r>
    </w:p>
    <w:p w14:paraId="5BCBE3CB" w14:textId="2436CF1C" w:rsidR="00C4454D" w:rsidRPr="00A735B4" w:rsidRDefault="00C4454D" w:rsidP="00C4454D">
      <w:pPr>
        <w:rPr>
          <w:sz w:val="20"/>
          <w:szCs w:val="20"/>
        </w:rPr>
      </w:pPr>
      <w:r w:rsidRPr="00A735B4">
        <w:rPr>
          <w:i/>
          <w:sz w:val="20"/>
          <w:szCs w:val="20"/>
        </w:rPr>
        <w:t>Source:</w:t>
      </w:r>
      <w:r w:rsidRPr="00A735B4">
        <w:rPr>
          <w:sz w:val="20"/>
          <w:szCs w:val="20"/>
        </w:rPr>
        <w:t xml:space="preserve"> Sub-Saharan Africa Transport Policy Program (SSATP) Road Safety Program, Abidjan-Lagos Corridor Pilot Project in Ghana, Workshop Report, July 1, 2012.</w:t>
      </w:r>
    </w:p>
    <w:p w14:paraId="1A53467F" w14:textId="6863173C" w:rsidR="00C4454D" w:rsidRPr="00A735B4" w:rsidRDefault="00C4454D" w:rsidP="00C4454D">
      <w:bookmarkStart w:id="105" w:name="_Toc419565259"/>
      <w:r w:rsidRPr="00A735B4">
        <w:t>B.10  Logistics Cost Study of Transport Corridors in West and Central Africa</w:t>
      </w:r>
      <w:bookmarkEnd w:id="105"/>
    </w:p>
    <w:p w14:paraId="3E8DFE57" w14:textId="77777777" w:rsidR="00C4454D" w:rsidRPr="00A735B4" w:rsidRDefault="00C4454D" w:rsidP="00C4454D"/>
    <w:p w14:paraId="07C44903" w14:textId="11E74722" w:rsidR="00C4454D" w:rsidRPr="00A735B4" w:rsidRDefault="00C4454D" w:rsidP="00C4454D">
      <w:r w:rsidRPr="00A735B4">
        <w:t>The regular monitoring indicators collected for the West Africa trade and transport corridors do not provide the basic information needed to assess the trade impacts of measures to improve corridor performance. However, there have been several one-off measures of performance indicators that come close to this objective.</w:t>
      </w:r>
    </w:p>
    <w:p w14:paraId="1031A786" w14:textId="77777777" w:rsidR="00C4454D" w:rsidRPr="00A735B4" w:rsidRDefault="00C4454D" w:rsidP="00C4454D"/>
    <w:p w14:paraId="5BF47254" w14:textId="3BA4940C" w:rsidR="00C4454D" w:rsidRPr="00A735B4" w:rsidRDefault="00C4454D" w:rsidP="00C4454D">
      <w:pPr>
        <w:jc w:val="both"/>
      </w:pPr>
      <w:r w:rsidRPr="00A735B4">
        <w:t xml:space="preserve">One of the most comprehensive of these was the </w:t>
      </w:r>
      <w:r w:rsidRPr="00A735B4">
        <w:rPr>
          <w:i/>
        </w:rPr>
        <w:t>Logistics Cost Study of Transport Corridors in West and Central Africa</w:t>
      </w:r>
      <w:r w:rsidRPr="00A735B4">
        <w:t>, prepared for the World Bank in 2013.</w:t>
      </w:r>
      <w:r w:rsidRPr="00A735B4">
        <w:endnoteReference w:id="15"/>
      </w:r>
      <w:r w:rsidRPr="00A735B4">
        <w:t xml:space="preserve"> The objective of the study was to “enable regional economic communities and individual countries to formulate policies that result in reduction of transaction costs along the main West and Central African corridors.” This study made use of a microeconomic approach first developed by Arvis and others (2007) for landlocked developing countries and previously applied in Eastern Africa. </w:t>
      </w:r>
    </w:p>
    <w:p w14:paraId="4BD2F8A0" w14:textId="77777777" w:rsidR="00C4454D" w:rsidRPr="00A735B4" w:rsidRDefault="00C4454D" w:rsidP="00C4454D">
      <w:pPr>
        <w:jc w:val="both"/>
      </w:pPr>
    </w:p>
    <w:p w14:paraId="7798F27B" w14:textId="33D055F8" w:rsidR="00C4454D" w:rsidRPr="00A735B4" w:rsidRDefault="00C4454D" w:rsidP="00C4454D">
      <w:pPr>
        <w:jc w:val="both"/>
      </w:pPr>
      <w:r w:rsidRPr="00A735B4">
        <w:t xml:space="preserve">In this approach, the total logistics supply chain costs paid by the shipper/consignee to or from a landlocked country are the sum of two components. First are the financial costs of logistics services, which include gateway costs paid directly or indirectly through freight forwarders, clearing agents and/or shipping agents by landlocked shippers at the port and inland transport costs paid to truckers or rail operators for actual transit transportation. This component also includes inland processing costs incurred when crossing the borders and at final destination. Second are costs related to the economic </w:t>
      </w:r>
      <w:r w:rsidRPr="00A735B4">
        <w:lastRenderedPageBreak/>
        <w:t xml:space="preserve">impact of delays and uncertainties (called “hidden costs” in the report). These </w:t>
      </w:r>
      <w:r w:rsidRPr="00A735B4">
        <w:rPr>
          <w:bCs/>
          <w:iCs/>
        </w:rPr>
        <w:t xml:space="preserve">include transit inventory capital cost (related to transit time) and costs incurred as part of hedging against unreliability. </w:t>
      </w:r>
      <w:r w:rsidRPr="00A735B4">
        <w:t xml:space="preserve">The study provided results for five gateway corridors in West and Central Africa as well as for </w:t>
      </w:r>
      <w:r w:rsidRPr="00A735B4">
        <w:rPr>
          <w:color w:val="000000"/>
        </w:rPr>
        <w:t>the</w:t>
      </w:r>
      <w:r w:rsidRPr="00A735B4">
        <w:t xml:space="preserve"> Abidjan-Lagos Corridor.</w:t>
      </w:r>
    </w:p>
    <w:p w14:paraId="419B4927" w14:textId="77777777" w:rsidR="00C4454D" w:rsidRPr="00A735B4" w:rsidRDefault="00C4454D" w:rsidP="00C4454D">
      <w:pPr>
        <w:jc w:val="both"/>
      </w:pPr>
    </w:p>
    <w:p w14:paraId="7D52295E" w14:textId="77777777" w:rsidR="00C4454D" w:rsidRPr="00A735B4" w:rsidRDefault="00C4454D" w:rsidP="00C4454D">
      <w:pPr>
        <w:jc w:val="both"/>
      </w:pPr>
      <w:r w:rsidRPr="00A735B4">
        <w:t xml:space="preserve">Since the performance indicators provided in this study were aimed at assessing changes in transaction costs, they should be adaptable to the objectives of this review. The five gateway corridors were </w:t>
      </w:r>
    </w:p>
    <w:p w14:paraId="5409F0EF" w14:textId="77777777" w:rsidR="00C4454D" w:rsidRPr="00A735B4" w:rsidRDefault="00C4454D" w:rsidP="00C4454D">
      <w:pPr>
        <w:jc w:val="both"/>
      </w:pPr>
    </w:p>
    <w:p w14:paraId="1C6CEF59" w14:textId="4FA8E770" w:rsidR="00C4454D" w:rsidRPr="00A735B4" w:rsidRDefault="00C4454D" w:rsidP="00C4454D">
      <w:pPr>
        <w:numPr>
          <w:ilvl w:val="0"/>
          <w:numId w:val="14"/>
        </w:numPr>
        <w:spacing w:line="264" w:lineRule="auto"/>
        <w:jc w:val="both"/>
      </w:pPr>
      <w:r w:rsidRPr="00A735B4">
        <w:t>Abidjan-Bamako</w:t>
      </w:r>
    </w:p>
    <w:p w14:paraId="1A26D9BD" w14:textId="77777777" w:rsidR="00C4454D" w:rsidRPr="00A735B4" w:rsidRDefault="00C4454D" w:rsidP="00C4454D">
      <w:pPr>
        <w:numPr>
          <w:ilvl w:val="0"/>
          <w:numId w:val="14"/>
        </w:numPr>
        <w:spacing w:line="264" w:lineRule="auto"/>
        <w:jc w:val="both"/>
      </w:pPr>
      <w:r w:rsidRPr="00A735B4">
        <w:t>Abidjan-Ouagadougou</w:t>
      </w:r>
    </w:p>
    <w:p w14:paraId="5F7BE82C" w14:textId="727261B4" w:rsidR="00C4454D" w:rsidRPr="00A735B4" w:rsidRDefault="00C4454D" w:rsidP="00C4454D">
      <w:pPr>
        <w:numPr>
          <w:ilvl w:val="0"/>
          <w:numId w:val="14"/>
        </w:numPr>
        <w:spacing w:line="264" w:lineRule="auto"/>
        <w:jc w:val="both"/>
      </w:pPr>
      <w:r w:rsidRPr="00A735B4">
        <w:t xml:space="preserve">Cotonou-Niamey </w:t>
      </w:r>
    </w:p>
    <w:p w14:paraId="2F86C8E3" w14:textId="12132D87" w:rsidR="00C4454D" w:rsidRPr="00A735B4" w:rsidRDefault="00C4454D" w:rsidP="00C4454D">
      <w:pPr>
        <w:numPr>
          <w:ilvl w:val="0"/>
          <w:numId w:val="14"/>
        </w:numPr>
        <w:spacing w:line="264" w:lineRule="auto"/>
        <w:jc w:val="both"/>
      </w:pPr>
      <w:r w:rsidRPr="00A735B4">
        <w:t xml:space="preserve">Douala-Bangui </w:t>
      </w:r>
    </w:p>
    <w:p w14:paraId="60D56B54" w14:textId="04C63F5B" w:rsidR="00C4454D" w:rsidRPr="00A735B4" w:rsidRDefault="00C4454D" w:rsidP="00C4454D">
      <w:pPr>
        <w:numPr>
          <w:ilvl w:val="0"/>
          <w:numId w:val="14"/>
        </w:numPr>
        <w:spacing w:line="264" w:lineRule="auto"/>
        <w:jc w:val="both"/>
      </w:pPr>
      <w:r w:rsidRPr="00A735B4">
        <w:t>Douala-Ndjamena.</w:t>
      </w:r>
    </w:p>
    <w:p w14:paraId="76835E90" w14:textId="77777777" w:rsidR="00C4454D" w:rsidRPr="00A735B4" w:rsidRDefault="00C4454D" w:rsidP="00C4454D">
      <w:pPr>
        <w:spacing w:line="264" w:lineRule="auto"/>
        <w:jc w:val="both"/>
      </w:pPr>
    </w:p>
    <w:p w14:paraId="28CFAD7B" w14:textId="798FCF37" w:rsidR="00C4454D" w:rsidRPr="00A735B4" w:rsidRDefault="00C4454D" w:rsidP="00C4454D">
      <w:pPr>
        <w:jc w:val="both"/>
      </w:pPr>
      <w:r w:rsidRPr="00A735B4">
        <w:t>The four West African corridors are also covered by OPA or ALCO, so it should be possible to combine the indictors from the two exercises to produce a more comprehensive assessment of the corridors.</w:t>
      </w:r>
    </w:p>
    <w:p w14:paraId="423F0234" w14:textId="77777777" w:rsidR="00C4454D" w:rsidRPr="00A735B4" w:rsidRDefault="00C4454D" w:rsidP="00C4454D">
      <w:pPr>
        <w:jc w:val="both"/>
      </w:pPr>
    </w:p>
    <w:p w14:paraId="0644596A" w14:textId="613E38A5" w:rsidR="00C4454D" w:rsidRPr="00A735B4" w:rsidRDefault="00C4454D" w:rsidP="00C4454D">
      <w:pPr>
        <w:jc w:val="both"/>
      </w:pPr>
      <w:r w:rsidRPr="00A735B4">
        <w:t>Table B.1 shows the total logistics costs for two corridors (Abidjan-Ouagadougou and Abidjan-Bamako) and for road and rail in each corridor. The total costs are distinguished between financial and “hidden” costs, with the details of each available in other tables in the report. The costs are presented for four case studies, each of which is a combination of a type of product and a type of transport operator (box B.1 and table B.1). The share of “hidden” costs varied from 7 percent (Case Study 2, road transport, Abidjan-Ouagadougou) to 31 percent (Case Study 3, rail transport, Abidjan-Ouagadougou and Case Study 3, road transport, Abidjan-Bamako). A notable feature of these results is the difference in costs per ton (costs per ton/km are not provided) between the four different types of operator represented by the case studies.</w:t>
      </w:r>
    </w:p>
    <w:p w14:paraId="0726E6CB" w14:textId="77777777" w:rsidR="00C4454D" w:rsidRPr="00A735B4" w:rsidRDefault="00C4454D" w:rsidP="00C4454D"/>
    <w:p w14:paraId="7A709E75" w14:textId="40869700" w:rsidR="00C4454D" w:rsidRPr="00A735B4" w:rsidRDefault="00C4454D" w:rsidP="00C4454D">
      <w:pPr>
        <w:jc w:val="center"/>
        <w:rPr>
          <w:b/>
          <w:bCs/>
          <w:iCs/>
        </w:rPr>
      </w:pPr>
      <w:r w:rsidRPr="00A735B4">
        <w:rPr>
          <w:b/>
          <w:bCs/>
          <w:iCs/>
        </w:rPr>
        <w:t>Box B.1 Specification of Four Case Studies for the West Africa Corridor Logistics Study</w:t>
      </w:r>
    </w:p>
    <w:p w14:paraId="4D7BEEDB" w14:textId="03E853CE" w:rsidR="00C4454D" w:rsidRPr="00A735B4" w:rsidRDefault="00C4454D" w:rsidP="00C4454D">
      <w:pPr>
        <w:pBdr>
          <w:top w:val="single" w:sz="12" w:space="1" w:color="auto"/>
          <w:left w:val="single" w:sz="12" w:space="4" w:color="auto"/>
          <w:bottom w:val="single" w:sz="12" w:space="1" w:color="auto"/>
          <w:right w:val="single" w:sz="12" w:space="4" w:color="auto"/>
        </w:pBdr>
        <w:ind w:left="1440" w:right="1440"/>
      </w:pPr>
      <w:r w:rsidRPr="00A735B4">
        <w:rPr>
          <w:rFonts w:ascii="Symbol" w:hAnsi="Symbol" w:cs="Symbol"/>
        </w:rPr>
        <w:t></w:t>
      </w:r>
      <w:r w:rsidRPr="00A735B4">
        <w:rPr>
          <w:b/>
          <w:i/>
        </w:rPr>
        <w:t>Case Study 1a:</w:t>
      </w:r>
      <w:r w:rsidRPr="00A735B4">
        <w:t xml:space="preserve"> A medium-large size, formal transporter with large and new purchased fleet transporting a 40-foot container of high-value household appliances. </w:t>
      </w:r>
    </w:p>
    <w:p w14:paraId="2687273E" w14:textId="72D0A02F" w:rsidR="00C4454D" w:rsidRPr="00A735B4" w:rsidRDefault="00C4454D" w:rsidP="00C4454D">
      <w:pPr>
        <w:pBdr>
          <w:top w:val="single" w:sz="12" w:space="1" w:color="auto"/>
          <w:left w:val="single" w:sz="12" w:space="4" w:color="auto"/>
          <w:bottom w:val="single" w:sz="12" w:space="1" w:color="auto"/>
          <w:right w:val="single" w:sz="12" w:space="4" w:color="auto"/>
        </w:pBdr>
        <w:ind w:left="1440" w:right="1440"/>
      </w:pPr>
      <w:r w:rsidRPr="00A735B4">
        <w:rPr>
          <w:rFonts w:ascii="Symbol" w:hAnsi="Symbol" w:cs="Symbol"/>
        </w:rPr>
        <w:t></w:t>
      </w:r>
      <w:r w:rsidRPr="00A735B4">
        <w:rPr>
          <w:b/>
          <w:i/>
        </w:rPr>
        <w:t>Case Study 1b</w:t>
      </w:r>
      <w:r w:rsidRPr="00A735B4">
        <w:t xml:space="preserve">: A medium-small, formal transporter operating a small and new purchased fleet transporting edible oil in two 20-foot containers. </w:t>
      </w:r>
    </w:p>
    <w:p w14:paraId="29F94DA4" w14:textId="3F072C21" w:rsidR="00C4454D" w:rsidRPr="00A735B4" w:rsidRDefault="00C4454D" w:rsidP="00C4454D">
      <w:pPr>
        <w:pBdr>
          <w:top w:val="single" w:sz="12" w:space="1" w:color="auto"/>
          <w:left w:val="single" w:sz="12" w:space="4" w:color="auto"/>
          <w:bottom w:val="single" w:sz="12" w:space="1" w:color="auto"/>
          <w:right w:val="single" w:sz="12" w:space="4" w:color="auto"/>
        </w:pBdr>
        <w:ind w:left="1440" w:right="1440"/>
      </w:pPr>
      <w:r w:rsidRPr="00A735B4">
        <w:rPr>
          <w:rFonts w:ascii="Symbol" w:hAnsi="Symbol" w:cs="Symbol"/>
        </w:rPr>
        <w:lastRenderedPageBreak/>
        <w:t></w:t>
      </w:r>
      <w:r w:rsidRPr="00A735B4">
        <w:rPr>
          <w:b/>
          <w:i/>
        </w:rPr>
        <w:t>Case Study 2</w:t>
      </w:r>
      <w:r w:rsidRPr="00A735B4">
        <w:t xml:space="preserve">: A small, informal transporter with a small and secondhand purchased fleet transporting low-value cargo (rice) in 50-kilo bags. </w:t>
      </w:r>
    </w:p>
    <w:p w14:paraId="5C24576E" w14:textId="1134C13D" w:rsidR="00C4454D" w:rsidRPr="00A735B4" w:rsidRDefault="00C4454D" w:rsidP="00C4454D">
      <w:pPr>
        <w:pBdr>
          <w:top w:val="single" w:sz="12" w:space="1" w:color="auto"/>
          <w:left w:val="single" w:sz="12" w:space="4" w:color="auto"/>
          <w:bottom w:val="single" w:sz="12" w:space="1" w:color="auto"/>
          <w:right w:val="single" w:sz="12" w:space="4" w:color="auto"/>
        </w:pBdr>
        <w:ind w:left="1440" w:right="1440"/>
      </w:pPr>
      <w:r w:rsidRPr="00A735B4">
        <w:rPr>
          <w:rFonts w:ascii="Symbol" w:hAnsi="Symbol" w:cs="Symbol"/>
        </w:rPr>
        <w:t></w:t>
      </w:r>
      <w:r w:rsidRPr="00A735B4">
        <w:rPr>
          <w:b/>
          <w:i/>
        </w:rPr>
        <w:t>Case Study 3</w:t>
      </w:r>
      <w:r w:rsidRPr="00A735B4">
        <w:rPr>
          <w:i/>
        </w:rPr>
        <w:t>:</w:t>
      </w:r>
      <w:r w:rsidRPr="00A735B4">
        <w:t xml:space="preserve"> A large, formal, specialized transporter with a large and secondhand purchased fleet transporting high-value spare parts equivalent to two stripped 20-foot containers. </w:t>
      </w:r>
    </w:p>
    <w:p w14:paraId="793B0268" w14:textId="77777777" w:rsidR="00C4454D" w:rsidRPr="00A735B4" w:rsidRDefault="00C4454D" w:rsidP="00C4454D"/>
    <w:p w14:paraId="22468A95" w14:textId="77777777" w:rsidR="00C4454D" w:rsidRPr="00A735B4" w:rsidRDefault="00C4454D">
      <w:pPr>
        <w:spacing w:after="200" w:line="276" w:lineRule="auto"/>
        <w:rPr>
          <w:b/>
          <w:bCs/>
          <w:color w:val="1F497D" w:themeColor="text2"/>
        </w:rPr>
      </w:pPr>
      <w:bookmarkStart w:id="106" w:name="_Toc410823558"/>
      <w:r w:rsidRPr="00A735B4">
        <w:rPr>
          <w:color w:val="1F497D" w:themeColor="text2"/>
        </w:rPr>
        <w:br w:type="page"/>
      </w:r>
    </w:p>
    <w:p w14:paraId="5C7B9720" w14:textId="4F1CE33D" w:rsidR="00C4454D" w:rsidRPr="00A735B4" w:rsidRDefault="00C4454D" w:rsidP="00C4454D">
      <w:pPr>
        <w:spacing w:after="0"/>
        <w:jc w:val="center"/>
        <w:rPr>
          <w:color w:val="1F497D" w:themeColor="text2"/>
        </w:rPr>
      </w:pPr>
      <w:r w:rsidRPr="00A735B4">
        <w:rPr>
          <w:color w:val="1F497D" w:themeColor="text2"/>
        </w:rPr>
        <w:lastRenderedPageBreak/>
        <w:t>Table B.1 Total logistics costs for transport along Abidjan-Ouagadougou by road and rail and to Bamako by road for each case study (CFA francs)</w:t>
      </w:r>
      <w:bookmarkEnd w:id="106"/>
    </w:p>
    <w:p w14:paraId="0C617EAB" w14:textId="77777777" w:rsidR="00C4454D" w:rsidRPr="00A735B4" w:rsidRDefault="00C4454D" w:rsidP="00C4454D">
      <w:pPr>
        <w:rPr>
          <w:rFonts w:ascii="Book Antiqua" w:hAnsi="Book Antiqua" w:cs="Book Antiqua"/>
          <w:color w:val="000000"/>
          <w:sz w:val="16"/>
          <w:szCs w:val="16"/>
        </w:rPr>
      </w:pPr>
      <w:r w:rsidRPr="00A735B4">
        <w:rPr>
          <w:noProof/>
          <w:sz w:val="18"/>
          <w:szCs w:val="18"/>
        </w:rPr>
        <w:drawing>
          <wp:inline distT="0" distB="0" distL="0" distR="0" wp14:anchorId="3E6F721C" wp14:editId="1DBAB5F6">
            <wp:extent cx="5057775" cy="4762500"/>
            <wp:effectExtent l="0" t="0" r="952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057775" cy="4762500"/>
                    </a:xfrm>
                    <a:prstGeom prst="rect">
                      <a:avLst/>
                    </a:prstGeom>
                  </pic:spPr>
                </pic:pic>
              </a:graphicData>
            </a:graphic>
          </wp:inline>
        </w:drawing>
      </w:r>
    </w:p>
    <w:p w14:paraId="13452A02" w14:textId="7A80BDF2" w:rsidR="00C4454D" w:rsidRPr="00A735B4" w:rsidRDefault="00C4454D" w:rsidP="00C4454D">
      <w:bookmarkStart w:id="107" w:name="_Toc419565260"/>
      <w:r w:rsidRPr="00A735B4">
        <w:t>B.11  Indicators for transaction costs and regional trade integration</w:t>
      </w:r>
      <w:bookmarkEnd w:id="107"/>
    </w:p>
    <w:p w14:paraId="3C7F4B83" w14:textId="77777777" w:rsidR="00C4454D" w:rsidRPr="00A735B4" w:rsidRDefault="00C4454D" w:rsidP="00C4454D">
      <w:pPr>
        <w:jc w:val="both"/>
      </w:pPr>
    </w:p>
    <w:p w14:paraId="5F6957EE" w14:textId="2AD71944" w:rsidR="00C4454D" w:rsidRPr="00A735B4" w:rsidRDefault="00C4454D" w:rsidP="00C4454D">
      <w:pPr>
        <w:jc w:val="both"/>
      </w:pPr>
      <w:r w:rsidRPr="00A735B4">
        <w:t>The data that are being sought are of two types, relating to transaction costs and relating to intraregional trade flows. There is an expectation that reductions in transaction costs will lead to increases in trade flows, so if these two types of data are collected over time as part of a corridor monitoring process, they could provide some of the data on which cause (change in transaction costs) and effect (change in intraregional trade) might be estimated. Controls would be needed for all the other variables that impact intraregional trade flows.</w:t>
      </w:r>
    </w:p>
    <w:p w14:paraId="675F310E" w14:textId="77777777" w:rsidR="00C4454D" w:rsidRPr="00A735B4" w:rsidRDefault="00C4454D" w:rsidP="00C4454D">
      <w:pPr>
        <w:jc w:val="both"/>
      </w:pPr>
    </w:p>
    <w:p w14:paraId="49E9DFFE" w14:textId="77777777" w:rsidR="00C4454D" w:rsidRPr="00A735B4" w:rsidRDefault="00C4454D" w:rsidP="00C4454D">
      <w:pPr>
        <w:rPr>
          <w:b/>
        </w:rPr>
      </w:pPr>
      <w:r w:rsidRPr="00A735B4">
        <w:rPr>
          <w:b/>
        </w:rPr>
        <w:t>Transaction costs</w:t>
      </w:r>
    </w:p>
    <w:p w14:paraId="2C43016B" w14:textId="5BF691C7" w:rsidR="00C4454D" w:rsidRPr="00A735B4" w:rsidRDefault="00C4454D" w:rsidP="00C4454D">
      <w:pPr>
        <w:jc w:val="both"/>
      </w:pPr>
      <w:r w:rsidRPr="00A735B4">
        <w:t xml:space="preserve">Although the monitoring indicators for the Northern Corridor, OPA corridors, and Abidjan-Lagos corridor serve the purpose for which they were designed, they cannot be used to assess transaction </w:t>
      </w:r>
      <w:r w:rsidRPr="00A735B4">
        <w:lastRenderedPageBreak/>
        <w:t xml:space="preserve">costs. They only provide data on some of the components of total transaction costs, but with some additional monitoring indicators it might be possible to come close to measuring total transaction costs. The way that this might be done is indicated by the methodology used to produce the performance indicators (total logistics costs and their components) in the </w:t>
      </w:r>
      <w:r w:rsidRPr="00A735B4">
        <w:rPr>
          <w:i/>
        </w:rPr>
        <w:t>Logistics Cost Study of Transport Corridors in West Africa</w:t>
      </w:r>
      <w:r w:rsidRPr="00A735B4">
        <w:t>.</w:t>
      </w:r>
      <w:r w:rsidRPr="00A735B4">
        <w:endnoteReference w:id="16"/>
      </w:r>
      <w:r w:rsidRPr="00A735B4">
        <w:t xml:space="preserve">  This report provides total logistics costs for several corridors and for several different types of transport companies, but for only a selected range of products.</w:t>
      </w:r>
      <w:r w:rsidRPr="00A735B4">
        <w:endnoteReference w:id="17"/>
      </w:r>
      <w:r w:rsidRPr="00A735B4">
        <w:t xml:space="preserve"> </w:t>
      </w:r>
    </w:p>
    <w:p w14:paraId="219A4029" w14:textId="77777777" w:rsidR="00C4454D" w:rsidRPr="00A735B4" w:rsidRDefault="00C4454D" w:rsidP="00C4454D">
      <w:pPr>
        <w:jc w:val="both"/>
      </w:pPr>
    </w:p>
    <w:p w14:paraId="359C3A04" w14:textId="2601CA87" w:rsidR="00C4454D" w:rsidRPr="00A735B4" w:rsidRDefault="00C4454D" w:rsidP="00C4454D">
      <w:pPr>
        <w:jc w:val="both"/>
      </w:pPr>
      <w:r w:rsidRPr="00A735B4">
        <w:t>The formal and informal transaction cost data were derived from a combination of transport company accounts and interviews with staff and drivers of the same companies. The methodology is not easy to apply, as it involves interviewing representatives of transport companies, and as indicated in the report, they do not always have the data available and if they do, are not always willing to provide it. If a panel of interested transport companies could be established in the corridor under investigation, they could facilitate the provision of consistent transaction costs over time.</w:t>
      </w:r>
    </w:p>
    <w:p w14:paraId="456A6C1E" w14:textId="77777777" w:rsidR="00C4454D" w:rsidRPr="00A735B4" w:rsidRDefault="00C4454D" w:rsidP="00C4454D">
      <w:pPr>
        <w:jc w:val="both"/>
      </w:pPr>
    </w:p>
    <w:p w14:paraId="1EC28B60" w14:textId="77777777" w:rsidR="00C4454D" w:rsidRPr="00A735B4" w:rsidRDefault="00C4454D" w:rsidP="00C4454D">
      <w:pPr>
        <w:rPr>
          <w:b/>
        </w:rPr>
      </w:pPr>
      <w:r w:rsidRPr="00A735B4">
        <w:rPr>
          <w:b/>
        </w:rPr>
        <w:t>Trade data</w:t>
      </w:r>
    </w:p>
    <w:p w14:paraId="28699880" w14:textId="2DC35F35" w:rsidR="00C4454D" w:rsidRPr="00A735B4" w:rsidRDefault="00C4454D" w:rsidP="00C4454D">
      <w:pPr>
        <w:jc w:val="both"/>
      </w:pPr>
      <w:r w:rsidRPr="00A735B4">
        <w:t>The report on the West Africa transport corridors also provided data on regional trade flows. These came from four sources:</w:t>
      </w:r>
    </w:p>
    <w:p w14:paraId="760C29EF" w14:textId="77777777" w:rsidR="00C4454D" w:rsidRPr="00A735B4" w:rsidRDefault="00C4454D" w:rsidP="00C4454D">
      <w:pPr>
        <w:jc w:val="both"/>
      </w:pPr>
      <w:r w:rsidRPr="00A735B4">
        <w:t xml:space="preserve"> </w:t>
      </w:r>
    </w:p>
    <w:p w14:paraId="4BB1A1F2" w14:textId="7073729A" w:rsidR="00C4454D" w:rsidRPr="00A735B4" w:rsidRDefault="00C4454D" w:rsidP="00C4454D">
      <w:pPr>
        <w:numPr>
          <w:ilvl w:val="0"/>
          <w:numId w:val="15"/>
        </w:numPr>
        <w:spacing w:line="264" w:lineRule="auto"/>
        <w:jc w:val="both"/>
      </w:pPr>
      <w:r w:rsidRPr="00A735B4">
        <w:rPr>
          <w:i/>
        </w:rPr>
        <w:t>National trade statistics</w:t>
      </w:r>
      <w:r w:rsidRPr="00A735B4">
        <w:t>. These by definition refer to all the trade between countries regardless of the corridor or route used for that trade.</w:t>
      </w:r>
    </w:p>
    <w:p w14:paraId="789E9EF2" w14:textId="6250F374" w:rsidR="00C4454D" w:rsidRPr="00A735B4" w:rsidRDefault="00C4454D" w:rsidP="00C4454D">
      <w:pPr>
        <w:numPr>
          <w:ilvl w:val="0"/>
          <w:numId w:val="15"/>
        </w:numPr>
        <w:spacing w:line="264" w:lineRule="auto"/>
        <w:jc w:val="both"/>
      </w:pPr>
      <w:r w:rsidRPr="00A735B4">
        <w:rPr>
          <w:i/>
        </w:rPr>
        <w:t>Port statistics</w:t>
      </w:r>
      <w:r w:rsidRPr="00A735B4">
        <w:t>. These are usually based on shipping manifests, which may not fully measure actual transit volumes, particularly exports of agricultural products. Port statistics relate more specifically to corridor trade since most of it passes through the corridor’s port or ports.</w:t>
      </w:r>
    </w:p>
    <w:p w14:paraId="7844A88A" w14:textId="1D290577" w:rsidR="00C4454D" w:rsidRPr="00A735B4" w:rsidRDefault="00C4454D" w:rsidP="00C4454D">
      <w:pPr>
        <w:numPr>
          <w:ilvl w:val="0"/>
          <w:numId w:val="15"/>
        </w:numPr>
        <w:spacing w:line="264" w:lineRule="auto"/>
        <w:jc w:val="both"/>
      </w:pPr>
      <w:r w:rsidRPr="00A735B4">
        <w:rPr>
          <w:i/>
        </w:rPr>
        <w:t>Shippers’ councils</w:t>
      </w:r>
      <w:r w:rsidRPr="00A735B4">
        <w:t>. These usually monitor land transport between country pairs in application of bilateral transit agreements. However, these data again relate to national rather than corridor trade.</w:t>
      </w:r>
    </w:p>
    <w:p w14:paraId="7D02B56F" w14:textId="77777777" w:rsidR="00C4454D" w:rsidRPr="00A735B4" w:rsidRDefault="00C4454D" w:rsidP="00C4454D">
      <w:pPr>
        <w:numPr>
          <w:ilvl w:val="0"/>
          <w:numId w:val="15"/>
        </w:numPr>
        <w:spacing w:line="264" w:lineRule="auto"/>
        <w:jc w:val="both"/>
      </w:pPr>
      <w:r w:rsidRPr="00A735B4">
        <w:rPr>
          <w:i/>
        </w:rPr>
        <w:t>Customs data, through customs declarations</w:t>
      </w:r>
      <w:r w:rsidRPr="00A735B4">
        <w:t xml:space="preserve">. Obtaining corridor-specific information requires special analyses of customs statistics. </w:t>
      </w:r>
    </w:p>
    <w:p w14:paraId="6BF7548A" w14:textId="77777777" w:rsidR="00C4454D" w:rsidRPr="00A735B4" w:rsidRDefault="00C4454D" w:rsidP="00C4454D">
      <w:pPr>
        <w:jc w:val="both"/>
      </w:pPr>
    </w:p>
    <w:p w14:paraId="0A731DA9" w14:textId="18247DD5" w:rsidR="00C4454D" w:rsidRPr="00A735B4" w:rsidRDefault="00C4454D" w:rsidP="00C4454D">
      <w:pPr>
        <w:jc w:val="both"/>
      </w:pPr>
      <w:r w:rsidRPr="00A735B4">
        <w:t xml:space="preserve">But what these sources miss are data on intraregional trade, which uses the corridor for only part of its distance and does not pass through the corridor port. It should be possible to collect more location-specific customs data at inland border crossings, and this can provide additional insight into intraregional trade flows. With considerable further effort, roadside interviews can be made with truck drivers, who can be asked about their trip origin and destination, or for the waybills for their freight, which provide the same data as well as the value and volume and type of product they are transporting. </w:t>
      </w:r>
    </w:p>
    <w:p w14:paraId="7D4582AE" w14:textId="77777777" w:rsidR="00C4454D" w:rsidRPr="00A735B4" w:rsidRDefault="00C4454D" w:rsidP="00C4454D">
      <w:pPr>
        <w:jc w:val="both"/>
      </w:pPr>
    </w:p>
    <w:p w14:paraId="6EB34671" w14:textId="77777777" w:rsidR="00C4454D" w:rsidRPr="00A735B4" w:rsidRDefault="00C4454D" w:rsidP="00C4454D">
      <w:pPr>
        <w:rPr>
          <w:b/>
        </w:rPr>
      </w:pPr>
      <w:r w:rsidRPr="00A735B4">
        <w:rPr>
          <w:b/>
        </w:rPr>
        <w:lastRenderedPageBreak/>
        <w:t>Frequency of measurement</w:t>
      </w:r>
    </w:p>
    <w:p w14:paraId="6EA2595B" w14:textId="72D90A94" w:rsidR="00C4454D" w:rsidRPr="00A735B4" w:rsidRDefault="00C4454D" w:rsidP="00C4454D">
      <w:pPr>
        <w:jc w:val="both"/>
      </w:pPr>
      <w:r w:rsidRPr="00A735B4">
        <w:t>The logistics data for the West Africa Corridor Logistics Study was only collected once, although some of the data were derived from the OPA monitoring data, which are collected more regularly. Given that most of the financial cost data come from rather lengthy interviews with transport companies, it is unlikely that such data can be collected more than once every few years, although if a panel of corridor operators can be established, they could perhaps provide that part of the data that comes from their annual accounts on an annual basis. Small truck operators would need to be represented on their panel by their trade association, and even then it is possible that annual data would not be available.</w:t>
      </w:r>
    </w:p>
    <w:p w14:paraId="654ADF15" w14:textId="77777777" w:rsidR="00C4454D" w:rsidRPr="00A735B4" w:rsidRDefault="00C4454D" w:rsidP="00C4454D">
      <w:pPr>
        <w:jc w:val="both"/>
      </w:pPr>
    </w:p>
    <w:p w14:paraId="045D1F8B" w14:textId="7A7C2357" w:rsidR="00C4454D" w:rsidRPr="00A735B4" w:rsidRDefault="00C4454D" w:rsidP="00C4454D">
      <w:pPr>
        <w:jc w:val="both"/>
      </w:pPr>
      <w:r w:rsidRPr="00A735B4">
        <w:t xml:space="preserve">The national trade data are published annually, but they are also available on a monthly basis in some countries. The regional trade data collected by ports are also published on an annual basis, but they are often available monthly. </w:t>
      </w:r>
    </w:p>
    <w:p w14:paraId="038FD517" w14:textId="77777777" w:rsidR="00C4454D" w:rsidRPr="00A735B4" w:rsidRDefault="00C4454D" w:rsidP="00C4454D">
      <w:pPr>
        <w:jc w:val="both"/>
      </w:pPr>
    </w:p>
    <w:p w14:paraId="3FEE92AC" w14:textId="0B89942E" w:rsidR="00C4454D" w:rsidRPr="00A735B4" w:rsidRDefault="00C4454D" w:rsidP="00C4454D">
      <w:pPr>
        <w:jc w:val="both"/>
      </w:pPr>
      <w:bookmarkStart w:id="108" w:name="_Toc419565261"/>
      <w:r w:rsidRPr="00A735B4">
        <w:t>B.12  Proposed monitoring indicators</w:t>
      </w:r>
      <w:bookmarkEnd w:id="108"/>
    </w:p>
    <w:p w14:paraId="3803F98E" w14:textId="77777777" w:rsidR="00C4454D" w:rsidRPr="00A735B4" w:rsidRDefault="00C4454D" w:rsidP="00C4454D">
      <w:pPr>
        <w:jc w:val="both"/>
      </w:pPr>
    </w:p>
    <w:p w14:paraId="3E7D969E" w14:textId="23A2F443" w:rsidR="00C4454D" w:rsidRPr="00A735B4" w:rsidRDefault="00C4454D" w:rsidP="00C4454D">
      <w:pPr>
        <w:jc w:val="both"/>
      </w:pPr>
      <w:r w:rsidRPr="00A735B4">
        <w:t>The data needed for these purposes go beyond that currently being collected and analyzed for the Northern Corridor. However, the data from the Northern Corridor Observatory can provide an important input to the indicators that are needed.</w:t>
      </w:r>
    </w:p>
    <w:p w14:paraId="730805D6" w14:textId="77777777" w:rsidR="00C4454D" w:rsidRPr="00A735B4" w:rsidRDefault="00C4454D" w:rsidP="00C4454D">
      <w:pPr>
        <w:jc w:val="both"/>
      </w:pPr>
    </w:p>
    <w:p w14:paraId="15D4C5CD" w14:textId="288F5538" w:rsidR="00C4454D" w:rsidRPr="00A735B4" w:rsidRDefault="00C4454D" w:rsidP="00C4454D">
      <w:pPr>
        <w:jc w:val="both"/>
      </w:pPr>
      <w:r w:rsidRPr="00A735B4">
        <w:t xml:space="preserve">For transaction costs, the method used in the West Africa Corridors Logistics Costs study can be adapted for use in East Africa and on a regular if infrequent basis. The total logistics costs would be estimated in two parts, financial costs and “hidden costs.” They would also be collected only for specific products or supply chains. </w:t>
      </w:r>
    </w:p>
    <w:p w14:paraId="1EB5020C" w14:textId="77777777" w:rsidR="00C4454D" w:rsidRPr="00A735B4" w:rsidRDefault="00C4454D" w:rsidP="00C4454D">
      <w:pPr>
        <w:jc w:val="both"/>
      </w:pPr>
    </w:p>
    <w:p w14:paraId="211C3F28" w14:textId="77777777" w:rsidR="00C4454D" w:rsidRPr="00A735B4" w:rsidRDefault="00C4454D" w:rsidP="00C4454D">
      <w:pPr>
        <w:jc w:val="both"/>
      </w:pPr>
      <w:r w:rsidRPr="00A735B4">
        <w:t>The indicators of financial costs would be the following:</w:t>
      </w:r>
    </w:p>
    <w:p w14:paraId="53AFAF3B" w14:textId="77777777" w:rsidR="00C4454D" w:rsidRPr="00A735B4" w:rsidRDefault="00C4454D" w:rsidP="00C4454D">
      <w:pPr>
        <w:jc w:val="both"/>
      </w:pPr>
    </w:p>
    <w:p w14:paraId="15E25223" w14:textId="01A023CA" w:rsidR="00C4454D" w:rsidRPr="00A735B4" w:rsidRDefault="00C4454D" w:rsidP="00C4454D">
      <w:pPr>
        <w:ind w:left="360"/>
        <w:jc w:val="both"/>
      </w:pPr>
      <w:r w:rsidRPr="00A735B4">
        <w:rPr>
          <w:i/>
        </w:rPr>
        <w:t>Gateway charges (port costs)</w:t>
      </w:r>
      <w:r w:rsidRPr="00A735B4">
        <w:t xml:space="preserve">. These are charges for the handling of freight within the port. For imports, they include all the costs once the freight has been offloaded from the ship until it exits the port gate. For exports, they include all the charges for entering the port and for all the activities within the port until the freight is loaded onto the ship. These charges can usually be provided by shipping agents and/or freight forwarders. </w:t>
      </w:r>
    </w:p>
    <w:p w14:paraId="2675CB2E" w14:textId="5B4C70A3" w:rsidR="00C4454D" w:rsidRPr="00A735B4" w:rsidRDefault="00C4454D" w:rsidP="00C4454D">
      <w:pPr>
        <w:ind w:left="360"/>
        <w:jc w:val="both"/>
      </w:pPr>
      <w:r w:rsidRPr="00A735B4">
        <w:rPr>
          <w:i/>
        </w:rPr>
        <w:t>Truck or rail tariffs</w:t>
      </w:r>
      <w:r w:rsidRPr="00A735B4">
        <w:t xml:space="preserve">. Although there are reference truck tariffs (and published rail tariffs in corridors that have rail freight services), these are only an approximate reflection of the tariffs that are actually paid by traders to truck operators. As has been found in many studies trying to relate truck tariffs to vehicle operating costs, this is only another very approximate relationship and vehicle </w:t>
      </w:r>
      <w:r w:rsidRPr="00A735B4">
        <w:lastRenderedPageBreak/>
        <w:t>operating costs cannot be used to reflect actual truck tariffs. There is no reliable alternative to asking representative truckers what tariffs they are paying, and to have some form of verification with other operators or trucking associations. Average rail tariffs can sometimes be derived from railway financial accounts (if these are available); otherwise the best sources are shipping agents and freight forwarders.</w:t>
      </w:r>
    </w:p>
    <w:p w14:paraId="10005B9C" w14:textId="35EE46A4" w:rsidR="00C4454D" w:rsidRPr="00A735B4" w:rsidRDefault="00C4454D" w:rsidP="00C4454D">
      <w:pPr>
        <w:ind w:left="360"/>
        <w:jc w:val="both"/>
      </w:pPr>
      <w:r w:rsidRPr="00A735B4">
        <w:rPr>
          <w:i/>
        </w:rPr>
        <w:t>Inland freight handling charges</w:t>
      </w:r>
      <w:r w:rsidRPr="00A735B4">
        <w:t>. These are often equivalent to the gateway charges, but might be incurred at the border, at an inland freight terminal, or even at the importers’ own premises. The charges include customs and other formal agency charges, as well as those to freight handling agents. The charges can sometimes be found in the financial accounts of the traders, but more often it is necessary to rely on interview information.</w:t>
      </w:r>
    </w:p>
    <w:p w14:paraId="78C7367A" w14:textId="45345C6A" w:rsidR="00C4454D" w:rsidRPr="00A735B4" w:rsidRDefault="00C4454D" w:rsidP="00C4454D">
      <w:pPr>
        <w:ind w:left="360"/>
        <w:jc w:val="both"/>
      </w:pPr>
      <w:r w:rsidRPr="00A735B4">
        <w:rPr>
          <w:i/>
        </w:rPr>
        <w:t>The indicators of “hidden” charges</w:t>
      </w:r>
      <w:r w:rsidRPr="00A735B4">
        <w:t xml:space="preserve">. Hidden charges are even more difficult to measure. All sets of the corridor-monitoring indicators include some measure of these costs. These measures do not necessarily include all of these costs, but, as in the Northern Corridor and OPA corridors, they probably include those that make up most of this category of cost. What is often missing are the bribes that are paid for faster processing of documents and those relating to the financial costs of traders having to hold additional inventories because of the uncertainties of transit times in the corridor. </w:t>
      </w:r>
    </w:p>
    <w:p w14:paraId="0D81D91D" w14:textId="77777777" w:rsidR="00C4454D" w:rsidRPr="00A735B4" w:rsidRDefault="00C4454D" w:rsidP="00C4454D">
      <w:pPr>
        <w:jc w:val="both"/>
      </w:pPr>
    </w:p>
    <w:p w14:paraId="4972EB80" w14:textId="77777777" w:rsidR="00C4454D" w:rsidRPr="00A735B4" w:rsidRDefault="00C4454D" w:rsidP="00C4454D">
      <w:pPr>
        <w:jc w:val="both"/>
      </w:pPr>
      <w:r w:rsidRPr="00A735B4">
        <w:t>The indicators that are currently collected and that would be useful for this purpose include (from the West Africa corridor monitoring indicators, which are more complete than those for the Northern Corridor):</w:t>
      </w:r>
    </w:p>
    <w:p w14:paraId="58C16FA8" w14:textId="77777777" w:rsidR="00C4454D" w:rsidRPr="00A735B4" w:rsidRDefault="00C4454D" w:rsidP="00C4454D">
      <w:pPr>
        <w:jc w:val="both"/>
      </w:pPr>
    </w:p>
    <w:p w14:paraId="0FE557ED" w14:textId="1F402A88" w:rsidR="00C4454D" w:rsidRPr="00A735B4" w:rsidRDefault="00C4454D" w:rsidP="00C4454D">
      <w:pPr>
        <w:numPr>
          <w:ilvl w:val="0"/>
          <w:numId w:val="13"/>
        </w:numPr>
        <w:spacing w:line="264" w:lineRule="auto"/>
      </w:pPr>
      <w:r w:rsidRPr="00A735B4">
        <w:rPr>
          <w:bCs/>
        </w:rPr>
        <w:t>N</w:t>
      </w:r>
      <w:r w:rsidRPr="00A735B4">
        <w:rPr>
          <w:rFonts w:eastAsia="Times New Roman"/>
          <w:bCs/>
        </w:rPr>
        <w:t xml:space="preserve">umber of checkpoints, </w:t>
      </w:r>
      <w:r w:rsidRPr="00A735B4">
        <w:rPr>
          <w:rFonts w:eastAsia="Times New Roman"/>
        </w:rPr>
        <w:t xml:space="preserve">including border posts manned by official agencies (customs, police </w:t>
      </w:r>
      <w:r w:rsidRPr="00A735B4">
        <w:t>gendarmerie,</w:t>
      </w:r>
      <w:r w:rsidRPr="00A735B4">
        <w:rPr>
          <w:rFonts w:eastAsia="Times New Roman"/>
        </w:rPr>
        <w:t xml:space="preserve"> health and forestry, immigration)</w:t>
      </w:r>
      <w:r w:rsidRPr="00A735B4">
        <w:t>, expressed as number of checkpoints per km of route</w:t>
      </w:r>
    </w:p>
    <w:p w14:paraId="6C6AD50B" w14:textId="16F44C1E" w:rsidR="00C4454D" w:rsidRPr="00A735B4" w:rsidRDefault="00C4454D" w:rsidP="00C4454D">
      <w:pPr>
        <w:numPr>
          <w:ilvl w:val="0"/>
          <w:numId w:val="13"/>
        </w:numPr>
        <w:spacing w:line="264" w:lineRule="auto"/>
      </w:pPr>
      <w:r w:rsidRPr="00A735B4">
        <w:t>T</w:t>
      </w:r>
      <w:r w:rsidRPr="00A735B4">
        <w:rPr>
          <w:rFonts w:eastAsia="Times New Roman"/>
        </w:rPr>
        <w:t xml:space="preserve">ime </w:t>
      </w:r>
      <w:r w:rsidRPr="00A735B4">
        <w:t>taken to</w:t>
      </w:r>
      <w:r w:rsidRPr="00A735B4">
        <w:rPr>
          <w:rFonts w:eastAsia="Times New Roman"/>
        </w:rPr>
        <w:t xml:space="preserve"> conduct controls at </w:t>
      </w:r>
      <w:r w:rsidRPr="00A735B4">
        <w:t>the checkpoints, expressed as total and time per km of route</w:t>
      </w:r>
    </w:p>
    <w:p w14:paraId="597BFECE" w14:textId="304B7640" w:rsidR="00C4454D" w:rsidRPr="00A735B4" w:rsidRDefault="00C4454D" w:rsidP="00C4454D">
      <w:pPr>
        <w:numPr>
          <w:ilvl w:val="0"/>
          <w:numId w:val="13"/>
        </w:numPr>
        <w:spacing w:line="264" w:lineRule="auto"/>
      </w:pPr>
      <w:r w:rsidRPr="00A735B4">
        <w:t>Amount of b</w:t>
      </w:r>
      <w:r w:rsidRPr="00A735B4">
        <w:rPr>
          <w:rFonts w:eastAsia="Times New Roman"/>
        </w:rPr>
        <w:t xml:space="preserve">ribes and unofficial payments </w:t>
      </w:r>
      <w:r w:rsidRPr="00A735B4">
        <w:t xml:space="preserve">paid and </w:t>
      </w:r>
      <w:r w:rsidRPr="00A735B4">
        <w:rPr>
          <w:rFonts w:eastAsia="Times New Roman"/>
        </w:rPr>
        <w:t xml:space="preserve">collected at </w:t>
      </w:r>
      <w:r w:rsidRPr="00A735B4">
        <w:t xml:space="preserve">the </w:t>
      </w:r>
      <w:r w:rsidRPr="00A735B4">
        <w:rPr>
          <w:rFonts w:eastAsia="Times New Roman"/>
        </w:rPr>
        <w:t>checkpoints</w:t>
      </w:r>
      <w:r w:rsidRPr="00A735B4">
        <w:t>, expressed as a total in US$ and US$ per km of route.</w:t>
      </w:r>
    </w:p>
    <w:p w14:paraId="04EB0FC3" w14:textId="77777777" w:rsidR="00C4454D" w:rsidRPr="00A735B4" w:rsidRDefault="00C4454D" w:rsidP="00C4454D"/>
    <w:p w14:paraId="48C86708" w14:textId="6CAE7B05" w:rsidR="00C4454D" w:rsidRPr="00A735B4" w:rsidRDefault="00C4454D" w:rsidP="00C4454D">
      <w:r w:rsidRPr="00A735B4">
        <w:rPr>
          <w:i/>
        </w:rPr>
        <w:t>Trade monitoring indicators</w:t>
      </w:r>
      <w:r w:rsidRPr="00A735B4">
        <w:tab/>
        <w:t>are also difficult to obtain, other than those derived from port and customs data and national trade statistics. The missing element is data on trade that does not pass through the port and whose data are not collected at the inland border crossings. These data can be measured through specific analysis of land border customs data or from roadside surveys of truck operators.</w:t>
      </w:r>
    </w:p>
    <w:p w14:paraId="4B258AC7" w14:textId="77777777" w:rsidR="00C4454D" w:rsidRPr="00A735B4" w:rsidRDefault="00C4454D" w:rsidP="00C4454D"/>
    <w:p w14:paraId="7A49CB35" w14:textId="7CB26294" w:rsidR="00C4454D" w:rsidRPr="00A735B4" w:rsidRDefault="00C4454D" w:rsidP="00C4454D">
      <w:r w:rsidRPr="00A735B4">
        <w:lastRenderedPageBreak/>
        <w:t>Suggested trade indicators from inland border customs agencies are the same as from port customs agencies: a matrix of trade flows (volume and value) between the countries involved in the corridor and some of their close neighbors (such as Tanzania for the Northern Corridor). The matrix can be for all trade or for specific product groups (based on HS or SITC codes).</w:t>
      </w:r>
    </w:p>
    <w:p w14:paraId="7C05A510" w14:textId="77777777" w:rsidR="00C4454D" w:rsidRPr="00A735B4" w:rsidRDefault="00C4454D" w:rsidP="00C4454D"/>
    <w:p w14:paraId="7F9A5DE8" w14:textId="627CBA08" w:rsidR="00C4454D" w:rsidRPr="00A735B4" w:rsidRDefault="00C4454D" w:rsidP="00C4454D">
      <w:r w:rsidRPr="00A735B4">
        <w:t>From truck surveys more detailed data can be obtained on origins and destinations of traded products, but only on a sample basis compared with the population basis for customs data. In contrast, there is a chance of finding some evidence and quantification of otherwise unrecorded trade flows from these surveys.</w:t>
      </w:r>
    </w:p>
    <w:p w14:paraId="68FCB8BC" w14:textId="77777777" w:rsidR="00C4454D" w:rsidRPr="00A735B4" w:rsidRDefault="00C4454D">
      <w:pPr>
        <w:spacing w:after="200" w:line="276" w:lineRule="auto"/>
        <w:rPr>
          <w:rFonts w:asciiTheme="majorHAnsi" w:eastAsiaTheme="majorEastAsia" w:hAnsiTheme="majorHAnsi" w:cstheme="majorBidi"/>
          <w:b/>
          <w:bCs/>
          <w:color w:val="365F91" w:themeColor="accent1" w:themeShade="BF"/>
          <w:sz w:val="28"/>
          <w:szCs w:val="28"/>
        </w:rPr>
      </w:pPr>
      <w:bookmarkStart w:id="109" w:name="_Toc419565262"/>
      <w:bookmarkStart w:id="110" w:name="_Toc395690910"/>
      <w:r w:rsidRPr="00A735B4">
        <w:br w:type="page"/>
      </w:r>
    </w:p>
    <w:p w14:paraId="43D9FE7B" w14:textId="4247EDA5" w:rsidR="00C4454D" w:rsidRPr="00A735B4" w:rsidRDefault="00C4454D" w:rsidP="00C4454D">
      <w:pPr>
        <w:ind w:left="270"/>
      </w:pPr>
      <w:r w:rsidRPr="00A735B4">
        <w:lastRenderedPageBreak/>
        <w:t>Annex C  Banking, Insurance, and Accounting Services Indicators</w:t>
      </w:r>
      <w:r w:rsidRPr="00A735B4">
        <w:endnoteReference w:id="18"/>
      </w:r>
      <w:bookmarkEnd w:id="109"/>
    </w:p>
    <w:p w14:paraId="1D049A83" w14:textId="5C74BB9D" w:rsidR="00C4454D" w:rsidRPr="00A735B4" w:rsidRDefault="00C4454D" w:rsidP="00C4454D">
      <w:bookmarkStart w:id="111" w:name="_Toc419565263"/>
      <w:r w:rsidRPr="00A735B4">
        <w:t>C.1  Introduction</w:t>
      </w:r>
      <w:bookmarkEnd w:id="110"/>
      <w:bookmarkEnd w:id="111"/>
    </w:p>
    <w:p w14:paraId="054E6CBA" w14:textId="77777777" w:rsidR="00C4454D" w:rsidRPr="00A735B4" w:rsidRDefault="00C4454D" w:rsidP="00C4454D">
      <w:pPr>
        <w:rPr>
          <w:rFonts w:ascii="Times New Roman" w:hAnsi="Times New Roman"/>
        </w:rPr>
      </w:pPr>
    </w:p>
    <w:p w14:paraId="54A867A9" w14:textId="4B6390F9" w:rsidR="00C4454D" w:rsidRPr="00A735B4" w:rsidRDefault="00C4454D" w:rsidP="00C4454D">
      <w:pPr>
        <w:rPr>
          <w:rFonts w:ascii="Times New Roman" w:hAnsi="Times New Roman"/>
        </w:rPr>
      </w:pPr>
      <w:r w:rsidRPr="00A735B4">
        <w:rPr>
          <w:rFonts w:ascii="Times New Roman" w:hAnsi="Times New Roman"/>
        </w:rPr>
        <w:t xml:space="preserve">Regional trade in services offers enormous opportunities for African countries to diversify their exports, pursue new opportunities for dynamic growth, increase investment, promote efficiency, and widen access to services in the domestic economy. Reducing cost, raising quality, and increasing access to key services, such as telecommunications, energy, financial, and business services, can have economy-wide impacts, as these services are often inputs into the most productive activities, including manufacturing. A range of other services, including health, education, water, and sanitation, are crucial to assisting in poverty reduction and improving the quality of life of the population as a whole. Increasing the availability, affordability, and quality of these services is crucial for economic growth and poverty reduction in all African countries. </w:t>
      </w:r>
    </w:p>
    <w:p w14:paraId="5B9D9097" w14:textId="77777777" w:rsidR="00C4454D" w:rsidRPr="00A735B4" w:rsidRDefault="00C4454D" w:rsidP="00C4454D">
      <w:pPr>
        <w:rPr>
          <w:rFonts w:ascii="Times New Roman" w:hAnsi="Times New Roman"/>
        </w:rPr>
      </w:pPr>
      <w:r w:rsidRPr="00A735B4">
        <w:rPr>
          <w:rFonts w:ascii="Times New Roman" w:hAnsi="Times New Roman"/>
        </w:rPr>
        <w:t>Monitoring of progress in regional integration of services in Africa is severely hampered by lack of comprehensive data on trade in services between African countries and sparse information on regulatory policies and their application. The available studies are typically case studies of particular sectors in particular regions. Comprehensive comparisons across sectors and regions are not possible. New measures of the external trade policy stance on services are becoming available (for example, the Bank has developed a services trade restrictiveness database); however, it is clear that to support and monitor the opening up of regional markets for services in Africa, we need to go beyond trade measures to look at regulatory policies and their impact.</w:t>
      </w:r>
    </w:p>
    <w:p w14:paraId="46C0D4A9" w14:textId="7B8B8D62" w:rsidR="00C4454D" w:rsidRPr="00A735B4" w:rsidRDefault="00C4454D" w:rsidP="00C4454D">
      <w:pPr>
        <w:jc w:val="both"/>
      </w:pPr>
      <w:r w:rsidRPr="00A735B4">
        <w:t>This annex explores the applicability of new methods, such as a combination of mystery shopping visits and traditional interviews, to obtain data on performance indicators in banking, insurance, and accounting services in six Sub-Saharan African countries</w:t>
      </w:r>
      <w:bookmarkStart w:id="112" w:name="_Toc395690911"/>
      <w:r w:rsidRPr="00A735B4">
        <w:t xml:space="preserve">, namely Kenya, Malawi, Rwanda, Tanzania, Uganda, and Zambia. The mystery shopping method involves the use of mystery shoppers who are trained to act as prospective customers and undertake a series of predetermined visits to assess performance against specific criteria and report back on their experiences in a consistent and comparable way. Such disguised evaluations are often used to assess customer service, merchandising, brand representation, and transactional process and efficiencies, and evaluate compliance with safety and security procedures, corporate and franchise standards, and industry regulations. An advantage of the data collected through mystery shopping methods is that they are firsthand and do not rely on secondary accounts or self-reports. </w:t>
      </w:r>
    </w:p>
    <w:p w14:paraId="6EAB2F22" w14:textId="77777777" w:rsidR="00C4454D" w:rsidRPr="00A735B4" w:rsidRDefault="00C4454D" w:rsidP="00C4454D">
      <w:pPr>
        <w:rPr>
          <w:rFonts w:ascii="Times New Roman" w:hAnsi="Times New Roman"/>
          <w:szCs w:val="24"/>
        </w:rPr>
      </w:pPr>
    </w:p>
    <w:p w14:paraId="383C2017" w14:textId="214EE3A8" w:rsidR="00C4454D" w:rsidRPr="00A735B4" w:rsidRDefault="00C4454D" w:rsidP="00C4454D">
      <w:bookmarkStart w:id="113" w:name="_Toc419565264"/>
      <w:r w:rsidRPr="00A735B4">
        <w:t>C.2  Objective</w:t>
      </w:r>
      <w:bookmarkEnd w:id="112"/>
      <w:r w:rsidRPr="00A735B4">
        <w:t>s</w:t>
      </w:r>
      <w:bookmarkEnd w:id="113"/>
    </w:p>
    <w:p w14:paraId="2CADC442" w14:textId="77777777" w:rsidR="00C4454D" w:rsidRPr="00A735B4" w:rsidRDefault="00C4454D" w:rsidP="00C4454D">
      <w:pPr>
        <w:tabs>
          <w:tab w:val="num" w:pos="720"/>
        </w:tabs>
        <w:spacing w:after="200" w:line="276" w:lineRule="auto"/>
        <w:jc w:val="both"/>
      </w:pPr>
    </w:p>
    <w:p w14:paraId="75A7EC31" w14:textId="796BB2FD" w:rsidR="00C4454D" w:rsidRPr="00A735B4" w:rsidRDefault="00C4454D" w:rsidP="00C4454D">
      <w:pPr>
        <w:tabs>
          <w:tab w:val="num" w:pos="720"/>
        </w:tabs>
        <w:spacing w:after="200" w:line="276" w:lineRule="auto"/>
        <w:jc w:val="both"/>
      </w:pPr>
      <w:r w:rsidRPr="00A735B4">
        <w:t xml:space="preserve">The survey commissioned by the World Bank and carried out by Research Solutions Africa (RSA) aimed at identifying (i) the key services offered by banks, insurers, and accounting firms to micro and small enterprises (MSMEs) in the selected countries, and (ii) the prices for selected standardized services charged by banking, insurance and accounting services providers in the selected countries. </w:t>
      </w:r>
    </w:p>
    <w:p w14:paraId="461D0BD6" w14:textId="5B4A89A3" w:rsidR="00C4454D" w:rsidRPr="00A735B4" w:rsidRDefault="00C4454D" w:rsidP="00C4454D">
      <w:pPr>
        <w:jc w:val="both"/>
      </w:pPr>
      <w:bookmarkStart w:id="114" w:name="_Toc395690913"/>
      <w:bookmarkStart w:id="115" w:name="_Toc419565265"/>
      <w:r w:rsidRPr="00A735B4">
        <w:lastRenderedPageBreak/>
        <w:t>C.3  Data collection and sample</w:t>
      </w:r>
      <w:bookmarkEnd w:id="114"/>
      <w:bookmarkEnd w:id="115"/>
    </w:p>
    <w:p w14:paraId="6A80690A" w14:textId="77777777" w:rsidR="00C4454D" w:rsidRPr="00A735B4" w:rsidRDefault="00C4454D" w:rsidP="00C4454D">
      <w:pPr>
        <w:tabs>
          <w:tab w:val="num" w:pos="720"/>
        </w:tabs>
        <w:spacing w:after="200"/>
        <w:jc w:val="both"/>
      </w:pPr>
    </w:p>
    <w:p w14:paraId="635BEA48" w14:textId="18E40D20" w:rsidR="00C4454D" w:rsidRPr="00A735B4" w:rsidRDefault="00C4454D" w:rsidP="00C4454D">
      <w:pPr>
        <w:tabs>
          <w:tab w:val="num" w:pos="720"/>
        </w:tabs>
        <w:spacing w:after="200"/>
        <w:jc w:val="both"/>
      </w:pPr>
      <w:r w:rsidRPr="00A735B4">
        <w:t xml:space="preserve">In addition to the mystery shopping visits and the traditional interviews with employees of banks, insurance companies, and accountancy firms, RSA collected information from brochures and other official documents that were provided by the respondents. Data were collected using a semi-structured questionnaire, designed by RSA in collaboration with the World Bank team. Walk-ins and prearranged appointments were used to secure interviews. </w:t>
      </w:r>
    </w:p>
    <w:p w14:paraId="5837A851" w14:textId="62C4FC2B" w:rsidR="00C4454D" w:rsidRPr="00A735B4" w:rsidRDefault="00C4454D" w:rsidP="00C4454D">
      <w:pPr>
        <w:tabs>
          <w:tab w:val="num" w:pos="720"/>
        </w:tabs>
        <w:spacing w:after="200"/>
        <w:jc w:val="both"/>
      </w:pPr>
      <w:r w:rsidRPr="00A735B4">
        <w:t>A total of 216 interviews were conducted with services providers across the six countries.</w:t>
      </w:r>
      <w:r w:rsidRPr="00A735B4">
        <w:endnoteReference w:id="19"/>
      </w:r>
      <w:r w:rsidRPr="00A735B4">
        <w:t xml:space="preserve"> The sample composition for services providers is presented in table C.1. More details on the pilot and the fieldwork are provided in box C.1.  </w:t>
      </w:r>
    </w:p>
    <w:p w14:paraId="6A41154C" w14:textId="2E8B1AAB" w:rsidR="00C4454D" w:rsidRPr="00A735B4" w:rsidRDefault="00C4454D" w:rsidP="00C4454D">
      <w:pPr>
        <w:jc w:val="center"/>
        <w:rPr>
          <w:color w:val="1F497D" w:themeColor="text2"/>
        </w:rPr>
      </w:pPr>
      <w:bookmarkStart w:id="116" w:name="_Toc410823559"/>
      <w:r w:rsidRPr="00A735B4">
        <w:rPr>
          <w:color w:val="1F497D" w:themeColor="text2"/>
        </w:rPr>
        <w:t>Table C.1 Sample distribution: Services providers</w:t>
      </w:r>
      <w:bookmarkEnd w:id="116"/>
    </w:p>
    <w:tbl>
      <w:tblPr>
        <w:tblW w:w="8940" w:type="dxa"/>
        <w:tblInd w:w="10" w:type="dxa"/>
        <w:tblLayout w:type="fixed"/>
        <w:tblCellMar>
          <w:left w:w="10" w:type="dxa"/>
          <w:right w:w="10" w:type="dxa"/>
        </w:tblCellMar>
        <w:tblLook w:val="04A0" w:firstRow="1" w:lastRow="0" w:firstColumn="1" w:lastColumn="0" w:noHBand="0" w:noVBand="1"/>
      </w:tblPr>
      <w:tblGrid>
        <w:gridCol w:w="2235"/>
        <w:gridCol w:w="1676"/>
        <w:gridCol w:w="1676"/>
        <w:gridCol w:w="1609"/>
        <w:gridCol w:w="1744"/>
      </w:tblGrid>
      <w:tr w:rsidR="00C4454D" w:rsidRPr="00A735B4" w14:paraId="30234CD0" w14:textId="77777777" w:rsidTr="00C4454D">
        <w:trPr>
          <w:trHeight w:hRule="exact" w:val="284"/>
        </w:trPr>
        <w:tc>
          <w:tcPr>
            <w:tcW w:w="2235" w:type="dxa"/>
            <w:noWrap/>
            <w:hideMark/>
          </w:tcPr>
          <w:p w14:paraId="5DDAF7B3" w14:textId="0367BE92" w:rsidR="00C4454D" w:rsidRPr="00A735B4" w:rsidRDefault="00C4454D" w:rsidP="00C4454D">
            <w:pPr>
              <w:jc w:val="both"/>
              <w:rPr>
                <w:sz w:val="18"/>
                <w:szCs w:val="18"/>
              </w:rPr>
            </w:pPr>
            <w:r w:rsidRPr="00A735B4">
              <w:rPr>
                <w:sz w:val="18"/>
                <w:szCs w:val="18"/>
              </w:rPr>
              <w:t>COUNTRY y</w:t>
            </w:r>
          </w:p>
        </w:tc>
        <w:tc>
          <w:tcPr>
            <w:tcW w:w="1676" w:type="dxa"/>
            <w:noWrap/>
            <w:hideMark/>
          </w:tcPr>
          <w:p w14:paraId="345D67DE" w14:textId="77777777" w:rsidR="00C4454D" w:rsidRPr="00A735B4" w:rsidRDefault="00C4454D" w:rsidP="00C4454D">
            <w:pPr>
              <w:jc w:val="center"/>
              <w:rPr>
                <w:sz w:val="20"/>
                <w:szCs w:val="20"/>
              </w:rPr>
            </w:pPr>
            <w:r w:rsidRPr="00A735B4">
              <w:rPr>
                <w:sz w:val="20"/>
                <w:szCs w:val="20"/>
              </w:rPr>
              <w:t>Banks</w:t>
            </w:r>
          </w:p>
        </w:tc>
        <w:tc>
          <w:tcPr>
            <w:tcW w:w="1676" w:type="dxa"/>
            <w:noWrap/>
            <w:hideMark/>
          </w:tcPr>
          <w:p w14:paraId="7E668151" w14:textId="77777777" w:rsidR="00C4454D" w:rsidRPr="00A735B4" w:rsidRDefault="00C4454D" w:rsidP="00C4454D">
            <w:pPr>
              <w:jc w:val="center"/>
              <w:rPr>
                <w:sz w:val="20"/>
                <w:szCs w:val="20"/>
              </w:rPr>
            </w:pPr>
            <w:r w:rsidRPr="00A735B4">
              <w:rPr>
                <w:sz w:val="20"/>
                <w:szCs w:val="20"/>
              </w:rPr>
              <w:t>Accounting</w:t>
            </w:r>
          </w:p>
        </w:tc>
        <w:tc>
          <w:tcPr>
            <w:tcW w:w="1609" w:type="dxa"/>
            <w:noWrap/>
            <w:hideMark/>
          </w:tcPr>
          <w:p w14:paraId="3D7C002E" w14:textId="77777777" w:rsidR="00C4454D" w:rsidRPr="00A735B4" w:rsidRDefault="00C4454D" w:rsidP="00C4454D">
            <w:pPr>
              <w:jc w:val="center"/>
              <w:rPr>
                <w:sz w:val="20"/>
                <w:szCs w:val="20"/>
              </w:rPr>
            </w:pPr>
            <w:r w:rsidRPr="00A735B4">
              <w:rPr>
                <w:sz w:val="20"/>
                <w:szCs w:val="20"/>
              </w:rPr>
              <w:t>Insurance</w:t>
            </w:r>
          </w:p>
        </w:tc>
        <w:tc>
          <w:tcPr>
            <w:tcW w:w="1744" w:type="dxa"/>
            <w:noWrap/>
            <w:hideMark/>
          </w:tcPr>
          <w:p w14:paraId="591FB303" w14:textId="77777777" w:rsidR="00C4454D" w:rsidRPr="00A735B4" w:rsidRDefault="00C4454D" w:rsidP="00C4454D">
            <w:pPr>
              <w:jc w:val="center"/>
              <w:rPr>
                <w:sz w:val="20"/>
                <w:szCs w:val="20"/>
              </w:rPr>
            </w:pPr>
            <w:r w:rsidRPr="00A735B4">
              <w:rPr>
                <w:sz w:val="20"/>
                <w:szCs w:val="20"/>
              </w:rPr>
              <w:t>Total</w:t>
            </w:r>
          </w:p>
        </w:tc>
      </w:tr>
      <w:tr w:rsidR="00C4454D" w:rsidRPr="00A735B4" w14:paraId="296A4BE4" w14:textId="77777777" w:rsidTr="00C4454D">
        <w:trPr>
          <w:trHeight w:hRule="exact" w:val="284"/>
        </w:trPr>
        <w:tc>
          <w:tcPr>
            <w:tcW w:w="2235" w:type="dxa"/>
            <w:noWrap/>
            <w:hideMark/>
          </w:tcPr>
          <w:p w14:paraId="55468F6B" w14:textId="77777777" w:rsidR="00C4454D" w:rsidRPr="00A735B4" w:rsidRDefault="00C4454D" w:rsidP="00C4454D">
            <w:pPr>
              <w:jc w:val="both"/>
              <w:rPr>
                <w:b/>
                <w:color w:val="000000"/>
                <w:sz w:val="18"/>
                <w:szCs w:val="18"/>
              </w:rPr>
            </w:pPr>
            <w:r w:rsidRPr="00A735B4">
              <w:rPr>
                <w:b/>
                <w:color w:val="000000"/>
                <w:sz w:val="18"/>
                <w:szCs w:val="18"/>
              </w:rPr>
              <w:t>Kenya</w:t>
            </w:r>
          </w:p>
        </w:tc>
        <w:tc>
          <w:tcPr>
            <w:tcW w:w="1676" w:type="dxa"/>
            <w:noWrap/>
            <w:hideMark/>
          </w:tcPr>
          <w:p w14:paraId="0EF8DD22" w14:textId="77777777" w:rsidR="00C4454D" w:rsidRPr="00A735B4" w:rsidRDefault="00C4454D" w:rsidP="00C4454D">
            <w:pPr>
              <w:jc w:val="center"/>
              <w:rPr>
                <w:color w:val="000000"/>
                <w:sz w:val="18"/>
                <w:szCs w:val="18"/>
              </w:rPr>
            </w:pPr>
            <w:r w:rsidRPr="00A735B4">
              <w:rPr>
                <w:color w:val="000000"/>
                <w:sz w:val="18"/>
                <w:szCs w:val="18"/>
              </w:rPr>
              <w:t>20</w:t>
            </w:r>
          </w:p>
        </w:tc>
        <w:tc>
          <w:tcPr>
            <w:tcW w:w="1676" w:type="dxa"/>
            <w:noWrap/>
            <w:hideMark/>
          </w:tcPr>
          <w:p w14:paraId="7C480BFB" w14:textId="77777777" w:rsidR="00C4454D" w:rsidRPr="00A735B4" w:rsidRDefault="00C4454D" w:rsidP="00C4454D">
            <w:pPr>
              <w:jc w:val="center"/>
              <w:rPr>
                <w:color w:val="000000"/>
                <w:sz w:val="18"/>
                <w:szCs w:val="18"/>
              </w:rPr>
            </w:pPr>
            <w:r w:rsidRPr="00A735B4">
              <w:rPr>
                <w:color w:val="000000"/>
                <w:sz w:val="18"/>
                <w:szCs w:val="18"/>
              </w:rPr>
              <w:t>8</w:t>
            </w:r>
          </w:p>
        </w:tc>
        <w:tc>
          <w:tcPr>
            <w:tcW w:w="1609" w:type="dxa"/>
            <w:noWrap/>
            <w:hideMark/>
          </w:tcPr>
          <w:p w14:paraId="7300A9F2" w14:textId="77777777" w:rsidR="00C4454D" w:rsidRPr="00A735B4" w:rsidRDefault="00C4454D" w:rsidP="00C4454D">
            <w:pPr>
              <w:jc w:val="center"/>
              <w:rPr>
                <w:color w:val="000000"/>
                <w:sz w:val="18"/>
                <w:szCs w:val="18"/>
              </w:rPr>
            </w:pPr>
            <w:r w:rsidRPr="00A735B4">
              <w:rPr>
                <w:color w:val="000000"/>
                <w:sz w:val="18"/>
                <w:szCs w:val="18"/>
              </w:rPr>
              <w:t>8</w:t>
            </w:r>
          </w:p>
        </w:tc>
        <w:tc>
          <w:tcPr>
            <w:tcW w:w="1744" w:type="dxa"/>
            <w:noWrap/>
          </w:tcPr>
          <w:p w14:paraId="7B849C3A" w14:textId="77777777" w:rsidR="00C4454D" w:rsidRPr="00A735B4" w:rsidRDefault="00C4454D" w:rsidP="00C4454D">
            <w:pPr>
              <w:jc w:val="center"/>
              <w:rPr>
                <w:color w:val="000000"/>
              </w:rPr>
            </w:pPr>
            <w:r w:rsidRPr="00A735B4">
              <w:rPr>
                <w:color w:val="000000"/>
              </w:rPr>
              <w:t>36</w:t>
            </w:r>
          </w:p>
        </w:tc>
      </w:tr>
      <w:tr w:rsidR="00C4454D" w:rsidRPr="00A735B4" w14:paraId="248DC390" w14:textId="77777777" w:rsidTr="00C4454D">
        <w:trPr>
          <w:trHeight w:hRule="exact" w:val="284"/>
        </w:trPr>
        <w:tc>
          <w:tcPr>
            <w:tcW w:w="2235" w:type="dxa"/>
            <w:noWrap/>
            <w:hideMark/>
          </w:tcPr>
          <w:p w14:paraId="6DEE362D" w14:textId="77777777" w:rsidR="00C4454D" w:rsidRPr="00A735B4" w:rsidRDefault="00C4454D" w:rsidP="00C4454D">
            <w:pPr>
              <w:jc w:val="both"/>
              <w:rPr>
                <w:b/>
                <w:color w:val="000000"/>
                <w:sz w:val="18"/>
                <w:szCs w:val="18"/>
              </w:rPr>
            </w:pPr>
            <w:r w:rsidRPr="00A735B4">
              <w:rPr>
                <w:b/>
                <w:color w:val="000000"/>
                <w:sz w:val="18"/>
                <w:szCs w:val="18"/>
              </w:rPr>
              <w:t>Tanzania</w:t>
            </w:r>
          </w:p>
        </w:tc>
        <w:tc>
          <w:tcPr>
            <w:tcW w:w="1676" w:type="dxa"/>
            <w:noWrap/>
            <w:hideMark/>
          </w:tcPr>
          <w:p w14:paraId="66A16012" w14:textId="77777777" w:rsidR="00C4454D" w:rsidRPr="00A735B4" w:rsidRDefault="00C4454D" w:rsidP="00C4454D">
            <w:pPr>
              <w:jc w:val="center"/>
              <w:rPr>
                <w:color w:val="000000"/>
                <w:sz w:val="18"/>
                <w:szCs w:val="18"/>
              </w:rPr>
            </w:pPr>
            <w:r w:rsidRPr="00A735B4">
              <w:rPr>
                <w:color w:val="000000"/>
                <w:sz w:val="18"/>
                <w:szCs w:val="18"/>
              </w:rPr>
              <w:t>20</w:t>
            </w:r>
          </w:p>
        </w:tc>
        <w:tc>
          <w:tcPr>
            <w:tcW w:w="1676" w:type="dxa"/>
            <w:noWrap/>
            <w:hideMark/>
          </w:tcPr>
          <w:p w14:paraId="57EF78F7" w14:textId="77777777" w:rsidR="00C4454D" w:rsidRPr="00A735B4" w:rsidRDefault="00C4454D" w:rsidP="00C4454D">
            <w:pPr>
              <w:jc w:val="center"/>
              <w:rPr>
                <w:color w:val="000000"/>
                <w:sz w:val="18"/>
                <w:szCs w:val="18"/>
              </w:rPr>
            </w:pPr>
            <w:r w:rsidRPr="00A735B4">
              <w:rPr>
                <w:color w:val="000000"/>
                <w:sz w:val="18"/>
                <w:szCs w:val="18"/>
              </w:rPr>
              <w:t>8</w:t>
            </w:r>
          </w:p>
        </w:tc>
        <w:tc>
          <w:tcPr>
            <w:tcW w:w="1609" w:type="dxa"/>
            <w:noWrap/>
            <w:hideMark/>
          </w:tcPr>
          <w:p w14:paraId="19008130" w14:textId="77777777" w:rsidR="00C4454D" w:rsidRPr="00A735B4" w:rsidRDefault="00C4454D" w:rsidP="00C4454D">
            <w:pPr>
              <w:jc w:val="center"/>
              <w:rPr>
                <w:color w:val="000000"/>
                <w:sz w:val="18"/>
                <w:szCs w:val="18"/>
              </w:rPr>
            </w:pPr>
            <w:r w:rsidRPr="00A735B4">
              <w:rPr>
                <w:color w:val="000000"/>
                <w:sz w:val="18"/>
                <w:szCs w:val="18"/>
              </w:rPr>
              <w:t>8</w:t>
            </w:r>
          </w:p>
        </w:tc>
        <w:tc>
          <w:tcPr>
            <w:tcW w:w="1744" w:type="dxa"/>
            <w:noWrap/>
          </w:tcPr>
          <w:p w14:paraId="4368BFAA" w14:textId="77777777" w:rsidR="00C4454D" w:rsidRPr="00A735B4" w:rsidRDefault="00C4454D" w:rsidP="00C4454D">
            <w:pPr>
              <w:jc w:val="center"/>
              <w:rPr>
                <w:color w:val="000000"/>
              </w:rPr>
            </w:pPr>
            <w:r w:rsidRPr="00A735B4">
              <w:rPr>
                <w:color w:val="000000"/>
              </w:rPr>
              <w:t>36</w:t>
            </w:r>
          </w:p>
        </w:tc>
      </w:tr>
      <w:tr w:rsidR="00C4454D" w:rsidRPr="00A735B4" w14:paraId="5F21A863" w14:textId="77777777" w:rsidTr="00C4454D">
        <w:trPr>
          <w:trHeight w:hRule="exact" w:val="284"/>
        </w:trPr>
        <w:tc>
          <w:tcPr>
            <w:tcW w:w="2235" w:type="dxa"/>
            <w:noWrap/>
            <w:hideMark/>
          </w:tcPr>
          <w:p w14:paraId="6D9426E1" w14:textId="77777777" w:rsidR="00C4454D" w:rsidRPr="00A735B4" w:rsidRDefault="00C4454D" w:rsidP="00C4454D">
            <w:pPr>
              <w:jc w:val="both"/>
              <w:rPr>
                <w:b/>
                <w:color w:val="000000"/>
                <w:sz w:val="18"/>
                <w:szCs w:val="18"/>
              </w:rPr>
            </w:pPr>
            <w:r w:rsidRPr="00A735B4">
              <w:rPr>
                <w:b/>
                <w:color w:val="000000"/>
                <w:sz w:val="18"/>
                <w:szCs w:val="18"/>
              </w:rPr>
              <w:t>Uganda</w:t>
            </w:r>
          </w:p>
        </w:tc>
        <w:tc>
          <w:tcPr>
            <w:tcW w:w="1676" w:type="dxa"/>
            <w:noWrap/>
            <w:hideMark/>
          </w:tcPr>
          <w:p w14:paraId="67A46F16" w14:textId="77777777" w:rsidR="00C4454D" w:rsidRPr="00A735B4" w:rsidRDefault="00C4454D" w:rsidP="00C4454D">
            <w:pPr>
              <w:jc w:val="center"/>
              <w:rPr>
                <w:color w:val="000000"/>
                <w:sz w:val="18"/>
                <w:szCs w:val="18"/>
              </w:rPr>
            </w:pPr>
            <w:r w:rsidRPr="00A735B4">
              <w:rPr>
                <w:color w:val="000000"/>
                <w:sz w:val="18"/>
                <w:szCs w:val="18"/>
              </w:rPr>
              <w:t>20</w:t>
            </w:r>
          </w:p>
        </w:tc>
        <w:tc>
          <w:tcPr>
            <w:tcW w:w="1676" w:type="dxa"/>
            <w:noWrap/>
            <w:hideMark/>
          </w:tcPr>
          <w:p w14:paraId="2A4687D2" w14:textId="77777777" w:rsidR="00C4454D" w:rsidRPr="00A735B4" w:rsidRDefault="00C4454D" w:rsidP="00C4454D">
            <w:pPr>
              <w:jc w:val="center"/>
              <w:rPr>
                <w:color w:val="000000"/>
                <w:sz w:val="18"/>
                <w:szCs w:val="18"/>
              </w:rPr>
            </w:pPr>
            <w:r w:rsidRPr="00A735B4">
              <w:rPr>
                <w:color w:val="000000"/>
                <w:sz w:val="18"/>
                <w:szCs w:val="18"/>
              </w:rPr>
              <w:t>8</w:t>
            </w:r>
          </w:p>
        </w:tc>
        <w:tc>
          <w:tcPr>
            <w:tcW w:w="1609" w:type="dxa"/>
            <w:noWrap/>
            <w:hideMark/>
          </w:tcPr>
          <w:p w14:paraId="6ED53B2F" w14:textId="77777777" w:rsidR="00C4454D" w:rsidRPr="00A735B4" w:rsidRDefault="00C4454D" w:rsidP="00C4454D">
            <w:pPr>
              <w:jc w:val="center"/>
              <w:rPr>
                <w:color w:val="000000"/>
                <w:sz w:val="18"/>
                <w:szCs w:val="18"/>
              </w:rPr>
            </w:pPr>
            <w:r w:rsidRPr="00A735B4">
              <w:rPr>
                <w:color w:val="000000"/>
                <w:sz w:val="18"/>
                <w:szCs w:val="18"/>
              </w:rPr>
              <w:t>8</w:t>
            </w:r>
          </w:p>
        </w:tc>
        <w:tc>
          <w:tcPr>
            <w:tcW w:w="1744" w:type="dxa"/>
            <w:noWrap/>
          </w:tcPr>
          <w:p w14:paraId="054C6740" w14:textId="77777777" w:rsidR="00C4454D" w:rsidRPr="00A735B4" w:rsidRDefault="00C4454D" w:rsidP="00C4454D">
            <w:pPr>
              <w:jc w:val="center"/>
              <w:rPr>
                <w:color w:val="000000"/>
              </w:rPr>
            </w:pPr>
            <w:r w:rsidRPr="00A735B4">
              <w:rPr>
                <w:color w:val="000000"/>
              </w:rPr>
              <w:t>36</w:t>
            </w:r>
          </w:p>
        </w:tc>
      </w:tr>
      <w:tr w:rsidR="00C4454D" w:rsidRPr="00A735B4" w14:paraId="43861FB3" w14:textId="77777777" w:rsidTr="00C4454D">
        <w:trPr>
          <w:trHeight w:hRule="exact" w:val="284"/>
        </w:trPr>
        <w:tc>
          <w:tcPr>
            <w:tcW w:w="2235" w:type="dxa"/>
            <w:noWrap/>
            <w:hideMark/>
          </w:tcPr>
          <w:p w14:paraId="2945C944" w14:textId="77777777" w:rsidR="00C4454D" w:rsidRPr="00A735B4" w:rsidRDefault="00C4454D" w:rsidP="00C4454D">
            <w:pPr>
              <w:jc w:val="both"/>
              <w:rPr>
                <w:b/>
                <w:color w:val="000000"/>
                <w:sz w:val="18"/>
                <w:szCs w:val="18"/>
              </w:rPr>
            </w:pPr>
            <w:r w:rsidRPr="00A735B4">
              <w:rPr>
                <w:b/>
                <w:color w:val="000000"/>
                <w:sz w:val="18"/>
                <w:szCs w:val="18"/>
              </w:rPr>
              <w:t>Rwanda</w:t>
            </w:r>
          </w:p>
        </w:tc>
        <w:tc>
          <w:tcPr>
            <w:tcW w:w="1676" w:type="dxa"/>
            <w:noWrap/>
            <w:hideMark/>
          </w:tcPr>
          <w:p w14:paraId="7546ED5F" w14:textId="77777777" w:rsidR="00C4454D" w:rsidRPr="00A735B4" w:rsidRDefault="00C4454D" w:rsidP="00C4454D">
            <w:pPr>
              <w:jc w:val="center"/>
              <w:rPr>
                <w:color w:val="000000"/>
                <w:sz w:val="18"/>
                <w:szCs w:val="18"/>
              </w:rPr>
            </w:pPr>
            <w:r w:rsidRPr="00A735B4">
              <w:rPr>
                <w:color w:val="000000"/>
                <w:sz w:val="18"/>
                <w:szCs w:val="18"/>
              </w:rPr>
              <w:t>20</w:t>
            </w:r>
          </w:p>
        </w:tc>
        <w:tc>
          <w:tcPr>
            <w:tcW w:w="1676" w:type="dxa"/>
            <w:noWrap/>
            <w:hideMark/>
          </w:tcPr>
          <w:p w14:paraId="3D0D5424" w14:textId="77777777" w:rsidR="00C4454D" w:rsidRPr="00A735B4" w:rsidRDefault="00C4454D" w:rsidP="00C4454D">
            <w:pPr>
              <w:jc w:val="center"/>
              <w:rPr>
                <w:color w:val="000000"/>
                <w:sz w:val="18"/>
                <w:szCs w:val="18"/>
              </w:rPr>
            </w:pPr>
            <w:r w:rsidRPr="00A735B4">
              <w:rPr>
                <w:color w:val="000000"/>
                <w:sz w:val="18"/>
                <w:szCs w:val="18"/>
              </w:rPr>
              <w:t>8</w:t>
            </w:r>
          </w:p>
        </w:tc>
        <w:tc>
          <w:tcPr>
            <w:tcW w:w="1609" w:type="dxa"/>
            <w:noWrap/>
            <w:hideMark/>
          </w:tcPr>
          <w:p w14:paraId="4361C205" w14:textId="77777777" w:rsidR="00C4454D" w:rsidRPr="00A735B4" w:rsidRDefault="00C4454D" w:rsidP="00C4454D">
            <w:pPr>
              <w:jc w:val="center"/>
              <w:rPr>
                <w:color w:val="000000"/>
                <w:sz w:val="18"/>
                <w:szCs w:val="18"/>
              </w:rPr>
            </w:pPr>
            <w:r w:rsidRPr="00A735B4">
              <w:rPr>
                <w:color w:val="000000"/>
                <w:sz w:val="18"/>
                <w:szCs w:val="18"/>
              </w:rPr>
              <w:t>8</w:t>
            </w:r>
          </w:p>
        </w:tc>
        <w:tc>
          <w:tcPr>
            <w:tcW w:w="1744" w:type="dxa"/>
            <w:noWrap/>
          </w:tcPr>
          <w:p w14:paraId="185D0499" w14:textId="77777777" w:rsidR="00C4454D" w:rsidRPr="00A735B4" w:rsidRDefault="00C4454D" w:rsidP="00C4454D">
            <w:pPr>
              <w:jc w:val="center"/>
              <w:rPr>
                <w:color w:val="000000"/>
              </w:rPr>
            </w:pPr>
            <w:r w:rsidRPr="00A735B4">
              <w:rPr>
                <w:color w:val="000000"/>
              </w:rPr>
              <w:t>36</w:t>
            </w:r>
          </w:p>
        </w:tc>
      </w:tr>
      <w:tr w:rsidR="00C4454D" w:rsidRPr="00A735B4" w14:paraId="5F54DCA4" w14:textId="77777777" w:rsidTr="00C4454D">
        <w:trPr>
          <w:trHeight w:hRule="exact" w:val="284"/>
        </w:trPr>
        <w:tc>
          <w:tcPr>
            <w:tcW w:w="2235" w:type="dxa"/>
            <w:noWrap/>
            <w:hideMark/>
          </w:tcPr>
          <w:p w14:paraId="0B7ADFC3" w14:textId="77777777" w:rsidR="00C4454D" w:rsidRPr="00A735B4" w:rsidRDefault="00C4454D" w:rsidP="00C4454D">
            <w:pPr>
              <w:jc w:val="both"/>
              <w:rPr>
                <w:b/>
                <w:color w:val="000000"/>
                <w:sz w:val="18"/>
                <w:szCs w:val="18"/>
              </w:rPr>
            </w:pPr>
            <w:r w:rsidRPr="00A735B4">
              <w:rPr>
                <w:b/>
                <w:color w:val="000000"/>
                <w:sz w:val="18"/>
                <w:szCs w:val="18"/>
              </w:rPr>
              <w:t>Malawi</w:t>
            </w:r>
          </w:p>
        </w:tc>
        <w:tc>
          <w:tcPr>
            <w:tcW w:w="1676" w:type="dxa"/>
            <w:noWrap/>
            <w:hideMark/>
          </w:tcPr>
          <w:p w14:paraId="03E6E521" w14:textId="77777777" w:rsidR="00C4454D" w:rsidRPr="00A735B4" w:rsidRDefault="00C4454D" w:rsidP="00C4454D">
            <w:pPr>
              <w:jc w:val="center"/>
              <w:rPr>
                <w:color w:val="000000"/>
                <w:sz w:val="18"/>
                <w:szCs w:val="18"/>
              </w:rPr>
            </w:pPr>
            <w:r w:rsidRPr="00A735B4">
              <w:rPr>
                <w:color w:val="000000"/>
                <w:sz w:val="18"/>
                <w:szCs w:val="18"/>
              </w:rPr>
              <w:t>20</w:t>
            </w:r>
          </w:p>
        </w:tc>
        <w:tc>
          <w:tcPr>
            <w:tcW w:w="1676" w:type="dxa"/>
            <w:noWrap/>
            <w:hideMark/>
          </w:tcPr>
          <w:p w14:paraId="4BF0D9AF" w14:textId="77777777" w:rsidR="00C4454D" w:rsidRPr="00A735B4" w:rsidRDefault="00C4454D" w:rsidP="00C4454D">
            <w:pPr>
              <w:jc w:val="center"/>
              <w:rPr>
                <w:color w:val="000000"/>
                <w:sz w:val="18"/>
                <w:szCs w:val="18"/>
              </w:rPr>
            </w:pPr>
            <w:r w:rsidRPr="00A735B4">
              <w:rPr>
                <w:color w:val="000000"/>
                <w:sz w:val="18"/>
                <w:szCs w:val="18"/>
              </w:rPr>
              <w:t>8</w:t>
            </w:r>
          </w:p>
        </w:tc>
        <w:tc>
          <w:tcPr>
            <w:tcW w:w="1609" w:type="dxa"/>
            <w:noWrap/>
            <w:hideMark/>
          </w:tcPr>
          <w:p w14:paraId="71DBFF57" w14:textId="77777777" w:rsidR="00C4454D" w:rsidRPr="00A735B4" w:rsidRDefault="00C4454D" w:rsidP="00C4454D">
            <w:pPr>
              <w:jc w:val="center"/>
              <w:rPr>
                <w:color w:val="000000"/>
                <w:sz w:val="18"/>
                <w:szCs w:val="18"/>
              </w:rPr>
            </w:pPr>
            <w:r w:rsidRPr="00A735B4">
              <w:rPr>
                <w:color w:val="000000"/>
                <w:sz w:val="18"/>
                <w:szCs w:val="18"/>
              </w:rPr>
              <w:t>8</w:t>
            </w:r>
          </w:p>
        </w:tc>
        <w:tc>
          <w:tcPr>
            <w:tcW w:w="1744" w:type="dxa"/>
            <w:noWrap/>
          </w:tcPr>
          <w:p w14:paraId="1FDF949C" w14:textId="77777777" w:rsidR="00C4454D" w:rsidRPr="00A735B4" w:rsidRDefault="00C4454D" w:rsidP="00C4454D">
            <w:pPr>
              <w:jc w:val="center"/>
              <w:rPr>
                <w:color w:val="000000"/>
              </w:rPr>
            </w:pPr>
            <w:r w:rsidRPr="00A735B4">
              <w:rPr>
                <w:color w:val="000000"/>
              </w:rPr>
              <w:t>36</w:t>
            </w:r>
          </w:p>
        </w:tc>
      </w:tr>
      <w:tr w:rsidR="00C4454D" w:rsidRPr="00A735B4" w14:paraId="57560D39" w14:textId="77777777" w:rsidTr="00C4454D">
        <w:trPr>
          <w:trHeight w:hRule="exact" w:val="284"/>
        </w:trPr>
        <w:tc>
          <w:tcPr>
            <w:tcW w:w="2235" w:type="dxa"/>
            <w:noWrap/>
            <w:hideMark/>
          </w:tcPr>
          <w:p w14:paraId="55A173B7" w14:textId="77777777" w:rsidR="00C4454D" w:rsidRPr="00A735B4" w:rsidRDefault="00C4454D" w:rsidP="00C4454D">
            <w:pPr>
              <w:jc w:val="both"/>
              <w:rPr>
                <w:b/>
                <w:color w:val="000000"/>
                <w:sz w:val="18"/>
                <w:szCs w:val="18"/>
              </w:rPr>
            </w:pPr>
            <w:r w:rsidRPr="00A735B4">
              <w:rPr>
                <w:b/>
                <w:color w:val="000000"/>
                <w:sz w:val="18"/>
                <w:szCs w:val="18"/>
              </w:rPr>
              <w:t>Zambia</w:t>
            </w:r>
          </w:p>
        </w:tc>
        <w:tc>
          <w:tcPr>
            <w:tcW w:w="1676" w:type="dxa"/>
            <w:noWrap/>
            <w:hideMark/>
          </w:tcPr>
          <w:p w14:paraId="2DE12227" w14:textId="77777777" w:rsidR="00C4454D" w:rsidRPr="00A735B4" w:rsidRDefault="00C4454D" w:rsidP="00C4454D">
            <w:pPr>
              <w:jc w:val="center"/>
              <w:rPr>
                <w:color w:val="000000"/>
                <w:sz w:val="18"/>
                <w:szCs w:val="18"/>
              </w:rPr>
            </w:pPr>
            <w:r w:rsidRPr="00A735B4">
              <w:rPr>
                <w:color w:val="000000"/>
                <w:sz w:val="18"/>
                <w:szCs w:val="18"/>
              </w:rPr>
              <w:t>20</w:t>
            </w:r>
          </w:p>
        </w:tc>
        <w:tc>
          <w:tcPr>
            <w:tcW w:w="1676" w:type="dxa"/>
            <w:noWrap/>
            <w:hideMark/>
          </w:tcPr>
          <w:p w14:paraId="30E7F082" w14:textId="77777777" w:rsidR="00C4454D" w:rsidRPr="00A735B4" w:rsidRDefault="00C4454D" w:rsidP="00C4454D">
            <w:pPr>
              <w:jc w:val="center"/>
              <w:rPr>
                <w:color w:val="000000"/>
                <w:sz w:val="18"/>
                <w:szCs w:val="18"/>
              </w:rPr>
            </w:pPr>
            <w:r w:rsidRPr="00A735B4">
              <w:rPr>
                <w:color w:val="000000"/>
                <w:sz w:val="18"/>
                <w:szCs w:val="18"/>
              </w:rPr>
              <w:t>8</w:t>
            </w:r>
          </w:p>
        </w:tc>
        <w:tc>
          <w:tcPr>
            <w:tcW w:w="1609" w:type="dxa"/>
            <w:noWrap/>
            <w:hideMark/>
          </w:tcPr>
          <w:p w14:paraId="4D0289DC" w14:textId="77777777" w:rsidR="00C4454D" w:rsidRPr="00A735B4" w:rsidRDefault="00C4454D" w:rsidP="00C4454D">
            <w:pPr>
              <w:jc w:val="center"/>
              <w:rPr>
                <w:color w:val="000000"/>
                <w:sz w:val="18"/>
                <w:szCs w:val="18"/>
              </w:rPr>
            </w:pPr>
            <w:r w:rsidRPr="00A735B4">
              <w:rPr>
                <w:color w:val="000000"/>
                <w:sz w:val="18"/>
                <w:szCs w:val="18"/>
              </w:rPr>
              <w:t>8</w:t>
            </w:r>
          </w:p>
        </w:tc>
        <w:tc>
          <w:tcPr>
            <w:tcW w:w="1744" w:type="dxa"/>
            <w:noWrap/>
          </w:tcPr>
          <w:p w14:paraId="756FA691" w14:textId="77777777" w:rsidR="00C4454D" w:rsidRPr="00A735B4" w:rsidRDefault="00C4454D" w:rsidP="00C4454D">
            <w:pPr>
              <w:jc w:val="center"/>
              <w:rPr>
                <w:color w:val="000000"/>
              </w:rPr>
            </w:pPr>
            <w:r w:rsidRPr="00A735B4">
              <w:rPr>
                <w:color w:val="000000"/>
              </w:rPr>
              <w:t>36</w:t>
            </w:r>
          </w:p>
        </w:tc>
      </w:tr>
      <w:tr w:rsidR="00C4454D" w:rsidRPr="00A735B4" w14:paraId="1CB5EBFA" w14:textId="77777777" w:rsidTr="00C4454D">
        <w:trPr>
          <w:trHeight w:hRule="exact" w:val="284"/>
        </w:trPr>
        <w:tc>
          <w:tcPr>
            <w:tcW w:w="2235" w:type="dxa"/>
            <w:noWrap/>
            <w:hideMark/>
          </w:tcPr>
          <w:p w14:paraId="1B4629FD" w14:textId="3E068F93" w:rsidR="00C4454D" w:rsidRPr="00A735B4" w:rsidRDefault="00C4454D" w:rsidP="00C4454D">
            <w:pPr>
              <w:jc w:val="both"/>
              <w:rPr>
                <w:color w:val="000000"/>
                <w:sz w:val="18"/>
                <w:szCs w:val="18"/>
              </w:rPr>
            </w:pPr>
            <w:r w:rsidRPr="00A735B4">
              <w:rPr>
                <w:color w:val="000000"/>
                <w:sz w:val="18"/>
                <w:szCs w:val="18"/>
              </w:rPr>
              <w:t>TOTAL sample</w:t>
            </w:r>
          </w:p>
        </w:tc>
        <w:tc>
          <w:tcPr>
            <w:tcW w:w="1676" w:type="dxa"/>
            <w:noWrap/>
            <w:hideMark/>
          </w:tcPr>
          <w:p w14:paraId="6DC58010" w14:textId="77777777" w:rsidR="00C4454D" w:rsidRPr="00A735B4" w:rsidRDefault="00C4454D" w:rsidP="00C4454D">
            <w:pPr>
              <w:jc w:val="center"/>
              <w:rPr>
                <w:b/>
                <w:color w:val="000000"/>
                <w:sz w:val="18"/>
                <w:szCs w:val="18"/>
              </w:rPr>
            </w:pPr>
            <w:r w:rsidRPr="00A735B4">
              <w:rPr>
                <w:b/>
                <w:color w:val="000000"/>
                <w:sz w:val="18"/>
                <w:szCs w:val="18"/>
              </w:rPr>
              <w:t>120</w:t>
            </w:r>
          </w:p>
        </w:tc>
        <w:tc>
          <w:tcPr>
            <w:tcW w:w="1676" w:type="dxa"/>
            <w:noWrap/>
            <w:hideMark/>
          </w:tcPr>
          <w:p w14:paraId="4CCEC5A5" w14:textId="77777777" w:rsidR="00C4454D" w:rsidRPr="00A735B4" w:rsidRDefault="00C4454D" w:rsidP="00C4454D">
            <w:pPr>
              <w:jc w:val="center"/>
              <w:rPr>
                <w:b/>
                <w:color w:val="000000"/>
                <w:sz w:val="18"/>
                <w:szCs w:val="18"/>
              </w:rPr>
            </w:pPr>
            <w:r w:rsidRPr="00A735B4">
              <w:rPr>
                <w:b/>
                <w:color w:val="000000"/>
                <w:sz w:val="18"/>
                <w:szCs w:val="18"/>
              </w:rPr>
              <w:t>48</w:t>
            </w:r>
          </w:p>
        </w:tc>
        <w:tc>
          <w:tcPr>
            <w:tcW w:w="1609" w:type="dxa"/>
            <w:noWrap/>
            <w:hideMark/>
          </w:tcPr>
          <w:p w14:paraId="33813112" w14:textId="77777777" w:rsidR="00C4454D" w:rsidRPr="00A735B4" w:rsidRDefault="00C4454D" w:rsidP="00C4454D">
            <w:pPr>
              <w:jc w:val="center"/>
              <w:rPr>
                <w:b/>
                <w:color w:val="000000"/>
                <w:sz w:val="18"/>
                <w:szCs w:val="18"/>
              </w:rPr>
            </w:pPr>
            <w:r w:rsidRPr="00A735B4">
              <w:rPr>
                <w:b/>
                <w:color w:val="000000"/>
                <w:sz w:val="18"/>
                <w:szCs w:val="18"/>
              </w:rPr>
              <w:t>48</w:t>
            </w:r>
          </w:p>
        </w:tc>
        <w:tc>
          <w:tcPr>
            <w:tcW w:w="1744" w:type="dxa"/>
            <w:noWrap/>
            <w:hideMark/>
          </w:tcPr>
          <w:p w14:paraId="7E44491D" w14:textId="77777777" w:rsidR="00C4454D" w:rsidRPr="00A735B4" w:rsidRDefault="00C4454D" w:rsidP="00C4454D">
            <w:pPr>
              <w:jc w:val="center"/>
              <w:rPr>
                <w:b/>
                <w:color w:val="000000"/>
              </w:rPr>
            </w:pPr>
            <w:r w:rsidRPr="00A735B4">
              <w:rPr>
                <w:b/>
                <w:color w:val="000000"/>
              </w:rPr>
              <w:t>216</w:t>
            </w:r>
          </w:p>
        </w:tc>
      </w:tr>
    </w:tbl>
    <w:p w14:paraId="0A2A94D7" w14:textId="77777777" w:rsidR="00C4454D" w:rsidRPr="00A735B4" w:rsidRDefault="00C4454D" w:rsidP="00C4454D">
      <w:pPr>
        <w:tabs>
          <w:tab w:val="num" w:pos="720"/>
        </w:tabs>
        <w:spacing w:after="200" w:line="276" w:lineRule="auto"/>
        <w:jc w:val="both"/>
      </w:pPr>
    </w:p>
    <w:p w14:paraId="79DFCE18" w14:textId="77777777" w:rsidR="00C4454D" w:rsidRPr="00A735B4" w:rsidRDefault="00C4454D" w:rsidP="00C4454D">
      <w:pPr>
        <w:tabs>
          <w:tab w:val="num" w:pos="720"/>
        </w:tabs>
        <w:spacing w:after="200"/>
        <w:jc w:val="both"/>
      </w:pPr>
    </w:p>
    <w:p w14:paraId="19F25CB7" w14:textId="77777777" w:rsidR="00C4454D" w:rsidRPr="00A735B4" w:rsidRDefault="00C4454D" w:rsidP="00C4454D">
      <w:pPr>
        <w:tabs>
          <w:tab w:val="num" w:pos="720"/>
        </w:tabs>
        <w:spacing w:after="200"/>
        <w:jc w:val="both"/>
      </w:pPr>
    </w:p>
    <w:p w14:paraId="01DBA4D6" w14:textId="77777777" w:rsidR="00C4454D" w:rsidRPr="00A735B4" w:rsidRDefault="00C4454D" w:rsidP="00C4454D">
      <w:pPr>
        <w:tabs>
          <w:tab w:val="num" w:pos="720"/>
        </w:tabs>
        <w:spacing w:after="200"/>
        <w:jc w:val="both"/>
      </w:pPr>
    </w:p>
    <w:p w14:paraId="624F5CBD" w14:textId="77777777" w:rsidR="00C4454D" w:rsidRPr="00A735B4" w:rsidRDefault="00C4454D" w:rsidP="00C4454D">
      <w:pPr>
        <w:tabs>
          <w:tab w:val="num" w:pos="720"/>
        </w:tabs>
        <w:spacing w:after="200"/>
        <w:jc w:val="both"/>
      </w:pPr>
    </w:p>
    <w:p w14:paraId="51B2E103" w14:textId="77777777" w:rsidR="00C4454D" w:rsidRPr="00A735B4" w:rsidRDefault="00C4454D">
      <w:pPr>
        <w:spacing w:after="200" w:line="276" w:lineRule="auto"/>
        <w:rPr>
          <w:rFonts w:ascii="Times New Roman Bold" w:hAnsi="Times New Roman Bold"/>
          <w:b/>
          <w:bCs/>
        </w:rPr>
      </w:pPr>
      <w:bookmarkStart w:id="117" w:name="_Toc417463412"/>
      <w:bookmarkStart w:id="118" w:name="_Toc419565273"/>
      <w:r w:rsidRPr="00A735B4">
        <w:rPr>
          <w:rFonts w:ascii="Times New Roman Bold" w:hAnsi="Times New Roman Bold"/>
        </w:rPr>
        <w:br w:type="page"/>
      </w:r>
    </w:p>
    <w:p w14:paraId="3D369C0B" w14:textId="395A210E" w:rsidR="00C4454D" w:rsidRPr="00A735B4" w:rsidRDefault="00C4454D" w:rsidP="00C4454D">
      <w:pPr>
        <w:ind w:firstLine="360"/>
        <w:rPr>
          <w:rFonts w:ascii="Times New Roman Bold" w:hAnsi="Times New Roman Bold" w:cs="Times New Roman"/>
        </w:rPr>
      </w:pPr>
      <w:r w:rsidRPr="00A735B4">
        <w:rPr>
          <w:rFonts w:ascii="Times New Roman Bold" w:hAnsi="Times New Roman Bold" w:cs="Times New Roman"/>
        </w:rPr>
        <w:lastRenderedPageBreak/>
        <w:t>Box C.1 Survey methodology</w:t>
      </w:r>
      <w:bookmarkEnd w:id="117"/>
      <w:bookmarkEnd w:id="118"/>
    </w:p>
    <w:p w14:paraId="730D192D" w14:textId="77777777" w:rsidR="00C4454D" w:rsidRPr="00A735B4" w:rsidRDefault="00C4454D" w:rsidP="00C4454D">
      <w:pPr>
        <w:spacing w:after="200" w:line="276" w:lineRule="auto"/>
        <w:ind w:left="360"/>
      </w:pPr>
    </w:p>
    <w:p w14:paraId="588BC29D" w14:textId="77777777" w:rsidR="00C4454D" w:rsidRPr="00A735B4" w:rsidRDefault="00C4454D" w:rsidP="00C4454D">
      <w:pPr>
        <w:pBdr>
          <w:top w:val="single" w:sz="4" w:space="1" w:color="auto"/>
          <w:left w:val="single" w:sz="4" w:space="4" w:color="auto"/>
          <w:bottom w:val="single" w:sz="4" w:space="1" w:color="auto"/>
          <w:right w:val="single" w:sz="4" w:space="4" w:color="auto"/>
        </w:pBdr>
        <w:spacing w:after="200" w:line="276" w:lineRule="auto"/>
        <w:ind w:left="360"/>
      </w:pPr>
      <w:r w:rsidRPr="00A735B4">
        <w:t>The key steps for the survey are presented in the following figure:</w:t>
      </w:r>
    </w:p>
    <w:p w14:paraId="04B5F733" w14:textId="77777777" w:rsidR="00C4454D" w:rsidRPr="00A735B4" w:rsidRDefault="00C4454D" w:rsidP="00C4454D">
      <w:pPr>
        <w:pBdr>
          <w:top w:val="single" w:sz="4" w:space="1" w:color="auto"/>
          <w:left w:val="single" w:sz="4" w:space="4" w:color="auto"/>
          <w:bottom w:val="single" w:sz="4" w:space="1" w:color="auto"/>
          <w:right w:val="single" w:sz="4" w:space="4" w:color="auto"/>
        </w:pBdr>
        <w:spacing w:after="200" w:line="276" w:lineRule="auto"/>
        <w:ind w:left="360"/>
      </w:pPr>
      <w:r w:rsidRPr="00A735B4">
        <w:rPr>
          <w:noProof/>
        </w:rPr>
        <w:drawing>
          <wp:inline distT="0" distB="0" distL="0" distR="0" wp14:anchorId="4C4D216B" wp14:editId="4607EE9F">
            <wp:extent cx="5732145" cy="3894850"/>
            <wp:effectExtent l="0" t="0" r="1905" b="0"/>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32145" cy="3894850"/>
                    </a:xfrm>
                    <a:prstGeom prst="rect">
                      <a:avLst/>
                    </a:prstGeom>
                    <a:noFill/>
                    <a:ln>
                      <a:noFill/>
                    </a:ln>
                  </pic:spPr>
                </pic:pic>
              </a:graphicData>
            </a:graphic>
          </wp:inline>
        </w:drawing>
      </w:r>
    </w:p>
    <w:p w14:paraId="0F61FD14" w14:textId="77777777" w:rsidR="00C4454D" w:rsidRPr="00A735B4" w:rsidRDefault="00C4454D" w:rsidP="00C4454D">
      <w:pPr>
        <w:tabs>
          <w:tab w:val="num" w:pos="720"/>
        </w:tabs>
        <w:spacing w:after="200"/>
        <w:jc w:val="both"/>
      </w:pPr>
    </w:p>
    <w:p w14:paraId="1E9CA65E" w14:textId="6257C8DE" w:rsidR="00C4454D" w:rsidRPr="00A735B4" w:rsidRDefault="00C4454D" w:rsidP="00C4454D">
      <w:pPr>
        <w:tabs>
          <w:tab w:val="num" w:pos="720"/>
        </w:tabs>
        <w:spacing w:after="200"/>
        <w:jc w:val="both"/>
      </w:pPr>
      <w:r w:rsidRPr="00A735B4">
        <w:t xml:space="preserve">In addition, RSA interviewed several MSMEs to check the consistency of the information provided by the services providers. The selected MSME users had a monthly turnover of up to $5,000 (micro) or between $5,001 and $100,000 (small). The sample composition of users is presented in table C.2. </w:t>
      </w:r>
    </w:p>
    <w:p w14:paraId="7AA728B4" w14:textId="1BA9D41C" w:rsidR="00C4454D" w:rsidRPr="00A735B4" w:rsidRDefault="00C4454D" w:rsidP="00C4454D">
      <w:pPr>
        <w:keepNext/>
        <w:jc w:val="center"/>
        <w:rPr>
          <w:color w:val="1F497D" w:themeColor="text2"/>
        </w:rPr>
      </w:pPr>
      <w:bookmarkStart w:id="119" w:name="_Toc410823560"/>
      <w:r w:rsidRPr="00A735B4">
        <w:rPr>
          <w:color w:val="1F497D" w:themeColor="text2"/>
        </w:rPr>
        <w:t>Table C.2 Sample distribution: Services users</w:t>
      </w:r>
      <w:bookmarkEnd w:id="119"/>
    </w:p>
    <w:tbl>
      <w:tblPr>
        <w:tblW w:w="0" w:type="auto"/>
        <w:tblInd w:w="10" w:type="dxa"/>
        <w:tblCellMar>
          <w:left w:w="10" w:type="dxa"/>
          <w:right w:w="10" w:type="dxa"/>
        </w:tblCellMar>
        <w:tblLook w:val="04A0" w:firstRow="1" w:lastRow="0" w:firstColumn="1" w:lastColumn="0" w:noHBand="0" w:noVBand="1"/>
      </w:tblPr>
      <w:tblGrid>
        <w:gridCol w:w="3046"/>
        <w:gridCol w:w="3062"/>
        <w:gridCol w:w="3062"/>
      </w:tblGrid>
      <w:tr w:rsidR="00C4454D" w:rsidRPr="00A735B4" w14:paraId="050F7C2F" w14:textId="77777777" w:rsidTr="00C4454D">
        <w:tc>
          <w:tcPr>
            <w:tcW w:w="3071" w:type="dxa"/>
          </w:tcPr>
          <w:p w14:paraId="79D1894F" w14:textId="3668F445" w:rsidR="00C4454D" w:rsidRPr="00A735B4" w:rsidRDefault="00C4454D" w:rsidP="00C4454D">
            <w:pPr>
              <w:jc w:val="both"/>
              <w:rPr>
                <w:color w:val="000000"/>
                <w:sz w:val="20"/>
                <w:szCs w:val="20"/>
              </w:rPr>
            </w:pPr>
            <w:r w:rsidRPr="00A735B4">
              <w:rPr>
                <w:color w:val="000000"/>
                <w:sz w:val="20"/>
                <w:szCs w:val="20"/>
              </w:rPr>
              <w:t xml:space="preserve">COUNTRY  </w:t>
            </w:r>
          </w:p>
        </w:tc>
        <w:tc>
          <w:tcPr>
            <w:tcW w:w="3086" w:type="dxa"/>
          </w:tcPr>
          <w:p w14:paraId="768D88B8" w14:textId="77777777" w:rsidR="00C4454D" w:rsidRPr="00A735B4" w:rsidRDefault="00C4454D" w:rsidP="00C4454D">
            <w:pPr>
              <w:jc w:val="center"/>
              <w:rPr>
                <w:color w:val="000000"/>
                <w:sz w:val="20"/>
                <w:szCs w:val="20"/>
              </w:rPr>
            </w:pPr>
            <w:r w:rsidRPr="00A735B4">
              <w:rPr>
                <w:color w:val="000000"/>
                <w:sz w:val="20"/>
                <w:szCs w:val="20"/>
              </w:rPr>
              <w:t>Micro enterprises</w:t>
            </w:r>
          </w:p>
        </w:tc>
        <w:tc>
          <w:tcPr>
            <w:tcW w:w="3086" w:type="dxa"/>
          </w:tcPr>
          <w:p w14:paraId="2EC2DFC6" w14:textId="77777777" w:rsidR="00C4454D" w:rsidRPr="00A735B4" w:rsidRDefault="00C4454D" w:rsidP="00C4454D">
            <w:pPr>
              <w:jc w:val="center"/>
              <w:rPr>
                <w:color w:val="000000"/>
                <w:sz w:val="20"/>
                <w:szCs w:val="20"/>
              </w:rPr>
            </w:pPr>
            <w:r w:rsidRPr="00A735B4">
              <w:rPr>
                <w:color w:val="000000"/>
                <w:sz w:val="20"/>
                <w:szCs w:val="20"/>
              </w:rPr>
              <w:t>Small enterprises</w:t>
            </w:r>
          </w:p>
        </w:tc>
      </w:tr>
      <w:tr w:rsidR="00C4454D" w:rsidRPr="00A735B4" w14:paraId="1B9CE48B" w14:textId="77777777" w:rsidTr="00C4454D">
        <w:tc>
          <w:tcPr>
            <w:tcW w:w="3071" w:type="dxa"/>
          </w:tcPr>
          <w:p w14:paraId="3E1BD4F7" w14:textId="77777777" w:rsidR="00C4454D" w:rsidRPr="00A735B4" w:rsidRDefault="00C4454D" w:rsidP="00C4454D">
            <w:pPr>
              <w:jc w:val="both"/>
              <w:rPr>
                <w:color w:val="000000"/>
                <w:sz w:val="20"/>
                <w:szCs w:val="20"/>
              </w:rPr>
            </w:pPr>
            <w:r w:rsidRPr="00A735B4">
              <w:rPr>
                <w:color w:val="000000"/>
                <w:sz w:val="20"/>
                <w:szCs w:val="20"/>
              </w:rPr>
              <w:t xml:space="preserve">Kenya </w:t>
            </w:r>
          </w:p>
        </w:tc>
        <w:tc>
          <w:tcPr>
            <w:tcW w:w="3086" w:type="dxa"/>
          </w:tcPr>
          <w:p w14:paraId="4CC5E2EB" w14:textId="77777777" w:rsidR="00C4454D" w:rsidRPr="00A735B4" w:rsidRDefault="00C4454D" w:rsidP="00C4454D">
            <w:pPr>
              <w:jc w:val="center"/>
              <w:rPr>
                <w:color w:val="000000"/>
                <w:sz w:val="20"/>
                <w:szCs w:val="20"/>
              </w:rPr>
            </w:pPr>
            <w:r w:rsidRPr="00A735B4">
              <w:rPr>
                <w:color w:val="000000"/>
                <w:sz w:val="20"/>
                <w:szCs w:val="20"/>
              </w:rPr>
              <w:t>2</w:t>
            </w:r>
          </w:p>
        </w:tc>
        <w:tc>
          <w:tcPr>
            <w:tcW w:w="3086" w:type="dxa"/>
          </w:tcPr>
          <w:p w14:paraId="5E9F2D62" w14:textId="77777777" w:rsidR="00C4454D" w:rsidRPr="00A735B4" w:rsidRDefault="00C4454D" w:rsidP="00C4454D">
            <w:pPr>
              <w:jc w:val="center"/>
              <w:rPr>
                <w:color w:val="000000"/>
                <w:sz w:val="20"/>
                <w:szCs w:val="20"/>
              </w:rPr>
            </w:pPr>
            <w:r w:rsidRPr="00A735B4">
              <w:rPr>
                <w:color w:val="000000"/>
                <w:sz w:val="20"/>
                <w:szCs w:val="20"/>
              </w:rPr>
              <w:t>8</w:t>
            </w:r>
          </w:p>
        </w:tc>
      </w:tr>
      <w:tr w:rsidR="00C4454D" w:rsidRPr="00A735B4" w14:paraId="22BF1228" w14:textId="77777777" w:rsidTr="00C4454D">
        <w:tc>
          <w:tcPr>
            <w:tcW w:w="3071" w:type="dxa"/>
          </w:tcPr>
          <w:p w14:paraId="6CF85719" w14:textId="77777777" w:rsidR="00C4454D" w:rsidRPr="00A735B4" w:rsidRDefault="00C4454D" w:rsidP="00C4454D">
            <w:pPr>
              <w:jc w:val="both"/>
              <w:rPr>
                <w:color w:val="000000"/>
                <w:sz w:val="20"/>
                <w:szCs w:val="20"/>
              </w:rPr>
            </w:pPr>
            <w:r w:rsidRPr="00A735B4">
              <w:rPr>
                <w:color w:val="000000"/>
                <w:sz w:val="20"/>
                <w:szCs w:val="20"/>
              </w:rPr>
              <w:t xml:space="preserve">Uganda </w:t>
            </w:r>
          </w:p>
        </w:tc>
        <w:tc>
          <w:tcPr>
            <w:tcW w:w="3086" w:type="dxa"/>
          </w:tcPr>
          <w:p w14:paraId="0E32598A" w14:textId="77777777" w:rsidR="00C4454D" w:rsidRPr="00A735B4" w:rsidRDefault="00C4454D" w:rsidP="00C4454D">
            <w:pPr>
              <w:jc w:val="center"/>
              <w:rPr>
                <w:color w:val="000000"/>
                <w:sz w:val="20"/>
                <w:szCs w:val="20"/>
              </w:rPr>
            </w:pPr>
            <w:r w:rsidRPr="00A735B4">
              <w:rPr>
                <w:color w:val="000000"/>
                <w:sz w:val="20"/>
                <w:szCs w:val="20"/>
              </w:rPr>
              <w:t>5</w:t>
            </w:r>
          </w:p>
        </w:tc>
        <w:tc>
          <w:tcPr>
            <w:tcW w:w="3086" w:type="dxa"/>
          </w:tcPr>
          <w:p w14:paraId="3CA1B58F" w14:textId="77777777" w:rsidR="00C4454D" w:rsidRPr="00A735B4" w:rsidRDefault="00C4454D" w:rsidP="00C4454D">
            <w:pPr>
              <w:jc w:val="center"/>
              <w:rPr>
                <w:color w:val="000000"/>
                <w:sz w:val="20"/>
                <w:szCs w:val="20"/>
              </w:rPr>
            </w:pPr>
            <w:r w:rsidRPr="00A735B4">
              <w:rPr>
                <w:color w:val="000000"/>
                <w:sz w:val="20"/>
                <w:szCs w:val="20"/>
              </w:rPr>
              <w:t>6</w:t>
            </w:r>
          </w:p>
        </w:tc>
      </w:tr>
      <w:tr w:rsidR="00C4454D" w:rsidRPr="00A735B4" w14:paraId="059CEABE" w14:textId="77777777" w:rsidTr="00C4454D">
        <w:tc>
          <w:tcPr>
            <w:tcW w:w="3071" w:type="dxa"/>
          </w:tcPr>
          <w:p w14:paraId="17284EE4" w14:textId="77777777" w:rsidR="00C4454D" w:rsidRPr="00A735B4" w:rsidRDefault="00C4454D" w:rsidP="00C4454D">
            <w:pPr>
              <w:jc w:val="both"/>
              <w:rPr>
                <w:color w:val="000000"/>
                <w:sz w:val="20"/>
                <w:szCs w:val="20"/>
              </w:rPr>
            </w:pPr>
            <w:r w:rsidRPr="00A735B4">
              <w:rPr>
                <w:color w:val="000000"/>
                <w:sz w:val="20"/>
                <w:szCs w:val="20"/>
              </w:rPr>
              <w:t xml:space="preserve">Tanzania </w:t>
            </w:r>
          </w:p>
        </w:tc>
        <w:tc>
          <w:tcPr>
            <w:tcW w:w="3086" w:type="dxa"/>
          </w:tcPr>
          <w:p w14:paraId="006749D0" w14:textId="77777777" w:rsidR="00C4454D" w:rsidRPr="00A735B4" w:rsidRDefault="00C4454D" w:rsidP="00C4454D">
            <w:pPr>
              <w:jc w:val="center"/>
              <w:rPr>
                <w:color w:val="000000"/>
                <w:sz w:val="20"/>
                <w:szCs w:val="20"/>
              </w:rPr>
            </w:pPr>
            <w:r w:rsidRPr="00A735B4">
              <w:rPr>
                <w:color w:val="000000"/>
                <w:sz w:val="20"/>
                <w:szCs w:val="20"/>
              </w:rPr>
              <w:t>3</w:t>
            </w:r>
          </w:p>
        </w:tc>
        <w:tc>
          <w:tcPr>
            <w:tcW w:w="3086" w:type="dxa"/>
          </w:tcPr>
          <w:p w14:paraId="158760E5" w14:textId="77777777" w:rsidR="00C4454D" w:rsidRPr="00A735B4" w:rsidRDefault="00C4454D" w:rsidP="00C4454D">
            <w:pPr>
              <w:jc w:val="center"/>
              <w:rPr>
                <w:color w:val="000000"/>
                <w:sz w:val="20"/>
                <w:szCs w:val="20"/>
              </w:rPr>
            </w:pPr>
            <w:r w:rsidRPr="00A735B4">
              <w:rPr>
                <w:color w:val="000000"/>
                <w:sz w:val="20"/>
                <w:szCs w:val="20"/>
              </w:rPr>
              <w:t>5</w:t>
            </w:r>
          </w:p>
        </w:tc>
      </w:tr>
      <w:tr w:rsidR="00C4454D" w:rsidRPr="00A735B4" w14:paraId="3999BB1E" w14:textId="77777777" w:rsidTr="00C4454D">
        <w:tc>
          <w:tcPr>
            <w:tcW w:w="3071" w:type="dxa"/>
          </w:tcPr>
          <w:p w14:paraId="6FE629AF" w14:textId="77777777" w:rsidR="00C4454D" w:rsidRPr="00A735B4" w:rsidRDefault="00C4454D" w:rsidP="00C4454D">
            <w:pPr>
              <w:jc w:val="both"/>
              <w:rPr>
                <w:color w:val="000000"/>
                <w:sz w:val="20"/>
                <w:szCs w:val="20"/>
              </w:rPr>
            </w:pPr>
            <w:r w:rsidRPr="00A735B4">
              <w:rPr>
                <w:color w:val="000000"/>
                <w:sz w:val="20"/>
                <w:szCs w:val="20"/>
              </w:rPr>
              <w:t xml:space="preserve">Rwanda </w:t>
            </w:r>
          </w:p>
        </w:tc>
        <w:tc>
          <w:tcPr>
            <w:tcW w:w="3086" w:type="dxa"/>
          </w:tcPr>
          <w:p w14:paraId="6BDA067B" w14:textId="77777777" w:rsidR="00C4454D" w:rsidRPr="00A735B4" w:rsidRDefault="00C4454D" w:rsidP="00C4454D">
            <w:pPr>
              <w:jc w:val="center"/>
              <w:rPr>
                <w:color w:val="000000"/>
                <w:sz w:val="20"/>
                <w:szCs w:val="20"/>
              </w:rPr>
            </w:pPr>
            <w:r w:rsidRPr="00A735B4">
              <w:rPr>
                <w:color w:val="000000"/>
                <w:sz w:val="20"/>
                <w:szCs w:val="20"/>
              </w:rPr>
              <w:t>7</w:t>
            </w:r>
          </w:p>
        </w:tc>
        <w:tc>
          <w:tcPr>
            <w:tcW w:w="3086" w:type="dxa"/>
          </w:tcPr>
          <w:p w14:paraId="26377BEB" w14:textId="77777777" w:rsidR="00C4454D" w:rsidRPr="00A735B4" w:rsidRDefault="00C4454D" w:rsidP="00C4454D">
            <w:pPr>
              <w:jc w:val="center"/>
              <w:rPr>
                <w:color w:val="000000"/>
                <w:sz w:val="20"/>
                <w:szCs w:val="20"/>
              </w:rPr>
            </w:pPr>
            <w:r w:rsidRPr="00A735B4">
              <w:rPr>
                <w:color w:val="000000"/>
                <w:sz w:val="20"/>
                <w:szCs w:val="20"/>
              </w:rPr>
              <w:t>2</w:t>
            </w:r>
          </w:p>
        </w:tc>
      </w:tr>
      <w:tr w:rsidR="00C4454D" w:rsidRPr="00A735B4" w14:paraId="7236BFB0" w14:textId="77777777" w:rsidTr="00C4454D">
        <w:tc>
          <w:tcPr>
            <w:tcW w:w="3071" w:type="dxa"/>
          </w:tcPr>
          <w:p w14:paraId="59AC3215" w14:textId="77777777" w:rsidR="00C4454D" w:rsidRPr="00A735B4" w:rsidRDefault="00C4454D" w:rsidP="00C4454D">
            <w:pPr>
              <w:jc w:val="both"/>
              <w:rPr>
                <w:color w:val="000000"/>
                <w:sz w:val="20"/>
                <w:szCs w:val="20"/>
              </w:rPr>
            </w:pPr>
            <w:r w:rsidRPr="00A735B4">
              <w:rPr>
                <w:color w:val="000000"/>
                <w:sz w:val="20"/>
                <w:szCs w:val="20"/>
              </w:rPr>
              <w:t xml:space="preserve">Malawi </w:t>
            </w:r>
          </w:p>
        </w:tc>
        <w:tc>
          <w:tcPr>
            <w:tcW w:w="3086" w:type="dxa"/>
          </w:tcPr>
          <w:p w14:paraId="3E0A34B5" w14:textId="77777777" w:rsidR="00C4454D" w:rsidRPr="00A735B4" w:rsidRDefault="00C4454D" w:rsidP="00C4454D">
            <w:pPr>
              <w:jc w:val="center"/>
              <w:rPr>
                <w:color w:val="000000"/>
                <w:sz w:val="20"/>
                <w:szCs w:val="20"/>
              </w:rPr>
            </w:pPr>
            <w:r w:rsidRPr="00A735B4">
              <w:rPr>
                <w:color w:val="000000"/>
                <w:sz w:val="20"/>
                <w:szCs w:val="20"/>
              </w:rPr>
              <w:t>1</w:t>
            </w:r>
          </w:p>
        </w:tc>
        <w:tc>
          <w:tcPr>
            <w:tcW w:w="3086" w:type="dxa"/>
          </w:tcPr>
          <w:p w14:paraId="2894DEDE" w14:textId="77777777" w:rsidR="00C4454D" w:rsidRPr="00A735B4" w:rsidRDefault="00C4454D" w:rsidP="00C4454D">
            <w:pPr>
              <w:jc w:val="center"/>
              <w:rPr>
                <w:color w:val="000000"/>
                <w:sz w:val="20"/>
                <w:szCs w:val="20"/>
              </w:rPr>
            </w:pPr>
            <w:r w:rsidRPr="00A735B4">
              <w:rPr>
                <w:color w:val="000000"/>
                <w:sz w:val="20"/>
                <w:szCs w:val="20"/>
              </w:rPr>
              <w:t>7</w:t>
            </w:r>
          </w:p>
        </w:tc>
      </w:tr>
      <w:tr w:rsidR="00C4454D" w:rsidRPr="00A735B4" w14:paraId="228FFFEB" w14:textId="77777777" w:rsidTr="00C4454D">
        <w:tc>
          <w:tcPr>
            <w:tcW w:w="3071" w:type="dxa"/>
          </w:tcPr>
          <w:p w14:paraId="3964C95C" w14:textId="77777777" w:rsidR="00C4454D" w:rsidRPr="00A735B4" w:rsidRDefault="00C4454D" w:rsidP="00C4454D">
            <w:pPr>
              <w:jc w:val="both"/>
              <w:rPr>
                <w:color w:val="000000"/>
                <w:sz w:val="20"/>
                <w:szCs w:val="20"/>
              </w:rPr>
            </w:pPr>
            <w:r w:rsidRPr="00A735B4">
              <w:rPr>
                <w:color w:val="000000"/>
                <w:sz w:val="20"/>
                <w:szCs w:val="20"/>
              </w:rPr>
              <w:lastRenderedPageBreak/>
              <w:t xml:space="preserve">Zambia </w:t>
            </w:r>
          </w:p>
        </w:tc>
        <w:tc>
          <w:tcPr>
            <w:tcW w:w="3086" w:type="dxa"/>
          </w:tcPr>
          <w:p w14:paraId="6A8DA32A" w14:textId="77777777" w:rsidR="00C4454D" w:rsidRPr="00A735B4" w:rsidRDefault="00C4454D" w:rsidP="00C4454D">
            <w:pPr>
              <w:jc w:val="center"/>
              <w:rPr>
                <w:color w:val="000000"/>
                <w:sz w:val="20"/>
                <w:szCs w:val="20"/>
              </w:rPr>
            </w:pPr>
            <w:r w:rsidRPr="00A735B4">
              <w:rPr>
                <w:color w:val="000000"/>
                <w:sz w:val="20"/>
                <w:szCs w:val="20"/>
              </w:rPr>
              <w:t>3</w:t>
            </w:r>
          </w:p>
        </w:tc>
        <w:tc>
          <w:tcPr>
            <w:tcW w:w="3086" w:type="dxa"/>
          </w:tcPr>
          <w:p w14:paraId="56B96CCE" w14:textId="77777777" w:rsidR="00C4454D" w:rsidRPr="00A735B4" w:rsidRDefault="00C4454D" w:rsidP="00C4454D">
            <w:pPr>
              <w:jc w:val="center"/>
              <w:rPr>
                <w:color w:val="000000"/>
                <w:sz w:val="20"/>
                <w:szCs w:val="20"/>
              </w:rPr>
            </w:pPr>
            <w:r w:rsidRPr="00A735B4">
              <w:rPr>
                <w:color w:val="000000"/>
                <w:sz w:val="20"/>
                <w:szCs w:val="20"/>
              </w:rPr>
              <w:t>7</w:t>
            </w:r>
          </w:p>
        </w:tc>
      </w:tr>
      <w:tr w:rsidR="00C4454D" w:rsidRPr="00A735B4" w14:paraId="49AADC49" w14:textId="77777777" w:rsidTr="00C4454D">
        <w:tc>
          <w:tcPr>
            <w:tcW w:w="3071" w:type="dxa"/>
          </w:tcPr>
          <w:p w14:paraId="09598F20" w14:textId="736FCAF0" w:rsidR="00C4454D" w:rsidRPr="00A735B4" w:rsidRDefault="00C4454D" w:rsidP="00C4454D">
            <w:pPr>
              <w:jc w:val="both"/>
              <w:rPr>
                <w:color w:val="000000"/>
                <w:sz w:val="20"/>
                <w:szCs w:val="20"/>
              </w:rPr>
            </w:pPr>
            <w:r w:rsidRPr="00A735B4">
              <w:rPr>
                <w:color w:val="000000"/>
                <w:sz w:val="20"/>
                <w:szCs w:val="20"/>
              </w:rPr>
              <w:t xml:space="preserve">TOTAL sample </w:t>
            </w:r>
          </w:p>
        </w:tc>
        <w:tc>
          <w:tcPr>
            <w:tcW w:w="3086" w:type="dxa"/>
          </w:tcPr>
          <w:p w14:paraId="4BD46D4E" w14:textId="77777777" w:rsidR="00C4454D" w:rsidRPr="00A735B4" w:rsidRDefault="00C4454D" w:rsidP="00C4454D">
            <w:pPr>
              <w:jc w:val="center"/>
              <w:rPr>
                <w:b/>
                <w:color w:val="000000"/>
                <w:sz w:val="20"/>
                <w:szCs w:val="20"/>
              </w:rPr>
            </w:pPr>
            <w:r w:rsidRPr="00A735B4">
              <w:rPr>
                <w:b/>
                <w:color w:val="000000"/>
                <w:sz w:val="20"/>
                <w:szCs w:val="20"/>
              </w:rPr>
              <w:t>21</w:t>
            </w:r>
          </w:p>
        </w:tc>
        <w:tc>
          <w:tcPr>
            <w:tcW w:w="3086" w:type="dxa"/>
          </w:tcPr>
          <w:p w14:paraId="2F722965" w14:textId="77777777" w:rsidR="00C4454D" w:rsidRPr="00A735B4" w:rsidRDefault="00C4454D" w:rsidP="00C4454D">
            <w:pPr>
              <w:jc w:val="center"/>
              <w:rPr>
                <w:b/>
                <w:color w:val="000000"/>
                <w:sz w:val="20"/>
                <w:szCs w:val="20"/>
              </w:rPr>
            </w:pPr>
            <w:r w:rsidRPr="00A735B4">
              <w:rPr>
                <w:b/>
                <w:color w:val="000000"/>
                <w:sz w:val="20"/>
                <w:szCs w:val="20"/>
              </w:rPr>
              <w:t>35</w:t>
            </w:r>
          </w:p>
        </w:tc>
      </w:tr>
    </w:tbl>
    <w:p w14:paraId="3AD1B922" w14:textId="77777777" w:rsidR="00C4454D" w:rsidRPr="00A735B4" w:rsidRDefault="00C4454D" w:rsidP="00C4454D">
      <w:pPr>
        <w:rPr>
          <w:b/>
          <w:caps/>
          <w:spacing w:val="20"/>
          <w:kern w:val="16"/>
          <w:highlight w:val="lightGray"/>
        </w:rPr>
      </w:pPr>
    </w:p>
    <w:p w14:paraId="1AB81450" w14:textId="77777777" w:rsidR="00C4454D" w:rsidRPr="00A735B4" w:rsidRDefault="00C4454D">
      <w:pPr>
        <w:spacing w:after="200" w:line="276" w:lineRule="auto"/>
        <w:rPr>
          <w:b/>
          <w:caps/>
          <w:spacing w:val="20"/>
          <w:kern w:val="16"/>
          <w:highlight w:val="lightGray"/>
        </w:rPr>
      </w:pPr>
      <w:r w:rsidRPr="00A735B4">
        <w:rPr>
          <w:b/>
          <w:caps/>
          <w:spacing w:val="20"/>
          <w:kern w:val="16"/>
          <w:highlight w:val="lightGray"/>
        </w:rPr>
        <w:br w:type="page"/>
      </w:r>
    </w:p>
    <w:p w14:paraId="22EFF511" w14:textId="77777777" w:rsidR="00C4454D" w:rsidRPr="00A735B4" w:rsidRDefault="00C4454D" w:rsidP="00C4454D">
      <w:pPr>
        <w:rPr>
          <w:b/>
          <w:caps/>
          <w:spacing w:val="20"/>
          <w:kern w:val="16"/>
          <w:highlight w:val="lightGray"/>
        </w:rPr>
      </w:pPr>
    </w:p>
    <w:p w14:paraId="6A9942E6" w14:textId="6AF3D096" w:rsidR="00C4454D" w:rsidRPr="00A735B4" w:rsidRDefault="00C4454D" w:rsidP="00C4454D">
      <w:bookmarkStart w:id="120" w:name="_Toc419565266"/>
      <w:r w:rsidRPr="00A735B4">
        <w:t>C.4  Key results: Clients by size</w:t>
      </w:r>
      <w:bookmarkEnd w:id="120"/>
    </w:p>
    <w:p w14:paraId="558F065C" w14:textId="77777777" w:rsidR="00C4454D" w:rsidRPr="00A735B4" w:rsidRDefault="00C4454D" w:rsidP="00C4454D">
      <w:pPr>
        <w:jc w:val="both"/>
        <w:rPr>
          <w:sz w:val="24"/>
          <w:szCs w:val="24"/>
        </w:rPr>
      </w:pPr>
    </w:p>
    <w:p w14:paraId="14A85477" w14:textId="7223D041" w:rsidR="00C4454D" w:rsidRPr="00A735B4" w:rsidRDefault="00C4454D" w:rsidP="00C4454D">
      <w:pPr>
        <w:jc w:val="both"/>
        <w:rPr>
          <w:sz w:val="24"/>
          <w:szCs w:val="24"/>
        </w:rPr>
      </w:pPr>
      <w:r w:rsidRPr="00A735B4">
        <w:rPr>
          <w:sz w:val="24"/>
          <w:szCs w:val="24"/>
        </w:rPr>
        <w:t>The level of engagement of services providers with MSMEs varies widely by country. For example, only about 9 percent of the interviewed banks in Zambia offer banking services to microenterprises, compared with 65 percent of the interviewed banks in Kenya. Banks were significantly more engaged with micro enterprises than insurance companies or accountancy firms were (table C.3).</w:t>
      </w:r>
    </w:p>
    <w:p w14:paraId="18BD03B8" w14:textId="77777777" w:rsidR="00C4454D" w:rsidRPr="00A735B4" w:rsidRDefault="00C4454D" w:rsidP="00C4454D">
      <w:pPr>
        <w:tabs>
          <w:tab w:val="num" w:pos="720"/>
        </w:tabs>
        <w:spacing w:after="200"/>
        <w:jc w:val="both"/>
      </w:pPr>
    </w:p>
    <w:p w14:paraId="26445CF2" w14:textId="32737FA6" w:rsidR="00C4454D" w:rsidRPr="00A735B4" w:rsidRDefault="00C4454D" w:rsidP="00C4454D">
      <w:pPr>
        <w:jc w:val="center"/>
        <w:rPr>
          <w:color w:val="1F497D" w:themeColor="text2"/>
        </w:rPr>
      </w:pPr>
      <w:bookmarkStart w:id="121" w:name="_Toc410823561"/>
      <w:r w:rsidRPr="00A735B4">
        <w:rPr>
          <w:color w:val="1F497D" w:themeColor="text2"/>
        </w:rPr>
        <w:t>Table C.3 Level of engagement with micro enterprises</w:t>
      </w:r>
      <w:bookmarkEnd w:id="121"/>
      <w:r w:rsidRPr="00A735B4">
        <w:rPr>
          <w:color w:val="1F497D" w:themeColor="text2"/>
        </w:rPr>
        <w:t xml:space="preserve"> (percent)</w:t>
      </w:r>
    </w:p>
    <w:p w14:paraId="27AE851C" w14:textId="77777777" w:rsidR="00C4454D" w:rsidRPr="00A735B4" w:rsidRDefault="00C4454D" w:rsidP="00C4454D">
      <w:pPr>
        <w:rPr>
          <w:sz w:val="18"/>
          <w:szCs w:val="18"/>
        </w:rPr>
      </w:pPr>
    </w:p>
    <w:tbl>
      <w:tblPr>
        <w:tblW w:w="9606" w:type="dxa"/>
        <w:tblInd w:w="10" w:type="dxa"/>
        <w:tblLayout w:type="fixed"/>
        <w:tblCellMar>
          <w:left w:w="10" w:type="dxa"/>
          <w:right w:w="10" w:type="dxa"/>
        </w:tblCellMar>
        <w:tblLook w:val="04A0" w:firstRow="1" w:lastRow="0" w:firstColumn="1" w:lastColumn="0" w:noHBand="0" w:noVBand="1"/>
      </w:tblPr>
      <w:tblGrid>
        <w:gridCol w:w="2175"/>
        <w:gridCol w:w="910"/>
        <w:gridCol w:w="1078"/>
        <w:gridCol w:w="970"/>
        <w:gridCol w:w="970"/>
        <w:gridCol w:w="951"/>
        <w:gridCol w:w="971"/>
        <w:gridCol w:w="1581"/>
      </w:tblGrid>
      <w:tr w:rsidR="00C4454D" w:rsidRPr="00A735B4" w14:paraId="31094A77" w14:textId="77777777" w:rsidTr="00C4454D">
        <w:trPr>
          <w:trHeight w:hRule="exact" w:val="677"/>
        </w:trPr>
        <w:tc>
          <w:tcPr>
            <w:tcW w:w="2175" w:type="dxa"/>
            <w:noWrap/>
            <w:hideMark/>
          </w:tcPr>
          <w:p w14:paraId="6D354ACD" w14:textId="733FAB9B" w:rsidR="00C4454D" w:rsidRPr="00A735B4" w:rsidRDefault="00C4454D" w:rsidP="00C4454D">
            <w:pPr>
              <w:rPr>
                <w:sz w:val="20"/>
                <w:szCs w:val="20"/>
              </w:rPr>
            </w:pPr>
            <w:r w:rsidRPr="00A735B4">
              <w:rPr>
                <w:sz w:val="20"/>
                <w:szCs w:val="20"/>
              </w:rPr>
              <w:t>Service provider</w:t>
            </w:r>
          </w:p>
        </w:tc>
        <w:tc>
          <w:tcPr>
            <w:tcW w:w="910" w:type="dxa"/>
            <w:noWrap/>
            <w:hideMark/>
          </w:tcPr>
          <w:p w14:paraId="30838D30" w14:textId="77777777" w:rsidR="00C4454D" w:rsidRPr="00A735B4" w:rsidRDefault="00C4454D" w:rsidP="00C4454D">
            <w:pPr>
              <w:jc w:val="center"/>
              <w:rPr>
                <w:sz w:val="20"/>
                <w:szCs w:val="20"/>
              </w:rPr>
            </w:pPr>
            <w:r w:rsidRPr="00A735B4">
              <w:rPr>
                <w:sz w:val="20"/>
                <w:szCs w:val="20"/>
              </w:rPr>
              <w:t>Kenya</w:t>
            </w:r>
          </w:p>
        </w:tc>
        <w:tc>
          <w:tcPr>
            <w:tcW w:w="1078" w:type="dxa"/>
            <w:noWrap/>
            <w:hideMark/>
          </w:tcPr>
          <w:p w14:paraId="41CC47E0" w14:textId="77777777" w:rsidR="00C4454D" w:rsidRPr="00A735B4" w:rsidRDefault="00C4454D" w:rsidP="00C4454D">
            <w:pPr>
              <w:jc w:val="center"/>
              <w:rPr>
                <w:sz w:val="20"/>
                <w:szCs w:val="20"/>
              </w:rPr>
            </w:pPr>
            <w:r w:rsidRPr="00A735B4">
              <w:rPr>
                <w:sz w:val="20"/>
                <w:szCs w:val="20"/>
              </w:rPr>
              <w:t>Tanzania</w:t>
            </w:r>
          </w:p>
        </w:tc>
        <w:tc>
          <w:tcPr>
            <w:tcW w:w="970" w:type="dxa"/>
            <w:noWrap/>
            <w:hideMark/>
          </w:tcPr>
          <w:p w14:paraId="54EE2342" w14:textId="77777777" w:rsidR="00C4454D" w:rsidRPr="00A735B4" w:rsidRDefault="00C4454D" w:rsidP="00C4454D">
            <w:pPr>
              <w:jc w:val="center"/>
              <w:rPr>
                <w:sz w:val="20"/>
                <w:szCs w:val="20"/>
              </w:rPr>
            </w:pPr>
            <w:r w:rsidRPr="00A735B4">
              <w:rPr>
                <w:sz w:val="20"/>
                <w:szCs w:val="20"/>
              </w:rPr>
              <w:t>Uganda</w:t>
            </w:r>
          </w:p>
        </w:tc>
        <w:tc>
          <w:tcPr>
            <w:tcW w:w="970" w:type="dxa"/>
          </w:tcPr>
          <w:p w14:paraId="4ECB6E5F" w14:textId="77777777" w:rsidR="00C4454D" w:rsidRPr="00A735B4" w:rsidRDefault="00C4454D" w:rsidP="00C4454D">
            <w:pPr>
              <w:jc w:val="center"/>
              <w:rPr>
                <w:sz w:val="20"/>
                <w:szCs w:val="20"/>
              </w:rPr>
            </w:pPr>
            <w:r w:rsidRPr="00A735B4">
              <w:rPr>
                <w:sz w:val="20"/>
                <w:szCs w:val="20"/>
              </w:rPr>
              <w:t>Rwanda</w:t>
            </w:r>
          </w:p>
        </w:tc>
        <w:tc>
          <w:tcPr>
            <w:tcW w:w="951" w:type="dxa"/>
          </w:tcPr>
          <w:p w14:paraId="6D5612B8" w14:textId="77777777" w:rsidR="00C4454D" w:rsidRPr="00A735B4" w:rsidRDefault="00C4454D" w:rsidP="00C4454D">
            <w:pPr>
              <w:jc w:val="center"/>
              <w:rPr>
                <w:sz w:val="20"/>
                <w:szCs w:val="20"/>
              </w:rPr>
            </w:pPr>
            <w:r w:rsidRPr="00A735B4">
              <w:rPr>
                <w:sz w:val="20"/>
                <w:szCs w:val="20"/>
              </w:rPr>
              <w:t>Malawi</w:t>
            </w:r>
          </w:p>
        </w:tc>
        <w:tc>
          <w:tcPr>
            <w:tcW w:w="971" w:type="dxa"/>
          </w:tcPr>
          <w:p w14:paraId="1A18FF61" w14:textId="77777777" w:rsidR="00C4454D" w:rsidRPr="00A735B4" w:rsidRDefault="00C4454D" w:rsidP="00C4454D">
            <w:pPr>
              <w:jc w:val="center"/>
              <w:rPr>
                <w:sz w:val="20"/>
                <w:szCs w:val="20"/>
              </w:rPr>
            </w:pPr>
            <w:r w:rsidRPr="00A735B4">
              <w:rPr>
                <w:sz w:val="20"/>
                <w:szCs w:val="20"/>
              </w:rPr>
              <w:t>Zambia</w:t>
            </w:r>
          </w:p>
        </w:tc>
        <w:tc>
          <w:tcPr>
            <w:tcW w:w="1581" w:type="dxa"/>
            <w:noWrap/>
            <w:hideMark/>
          </w:tcPr>
          <w:p w14:paraId="4C09DA52" w14:textId="77777777" w:rsidR="00C4454D" w:rsidRPr="00A735B4" w:rsidRDefault="00C4454D" w:rsidP="00C4454D">
            <w:pPr>
              <w:jc w:val="center"/>
              <w:rPr>
                <w:sz w:val="20"/>
                <w:szCs w:val="20"/>
              </w:rPr>
            </w:pPr>
            <w:r w:rsidRPr="00A735B4">
              <w:rPr>
                <w:sz w:val="20"/>
                <w:szCs w:val="20"/>
              </w:rPr>
              <w:t>Average activity</w:t>
            </w:r>
          </w:p>
        </w:tc>
      </w:tr>
      <w:tr w:rsidR="00C4454D" w:rsidRPr="00A735B4" w14:paraId="0B41B975" w14:textId="77777777" w:rsidTr="00C4454D">
        <w:trPr>
          <w:trHeight w:hRule="exact" w:val="284"/>
        </w:trPr>
        <w:tc>
          <w:tcPr>
            <w:tcW w:w="2175" w:type="dxa"/>
            <w:noWrap/>
            <w:hideMark/>
          </w:tcPr>
          <w:p w14:paraId="4C7A866E" w14:textId="77777777" w:rsidR="00C4454D" w:rsidRPr="00A735B4" w:rsidRDefault="00C4454D" w:rsidP="00C4454D">
            <w:pPr>
              <w:rPr>
                <w:b/>
                <w:color w:val="000000"/>
                <w:sz w:val="20"/>
                <w:szCs w:val="20"/>
              </w:rPr>
            </w:pPr>
            <w:r w:rsidRPr="00A735B4">
              <w:rPr>
                <w:b/>
                <w:color w:val="000000"/>
                <w:sz w:val="20"/>
                <w:szCs w:val="20"/>
              </w:rPr>
              <w:t>Banks</w:t>
            </w:r>
          </w:p>
        </w:tc>
        <w:tc>
          <w:tcPr>
            <w:tcW w:w="910" w:type="dxa"/>
            <w:noWrap/>
          </w:tcPr>
          <w:p w14:paraId="13840394" w14:textId="6CA748F3" w:rsidR="00C4454D" w:rsidRPr="00A735B4" w:rsidRDefault="00C4454D" w:rsidP="00C4454D">
            <w:pPr>
              <w:jc w:val="center"/>
              <w:rPr>
                <w:color w:val="000000"/>
                <w:sz w:val="20"/>
                <w:szCs w:val="20"/>
              </w:rPr>
            </w:pPr>
            <w:r w:rsidRPr="00A735B4">
              <w:rPr>
                <w:color w:val="000000"/>
                <w:sz w:val="20"/>
                <w:szCs w:val="20"/>
              </w:rPr>
              <w:t>66.7</w:t>
            </w:r>
          </w:p>
        </w:tc>
        <w:tc>
          <w:tcPr>
            <w:tcW w:w="1078" w:type="dxa"/>
            <w:noWrap/>
          </w:tcPr>
          <w:p w14:paraId="4A8A0188" w14:textId="68A684FE" w:rsidR="00C4454D" w:rsidRPr="00A735B4" w:rsidRDefault="00C4454D" w:rsidP="00C4454D">
            <w:pPr>
              <w:jc w:val="center"/>
              <w:rPr>
                <w:color w:val="000000"/>
                <w:sz w:val="20"/>
                <w:szCs w:val="20"/>
              </w:rPr>
            </w:pPr>
            <w:r w:rsidRPr="00A735B4">
              <w:rPr>
                <w:color w:val="000000"/>
                <w:sz w:val="20"/>
                <w:szCs w:val="20"/>
              </w:rPr>
              <w:t>32.1</w:t>
            </w:r>
          </w:p>
        </w:tc>
        <w:tc>
          <w:tcPr>
            <w:tcW w:w="970" w:type="dxa"/>
            <w:noWrap/>
          </w:tcPr>
          <w:p w14:paraId="2B69A429" w14:textId="5748E1B5" w:rsidR="00C4454D" w:rsidRPr="00A735B4" w:rsidRDefault="00C4454D" w:rsidP="00C4454D">
            <w:pPr>
              <w:jc w:val="center"/>
              <w:rPr>
                <w:color w:val="000000"/>
                <w:sz w:val="20"/>
                <w:szCs w:val="20"/>
              </w:rPr>
            </w:pPr>
            <w:r w:rsidRPr="00A735B4">
              <w:rPr>
                <w:color w:val="000000"/>
                <w:sz w:val="20"/>
                <w:szCs w:val="20"/>
              </w:rPr>
              <w:t>24.3</w:t>
            </w:r>
          </w:p>
        </w:tc>
        <w:tc>
          <w:tcPr>
            <w:tcW w:w="970" w:type="dxa"/>
          </w:tcPr>
          <w:p w14:paraId="0ECB8600" w14:textId="2207CA00" w:rsidR="00C4454D" w:rsidRPr="00A735B4" w:rsidRDefault="00C4454D" w:rsidP="00C4454D">
            <w:pPr>
              <w:jc w:val="center"/>
              <w:rPr>
                <w:color w:val="000000"/>
                <w:sz w:val="20"/>
                <w:szCs w:val="20"/>
              </w:rPr>
            </w:pPr>
            <w:r w:rsidRPr="00A735B4">
              <w:rPr>
                <w:color w:val="000000"/>
                <w:sz w:val="20"/>
                <w:szCs w:val="20"/>
              </w:rPr>
              <w:t>28.3</w:t>
            </w:r>
          </w:p>
        </w:tc>
        <w:tc>
          <w:tcPr>
            <w:tcW w:w="951" w:type="dxa"/>
          </w:tcPr>
          <w:p w14:paraId="30E05DF5" w14:textId="1FDD3566" w:rsidR="00C4454D" w:rsidRPr="00A735B4" w:rsidRDefault="00C4454D" w:rsidP="00C4454D">
            <w:pPr>
              <w:jc w:val="center"/>
              <w:rPr>
                <w:color w:val="000000"/>
                <w:sz w:val="20"/>
                <w:szCs w:val="20"/>
              </w:rPr>
            </w:pPr>
            <w:r w:rsidRPr="00A735B4">
              <w:rPr>
                <w:color w:val="000000"/>
                <w:sz w:val="20"/>
                <w:szCs w:val="20"/>
              </w:rPr>
              <w:t>46.4</w:t>
            </w:r>
          </w:p>
        </w:tc>
        <w:tc>
          <w:tcPr>
            <w:tcW w:w="971" w:type="dxa"/>
          </w:tcPr>
          <w:p w14:paraId="2A813D12" w14:textId="045643E7" w:rsidR="00C4454D" w:rsidRPr="00A735B4" w:rsidRDefault="00C4454D" w:rsidP="00C4454D">
            <w:pPr>
              <w:jc w:val="center"/>
              <w:rPr>
                <w:color w:val="000000"/>
                <w:sz w:val="20"/>
                <w:szCs w:val="20"/>
              </w:rPr>
            </w:pPr>
            <w:r w:rsidRPr="00A735B4">
              <w:rPr>
                <w:color w:val="000000"/>
                <w:sz w:val="20"/>
                <w:szCs w:val="20"/>
              </w:rPr>
              <w:t>9.2</w:t>
            </w:r>
          </w:p>
        </w:tc>
        <w:tc>
          <w:tcPr>
            <w:tcW w:w="1581" w:type="dxa"/>
            <w:noWrap/>
          </w:tcPr>
          <w:p w14:paraId="3B10B6CD" w14:textId="7C77B115" w:rsidR="00C4454D" w:rsidRPr="00A735B4" w:rsidRDefault="00C4454D" w:rsidP="00C4454D">
            <w:pPr>
              <w:jc w:val="center"/>
              <w:rPr>
                <w:color w:val="000000"/>
                <w:sz w:val="20"/>
                <w:szCs w:val="20"/>
              </w:rPr>
            </w:pPr>
            <w:r w:rsidRPr="00A735B4">
              <w:rPr>
                <w:color w:val="000000"/>
                <w:sz w:val="20"/>
                <w:szCs w:val="20"/>
              </w:rPr>
              <w:t>34.5</w:t>
            </w:r>
          </w:p>
        </w:tc>
      </w:tr>
      <w:tr w:rsidR="00C4454D" w:rsidRPr="00A735B4" w14:paraId="5F251DE4" w14:textId="77777777" w:rsidTr="00C4454D">
        <w:trPr>
          <w:trHeight w:hRule="exact" w:val="284"/>
        </w:trPr>
        <w:tc>
          <w:tcPr>
            <w:tcW w:w="2175" w:type="dxa"/>
            <w:noWrap/>
            <w:hideMark/>
          </w:tcPr>
          <w:p w14:paraId="73746EF4" w14:textId="77777777" w:rsidR="00C4454D" w:rsidRPr="00A735B4" w:rsidRDefault="00C4454D" w:rsidP="00C4454D">
            <w:pPr>
              <w:rPr>
                <w:b/>
                <w:color w:val="000000"/>
                <w:sz w:val="20"/>
                <w:szCs w:val="20"/>
              </w:rPr>
            </w:pPr>
            <w:r w:rsidRPr="00A735B4">
              <w:rPr>
                <w:b/>
                <w:color w:val="000000"/>
                <w:sz w:val="20"/>
                <w:szCs w:val="20"/>
              </w:rPr>
              <w:t>Accounting</w:t>
            </w:r>
          </w:p>
        </w:tc>
        <w:tc>
          <w:tcPr>
            <w:tcW w:w="910" w:type="dxa"/>
            <w:noWrap/>
          </w:tcPr>
          <w:p w14:paraId="54D18259" w14:textId="16D16D5D" w:rsidR="00C4454D" w:rsidRPr="00A735B4" w:rsidRDefault="00C4454D" w:rsidP="00C4454D">
            <w:pPr>
              <w:jc w:val="center"/>
              <w:rPr>
                <w:color w:val="000000"/>
                <w:sz w:val="20"/>
                <w:szCs w:val="20"/>
              </w:rPr>
            </w:pPr>
            <w:r w:rsidRPr="00A735B4">
              <w:rPr>
                <w:color w:val="000000"/>
                <w:sz w:val="20"/>
                <w:szCs w:val="20"/>
              </w:rPr>
              <w:t>32.3</w:t>
            </w:r>
          </w:p>
        </w:tc>
        <w:tc>
          <w:tcPr>
            <w:tcW w:w="1078" w:type="dxa"/>
            <w:noWrap/>
          </w:tcPr>
          <w:p w14:paraId="048265FB" w14:textId="7B5D50A3" w:rsidR="00C4454D" w:rsidRPr="00A735B4" w:rsidRDefault="00C4454D" w:rsidP="00C4454D">
            <w:pPr>
              <w:jc w:val="center"/>
              <w:rPr>
                <w:color w:val="000000"/>
                <w:sz w:val="20"/>
                <w:szCs w:val="20"/>
              </w:rPr>
            </w:pPr>
            <w:r w:rsidRPr="00A735B4">
              <w:rPr>
                <w:color w:val="000000"/>
                <w:sz w:val="20"/>
                <w:szCs w:val="20"/>
              </w:rPr>
              <w:t>28.3</w:t>
            </w:r>
          </w:p>
        </w:tc>
        <w:tc>
          <w:tcPr>
            <w:tcW w:w="970" w:type="dxa"/>
            <w:noWrap/>
          </w:tcPr>
          <w:p w14:paraId="198EF2E7" w14:textId="45EB84D6" w:rsidR="00C4454D" w:rsidRPr="00A735B4" w:rsidRDefault="00C4454D" w:rsidP="00C4454D">
            <w:pPr>
              <w:jc w:val="center"/>
              <w:rPr>
                <w:color w:val="000000"/>
                <w:sz w:val="20"/>
                <w:szCs w:val="20"/>
              </w:rPr>
            </w:pPr>
            <w:r w:rsidRPr="00A735B4">
              <w:rPr>
                <w:color w:val="000000"/>
                <w:sz w:val="20"/>
                <w:szCs w:val="20"/>
              </w:rPr>
              <w:t>34.0</w:t>
            </w:r>
          </w:p>
        </w:tc>
        <w:tc>
          <w:tcPr>
            <w:tcW w:w="970" w:type="dxa"/>
          </w:tcPr>
          <w:p w14:paraId="1C093B8C" w14:textId="7753D6E3" w:rsidR="00C4454D" w:rsidRPr="00A735B4" w:rsidRDefault="00C4454D" w:rsidP="00C4454D">
            <w:pPr>
              <w:jc w:val="center"/>
              <w:rPr>
                <w:color w:val="000000"/>
                <w:sz w:val="20"/>
                <w:szCs w:val="20"/>
              </w:rPr>
            </w:pPr>
            <w:r w:rsidRPr="00A735B4">
              <w:rPr>
                <w:color w:val="000000"/>
                <w:sz w:val="20"/>
                <w:szCs w:val="20"/>
              </w:rPr>
              <w:t>36.1</w:t>
            </w:r>
          </w:p>
        </w:tc>
        <w:tc>
          <w:tcPr>
            <w:tcW w:w="951" w:type="dxa"/>
          </w:tcPr>
          <w:p w14:paraId="293E231B" w14:textId="6667B7CD" w:rsidR="00C4454D" w:rsidRPr="00A735B4" w:rsidRDefault="00C4454D" w:rsidP="00C4454D">
            <w:pPr>
              <w:jc w:val="center"/>
              <w:rPr>
                <w:color w:val="000000"/>
                <w:sz w:val="20"/>
                <w:szCs w:val="20"/>
              </w:rPr>
            </w:pPr>
            <w:r w:rsidRPr="00A735B4">
              <w:rPr>
                <w:color w:val="000000"/>
                <w:sz w:val="20"/>
                <w:szCs w:val="20"/>
              </w:rPr>
              <w:t>9.5</w:t>
            </w:r>
          </w:p>
        </w:tc>
        <w:tc>
          <w:tcPr>
            <w:tcW w:w="971" w:type="dxa"/>
          </w:tcPr>
          <w:p w14:paraId="4FD593F5" w14:textId="34031EB2" w:rsidR="00C4454D" w:rsidRPr="00A735B4" w:rsidRDefault="00C4454D" w:rsidP="00C4454D">
            <w:pPr>
              <w:jc w:val="center"/>
              <w:rPr>
                <w:color w:val="000000"/>
                <w:sz w:val="20"/>
                <w:szCs w:val="20"/>
              </w:rPr>
            </w:pPr>
            <w:r w:rsidRPr="00A735B4">
              <w:rPr>
                <w:color w:val="000000"/>
                <w:sz w:val="20"/>
                <w:szCs w:val="20"/>
              </w:rPr>
              <w:t>10.4</w:t>
            </w:r>
          </w:p>
        </w:tc>
        <w:tc>
          <w:tcPr>
            <w:tcW w:w="1581" w:type="dxa"/>
            <w:noWrap/>
          </w:tcPr>
          <w:p w14:paraId="4F99ECFA" w14:textId="76BD69BA" w:rsidR="00C4454D" w:rsidRPr="00A735B4" w:rsidRDefault="00C4454D" w:rsidP="00C4454D">
            <w:pPr>
              <w:jc w:val="center"/>
              <w:rPr>
                <w:color w:val="000000"/>
                <w:sz w:val="20"/>
                <w:szCs w:val="20"/>
              </w:rPr>
            </w:pPr>
            <w:r w:rsidRPr="00A735B4">
              <w:rPr>
                <w:color w:val="000000"/>
                <w:sz w:val="20"/>
                <w:szCs w:val="20"/>
              </w:rPr>
              <w:t>25.1</w:t>
            </w:r>
          </w:p>
        </w:tc>
      </w:tr>
      <w:tr w:rsidR="00C4454D" w:rsidRPr="00A735B4" w14:paraId="0F23B81D" w14:textId="77777777" w:rsidTr="00C4454D">
        <w:trPr>
          <w:trHeight w:hRule="exact" w:val="284"/>
        </w:trPr>
        <w:tc>
          <w:tcPr>
            <w:tcW w:w="2175" w:type="dxa"/>
            <w:noWrap/>
            <w:hideMark/>
          </w:tcPr>
          <w:p w14:paraId="2DF8A353" w14:textId="77777777" w:rsidR="00C4454D" w:rsidRPr="00A735B4" w:rsidRDefault="00C4454D" w:rsidP="00C4454D">
            <w:pPr>
              <w:rPr>
                <w:b/>
                <w:color w:val="000000"/>
                <w:sz w:val="20"/>
                <w:szCs w:val="20"/>
              </w:rPr>
            </w:pPr>
            <w:r w:rsidRPr="00A735B4">
              <w:rPr>
                <w:b/>
                <w:color w:val="000000"/>
                <w:sz w:val="20"/>
                <w:szCs w:val="20"/>
              </w:rPr>
              <w:t>Insurance</w:t>
            </w:r>
          </w:p>
        </w:tc>
        <w:tc>
          <w:tcPr>
            <w:tcW w:w="910" w:type="dxa"/>
            <w:noWrap/>
          </w:tcPr>
          <w:p w14:paraId="369E656B" w14:textId="5B8E0752" w:rsidR="00C4454D" w:rsidRPr="00A735B4" w:rsidRDefault="00C4454D" w:rsidP="00C4454D">
            <w:pPr>
              <w:jc w:val="center"/>
              <w:rPr>
                <w:color w:val="000000"/>
                <w:sz w:val="20"/>
                <w:szCs w:val="20"/>
              </w:rPr>
            </w:pPr>
            <w:r w:rsidRPr="00A735B4">
              <w:rPr>
                <w:color w:val="000000"/>
                <w:sz w:val="20"/>
                <w:szCs w:val="20"/>
              </w:rPr>
              <w:t>18.3</w:t>
            </w:r>
          </w:p>
        </w:tc>
        <w:tc>
          <w:tcPr>
            <w:tcW w:w="1078" w:type="dxa"/>
            <w:noWrap/>
          </w:tcPr>
          <w:p w14:paraId="75A59189" w14:textId="72BBAD47" w:rsidR="00C4454D" w:rsidRPr="00A735B4" w:rsidRDefault="00C4454D" w:rsidP="00C4454D">
            <w:pPr>
              <w:jc w:val="center"/>
              <w:rPr>
                <w:color w:val="000000"/>
                <w:sz w:val="20"/>
                <w:szCs w:val="20"/>
              </w:rPr>
            </w:pPr>
            <w:r w:rsidRPr="00A735B4">
              <w:rPr>
                <w:color w:val="000000"/>
                <w:sz w:val="20"/>
                <w:szCs w:val="20"/>
              </w:rPr>
              <w:t>26.2</w:t>
            </w:r>
          </w:p>
        </w:tc>
        <w:tc>
          <w:tcPr>
            <w:tcW w:w="970" w:type="dxa"/>
            <w:noWrap/>
          </w:tcPr>
          <w:p w14:paraId="6BCD228A" w14:textId="24F36A7D" w:rsidR="00C4454D" w:rsidRPr="00A735B4" w:rsidRDefault="00C4454D" w:rsidP="00C4454D">
            <w:pPr>
              <w:jc w:val="center"/>
              <w:rPr>
                <w:color w:val="000000"/>
                <w:sz w:val="20"/>
                <w:szCs w:val="20"/>
              </w:rPr>
            </w:pPr>
            <w:r w:rsidRPr="00A735B4">
              <w:rPr>
                <w:color w:val="000000"/>
                <w:sz w:val="20"/>
                <w:szCs w:val="20"/>
              </w:rPr>
              <w:t>18.8</w:t>
            </w:r>
          </w:p>
        </w:tc>
        <w:tc>
          <w:tcPr>
            <w:tcW w:w="970" w:type="dxa"/>
          </w:tcPr>
          <w:p w14:paraId="37B2E605" w14:textId="29491441" w:rsidR="00C4454D" w:rsidRPr="00A735B4" w:rsidRDefault="00C4454D" w:rsidP="00C4454D">
            <w:pPr>
              <w:jc w:val="center"/>
              <w:rPr>
                <w:color w:val="000000"/>
                <w:sz w:val="20"/>
                <w:szCs w:val="20"/>
              </w:rPr>
            </w:pPr>
            <w:r w:rsidRPr="00A735B4">
              <w:rPr>
                <w:color w:val="000000"/>
                <w:sz w:val="20"/>
                <w:szCs w:val="20"/>
              </w:rPr>
              <w:t>46.9</w:t>
            </w:r>
          </w:p>
        </w:tc>
        <w:tc>
          <w:tcPr>
            <w:tcW w:w="951" w:type="dxa"/>
          </w:tcPr>
          <w:p w14:paraId="652F1838" w14:textId="739AC918" w:rsidR="00C4454D" w:rsidRPr="00A735B4" w:rsidRDefault="00C4454D" w:rsidP="00C4454D">
            <w:pPr>
              <w:jc w:val="center"/>
              <w:rPr>
                <w:color w:val="000000"/>
                <w:sz w:val="20"/>
                <w:szCs w:val="20"/>
              </w:rPr>
            </w:pPr>
            <w:r w:rsidRPr="00A735B4">
              <w:rPr>
                <w:color w:val="000000"/>
                <w:sz w:val="20"/>
                <w:szCs w:val="20"/>
              </w:rPr>
              <w:t>9.7</w:t>
            </w:r>
          </w:p>
        </w:tc>
        <w:tc>
          <w:tcPr>
            <w:tcW w:w="971" w:type="dxa"/>
          </w:tcPr>
          <w:p w14:paraId="5AC10458" w14:textId="14218280" w:rsidR="00C4454D" w:rsidRPr="00A735B4" w:rsidRDefault="00C4454D" w:rsidP="00C4454D">
            <w:pPr>
              <w:jc w:val="center"/>
              <w:rPr>
                <w:color w:val="000000"/>
                <w:sz w:val="20"/>
                <w:szCs w:val="20"/>
              </w:rPr>
            </w:pPr>
            <w:r w:rsidRPr="00A735B4">
              <w:rPr>
                <w:color w:val="000000"/>
                <w:sz w:val="20"/>
                <w:szCs w:val="20"/>
              </w:rPr>
              <w:t>20.8</w:t>
            </w:r>
          </w:p>
        </w:tc>
        <w:tc>
          <w:tcPr>
            <w:tcW w:w="1581" w:type="dxa"/>
            <w:noWrap/>
          </w:tcPr>
          <w:p w14:paraId="39D0824E" w14:textId="649827D0" w:rsidR="00C4454D" w:rsidRPr="00A735B4" w:rsidRDefault="00C4454D" w:rsidP="00C4454D">
            <w:pPr>
              <w:jc w:val="center"/>
              <w:rPr>
                <w:color w:val="000000"/>
                <w:sz w:val="20"/>
                <w:szCs w:val="20"/>
              </w:rPr>
            </w:pPr>
            <w:r w:rsidRPr="00A735B4">
              <w:rPr>
                <w:color w:val="000000"/>
                <w:sz w:val="20"/>
                <w:szCs w:val="20"/>
              </w:rPr>
              <w:t>23.5</w:t>
            </w:r>
          </w:p>
        </w:tc>
      </w:tr>
      <w:tr w:rsidR="00C4454D" w:rsidRPr="00A735B4" w14:paraId="56833E1B" w14:textId="77777777" w:rsidTr="00C4454D">
        <w:trPr>
          <w:trHeight w:hRule="exact" w:val="284"/>
        </w:trPr>
        <w:tc>
          <w:tcPr>
            <w:tcW w:w="2175" w:type="dxa"/>
            <w:noWrap/>
          </w:tcPr>
          <w:p w14:paraId="685AF8D7" w14:textId="77777777" w:rsidR="00C4454D" w:rsidRPr="00A735B4" w:rsidRDefault="00C4454D" w:rsidP="00C4454D">
            <w:pPr>
              <w:rPr>
                <w:b/>
                <w:color w:val="000000"/>
                <w:sz w:val="20"/>
                <w:szCs w:val="20"/>
              </w:rPr>
            </w:pPr>
            <w:r w:rsidRPr="00A735B4">
              <w:rPr>
                <w:b/>
                <w:color w:val="000000"/>
                <w:sz w:val="20"/>
                <w:szCs w:val="20"/>
              </w:rPr>
              <w:t>Weighted average</w:t>
            </w:r>
          </w:p>
        </w:tc>
        <w:tc>
          <w:tcPr>
            <w:tcW w:w="910" w:type="dxa"/>
            <w:noWrap/>
          </w:tcPr>
          <w:p w14:paraId="050934D0" w14:textId="3C3C430F" w:rsidR="00C4454D" w:rsidRPr="00A735B4" w:rsidRDefault="00C4454D" w:rsidP="00C4454D">
            <w:pPr>
              <w:jc w:val="center"/>
              <w:rPr>
                <w:color w:val="000000"/>
                <w:sz w:val="20"/>
                <w:szCs w:val="20"/>
              </w:rPr>
            </w:pPr>
            <w:r w:rsidRPr="00A735B4">
              <w:rPr>
                <w:color w:val="000000"/>
                <w:sz w:val="20"/>
                <w:szCs w:val="20"/>
              </w:rPr>
              <w:t>48.9</w:t>
            </w:r>
          </w:p>
        </w:tc>
        <w:tc>
          <w:tcPr>
            <w:tcW w:w="1078" w:type="dxa"/>
            <w:noWrap/>
          </w:tcPr>
          <w:p w14:paraId="4D3BC7D5" w14:textId="6EE570E3" w:rsidR="00C4454D" w:rsidRPr="00A735B4" w:rsidRDefault="00C4454D" w:rsidP="00C4454D">
            <w:pPr>
              <w:jc w:val="center"/>
              <w:rPr>
                <w:color w:val="000000"/>
                <w:sz w:val="20"/>
                <w:szCs w:val="20"/>
              </w:rPr>
            </w:pPr>
            <w:r w:rsidRPr="00A735B4">
              <w:rPr>
                <w:color w:val="000000"/>
                <w:sz w:val="20"/>
                <w:szCs w:val="20"/>
              </w:rPr>
              <w:t>29.7</w:t>
            </w:r>
          </w:p>
        </w:tc>
        <w:tc>
          <w:tcPr>
            <w:tcW w:w="970" w:type="dxa"/>
            <w:noWrap/>
          </w:tcPr>
          <w:p w14:paraId="096E2008" w14:textId="73289784" w:rsidR="00C4454D" w:rsidRPr="00A735B4" w:rsidRDefault="00C4454D" w:rsidP="00C4454D">
            <w:pPr>
              <w:jc w:val="center"/>
              <w:rPr>
                <w:color w:val="000000"/>
                <w:sz w:val="20"/>
                <w:szCs w:val="20"/>
              </w:rPr>
            </w:pPr>
            <w:r w:rsidRPr="00A735B4">
              <w:rPr>
                <w:color w:val="000000"/>
                <w:sz w:val="20"/>
                <w:szCs w:val="20"/>
              </w:rPr>
              <w:t>26.6</w:t>
            </w:r>
          </w:p>
        </w:tc>
        <w:tc>
          <w:tcPr>
            <w:tcW w:w="970" w:type="dxa"/>
          </w:tcPr>
          <w:p w14:paraId="60CF8ABA" w14:textId="7749A83F" w:rsidR="00C4454D" w:rsidRPr="00A735B4" w:rsidRDefault="00C4454D" w:rsidP="00C4454D">
            <w:pPr>
              <w:jc w:val="center"/>
              <w:rPr>
                <w:color w:val="000000"/>
                <w:sz w:val="20"/>
                <w:szCs w:val="20"/>
              </w:rPr>
            </w:pPr>
            <w:r w:rsidRPr="00A735B4">
              <w:rPr>
                <w:color w:val="000000"/>
                <w:sz w:val="20"/>
                <w:szCs w:val="20"/>
              </w:rPr>
              <w:t>36.5</w:t>
            </w:r>
          </w:p>
        </w:tc>
        <w:tc>
          <w:tcPr>
            <w:tcW w:w="951" w:type="dxa"/>
          </w:tcPr>
          <w:p w14:paraId="1509E7C7" w14:textId="5FC87E7B" w:rsidR="00C4454D" w:rsidRPr="00A735B4" w:rsidRDefault="00C4454D" w:rsidP="00C4454D">
            <w:pPr>
              <w:jc w:val="center"/>
              <w:rPr>
                <w:color w:val="000000"/>
                <w:sz w:val="20"/>
                <w:szCs w:val="20"/>
              </w:rPr>
            </w:pPr>
            <w:r w:rsidRPr="00A735B4">
              <w:rPr>
                <w:color w:val="000000"/>
                <w:sz w:val="20"/>
                <w:szCs w:val="20"/>
              </w:rPr>
              <w:t>22.5</w:t>
            </w:r>
          </w:p>
        </w:tc>
        <w:tc>
          <w:tcPr>
            <w:tcW w:w="971" w:type="dxa"/>
          </w:tcPr>
          <w:p w14:paraId="380D677A" w14:textId="29A92FCB" w:rsidR="00C4454D" w:rsidRPr="00A735B4" w:rsidRDefault="00C4454D" w:rsidP="00C4454D">
            <w:pPr>
              <w:jc w:val="center"/>
              <w:rPr>
                <w:color w:val="000000"/>
                <w:sz w:val="20"/>
                <w:szCs w:val="20"/>
              </w:rPr>
            </w:pPr>
            <w:r w:rsidRPr="00A735B4">
              <w:rPr>
                <w:color w:val="000000"/>
                <w:sz w:val="20"/>
                <w:szCs w:val="20"/>
              </w:rPr>
              <w:t>11.0</w:t>
            </w:r>
          </w:p>
        </w:tc>
        <w:tc>
          <w:tcPr>
            <w:tcW w:w="1581" w:type="dxa"/>
            <w:noWrap/>
          </w:tcPr>
          <w:p w14:paraId="75479746" w14:textId="77777777" w:rsidR="00C4454D" w:rsidRPr="00A735B4" w:rsidRDefault="00C4454D" w:rsidP="00C4454D">
            <w:pPr>
              <w:jc w:val="center"/>
              <w:rPr>
                <w:color w:val="000000"/>
                <w:sz w:val="20"/>
                <w:szCs w:val="20"/>
              </w:rPr>
            </w:pPr>
          </w:p>
        </w:tc>
      </w:tr>
    </w:tbl>
    <w:p w14:paraId="03F27E62" w14:textId="77777777" w:rsidR="00C4454D" w:rsidRPr="00A735B4" w:rsidRDefault="00C4454D" w:rsidP="00C4454D">
      <w:pPr>
        <w:jc w:val="both"/>
        <w:rPr>
          <w:b/>
          <w:sz w:val="24"/>
          <w:szCs w:val="24"/>
        </w:rPr>
      </w:pPr>
    </w:p>
    <w:p w14:paraId="08E730A6" w14:textId="32A04E3F" w:rsidR="00C4454D" w:rsidRPr="00A735B4" w:rsidRDefault="00C4454D" w:rsidP="00C4454D">
      <w:pPr>
        <w:spacing w:after="200"/>
        <w:jc w:val="both"/>
        <w:rPr>
          <w:b/>
        </w:rPr>
      </w:pPr>
      <w:r w:rsidRPr="00A735B4">
        <w:t>While more than 46 percent of the interviewed insurers in Rwanda offer services to small and medium enterprises (SMEs), only about 10 percent of insurers interviewed in Malawi have SMEs as clients. Compared with micro enterprises, there is a significant increase in the engagement of banks and accounting firms, but virtually no change for insurance companies (table C.4).</w:t>
      </w:r>
    </w:p>
    <w:p w14:paraId="284208E1" w14:textId="4D5284EF" w:rsidR="00C4454D" w:rsidRPr="00A735B4" w:rsidRDefault="00C4454D" w:rsidP="00C4454D">
      <w:pPr>
        <w:keepNext/>
        <w:jc w:val="center"/>
      </w:pPr>
      <w:bookmarkStart w:id="122" w:name="_Toc410823562"/>
      <w:r w:rsidRPr="00A735B4">
        <w:rPr>
          <w:color w:val="1F497D" w:themeColor="text2"/>
        </w:rPr>
        <w:t>Table C.4 Level of engagement with small enterprises</w:t>
      </w:r>
      <w:bookmarkEnd w:id="122"/>
      <w:r w:rsidRPr="00A735B4">
        <w:rPr>
          <w:color w:val="1F497D" w:themeColor="text2"/>
        </w:rPr>
        <w:t xml:space="preserve"> (percent)</w:t>
      </w:r>
    </w:p>
    <w:tbl>
      <w:tblPr>
        <w:tblW w:w="9606" w:type="dxa"/>
        <w:tblInd w:w="10" w:type="dxa"/>
        <w:tblLayout w:type="fixed"/>
        <w:tblCellMar>
          <w:left w:w="10" w:type="dxa"/>
          <w:right w:w="10" w:type="dxa"/>
        </w:tblCellMar>
        <w:tblLook w:val="04A0" w:firstRow="1" w:lastRow="0" w:firstColumn="1" w:lastColumn="0" w:noHBand="0" w:noVBand="1"/>
      </w:tblPr>
      <w:tblGrid>
        <w:gridCol w:w="2175"/>
        <w:gridCol w:w="910"/>
        <w:gridCol w:w="1078"/>
        <w:gridCol w:w="970"/>
        <w:gridCol w:w="970"/>
        <w:gridCol w:w="951"/>
        <w:gridCol w:w="971"/>
        <w:gridCol w:w="1581"/>
      </w:tblGrid>
      <w:tr w:rsidR="00C4454D" w:rsidRPr="00A735B4" w14:paraId="1D2BDE11" w14:textId="77777777" w:rsidTr="00C4454D">
        <w:trPr>
          <w:trHeight w:hRule="exact" w:val="542"/>
        </w:trPr>
        <w:tc>
          <w:tcPr>
            <w:tcW w:w="2175" w:type="dxa"/>
            <w:noWrap/>
            <w:hideMark/>
          </w:tcPr>
          <w:p w14:paraId="085B588A" w14:textId="4BB01D67" w:rsidR="00C4454D" w:rsidRPr="00A735B4" w:rsidRDefault="00C4454D" w:rsidP="00C4454D">
            <w:pPr>
              <w:rPr>
                <w:sz w:val="20"/>
                <w:szCs w:val="20"/>
              </w:rPr>
            </w:pPr>
            <w:r w:rsidRPr="00A735B4">
              <w:rPr>
                <w:sz w:val="20"/>
                <w:szCs w:val="20"/>
              </w:rPr>
              <w:t>Service provider</w:t>
            </w:r>
          </w:p>
        </w:tc>
        <w:tc>
          <w:tcPr>
            <w:tcW w:w="910" w:type="dxa"/>
            <w:noWrap/>
            <w:hideMark/>
          </w:tcPr>
          <w:p w14:paraId="33604D79" w14:textId="77777777" w:rsidR="00C4454D" w:rsidRPr="00A735B4" w:rsidRDefault="00C4454D" w:rsidP="00C4454D">
            <w:pPr>
              <w:jc w:val="center"/>
              <w:rPr>
                <w:sz w:val="20"/>
                <w:szCs w:val="20"/>
              </w:rPr>
            </w:pPr>
            <w:r w:rsidRPr="00A735B4">
              <w:rPr>
                <w:sz w:val="20"/>
                <w:szCs w:val="20"/>
              </w:rPr>
              <w:t>Kenya</w:t>
            </w:r>
          </w:p>
        </w:tc>
        <w:tc>
          <w:tcPr>
            <w:tcW w:w="1078" w:type="dxa"/>
            <w:noWrap/>
            <w:hideMark/>
          </w:tcPr>
          <w:p w14:paraId="1088DC4C" w14:textId="77777777" w:rsidR="00C4454D" w:rsidRPr="00A735B4" w:rsidRDefault="00C4454D" w:rsidP="00C4454D">
            <w:pPr>
              <w:jc w:val="center"/>
              <w:rPr>
                <w:sz w:val="20"/>
                <w:szCs w:val="20"/>
              </w:rPr>
            </w:pPr>
            <w:r w:rsidRPr="00A735B4">
              <w:rPr>
                <w:sz w:val="20"/>
                <w:szCs w:val="20"/>
              </w:rPr>
              <w:t>Tanzania</w:t>
            </w:r>
          </w:p>
        </w:tc>
        <w:tc>
          <w:tcPr>
            <w:tcW w:w="970" w:type="dxa"/>
            <w:noWrap/>
            <w:hideMark/>
          </w:tcPr>
          <w:p w14:paraId="6D781211" w14:textId="77777777" w:rsidR="00C4454D" w:rsidRPr="00A735B4" w:rsidRDefault="00C4454D" w:rsidP="00C4454D">
            <w:pPr>
              <w:jc w:val="center"/>
              <w:rPr>
                <w:sz w:val="20"/>
                <w:szCs w:val="20"/>
              </w:rPr>
            </w:pPr>
            <w:r w:rsidRPr="00A735B4">
              <w:rPr>
                <w:sz w:val="20"/>
                <w:szCs w:val="20"/>
              </w:rPr>
              <w:t>Uganda</w:t>
            </w:r>
          </w:p>
        </w:tc>
        <w:tc>
          <w:tcPr>
            <w:tcW w:w="970" w:type="dxa"/>
          </w:tcPr>
          <w:p w14:paraId="325A1ACD" w14:textId="77777777" w:rsidR="00C4454D" w:rsidRPr="00A735B4" w:rsidRDefault="00C4454D" w:rsidP="00C4454D">
            <w:pPr>
              <w:jc w:val="center"/>
              <w:rPr>
                <w:sz w:val="20"/>
                <w:szCs w:val="20"/>
              </w:rPr>
            </w:pPr>
            <w:r w:rsidRPr="00A735B4">
              <w:rPr>
                <w:sz w:val="20"/>
                <w:szCs w:val="20"/>
              </w:rPr>
              <w:t>Rwanda</w:t>
            </w:r>
          </w:p>
        </w:tc>
        <w:tc>
          <w:tcPr>
            <w:tcW w:w="951" w:type="dxa"/>
          </w:tcPr>
          <w:p w14:paraId="45C2F16E" w14:textId="77777777" w:rsidR="00C4454D" w:rsidRPr="00A735B4" w:rsidRDefault="00C4454D" w:rsidP="00C4454D">
            <w:pPr>
              <w:jc w:val="center"/>
              <w:rPr>
                <w:sz w:val="20"/>
                <w:szCs w:val="20"/>
              </w:rPr>
            </w:pPr>
            <w:r w:rsidRPr="00A735B4">
              <w:rPr>
                <w:sz w:val="20"/>
                <w:szCs w:val="20"/>
              </w:rPr>
              <w:t>Malawi</w:t>
            </w:r>
          </w:p>
        </w:tc>
        <w:tc>
          <w:tcPr>
            <w:tcW w:w="971" w:type="dxa"/>
          </w:tcPr>
          <w:p w14:paraId="62B4E353" w14:textId="77777777" w:rsidR="00C4454D" w:rsidRPr="00A735B4" w:rsidRDefault="00C4454D" w:rsidP="00C4454D">
            <w:pPr>
              <w:jc w:val="center"/>
              <w:rPr>
                <w:sz w:val="20"/>
                <w:szCs w:val="20"/>
              </w:rPr>
            </w:pPr>
            <w:r w:rsidRPr="00A735B4">
              <w:rPr>
                <w:sz w:val="20"/>
                <w:szCs w:val="20"/>
              </w:rPr>
              <w:t>Zambia</w:t>
            </w:r>
          </w:p>
        </w:tc>
        <w:tc>
          <w:tcPr>
            <w:tcW w:w="1581" w:type="dxa"/>
            <w:noWrap/>
            <w:hideMark/>
          </w:tcPr>
          <w:p w14:paraId="5081C33D" w14:textId="77777777" w:rsidR="00C4454D" w:rsidRPr="00A735B4" w:rsidRDefault="00C4454D" w:rsidP="00C4454D">
            <w:pPr>
              <w:jc w:val="center"/>
              <w:rPr>
                <w:sz w:val="20"/>
                <w:szCs w:val="20"/>
              </w:rPr>
            </w:pPr>
            <w:r w:rsidRPr="00A735B4">
              <w:rPr>
                <w:sz w:val="20"/>
                <w:szCs w:val="20"/>
              </w:rPr>
              <w:t>Average activity</w:t>
            </w:r>
          </w:p>
        </w:tc>
      </w:tr>
      <w:tr w:rsidR="00C4454D" w:rsidRPr="00A735B4" w14:paraId="4CE3DB12" w14:textId="77777777" w:rsidTr="00C4454D">
        <w:trPr>
          <w:trHeight w:hRule="exact" w:val="284"/>
        </w:trPr>
        <w:tc>
          <w:tcPr>
            <w:tcW w:w="2175" w:type="dxa"/>
            <w:noWrap/>
            <w:hideMark/>
          </w:tcPr>
          <w:p w14:paraId="36F30306" w14:textId="77777777" w:rsidR="00C4454D" w:rsidRPr="00A735B4" w:rsidRDefault="00C4454D" w:rsidP="00C4454D">
            <w:pPr>
              <w:rPr>
                <w:b/>
                <w:color w:val="000000"/>
                <w:sz w:val="20"/>
                <w:szCs w:val="20"/>
              </w:rPr>
            </w:pPr>
            <w:r w:rsidRPr="00A735B4">
              <w:rPr>
                <w:b/>
                <w:color w:val="000000"/>
                <w:sz w:val="20"/>
                <w:szCs w:val="20"/>
              </w:rPr>
              <w:t>Banks</w:t>
            </w:r>
          </w:p>
        </w:tc>
        <w:tc>
          <w:tcPr>
            <w:tcW w:w="910" w:type="dxa"/>
            <w:noWrap/>
          </w:tcPr>
          <w:p w14:paraId="23C7D6A5" w14:textId="3E64E417" w:rsidR="00C4454D" w:rsidRPr="00A735B4" w:rsidRDefault="00C4454D" w:rsidP="00C4454D">
            <w:pPr>
              <w:jc w:val="center"/>
              <w:rPr>
                <w:color w:val="000000"/>
                <w:sz w:val="20"/>
                <w:szCs w:val="20"/>
              </w:rPr>
            </w:pPr>
            <w:r w:rsidRPr="00A735B4">
              <w:rPr>
                <w:color w:val="000000"/>
                <w:sz w:val="20"/>
                <w:szCs w:val="20"/>
              </w:rPr>
              <w:t>70.8</w:t>
            </w:r>
          </w:p>
        </w:tc>
        <w:tc>
          <w:tcPr>
            <w:tcW w:w="1078" w:type="dxa"/>
            <w:noWrap/>
          </w:tcPr>
          <w:p w14:paraId="44824D23" w14:textId="3F8F20DF" w:rsidR="00C4454D" w:rsidRPr="00A735B4" w:rsidRDefault="00C4454D" w:rsidP="00C4454D">
            <w:pPr>
              <w:jc w:val="center"/>
              <w:rPr>
                <w:color w:val="000000"/>
                <w:sz w:val="20"/>
                <w:szCs w:val="20"/>
              </w:rPr>
            </w:pPr>
            <w:r w:rsidRPr="00A735B4">
              <w:rPr>
                <w:color w:val="000000"/>
                <w:sz w:val="20"/>
                <w:szCs w:val="20"/>
              </w:rPr>
              <w:t>42.9</w:t>
            </w:r>
          </w:p>
        </w:tc>
        <w:tc>
          <w:tcPr>
            <w:tcW w:w="970" w:type="dxa"/>
            <w:noWrap/>
          </w:tcPr>
          <w:p w14:paraId="55D5FF58" w14:textId="70ECCEAB" w:rsidR="00C4454D" w:rsidRPr="00A735B4" w:rsidRDefault="00C4454D" w:rsidP="00C4454D">
            <w:pPr>
              <w:jc w:val="center"/>
              <w:rPr>
                <w:color w:val="000000"/>
                <w:sz w:val="20"/>
                <w:szCs w:val="20"/>
              </w:rPr>
            </w:pPr>
            <w:r w:rsidRPr="00A735B4">
              <w:rPr>
                <w:color w:val="000000"/>
                <w:sz w:val="20"/>
                <w:szCs w:val="20"/>
              </w:rPr>
              <w:t>31.3</w:t>
            </w:r>
          </w:p>
        </w:tc>
        <w:tc>
          <w:tcPr>
            <w:tcW w:w="970" w:type="dxa"/>
          </w:tcPr>
          <w:p w14:paraId="0DB1C5B0" w14:textId="47C17726" w:rsidR="00C4454D" w:rsidRPr="00A735B4" w:rsidRDefault="00C4454D" w:rsidP="00C4454D">
            <w:pPr>
              <w:jc w:val="center"/>
              <w:rPr>
                <w:color w:val="000000"/>
                <w:sz w:val="20"/>
                <w:szCs w:val="20"/>
              </w:rPr>
            </w:pPr>
            <w:r w:rsidRPr="00A735B4">
              <w:rPr>
                <w:color w:val="000000"/>
                <w:sz w:val="20"/>
                <w:szCs w:val="20"/>
              </w:rPr>
              <w:t>33.3</w:t>
            </w:r>
          </w:p>
        </w:tc>
        <w:tc>
          <w:tcPr>
            <w:tcW w:w="951" w:type="dxa"/>
          </w:tcPr>
          <w:p w14:paraId="77F9A7EF" w14:textId="6404BE8D" w:rsidR="00C4454D" w:rsidRPr="00A735B4" w:rsidRDefault="00C4454D" w:rsidP="00C4454D">
            <w:pPr>
              <w:jc w:val="center"/>
              <w:rPr>
                <w:color w:val="000000"/>
                <w:sz w:val="20"/>
                <w:szCs w:val="20"/>
              </w:rPr>
            </w:pPr>
            <w:r w:rsidRPr="00A735B4">
              <w:rPr>
                <w:color w:val="000000"/>
                <w:sz w:val="20"/>
                <w:szCs w:val="20"/>
              </w:rPr>
              <w:t>47.6</w:t>
            </w:r>
          </w:p>
        </w:tc>
        <w:tc>
          <w:tcPr>
            <w:tcW w:w="971" w:type="dxa"/>
          </w:tcPr>
          <w:p w14:paraId="3FAC621A" w14:textId="250F0795" w:rsidR="00C4454D" w:rsidRPr="00A735B4" w:rsidRDefault="00C4454D" w:rsidP="00C4454D">
            <w:pPr>
              <w:jc w:val="center"/>
              <w:rPr>
                <w:color w:val="000000"/>
                <w:sz w:val="20"/>
                <w:szCs w:val="20"/>
              </w:rPr>
            </w:pPr>
            <w:r w:rsidRPr="00A735B4">
              <w:rPr>
                <w:color w:val="000000"/>
                <w:sz w:val="20"/>
                <w:szCs w:val="20"/>
              </w:rPr>
              <w:t>11.7</w:t>
            </w:r>
          </w:p>
        </w:tc>
        <w:tc>
          <w:tcPr>
            <w:tcW w:w="1581" w:type="dxa"/>
            <w:noWrap/>
          </w:tcPr>
          <w:p w14:paraId="533C5709" w14:textId="4CA2A93C" w:rsidR="00C4454D" w:rsidRPr="00A735B4" w:rsidRDefault="00C4454D" w:rsidP="00C4454D">
            <w:pPr>
              <w:jc w:val="center"/>
              <w:rPr>
                <w:color w:val="000000"/>
                <w:sz w:val="20"/>
                <w:szCs w:val="20"/>
              </w:rPr>
            </w:pPr>
            <w:r w:rsidRPr="00A735B4">
              <w:rPr>
                <w:color w:val="000000"/>
                <w:sz w:val="20"/>
                <w:szCs w:val="20"/>
              </w:rPr>
              <w:t>39.6</w:t>
            </w:r>
          </w:p>
        </w:tc>
      </w:tr>
      <w:tr w:rsidR="00C4454D" w:rsidRPr="00A735B4" w14:paraId="550A80B0" w14:textId="77777777" w:rsidTr="00C4454D">
        <w:trPr>
          <w:trHeight w:hRule="exact" w:val="284"/>
        </w:trPr>
        <w:tc>
          <w:tcPr>
            <w:tcW w:w="2175" w:type="dxa"/>
            <w:noWrap/>
            <w:hideMark/>
          </w:tcPr>
          <w:p w14:paraId="5C582378" w14:textId="77777777" w:rsidR="00C4454D" w:rsidRPr="00A735B4" w:rsidRDefault="00C4454D" w:rsidP="00C4454D">
            <w:pPr>
              <w:rPr>
                <w:b/>
                <w:color w:val="000000"/>
                <w:sz w:val="20"/>
                <w:szCs w:val="20"/>
              </w:rPr>
            </w:pPr>
            <w:r w:rsidRPr="00A735B4">
              <w:rPr>
                <w:b/>
                <w:color w:val="000000"/>
                <w:sz w:val="20"/>
                <w:szCs w:val="20"/>
              </w:rPr>
              <w:t>Accounting</w:t>
            </w:r>
          </w:p>
        </w:tc>
        <w:tc>
          <w:tcPr>
            <w:tcW w:w="910" w:type="dxa"/>
            <w:noWrap/>
          </w:tcPr>
          <w:p w14:paraId="3C559BF2" w14:textId="17432EED" w:rsidR="00C4454D" w:rsidRPr="00A735B4" w:rsidRDefault="00C4454D" w:rsidP="00C4454D">
            <w:pPr>
              <w:jc w:val="center"/>
              <w:rPr>
                <w:color w:val="000000"/>
                <w:sz w:val="20"/>
                <w:szCs w:val="20"/>
              </w:rPr>
            </w:pPr>
            <w:r w:rsidRPr="00A735B4">
              <w:rPr>
                <w:color w:val="000000"/>
                <w:sz w:val="20"/>
                <w:szCs w:val="20"/>
              </w:rPr>
              <w:t>35.4</w:t>
            </w:r>
          </w:p>
        </w:tc>
        <w:tc>
          <w:tcPr>
            <w:tcW w:w="1078" w:type="dxa"/>
            <w:noWrap/>
          </w:tcPr>
          <w:p w14:paraId="3B4C553A" w14:textId="076C028F" w:rsidR="00C4454D" w:rsidRPr="00A735B4" w:rsidRDefault="00C4454D" w:rsidP="00C4454D">
            <w:pPr>
              <w:jc w:val="center"/>
              <w:rPr>
                <w:color w:val="000000"/>
                <w:sz w:val="20"/>
                <w:szCs w:val="20"/>
              </w:rPr>
            </w:pPr>
            <w:r w:rsidRPr="00A735B4">
              <w:rPr>
                <w:color w:val="000000"/>
                <w:sz w:val="20"/>
                <w:szCs w:val="20"/>
              </w:rPr>
              <w:t>40.0</w:t>
            </w:r>
          </w:p>
        </w:tc>
        <w:tc>
          <w:tcPr>
            <w:tcW w:w="970" w:type="dxa"/>
            <w:noWrap/>
          </w:tcPr>
          <w:p w14:paraId="7A6E6264" w14:textId="55AACDDD" w:rsidR="00C4454D" w:rsidRPr="00A735B4" w:rsidRDefault="00C4454D" w:rsidP="00C4454D">
            <w:pPr>
              <w:jc w:val="center"/>
              <w:rPr>
                <w:color w:val="000000"/>
                <w:sz w:val="20"/>
                <w:szCs w:val="20"/>
              </w:rPr>
            </w:pPr>
            <w:r w:rsidRPr="00A735B4">
              <w:rPr>
                <w:color w:val="000000"/>
                <w:sz w:val="20"/>
                <w:szCs w:val="20"/>
              </w:rPr>
              <w:t>43.8</w:t>
            </w:r>
          </w:p>
        </w:tc>
        <w:tc>
          <w:tcPr>
            <w:tcW w:w="970" w:type="dxa"/>
          </w:tcPr>
          <w:p w14:paraId="77C18BBD" w14:textId="14A86DAE" w:rsidR="00C4454D" w:rsidRPr="00A735B4" w:rsidRDefault="00C4454D" w:rsidP="00C4454D">
            <w:pPr>
              <w:jc w:val="center"/>
              <w:rPr>
                <w:color w:val="000000"/>
                <w:sz w:val="20"/>
                <w:szCs w:val="20"/>
              </w:rPr>
            </w:pPr>
            <w:r w:rsidRPr="00A735B4">
              <w:rPr>
                <w:color w:val="000000"/>
                <w:sz w:val="20"/>
                <w:szCs w:val="20"/>
              </w:rPr>
              <w:t>38.9</w:t>
            </w:r>
          </w:p>
        </w:tc>
        <w:tc>
          <w:tcPr>
            <w:tcW w:w="951" w:type="dxa"/>
          </w:tcPr>
          <w:p w14:paraId="571AC3C6" w14:textId="1C847040" w:rsidR="00C4454D" w:rsidRPr="00A735B4" w:rsidRDefault="00C4454D" w:rsidP="00C4454D">
            <w:pPr>
              <w:jc w:val="center"/>
              <w:rPr>
                <w:color w:val="000000"/>
                <w:sz w:val="20"/>
                <w:szCs w:val="20"/>
              </w:rPr>
            </w:pPr>
            <w:r w:rsidRPr="00A735B4">
              <w:rPr>
                <w:color w:val="000000"/>
                <w:sz w:val="20"/>
                <w:szCs w:val="20"/>
              </w:rPr>
              <w:t>35.7</w:t>
            </w:r>
          </w:p>
        </w:tc>
        <w:tc>
          <w:tcPr>
            <w:tcW w:w="971" w:type="dxa"/>
          </w:tcPr>
          <w:p w14:paraId="38D57559" w14:textId="1FD2F808" w:rsidR="00C4454D" w:rsidRPr="00A735B4" w:rsidRDefault="00C4454D" w:rsidP="00C4454D">
            <w:pPr>
              <w:jc w:val="center"/>
              <w:rPr>
                <w:color w:val="000000"/>
                <w:sz w:val="20"/>
                <w:szCs w:val="20"/>
              </w:rPr>
            </w:pPr>
            <w:r w:rsidRPr="00A735B4">
              <w:rPr>
                <w:color w:val="000000"/>
                <w:sz w:val="20"/>
                <w:szCs w:val="20"/>
              </w:rPr>
              <w:t>10.4</w:t>
            </w:r>
          </w:p>
        </w:tc>
        <w:tc>
          <w:tcPr>
            <w:tcW w:w="1581" w:type="dxa"/>
            <w:noWrap/>
          </w:tcPr>
          <w:p w14:paraId="700398D1" w14:textId="7B8207E5" w:rsidR="00C4454D" w:rsidRPr="00A735B4" w:rsidRDefault="00C4454D" w:rsidP="00C4454D">
            <w:pPr>
              <w:jc w:val="center"/>
              <w:rPr>
                <w:color w:val="000000"/>
                <w:sz w:val="20"/>
                <w:szCs w:val="20"/>
              </w:rPr>
            </w:pPr>
            <w:r w:rsidRPr="00A735B4">
              <w:rPr>
                <w:color w:val="000000"/>
                <w:sz w:val="20"/>
                <w:szCs w:val="20"/>
              </w:rPr>
              <w:t>34.0</w:t>
            </w:r>
          </w:p>
        </w:tc>
      </w:tr>
      <w:tr w:rsidR="00C4454D" w:rsidRPr="00A735B4" w14:paraId="48750984" w14:textId="77777777" w:rsidTr="00C4454D">
        <w:trPr>
          <w:trHeight w:hRule="exact" w:val="284"/>
        </w:trPr>
        <w:tc>
          <w:tcPr>
            <w:tcW w:w="2175" w:type="dxa"/>
            <w:noWrap/>
            <w:hideMark/>
          </w:tcPr>
          <w:p w14:paraId="0EF7B609" w14:textId="77777777" w:rsidR="00C4454D" w:rsidRPr="00A735B4" w:rsidRDefault="00C4454D" w:rsidP="00C4454D">
            <w:pPr>
              <w:rPr>
                <w:b/>
                <w:color w:val="000000"/>
                <w:sz w:val="20"/>
                <w:szCs w:val="20"/>
              </w:rPr>
            </w:pPr>
            <w:r w:rsidRPr="00A735B4">
              <w:rPr>
                <w:b/>
                <w:color w:val="000000"/>
                <w:sz w:val="20"/>
                <w:szCs w:val="20"/>
              </w:rPr>
              <w:t>Insurance</w:t>
            </w:r>
          </w:p>
        </w:tc>
        <w:tc>
          <w:tcPr>
            <w:tcW w:w="910" w:type="dxa"/>
            <w:noWrap/>
          </w:tcPr>
          <w:p w14:paraId="500F1F6E" w14:textId="4675D6D9" w:rsidR="00C4454D" w:rsidRPr="00A735B4" w:rsidRDefault="00C4454D" w:rsidP="00C4454D">
            <w:pPr>
              <w:jc w:val="center"/>
              <w:rPr>
                <w:color w:val="000000"/>
                <w:sz w:val="20"/>
                <w:szCs w:val="20"/>
              </w:rPr>
            </w:pPr>
            <w:r w:rsidRPr="00A735B4">
              <w:rPr>
                <w:color w:val="000000"/>
                <w:sz w:val="20"/>
                <w:szCs w:val="20"/>
              </w:rPr>
              <w:t>21.7</w:t>
            </w:r>
          </w:p>
        </w:tc>
        <w:tc>
          <w:tcPr>
            <w:tcW w:w="1078" w:type="dxa"/>
            <w:noWrap/>
          </w:tcPr>
          <w:p w14:paraId="6F35A696" w14:textId="31C02A02" w:rsidR="00C4454D" w:rsidRPr="00A735B4" w:rsidRDefault="00C4454D" w:rsidP="00C4454D">
            <w:pPr>
              <w:jc w:val="center"/>
              <w:rPr>
                <w:color w:val="000000"/>
                <w:sz w:val="20"/>
                <w:szCs w:val="20"/>
              </w:rPr>
            </w:pPr>
            <w:r w:rsidRPr="00A735B4">
              <w:rPr>
                <w:color w:val="000000"/>
                <w:sz w:val="20"/>
                <w:szCs w:val="20"/>
              </w:rPr>
              <w:t>25.0</w:t>
            </w:r>
          </w:p>
        </w:tc>
        <w:tc>
          <w:tcPr>
            <w:tcW w:w="970" w:type="dxa"/>
            <w:noWrap/>
          </w:tcPr>
          <w:p w14:paraId="7844AA58" w14:textId="34186D23" w:rsidR="00C4454D" w:rsidRPr="00A735B4" w:rsidRDefault="00C4454D" w:rsidP="00C4454D">
            <w:pPr>
              <w:jc w:val="center"/>
              <w:rPr>
                <w:color w:val="000000"/>
                <w:sz w:val="20"/>
                <w:szCs w:val="20"/>
              </w:rPr>
            </w:pPr>
            <w:r w:rsidRPr="00A735B4">
              <w:rPr>
                <w:color w:val="000000"/>
                <w:sz w:val="20"/>
                <w:szCs w:val="20"/>
              </w:rPr>
              <w:t>17.7</w:t>
            </w:r>
          </w:p>
        </w:tc>
        <w:tc>
          <w:tcPr>
            <w:tcW w:w="970" w:type="dxa"/>
          </w:tcPr>
          <w:p w14:paraId="7D47FADC" w14:textId="281FAC76" w:rsidR="00C4454D" w:rsidRPr="00A735B4" w:rsidRDefault="00C4454D" w:rsidP="00C4454D">
            <w:pPr>
              <w:jc w:val="center"/>
              <w:rPr>
                <w:color w:val="000000"/>
                <w:sz w:val="20"/>
                <w:szCs w:val="20"/>
              </w:rPr>
            </w:pPr>
            <w:r w:rsidRPr="00A735B4">
              <w:rPr>
                <w:color w:val="000000"/>
                <w:sz w:val="20"/>
                <w:szCs w:val="20"/>
              </w:rPr>
              <w:t>46.9</w:t>
            </w:r>
          </w:p>
        </w:tc>
        <w:tc>
          <w:tcPr>
            <w:tcW w:w="951" w:type="dxa"/>
          </w:tcPr>
          <w:p w14:paraId="4D6FC4BB" w14:textId="6227EF0D" w:rsidR="00C4454D" w:rsidRPr="00A735B4" w:rsidRDefault="00C4454D" w:rsidP="00C4454D">
            <w:pPr>
              <w:jc w:val="center"/>
              <w:rPr>
                <w:color w:val="000000"/>
                <w:sz w:val="20"/>
                <w:szCs w:val="20"/>
              </w:rPr>
            </w:pPr>
            <w:r w:rsidRPr="00A735B4">
              <w:rPr>
                <w:color w:val="000000"/>
                <w:sz w:val="20"/>
                <w:szCs w:val="20"/>
              </w:rPr>
              <w:t>9.7</w:t>
            </w:r>
          </w:p>
        </w:tc>
        <w:tc>
          <w:tcPr>
            <w:tcW w:w="971" w:type="dxa"/>
          </w:tcPr>
          <w:p w14:paraId="53DB08AF" w14:textId="310AAACD" w:rsidR="00C4454D" w:rsidRPr="00A735B4" w:rsidRDefault="00C4454D" w:rsidP="00C4454D">
            <w:pPr>
              <w:jc w:val="center"/>
              <w:rPr>
                <w:color w:val="000000"/>
                <w:sz w:val="20"/>
                <w:szCs w:val="20"/>
              </w:rPr>
            </w:pPr>
            <w:r w:rsidRPr="00A735B4">
              <w:rPr>
                <w:color w:val="000000"/>
                <w:sz w:val="20"/>
                <w:szCs w:val="20"/>
              </w:rPr>
              <w:t>20.8</w:t>
            </w:r>
          </w:p>
        </w:tc>
        <w:tc>
          <w:tcPr>
            <w:tcW w:w="1581" w:type="dxa"/>
            <w:noWrap/>
          </w:tcPr>
          <w:p w14:paraId="14E8F7BF" w14:textId="01475597" w:rsidR="00C4454D" w:rsidRPr="00A735B4" w:rsidRDefault="00C4454D" w:rsidP="00C4454D">
            <w:pPr>
              <w:jc w:val="center"/>
              <w:rPr>
                <w:color w:val="000000"/>
                <w:sz w:val="20"/>
                <w:szCs w:val="20"/>
              </w:rPr>
            </w:pPr>
            <w:r w:rsidRPr="00A735B4">
              <w:rPr>
                <w:color w:val="000000"/>
                <w:sz w:val="20"/>
                <w:szCs w:val="20"/>
              </w:rPr>
              <w:t>23.6</w:t>
            </w:r>
          </w:p>
        </w:tc>
      </w:tr>
      <w:tr w:rsidR="00C4454D" w:rsidRPr="00A735B4" w14:paraId="22F3FE04" w14:textId="77777777" w:rsidTr="00C4454D">
        <w:trPr>
          <w:trHeight w:hRule="exact" w:val="284"/>
        </w:trPr>
        <w:tc>
          <w:tcPr>
            <w:tcW w:w="2175" w:type="dxa"/>
            <w:noWrap/>
          </w:tcPr>
          <w:p w14:paraId="4CFAF075" w14:textId="77777777" w:rsidR="00C4454D" w:rsidRPr="00A735B4" w:rsidRDefault="00C4454D" w:rsidP="00C4454D">
            <w:pPr>
              <w:rPr>
                <w:b/>
                <w:color w:val="000000"/>
                <w:sz w:val="20"/>
                <w:szCs w:val="20"/>
              </w:rPr>
            </w:pPr>
            <w:r w:rsidRPr="00A735B4">
              <w:rPr>
                <w:b/>
                <w:color w:val="000000"/>
                <w:sz w:val="20"/>
                <w:szCs w:val="20"/>
              </w:rPr>
              <w:t>Weighted average</w:t>
            </w:r>
          </w:p>
        </w:tc>
        <w:tc>
          <w:tcPr>
            <w:tcW w:w="910" w:type="dxa"/>
            <w:noWrap/>
          </w:tcPr>
          <w:p w14:paraId="51E79ABC" w14:textId="28AB308A" w:rsidR="00C4454D" w:rsidRPr="00A735B4" w:rsidRDefault="00C4454D" w:rsidP="00C4454D">
            <w:pPr>
              <w:jc w:val="center"/>
              <w:rPr>
                <w:color w:val="000000"/>
                <w:sz w:val="20"/>
                <w:szCs w:val="20"/>
              </w:rPr>
            </w:pPr>
            <w:r w:rsidRPr="00A735B4">
              <w:rPr>
                <w:color w:val="000000"/>
                <w:sz w:val="20"/>
                <w:szCs w:val="20"/>
              </w:rPr>
              <w:t>52.6</w:t>
            </w:r>
          </w:p>
        </w:tc>
        <w:tc>
          <w:tcPr>
            <w:tcW w:w="1078" w:type="dxa"/>
            <w:noWrap/>
          </w:tcPr>
          <w:p w14:paraId="3D27FD28" w14:textId="4A71D7D4" w:rsidR="00C4454D" w:rsidRPr="00A735B4" w:rsidRDefault="00C4454D" w:rsidP="00C4454D">
            <w:pPr>
              <w:jc w:val="center"/>
              <w:rPr>
                <w:color w:val="000000"/>
                <w:sz w:val="20"/>
                <w:szCs w:val="20"/>
              </w:rPr>
            </w:pPr>
            <w:r w:rsidRPr="00A735B4">
              <w:rPr>
                <w:color w:val="000000"/>
                <w:sz w:val="20"/>
                <w:szCs w:val="20"/>
              </w:rPr>
              <w:t>37.3</w:t>
            </w:r>
          </w:p>
        </w:tc>
        <w:tc>
          <w:tcPr>
            <w:tcW w:w="970" w:type="dxa"/>
            <w:noWrap/>
          </w:tcPr>
          <w:p w14:paraId="4227BFB9" w14:textId="0C71C01D" w:rsidR="00C4454D" w:rsidRPr="00A735B4" w:rsidRDefault="00C4454D" w:rsidP="00C4454D">
            <w:pPr>
              <w:jc w:val="center"/>
              <w:rPr>
                <w:color w:val="000000"/>
                <w:sz w:val="20"/>
                <w:szCs w:val="20"/>
              </w:rPr>
            </w:pPr>
            <w:r w:rsidRPr="00A735B4">
              <w:rPr>
                <w:color w:val="000000"/>
                <w:sz w:val="20"/>
                <w:szCs w:val="20"/>
              </w:rPr>
              <w:t>32.6</w:t>
            </w:r>
          </w:p>
        </w:tc>
        <w:tc>
          <w:tcPr>
            <w:tcW w:w="970" w:type="dxa"/>
          </w:tcPr>
          <w:p w14:paraId="09F2EE08" w14:textId="02E3DD79" w:rsidR="00C4454D" w:rsidRPr="00A735B4" w:rsidRDefault="00C4454D" w:rsidP="00C4454D">
            <w:pPr>
              <w:jc w:val="center"/>
              <w:rPr>
                <w:color w:val="000000"/>
                <w:sz w:val="20"/>
                <w:szCs w:val="20"/>
              </w:rPr>
            </w:pPr>
            <w:r w:rsidRPr="00A735B4">
              <w:rPr>
                <w:color w:val="000000"/>
                <w:sz w:val="20"/>
                <w:szCs w:val="20"/>
              </w:rPr>
              <w:t>39.2</w:t>
            </w:r>
          </w:p>
        </w:tc>
        <w:tc>
          <w:tcPr>
            <w:tcW w:w="951" w:type="dxa"/>
          </w:tcPr>
          <w:p w14:paraId="47A269DE" w14:textId="7AB422A0" w:rsidR="00C4454D" w:rsidRPr="00A735B4" w:rsidRDefault="00C4454D" w:rsidP="00C4454D">
            <w:pPr>
              <w:jc w:val="center"/>
              <w:rPr>
                <w:color w:val="000000"/>
                <w:sz w:val="20"/>
                <w:szCs w:val="20"/>
              </w:rPr>
            </w:pPr>
            <w:r w:rsidRPr="00A735B4">
              <w:rPr>
                <w:color w:val="000000"/>
                <w:sz w:val="20"/>
                <w:szCs w:val="20"/>
              </w:rPr>
              <w:t>32.1</w:t>
            </w:r>
          </w:p>
        </w:tc>
        <w:tc>
          <w:tcPr>
            <w:tcW w:w="971" w:type="dxa"/>
          </w:tcPr>
          <w:p w14:paraId="3CC455FF" w14:textId="6BA152C1" w:rsidR="00C4454D" w:rsidRPr="00A735B4" w:rsidRDefault="00C4454D" w:rsidP="00C4454D">
            <w:pPr>
              <w:jc w:val="center"/>
              <w:rPr>
                <w:color w:val="000000"/>
                <w:sz w:val="20"/>
                <w:szCs w:val="20"/>
              </w:rPr>
            </w:pPr>
            <w:r w:rsidRPr="00A735B4">
              <w:rPr>
                <w:color w:val="000000"/>
                <w:sz w:val="20"/>
                <w:szCs w:val="20"/>
              </w:rPr>
              <w:t>12.5</w:t>
            </w:r>
          </w:p>
        </w:tc>
        <w:tc>
          <w:tcPr>
            <w:tcW w:w="1581" w:type="dxa"/>
            <w:noWrap/>
          </w:tcPr>
          <w:p w14:paraId="5323E423" w14:textId="77777777" w:rsidR="00C4454D" w:rsidRPr="00A735B4" w:rsidRDefault="00C4454D" w:rsidP="00C4454D">
            <w:pPr>
              <w:jc w:val="center"/>
              <w:rPr>
                <w:color w:val="000000"/>
                <w:sz w:val="20"/>
                <w:szCs w:val="20"/>
              </w:rPr>
            </w:pPr>
          </w:p>
        </w:tc>
      </w:tr>
    </w:tbl>
    <w:p w14:paraId="05649721" w14:textId="77777777" w:rsidR="00C4454D" w:rsidRPr="00A735B4" w:rsidRDefault="00C4454D" w:rsidP="00C4454D">
      <w:pPr>
        <w:spacing w:after="200" w:line="276" w:lineRule="auto"/>
        <w:rPr>
          <w:b/>
        </w:rPr>
      </w:pPr>
    </w:p>
    <w:p w14:paraId="7F067EE3" w14:textId="791C6F5D" w:rsidR="00C4454D" w:rsidRPr="00A735B4" w:rsidRDefault="00C4454D" w:rsidP="00C4454D">
      <w:pPr>
        <w:tabs>
          <w:tab w:val="num" w:pos="720"/>
        </w:tabs>
        <w:spacing w:after="200" w:line="276" w:lineRule="auto"/>
        <w:jc w:val="both"/>
      </w:pPr>
      <w:r w:rsidRPr="00A735B4">
        <w:t xml:space="preserve">Most clients come from sectors such as trade and distribution, hospitality, transport, and construction for micro and small enterprises. </w:t>
      </w:r>
    </w:p>
    <w:p w14:paraId="373EC99E" w14:textId="77777777" w:rsidR="00C4454D" w:rsidRPr="00A735B4" w:rsidRDefault="00C4454D" w:rsidP="00C4454D">
      <w:pPr>
        <w:tabs>
          <w:tab w:val="num" w:pos="720"/>
        </w:tabs>
        <w:spacing w:after="200" w:line="276" w:lineRule="auto"/>
        <w:jc w:val="both"/>
      </w:pPr>
    </w:p>
    <w:p w14:paraId="7EC995AD" w14:textId="77777777" w:rsidR="00C4454D" w:rsidRPr="00A735B4" w:rsidRDefault="00C4454D" w:rsidP="00C4454D">
      <w:pPr>
        <w:tabs>
          <w:tab w:val="num" w:pos="720"/>
        </w:tabs>
        <w:spacing w:after="200" w:line="276" w:lineRule="auto"/>
        <w:jc w:val="both"/>
      </w:pPr>
    </w:p>
    <w:p w14:paraId="1680018A" w14:textId="77777777" w:rsidR="00C4454D" w:rsidRPr="00A735B4" w:rsidRDefault="00C4454D" w:rsidP="00C4454D">
      <w:pPr>
        <w:tabs>
          <w:tab w:val="num" w:pos="720"/>
        </w:tabs>
        <w:spacing w:after="200" w:line="276" w:lineRule="auto"/>
        <w:jc w:val="both"/>
      </w:pPr>
    </w:p>
    <w:p w14:paraId="47C7CFFE" w14:textId="77777777" w:rsidR="00C4454D" w:rsidRPr="00A735B4" w:rsidRDefault="00C4454D" w:rsidP="00C4454D">
      <w:pPr>
        <w:tabs>
          <w:tab w:val="num" w:pos="720"/>
        </w:tabs>
        <w:spacing w:after="200" w:line="276" w:lineRule="auto"/>
        <w:jc w:val="both"/>
      </w:pPr>
    </w:p>
    <w:p w14:paraId="57831A57" w14:textId="77777777" w:rsidR="00C4454D" w:rsidRPr="00A735B4" w:rsidRDefault="00C4454D" w:rsidP="00C4454D">
      <w:pPr>
        <w:tabs>
          <w:tab w:val="num" w:pos="720"/>
        </w:tabs>
        <w:spacing w:after="200" w:line="276" w:lineRule="auto"/>
        <w:jc w:val="both"/>
      </w:pPr>
    </w:p>
    <w:p w14:paraId="5B9657FE" w14:textId="2695EA2D" w:rsidR="00C4454D" w:rsidRPr="00A735B4" w:rsidRDefault="00C4454D" w:rsidP="00C4454D">
      <w:bookmarkStart w:id="123" w:name="_Toc419565267"/>
      <w:r w:rsidRPr="00A735B4">
        <w:t>C.5  Standardized services and prices by sector</w:t>
      </w:r>
      <w:bookmarkEnd w:id="123"/>
      <w:r w:rsidRPr="00A735B4">
        <w:t xml:space="preserve"> </w:t>
      </w:r>
    </w:p>
    <w:p w14:paraId="31BA83B1" w14:textId="60459889" w:rsidR="00C4454D" w:rsidRPr="00A735B4" w:rsidRDefault="00C4454D" w:rsidP="00C4454D">
      <w:bookmarkStart w:id="124" w:name="_Toc395690918"/>
      <w:bookmarkStart w:id="125" w:name="_Toc417463407"/>
      <w:bookmarkStart w:id="126" w:name="_Toc419565268"/>
      <w:r w:rsidRPr="00A735B4">
        <w:t>C.5.1  Banking services</w:t>
      </w:r>
      <w:bookmarkEnd w:id="124"/>
      <w:r w:rsidRPr="00A735B4">
        <w:t xml:space="preserve"> offered to MSMEs</w:t>
      </w:r>
      <w:bookmarkEnd w:id="125"/>
      <w:bookmarkEnd w:id="126"/>
    </w:p>
    <w:p w14:paraId="5B5ADDAA" w14:textId="08060C84" w:rsidR="00C4454D" w:rsidRPr="00A735B4" w:rsidRDefault="00C4454D" w:rsidP="00C4454D">
      <w:pPr>
        <w:spacing w:before="120"/>
        <w:jc w:val="both"/>
      </w:pPr>
      <w:r w:rsidRPr="00A735B4">
        <w:t xml:space="preserve">As expected, the most common banking services offered by banks are current and savings accounts, secured loans, fixed deposits, debit cards, and asset finance; and to a slightly lesser extent mortgages and invoice discounting. Interestingly, unsecured loans are offered by a surprisingly high proportion of banks; it would be useful to gain further insight into the banks’ approaches to risk mitigation. The relatively low number of accounts held by women suggests that the banks are not specifically targeting female clients (table C.5). </w:t>
      </w:r>
    </w:p>
    <w:p w14:paraId="084A2CEC" w14:textId="77777777" w:rsidR="00C4454D" w:rsidRPr="00A735B4" w:rsidRDefault="00C4454D" w:rsidP="00C4454D">
      <w:pPr>
        <w:jc w:val="center"/>
        <w:rPr>
          <w:color w:val="1F497D" w:themeColor="text2"/>
        </w:rPr>
      </w:pPr>
      <w:bookmarkStart w:id="127" w:name="_Toc410823563"/>
    </w:p>
    <w:p w14:paraId="5B0D8950" w14:textId="20AA03B2" w:rsidR="00C4454D" w:rsidRPr="00A735B4" w:rsidRDefault="00C4454D" w:rsidP="00C4454D">
      <w:pPr>
        <w:spacing w:after="0"/>
        <w:jc w:val="center"/>
        <w:rPr>
          <w:color w:val="1F497D" w:themeColor="text2"/>
        </w:rPr>
      </w:pPr>
      <w:r w:rsidRPr="00A735B4">
        <w:rPr>
          <w:color w:val="1F497D" w:themeColor="text2"/>
        </w:rPr>
        <w:t>Table C.5 Services offered by banks (percentage of service by country)</w:t>
      </w:r>
      <w:bookmarkEnd w:id="127"/>
    </w:p>
    <w:tbl>
      <w:tblPr>
        <w:tblW w:w="9605" w:type="dxa"/>
        <w:tblInd w:w="10" w:type="dxa"/>
        <w:tblLayout w:type="fixed"/>
        <w:tblCellMar>
          <w:left w:w="10" w:type="dxa"/>
          <w:right w:w="10" w:type="dxa"/>
        </w:tblCellMar>
        <w:tblLook w:val="04A0" w:firstRow="1" w:lastRow="0" w:firstColumn="1" w:lastColumn="0" w:noHBand="0" w:noVBand="1"/>
      </w:tblPr>
      <w:tblGrid>
        <w:gridCol w:w="2093"/>
        <w:gridCol w:w="850"/>
        <w:gridCol w:w="1134"/>
        <w:gridCol w:w="970"/>
        <w:gridCol w:w="1014"/>
        <w:gridCol w:w="993"/>
        <w:gridCol w:w="992"/>
        <w:gridCol w:w="1559"/>
      </w:tblGrid>
      <w:tr w:rsidR="00C4454D" w:rsidRPr="00A735B4" w14:paraId="1D48F7AF" w14:textId="77777777" w:rsidTr="00C4454D">
        <w:trPr>
          <w:trHeight w:hRule="exact" w:val="821"/>
        </w:trPr>
        <w:tc>
          <w:tcPr>
            <w:tcW w:w="2093" w:type="dxa"/>
            <w:noWrap/>
            <w:hideMark/>
          </w:tcPr>
          <w:p w14:paraId="3159AA5D" w14:textId="77777777" w:rsidR="00C4454D" w:rsidRPr="00A735B4" w:rsidRDefault="00C4454D" w:rsidP="00C4454D">
            <w:pPr>
              <w:rPr>
                <w:sz w:val="20"/>
                <w:szCs w:val="20"/>
              </w:rPr>
            </w:pPr>
            <w:r w:rsidRPr="00A735B4">
              <w:rPr>
                <w:bCs/>
                <w:sz w:val="20"/>
                <w:szCs w:val="20"/>
              </w:rPr>
              <w:t>Services offered by banks</w:t>
            </w:r>
          </w:p>
        </w:tc>
        <w:tc>
          <w:tcPr>
            <w:tcW w:w="850" w:type="dxa"/>
            <w:noWrap/>
            <w:hideMark/>
          </w:tcPr>
          <w:p w14:paraId="57E985A1" w14:textId="77777777" w:rsidR="00C4454D" w:rsidRPr="00A735B4" w:rsidRDefault="00C4454D" w:rsidP="00C4454D">
            <w:pPr>
              <w:jc w:val="center"/>
              <w:rPr>
                <w:sz w:val="20"/>
                <w:szCs w:val="20"/>
              </w:rPr>
            </w:pPr>
            <w:r w:rsidRPr="00A735B4">
              <w:rPr>
                <w:bCs/>
                <w:sz w:val="20"/>
                <w:szCs w:val="20"/>
              </w:rPr>
              <w:t>Kenya</w:t>
            </w:r>
          </w:p>
        </w:tc>
        <w:tc>
          <w:tcPr>
            <w:tcW w:w="1134" w:type="dxa"/>
            <w:noWrap/>
            <w:hideMark/>
          </w:tcPr>
          <w:p w14:paraId="34B85525" w14:textId="77777777" w:rsidR="00C4454D" w:rsidRPr="00A735B4" w:rsidRDefault="00C4454D" w:rsidP="00C4454D">
            <w:pPr>
              <w:jc w:val="center"/>
              <w:rPr>
                <w:sz w:val="20"/>
                <w:szCs w:val="20"/>
              </w:rPr>
            </w:pPr>
            <w:r w:rsidRPr="00A735B4">
              <w:rPr>
                <w:bCs/>
                <w:sz w:val="20"/>
                <w:szCs w:val="20"/>
              </w:rPr>
              <w:t>Tanzania</w:t>
            </w:r>
          </w:p>
        </w:tc>
        <w:tc>
          <w:tcPr>
            <w:tcW w:w="970" w:type="dxa"/>
            <w:noWrap/>
            <w:hideMark/>
          </w:tcPr>
          <w:p w14:paraId="1EA73640" w14:textId="77777777" w:rsidR="00C4454D" w:rsidRPr="00A735B4" w:rsidRDefault="00C4454D" w:rsidP="00C4454D">
            <w:pPr>
              <w:jc w:val="center"/>
              <w:rPr>
                <w:sz w:val="20"/>
                <w:szCs w:val="20"/>
              </w:rPr>
            </w:pPr>
            <w:r w:rsidRPr="00A735B4">
              <w:rPr>
                <w:bCs/>
                <w:sz w:val="20"/>
                <w:szCs w:val="20"/>
              </w:rPr>
              <w:t>Uganda</w:t>
            </w:r>
          </w:p>
        </w:tc>
        <w:tc>
          <w:tcPr>
            <w:tcW w:w="1014" w:type="dxa"/>
          </w:tcPr>
          <w:p w14:paraId="0FD8E582" w14:textId="77777777" w:rsidR="00C4454D" w:rsidRPr="00A735B4" w:rsidRDefault="00C4454D" w:rsidP="00C4454D">
            <w:pPr>
              <w:jc w:val="center"/>
              <w:rPr>
                <w:sz w:val="20"/>
                <w:szCs w:val="20"/>
              </w:rPr>
            </w:pPr>
            <w:r w:rsidRPr="00A735B4">
              <w:rPr>
                <w:bCs/>
                <w:sz w:val="20"/>
                <w:szCs w:val="20"/>
              </w:rPr>
              <w:t>Rwanda</w:t>
            </w:r>
          </w:p>
        </w:tc>
        <w:tc>
          <w:tcPr>
            <w:tcW w:w="993" w:type="dxa"/>
          </w:tcPr>
          <w:p w14:paraId="0EE95ECE" w14:textId="77777777" w:rsidR="00C4454D" w:rsidRPr="00A735B4" w:rsidRDefault="00C4454D" w:rsidP="00C4454D">
            <w:pPr>
              <w:jc w:val="center"/>
              <w:rPr>
                <w:sz w:val="20"/>
                <w:szCs w:val="20"/>
              </w:rPr>
            </w:pPr>
            <w:r w:rsidRPr="00A735B4">
              <w:rPr>
                <w:bCs/>
                <w:sz w:val="20"/>
                <w:szCs w:val="20"/>
              </w:rPr>
              <w:t>Malawi</w:t>
            </w:r>
          </w:p>
        </w:tc>
        <w:tc>
          <w:tcPr>
            <w:tcW w:w="992" w:type="dxa"/>
          </w:tcPr>
          <w:p w14:paraId="29E6CF9E" w14:textId="77777777" w:rsidR="00C4454D" w:rsidRPr="00A735B4" w:rsidRDefault="00C4454D" w:rsidP="00C4454D">
            <w:pPr>
              <w:jc w:val="center"/>
              <w:rPr>
                <w:sz w:val="20"/>
                <w:szCs w:val="20"/>
              </w:rPr>
            </w:pPr>
            <w:r w:rsidRPr="00A735B4">
              <w:rPr>
                <w:bCs/>
                <w:sz w:val="20"/>
                <w:szCs w:val="20"/>
              </w:rPr>
              <w:t>Zambia</w:t>
            </w:r>
          </w:p>
        </w:tc>
        <w:tc>
          <w:tcPr>
            <w:tcW w:w="1559" w:type="dxa"/>
            <w:noWrap/>
            <w:hideMark/>
          </w:tcPr>
          <w:p w14:paraId="16B79E84" w14:textId="3A952109" w:rsidR="00C4454D" w:rsidRPr="00A735B4" w:rsidRDefault="00C4454D" w:rsidP="00C4454D">
            <w:pPr>
              <w:jc w:val="center"/>
              <w:rPr>
                <w:sz w:val="20"/>
                <w:szCs w:val="20"/>
              </w:rPr>
            </w:pPr>
            <w:r w:rsidRPr="00A735B4">
              <w:rPr>
                <w:bCs/>
                <w:sz w:val="20"/>
                <w:szCs w:val="20"/>
              </w:rPr>
              <w:t>Country average</w:t>
            </w:r>
          </w:p>
        </w:tc>
      </w:tr>
      <w:tr w:rsidR="00C4454D" w:rsidRPr="00A735B4" w14:paraId="1AC7F096" w14:textId="77777777" w:rsidTr="00C4454D">
        <w:trPr>
          <w:trHeight w:hRule="exact" w:val="284"/>
        </w:trPr>
        <w:tc>
          <w:tcPr>
            <w:tcW w:w="2093" w:type="dxa"/>
            <w:noWrap/>
            <w:hideMark/>
          </w:tcPr>
          <w:p w14:paraId="1352C43A" w14:textId="77777777" w:rsidR="00C4454D" w:rsidRPr="00A735B4" w:rsidRDefault="00C4454D" w:rsidP="00C4454D">
            <w:pPr>
              <w:rPr>
                <w:b/>
                <w:color w:val="0D0D0D" w:themeColor="text1" w:themeTint="F2"/>
                <w:sz w:val="20"/>
                <w:szCs w:val="20"/>
              </w:rPr>
            </w:pPr>
            <w:r w:rsidRPr="00A735B4">
              <w:rPr>
                <w:b/>
                <w:color w:val="0D0D0D" w:themeColor="text1" w:themeTint="F2"/>
                <w:sz w:val="20"/>
                <w:szCs w:val="20"/>
              </w:rPr>
              <w:t>Current &amp; savings accounts</w:t>
            </w:r>
          </w:p>
        </w:tc>
        <w:tc>
          <w:tcPr>
            <w:tcW w:w="850" w:type="dxa"/>
            <w:noWrap/>
          </w:tcPr>
          <w:p w14:paraId="693E9BC4" w14:textId="06213283" w:rsidR="00C4454D" w:rsidRPr="00A735B4" w:rsidRDefault="00C4454D" w:rsidP="00C4454D">
            <w:pPr>
              <w:jc w:val="center"/>
              <w:rPr>
                <w:color w:val="0D0D0D" w:themeColor="text1" w:themeTint="F2"/>
                <w:sz w:val="20"/>
                <w:szCs w:val="20"/>
              </w:rPr>
            </w:pPr>
            <w:r w:rsidRPr="00A735B4">
              <w:rPr>
                <w:color w:val="0D0D0D" w:themeColor="text1" w:themeTint="F2"/>
                <w:sz w:val="20"/>
                <w:szCs w:val="20"/>
              </w:rPr>
              <w:t>100</w:t>
            </w:r>
          </w:p>
        </w:tc>
        <w:tc>
          <w:tcPr>
            <w:tcW w:w="1134" w:type="dxa"/>
            <w:noWrap/>
          </w:tcPr>
          <w:p w14:paraId="21EA9EF9" w14:textId="429B6FB5" w:rsidR="00C4454D" w:rsidRPr="00A735B4" w:rsidRDefault="00C4454D" w:rsidP="00C4454D">
            <w:pPr>
              <w:jc w:val="center"/>
              <w:rPr>
                <w:color w:val="0D0D0D" w:themeColor="text1" w:themeTint="F2"/>
                <w:sz w:val="20"/>
                <w:szCs w:val="20"/>
              </w:rPr>
            </w:pPr>
            <w:r w:rsidRPr="00A735B4">
              <w:rPr>
                <w:color w:val="0D0D0D" w:themeColor="text1" w:themeTint="F2"/>
                <w:sz w:val="20"/>
                <w:szCs w:val="20"/>
              </w:rPr>
              <w:t>100</w:t>
            </w:r>
          </w:p>
        </w:tc>
        <w:tc>
          <w:tcPr>
            <w:tcW w:w="970" w:type="dxa"/>
            <w:noWrap/>
          </w:tcPr>
          <w:p w14:paraId="40E17818" w14:textId="60193B5C" w:rsidR="00C4454D" w:rsidRPr="00A735B4" w:rsidRDefault="00C4454D" w:rsidP="00C4454D">
            <w:pPr>
              <w:jc w:val="center"/>
              <w:rPr>
                <w:color w:val="0D0D0D" w:themeColor="text1" w:themeTint="F2"/>
                <w:sz w:val="20"/>
                <w:szCs w:val="20"/>
              </w:rPr>
            </w:pPr>
            <w:r w:rsidRPr="00A735B4">
              <w:rPr>
                <w:color w:val="0D0D0D" w:themeColor="text1" w:themeTint="F2"/>
                <w:sz w:val="20"/>
                <w:szCs w:val="20"/>
              </w:rPr>
              <w:t>100</w:t>
            </w:r>
          </w:p>
        </w:tc>
        <w:tc>
          <w:tcPr>
            <w:tcW w:w="1014" w:type="dxa"/>
          </w:tcPr>
          <w:p w14:paraId="24C90F0E" w14:textId="430712A3" w:rsidR="00C4454D" w:rsidRPr="00A735B4" w:rsidRDefault="00C4454D" w:rsidP="00C4454D">
            <w:pPr>
              <w:jc w:val="center"/>
              <w:rPr>
                <w:color w:val="0D0D0D" w:themeColor="text1" w:themeTint="F2"/>
                <w:sz w:val="20"/>
                <w:szCs w:val="20"/>
              </w:rPr>
            </w:pPr>
            <w:r w:rsidRPr="00A735B4">
              <w:rPr>
                <w:color w:val="0D0D0D" w:themeColor="text1" w:themeTint="F2"/>
                <w:sz w:val="20"/>
                <w:szCs w:val="20"/>
              </w:rPr>
              <w:t>100</w:t>
            </w:r>
          </w:p>
        </w:tc>
        <w:tc>
          <w:tcPr>
            <w:tcW w:w="993" w:type="dxa"/>
          </w:tcPr>
          <w:p w14:paraId="505359DC" w14:textId="0162C55F" w:rsidR="00C4454D" w:rsidRPr="00A735B4" w:rsidRDefault="00C4454D" w:rsidP="00C4454D">
            <w:pPr>
              <w:jc w:val="center"/>
              <w:rPr>
                <w:color w:val="0D0D0D" w:themeColor="text1" w:themeTint="F2"/>
                <w:sz w:val="20"/>
                <w:szCs w:val="20"/>
              </w:rPr>
            </w:pPr>
            <w:r w:rsidRPr="00A735B4">
              <w:rPr>
                <w:color w:val="0D0D0D" w:themeColor="text1" w:themeTint="F2"/>
                <w:sz w:val="20"/>
                <w:szCs w:val="20"/>
              </w:rPr>
              <w:t>100</w:t>
            </w:r>
          </w:p>
        </w:tc>
        <w:tc>
          <w:tcPr>
            <w:tcW w:w="992" w:type="dxa"/>
          </w:tcPr>
          <w:p w14:paraId="28AB3B98" w14:textId="453A6BEF" w:rsidR="00C4454D" w:rsidRPr="00A735B4" w:rsidRDefault="00C4454D" w:rsidP="00C4454D">
            <w:pPr>
              <w:jc w:val="center"/>
              <w:rPr>
                <w:color w:val="0D0D0D" w:themeColor="text1" w:themeTint="F2"/>
                <w:sz w:val="20"/>
                <w:szCs w:val="20"/>
              </w:rPr>
            </w:pPr>
            <w:r w:rsidRPr="00A735B4">
              <w:rPr>
                <w:color w:val="0D0D0D" w:themeColor="text1" w:themeTint="F2"/>
                <w:sz w:val="20"/>
                <w:szCs w:val="20"/>
              </w:rPr>
              <w:t>100</w:t>
            </w:r>
          </w:p>
        </w:tc>
        <w:tc>
          <w:tcPr>
            <w:tcW w:w="1559" w:type="dxa"/>
            <w:noWrap/>
          </w:tcPr>
          <w:p w14:paraId="4C19F48F" w14:textId="6D4B7FEC" w:rsidR="00C4454D" w:rsidRPr="00A735B4" w:rsidRDefault="00C4454D" w:rsidP="00C4454D">
            <w:pPr>
              <w:jc w:val="center"/>
              <w:rPr>
                <w:color w:val="0D0D0D" w:themeColor="text1" w:themeTint="F2"/>
                <w:sz w:val="20"/>
                <w:szCs w:val="20"/>
              </w:rPr>
            </w:pPr>
            <w:r w:rsidRPr="00A735B4">
              <w:rPr>
                <w:color w:val="0D0D0D" w:themeColor="text1" w:themeTint="F2"/>
                <w:sz w:val="20"/>
                <w:szCs w:val="20"/>
              </w:rPr>
              <w:t>100</w:t>
            </w:r>
          </w:p>
        </w:tc>
      </w:tr>
      <w:tr w:rsidR="00C4454D" w:rsidRPr="00A735B4" w14:paraId="5FDD84BC" w14:textId="77777777" w:rsidTr="00C4454D">
        <w:trPr>
          <w:trHeight w:hRule="exact" w:val="284"/>
        </w:trPr>
        <w:tc>
          <w:tcPr>
            <w:tcW w:w="2093" w:type="dxa"/>
            <w:noWrap/>
            <w:hideMark/>
          </w:tcPr>
          <w:p w14:paraId="03656DC8" w14:textId="77777777" w:rsidR="00C4454D" w:rsidRPr="00A735B4" w:rsidRDefault="00C4454D" w:rsidP="00C4454D">
            <w:pPr>
              <w:rPr>
                <w:b/>
                <w:color w:val="0D0D0D" w:themeColor="text1" w:themeTint="F2"/>
                <w:sz w:val="20"/>
                <w:szCs w:val="20"/>
              </w:rPr>
            </w:pPr>
            <w:r w:rsidRPr="00A735B4">
              <w:rPr>
                <w:b/>
                <w:color w:val="0D0D0D" w:themeColor="text1" w:themeTint="F2"/>
                <w:sz w:val="20"/>
                <w:szCs w:val="20"/>
              </w:rPr>
              <w:t>Recurrent deposit accounts</w:t>
            </w:r>
          </w:p>
        </w:tc>
        <w:tc>
          <w:tcPr>
            <w:tcW w:w="850" w:type="dxa"/>
            <w:noWrap/>
          </w:tcPr>
          <w:p w14:paraId="6531497A" w14:textId="04776CB6" w:rsidR="00C4454D" w:rsidRPr="00A735B4" w:rsidRDefault="00C4454D" w:rsidP="00C4454D">
            <w:pPr>
              <w:jc w:val="center"/>
              <w:rPr>
                <w:color w:val="0D0D0D" w:themeColor="text1" w:themeTint="F2"/>
                <w:sz w:val="20"/>
                <w:szCs w:val="20"/>
              </w:rPr>
            </w:pPr>
            <w:r w:rsidRPr="00A735B4">
              <w:rPr>
                <w:color w:val="0D0D0D" w:themeColor="text1" w:themeTint="F2"/>
                <w:sz w:val="20"/>
                <w:szCs w:val="20"/>
              </w:rPr>
              <w:t>63</w:t>
            </w:r>
          </w:p>
        </w:tc>
        <w:tc>
          <w:tcPr>
            <w:tcW w:w="1134" w:type="dxa"/>
            <w:noWrap/>
          </w:tcPr>
          <w:p w14:paraId="2EDCB386" w14:textId="74922BD9" w:rsidR="00C4454D" w:rsidRPr="00A735B4" w:rsidRDefault="00C4454D" w:rsidP="00C4454D">
            <w:pPr>
              <w:jc w:val="center"/>
              <w:rPr>
                <w:color w:val="0D0D0D" w:themeColor="text1" w:themeTint="F2"/>
                <w:sz w:val="20"/>
                <w:szCs w:val="20"/>
              </w:rPr>
            </w:pPr>
            <w:r w:rsidRPr="00A735B4">
              <w:rPr>
                <w:color w:val="0D0D0D" w:themeColor="text1" w:themeTint="F2"/>
                <w:sz w:val="20"/>
                <w:szCs w:val="20"/>
              </w:rPr>
              <w:t>38</w:t>
            </w:r>
          </w:p>
        </w:tc>
        <w:tc>
          <w:tcPr>
            <w:tcW w:w="970" w:type="dxa"/>
            <w:noWrap/>
          </w:tcPr>
          <w:p w14:paraId="63DFEC3A" w14:textId="26A92AB4" w:rsidR="00C4454D" w:rsidRPr="00A735B4" w:rsidRDefault="00C4454D" w:rsidP="00C4454D">
            <w:pPr>
              <w:jc w:val="center"/>
              <w:rPr>
                <w:color w:val="0D0D0D" w:themeColor="text1" w:themeTint="F2"/>
                <w:sz w:val="20"/>
                <w:szCs w:val="20"/>
              </w:rPr>
            </w:pPr>
            <w:r w:rsidRPr="00A735B4">
              <w:rPr>
                <w:color w:val="0D0D0D" w:themeColor="text1" w:themeTint="F2"/>
                <w:sz w:val="20"/>
                <w:szCs w:val="20"/>
              </w:rPr>
              <w:t>33</w:t>
            </w:r>
          </w:p>
        </w:tc>
        <w:tc>
          <w:tcPr>
            <w:tcW w:w="1014" w:type="dxa"/>
          </w:tcPr>
          <w:p w14:paraId="20765107" w14:textId="42D8136E" w:rsidR="00C4454D" w:rsidRPr="00A735B4" w:rsidRDefault="00C4454D" w:rsidP="00C4454D">
            <w:pPr>
              <w:jc w:val="center"/>
              <w:rPr>
                <w:color w:val="0D0D0D" w:themeColor="text1" w:themeTint="F2"/>
                <w:sz w:val="20"/>
                <w:szCs w:val="20"/>
              </w:rPr>
            </w:pPr>
            <w:r w:rsidRPr="00A735B4">
              <w:rPr>
                <w:color w:val="0D0D0D" w:themeColor="text1" w:themeTint="F2"/>
                <w:sz w:val="20"/>
                <w:szCs w:val="20"/>
              </w:rPr>
              <w:t>40</w:t>
            </w:r>
          </w:p>
        </w:tc>
        <w:tc>
          <w:tcPr>
            <w:tcW w:w="993" w:type="dxa"/>
          </w:tcPr>
          <w:p w14:paraId="760F38DB" w14:textId="766E4D35" w:rsidR="00C4454D" w:rsidRPr="00A735B4" w:rsidRDefault="00C4454D" w:rsidP="00C4454D">
            <w:pPr>
              <w:jc w:val="center"/>
              <w:rPr>
                <w:color w:val="0D0D0D" w:themeColor="text1" w:themeTint="F2"/>
                <w:sz w:val="20"/>
                <w:szCs w:val="20"/>
              </w:rPr>
            </w:pPr>
            <w:r w:rsidRPr="00A735B4">
              <w:rPr>
                <w:color w:val="0D0D0D" w:themeColor="text1" w:themeTint="F2"/>
                <w:sz w:val="20"/>
                <w:szCs w:val="20"/>
              </w:rPr>
              <w:t>43</w:t>
            </w:r>
          </w:p>
        </w:tc>
        <w:tc>
          <w:tcPr>
            <w:tcW w:w="992" w:type="dxa"/>
          </w:tcPr>
          <w:p w14:paraId="4105160E" w14:textId="0094D9D4" w:rsidR="00C4454D" w:rsidRPr="00A735B4" w:rsidRDefault="00C4454D" w:rsidP="00C4454D">
            <w:pPr>
              <w:jc w:val="center"/>
              <w:rPr>
                <w:color w:val="0D0D0D" w:themeColor="text1" w:themeTint="F2"/>
                <w:sz w:val="20"/>
                <w:szCs w:val="20"/>
              </w:rPr>
            </w:pPr>
            <w:r w:rsidRPr="00A735B4">
              <w:rPr>
                <w:color w:val="0D0D0D" w:themeColor="text1" w:themeTint="F2"/>
                <w:sz w:val="20"/>
                <w:szCs w:val="20"/>
              </w:rPr>
              <w:t>40</w:t>
            </w:r>
          </w:p>
        </w:tc>
        <w:tc>
          <w:tcPr>
            <w:tcW w:w="1559" w:type="dxa"/>
            <w:noWrap/>
          </w:tcPr>
          <w:p w14:paraId="7B2BF185" w14:textId="697538F5" w:rsidR="00C4454D" w:rsidRPr="00A735B4" w:rsidRDefault="00C4454D" w:rsidP="00C4454D">
            <w:pPr>
              <w:jc w:val="center"/>
              <w:rPr>
                <w:color w:val="0D0D0D" w:themeColor="text1" w:themeTint="F2"/>
                <w:sz w:val="20"/>
                <w:szCs w:val="20"/>
              </w:rPr>
            </w:pPr>
            <w:r w:rsidRPr="00A735B4">
              <w:rPr>
                <w:color w:val="0D0D0D" w:themeColor="text1" w:themeTint="F2"/>
                <w:sz w:val="20"/>
                <w:szCs w:val="20"/>
              </w:rPr>
              <w:t>43</w:t>
            </w:r>
          </w:p>
        </w:tc>
      </w:tr>
      <w:tr w:rsidR="00C4454D" w:rsidRPr="00A735B4" w14:paraId="7966A6AF" w14:textId="77777777" w:rsidTr="00C4454D">
        <w:trPr>
          <w:trHeight w:hRule="exact" w:val="284"/>
        </w:trPr>
        <w:tc>
          <w:tcPr>
            <w:tcW w:w="2093" w:type="dxa"/>
            <w:noWrap/>
            <w:hideMark/>
          </w:tcPr>
          <w:p w14:paraId="5039FF3B" w14:textId="77777777" w:rsidR="00C4454D" w:rsidRPr="00A735B4" w:rsidRDefault="00C4454D" w:rsidP="00C4454D">
            <w:pPr>
              <w:rPr>
                <w:b/>
                <w:color w:val="0D0D0D" w:themeColor="text1" w:themeTint="F2"/>
                <w:sz w:val="20"/>
                <w:szCs w:val="20"/>
              </w:rPr>
            </w:pPr>
            <w:r w:rsidRPr="00A735B4">
              <w:rPr>
                <w:b/>
                <w:color w:val="0D0D0D" w:themeColor="text1" w:themeTint="F2"/>
                <w:sz w:val="20"/>
                <w:szCs w:val="20"/>
              </w:rPr>
              <w:t>Call accounts</w:t>
            </w:r>
          </w:p>
        </w:tc>
        <w:tc>
          <w:tcPr>
            <w:tcW w:w="850" w:type="dxa"/>
            <w:noWrap/>
          </w:tcPr>
          <w:p w14:paraId="5C015997" w14:textId="51170FE2" w:rsidR="00C4454D" w:rsidRPr="00A735B4" w:rsidRDefault="00C4454D" w:rsidP="00C4454D">
            <w:pPr>
              <w:jc w:val="center"/>
              <w:rPr>
                <w:color w:val="0D0D0D" w:themeColor="text1" w:themeTint="F2"/>
                <w:sz w:val="20"/>
                <w:szCs w:val="20"/>
              </w:rPr>
            </w:pPr>
            <w:r w:rsidRPr="00A735B4">
              <w:rPr>
                <w:color w:val="0D0D0D" w:themeColor="text1" w:themeTint="F2"/>
                <w:sz w:val="20"/>
                <w:szCs w:val="20"/>
              </w:rPr>
              <w:t>88</w:t>
            </w:r>
          </w:p>
        </w:tc>
        <w:tc>
          <w:tcPr>
            <w:tcW w:w="1134" w:type="dxa"/>
            <w:noWrap/>
          </w:tcPr>
          <w:p w14:paraId="3AD6E9EC" w14:textId="7CC92039" w:rsidR="00C4454D" w:rsidRPr="00A735B4" w:rsidRDefault="00C4454D" w:rsidP="00C4454D">
            <w:pPr>
              <w:jc w:val="center"/>
              <w:rPr>
                <w:color w:val="0D0D0D" w:themeColor="text1" w:themeTint="F2"/>
                <w:sz w:val="20"/>
                <w:szCs w:val="20"/>
              </w:rPr>
            </w:pPr>
            <w:r w:rsidRPr="00A735B4">
              <w:rPr>
                <w:color w:val="0D0D0D" w:themeColor="text1" w:themeTint="F2"/>
                <w:sz w:val="20"/>
                <w:szCs w:val="20"/>
              </w:rPr>
              <w:t>46</w:t>
            </w:r>
          </w:p>
        </w:tc>
        <w:tc>
          <w:tcPr>
            <w:tcW w:w="970" w:type="dxa"/>
            <w:noWrap/>
          </w:tcPr>
          <w:p w14:paraId="61D8C412" w14:textId="4AE623B7" w:rsidR="00C4454D" w:rsidRPr="00A735B4" w:rsidRDefault="00C4454D" w:rsidP="00C4454D">
            <w:pPr>
              <w:jc w:val="center"/>
              <w:rPr>
                <w:color w:val="0D0D0D" w:themeColor="text1" w:themeTint="F2"/>
                <w:sz w:val="20"/>
                <w:szCs w:val="20"/>
              </w:rPr>
            </w:pPr>
            <w:r w:rsidRPr="00A735B4">
              <w:rPr>
                <w:color w:val="0D0D0D" w:themeColor="text1" w:themeTint="F2"/>
                <w:sz w:val="20"/>
                <w:szCs w:val="20"/>
              </w:rPr>
              <w:t>25</w:t>
            </w:r>
          </w:p>
        </w:tc>
        <w:tc>
          <w:tcPr>
            <w:tcW w:w="1014" w:type="dxa"/>
          </w:tcPr>
          <w:p w14:paraId="53E6CF5D" w14:textId="79F50ACE" w:rsidR="00C4454D" w:rsidRPr="00A735B4" w:rsidRDefault="00C4454D" w:rsidP="00C4454D">
            <w:pPr>
              <w:jc w:val="center"/>
              <w:rPr>
                <w:color w:val="0D0D0D" w:themeColor="text1" w:themeTint="F2"/>
                <w:sz w:val="20"/>
                <w:szCs w:val="20"/>
              </w:rPr>
            </w:pPr>
            <w:r w:rsidRPr="00A735B4">
              <w:rPr>
                <w:color w:val="0D0D0D" w:themeColor="text1" w:themeTint="F2"/>
                <w:sz w:val="20"/>
                <w:szCs w:val="20"/>
              </w:rPr>
              <w:t>10</w:t>
            </w:r>
          </w:p>
        </w:tc>
        <w:tc>
          <w:tcPr>
            <w:tcW w:w="993" w:type="dxa"/>
          </w:tcPr>
          <w:p w14:paraId="58AE010B" w14:textId="48AC6D2F" w:rsidR="00C4454D" w:rsidRPr="00A735B4" w:rsidRDefault="00C4454D" w:rsidP="00C4454D">
            <w:pPr>
              <w:jc w:val="center"/>
              <w:rPr>
                <w:color w:val="0D0D0D" w:themeColor="text1" w:themeTint="F2"/>
                <w:sz w:val="20"/>
                <w:szCs w:val="20"/>
              </w:rPr>
            </w:pPr>
            <w:r w:rsidRPr="00A735B4">
              <w:rPr>
                <w:color w:val="0D0D0D" w:themeColor="text1" w:themeTint="F2"/>
                <w:sz w:val="20"/>
                <w:szCs w:val="20"/>
              </w:rPr>
              <w:t>100</w:t>
            </w:r>
          </w:p>
        </w:tc>
        <w:tc>
          <w:tcPr>
            <w:tcW w:w="992" w:type="dxa"/>
          </w:tcPr>
          <w:p w14:paraId="266AF02B" w14:textId="19E570BA" w:rsidR="00C4454D" w:rsidRPr="00A735B4" w:rsidRDefault="00C4454D" w:rsidP="00C4454D">
            <w:pPr>
              <w:jc w:val="center"/>
              <w:rPr>
                <w:color w:val="0D0D0D" w:themeColor="text1" w:themeTint="F2"/>
                <w:sz w:val="20"/>
                <w:szCs w:val="20"/>
              </w:rPr>
            </w:pPr>
            <w:r w:rsidRPr="00A735B4">
              <w:rPr>
                <w:color w:val="0D0D0D" w:themeColor="text1" w:themeTint="F2"/>
                <w:sz w:val="20"/>
                <w:szCs w:val="20"/>
              </w:rPr>
              <w:t>40</w:t>
            </w:r>
          </w:p>
        </w:tc>
        <w:tc>
          <w:tcPr>
            <w:tcW w:w="1559" w:type="dxa"/>
            <w:noWrap/>
          </w:tcPr>
          <w:p w14:paraId="6F8C6E0C" w14:textId="12226272" w:rsidR="00C4454D" w:rsidRPr="00A735B4" w:rsidRDefault="00C4454D" w:rsidP="00C4454D">
            <w:pPr>
              <w:jc w:val="center"/>
              <w:rPr>
                <w:color w:val="0D0D0D" w:themeColor="text1" w:themeTint="F2"/>
                <w:sz w:val="20"/>
                <w:szCs w:val="20"/>
              </w:rPr>
            </w:pPr>
            <w:r w:rsidRPr="00A735B4">
              <w:rPr>
                <w:color w:val="0D0D0D" w:themeColor="text1" w:themeTint="F2"/>
                <w:sz w:val="20"/>
                <w:szCs w:val="20"/>
              </w:rPr>
              <w:t>51</w:t>
            </w:r>
          </w:p>
        </w:tc>
      </w:tr>
      <w:tr w:rsidR="00C4454D" w:rsidRPr="00A735B4" w14:paraId="17695737" w14:textId="77777777" w:rsidTr="00C4454D">
        <w:trPr>
          <w:trHeight w:hRule="exact" w:val="284"/>
        </w:trPr>
        <w:tc>
          <w:tcPr>
            <w:tcW w:w="2093" w:type="dxa"/>
            <w:noWrap/>
            <w:hideMark/>
          </w:tcPr>
          <w:p w14:paraId="7215902A" w14:textId="77777777" w:rsidR="00C4454D" w:rsidRPr="00A735B4" w:rsidRDefault="00C4454D" w:rsidP="00C4454D">
            <w:pPr>
              <w:rPr>
                <w:b/>
                <w:color w:val="0D0D0D" w:themeColor="text1" w:themeTint="F2"/>
                <w:sz w:val="20"/>
                <w:szCs w:val="20"/>
              </w:rPr>
            </w:pPr>
            <w:r w:rsidRPr="00A735B4">
              <w:rPr>
                <w:b/>
                <w:color w:val="0D0D0D" w:themeColor="text1" w:themeTint="F2"/>
                <w:sz w:val="20"/>
                <w:szCs w:val="20"/>
              </w:rPr>
              <w:t>Loans</w:t>
            </w:r>
          </w:p>
        </w:tc>
        <w:tc>
          <w:tcPr>
            <w:tcW w:w="850" w:type="dxa"/>
            <w:noWrap/>
          </w:tcPr>
          <w:p w14:paraId="4048A08E" w14:textId="4C275ED8" w:rsidR="00C4454D" w:rsidRPr="00A735B4" w:rsidRDefault="00C4454D" w:rsidP="00C4454D">
            <w:pPr>
              <w:rPr>
                <w:color w:val="0D0D0D" w:themeColor="text1" w:themeTint="F2"/>
                <w:sz w:val="20"/>
                <w:szCs w:val="20"/>
              </w:rPr>
            </w:pPr>
            <w:r w:rsidRPr="00A735B4">
              <w:rPr>
                <w:color w:val="0D0D0D" w:themeColor="text1" w:themeTint="F2"/>
                <w:sz w:val="20"/>
                <w:szCs w:val="20"/>
              </w:rPr>
              <w:t>100</w:t>
            </w:r>
          </w:p>
        </w:tc>
        <w:tc>
          <w:tcPr>
            <w:tcW w:w="1134" w:type="dxa"/>
            <w:noWrap/>
          </w:tcPr>
          <w:p w14:paraId="3D4446D2" w14:textId="1D6E5D7C" w:rsidR="00C4454D" w:rsidRPr="00A735B4" w:rsidRDefault="00C4454D" w:rsidP="00C4454D">
            <w:pPr>
              <w:jc w:val="center"/>
              <w:rPr>
                <w:color w:val="0D0D0D" w:themeColor="text1" w:themeTint="F2"/>
                <w:sz w:val="20"/>
                <w:szCs w:val="20"/>
              </w:rPr>
            </w:pPr>
            <w:r w:rsidRPr="00A735B4">
              <w:rPr>
                <w:color w:val="0D0D0D" w:themeColor="text1" w:themeTint="F2"/>
                <w:sz w:val="20"/>
                <w:szCs w:val="20"/>
              </w:rPr>
              <w:t>15</w:t>
            </w:r>
          </w:p>
        </w:tc>
        <w:tc>
          <w:tcPr>
            <w:tcW w:w="970" w:type="dxa"/>
            <w:noWrap/>
          </w:tcPr>
          <w:p w14:paraId="7F5DBAF4" w14:textId="2E052FCC" w:rsidR="00C4454D" w:rsidRPr="00A735B4" w:rsidRDefault="00C4454D" w:rsidP="00C4454D">
            <w:pPr>
              <w:jc w:val="center"/>
              <w:rPr>
                <w:color w:val="0D0D0D" w:themeColor="text1" w:themeTint="F2"/>
                <w:sz w:val="20"/>
                <w:szCs w:val="20"/>
              </w:rPr>
            </w:pPr>
            <w:r w:rsidRPr="00A735B4">
              <w:rPr>
                <w:color w:val="0D0D0D" w:themeColor="text1" w:themeTint="F2"/>
                <w:sz w:val="20"/>
                <w:szCs w:val="20"/>
              </w:rPr>
              <w:t>100</w:t>
            </w:r>
          </w:p>
        </w:tc>
        <w:tc>
          <w:tcPr>
            <w:tcW w:w="1014" w:type="dxa"/>
          </w:tcPr>
          <w:p w14:paraId="49DA2C95" w14:textId="18075F1B" w:rsidR="00C4454D" w:rsidRPr="00A735B4" w:rsidRDefault="00C4454D" w:rsidP="00C4454D">
            <w:pPr>
              <w:jc w:val="center"/>
              <w:rPr>
                <w:color w:val="0D0D0D" w:themeColor="text1" w:themeTint="F2"/>
                <w:sz w:val="20"/>
                <w:szCs w:val="20"/>
              </w:rPr>
            </w:pPr>
            <w:r w:rsidRPr="00A735B4">
              <w:rPr>
                <w:color w:val="0D0D0D" w:themeColor="text1" w:themeTint="F2"/>
                <w:sz w:val="20"/>
                <w:szCs w:val="20"/>
              </w:rPr>
              <w:t>100</w:t>
            </w:r>
          </w:p>
        </w:tc>
        <w:tc>
          <w:tcPr>
            <w:tcW w:w="993" w:type="dxa"/>
          </w:tcPr>
          <w:p w14:paraId="51ED3967" w14:textId="6DD858E9" w:rsidR="00C4454D" w:rsidRPr="00A735B4" w:rsidRDefault="00C4454D" w:rsidP="00C4454D">
            <w:pPr>
              <w:jc w:val="center"/>
              <w:rPr>
                <w:color w:val="0D0D0D" w:themeColor="text1" w:themeTint="F2"/>
                <w:sz w:val="20"/>
                <w:szCs w:val="20"/>
              </w:rPr>
            </w:pPr>
            <w:r w:rsidRPr="00A735B4">
              <w:rPr>
                <w:color w:val="0D0D0D" w:themeColor="text1" w:themeTint="F2"/>
                <w:sz w:val="20"/>
                <w:szCs w:val="20"/>
              </w:rPr>
              <w:t>100</w:t>
            </w:r>
          </w:p>
        </w:tc>
        <w:tc>
          <w:tcPr>
            <w:tcW w:w="992" w:type="dxa"/>
          </w:tcPr>
          <w:p w14:paraId="14C00621" w14:textId="1FD7D523" w:rsidR="00C4454D" w:rsidRPr="00A735B4" w:rsidRDefault="00C4454D" w:rsidP="00C4454D">
            <w:pPr>
              <w:jc w:val="center"/>
              <w:rPr>
                <w:color w:val="0D0D0D" w:themeColor="text1" w:themeTint="F2"/>
                <w:sz w:val="20"/>
                <w:szCs w:val="20"/>
              </w:rPr>
            </w:pPr>
            <w:r w:rsidRPr="00A735B4">
              <w:rPr>
                <w:color w:val="0D0D0D" w:themeColor="text1" w:themeTint="F2"/>
                <w:sz w:val="20"/>
                <w:szCs w:val="20"/>
              </w:rPr>
              <w:t>80</w:t>
            </w:r>
          </w:p>
        </w:tc>
        <w:tc>
          <w:tcPr>
            <w:tcW w:w="1559" w:type="dxa"/>
            <w:noWrap/>
          </w:tcPr>
          <w:p w14:paraId="25B7CE12" w14:textId="3618682C" w:rsidR="00C4454D" w:rsidRPr="00A735B4" w:rsidRDefault="00C4454D" w:rsidP="00C4454D">
            <w:pPr>
              <w:jc w:val="center"/>
              <w:rPr>
                <w:color w:val="0D0D0D" w:themeColor="text1" w:themeTint="F2"/>
                <w:sz w:val="20"/>
                <w:szCs w:val="20"/>
              </w:rPr>
            </w:pPr>
            <w:r w:rsidRPr="00A735B4">
              <w:rPr>
                <w:color w:val="0D0D0D" w:themeColor="text1" w:themeTint="F2"/>
                <w:sz w:val="20"/>
                <w:szCs w:val="20"/>
              </w:rPr>
              <w:t>83</w:t>
            </w:r>
          </w:p>
        </w:tc>
      </w:tr>
      <w:tr w:rsidR="00C4454D" w:rsidRPr="00A735B4" w14:paraId="6BF9F333" w14:textId="77777777" w:rsidTr="00C4454D">
        <w:trPr>
          <w:trHeight w:hRule="exact" w:val="284"/>
        </w:trPr>
        <w:tc>
          <w:tcPr>
            <w:tcW w:w="2093" w:type="dxa"/>
            <w:noWrap/>
            <w:hideMark/>
          </w:tcPr>
          <w:p w14:paraId="3F43A82E" w14:textId="77777777" w:rsidR="00C4454D" w:rsidRPr="00A735B4" w:rsidRDefault="00C4454D" w:rsidP="00C4454D">
            <w:pPr>
              <w:rPr>
                <w:b/>
                <w:color w:val="0D0D0D" w:themeColor="text1" w:themeTint="F2"/>
                <w:sz w:val="20"/>
                <w:szCs w:val="20"/>
              </w:rPr>
            </w:pPr>
            <w:r w:rsidRPr="00A735B4">
              <w:rPr>
                <w:b/>
                <w:color w:val="0D0D0D" w:themeColor="text1" w:themeTint="F2"/>
                <w:sz w:val="20"/>
                <w:szCs w:val="20"/>
              </w:rPr>
              <w:t>Unsecured loans</w:t>
            </w:r>
          </w:p>
        </w:tc>
        <w:tc>
          <w:tcPr>
            <w:tcW w:w="850" w:type="dxa"/>
            <w:noWrap/>
          </w:tcPr>
          <w:p w14:paraId="2197C654" w14:textId="61612C42" w:rsidR="00C4454D" w:rsidRPr="00A735B4" w:rsidRDefault="00C4454D" w:rsidP="00C4454D">
            <w:pPr>
              <w:jc w:val="center"/>
              <w:rPr>
                <w:color w:val="0D0D0D" w:themeColor="text1" w:themeTint="F2"/>
                <w:sz w:val="20"/>
                <w:szCs w:val="20"/>
              </w:rPr>
            </w:pPr>
            <w:r w:rsidRPr="00A735B4">
              <w:rPr>
                <w:color w:val="0D0D0D" w:themeColor="text1" w:themeTint="F2"/>
                <w:sz w:val="20"/>
                <w:szCs w:val="20"/>
              </w:rPr>
              <w:t>56</w:t>
            </w:r>
          </w:p>
        </w:tc>
        <w:tc>
          <w:tcPr>
            <w:tcW w:w="1134" w:type="dxa"/>
            <w:noWrap/>
          </w:tcPr>
          <w:p w14:paraId="56A04148" w14:textId="67EBDCBB" w:rsidR="00C4454D" w:rsidRPr="00A735B4" w:rsidRDefault="00C4454D" w:rsidP="00C4454D">
            <w:pPr>
              <w:jc w:val="center"/>
              <w:rPr>
                <w:color w:val="0D0D0D" w:themeColor="text1" w:themeTint="F2"/>
                <w:sz w:val="20"/>
                <w:szCs w:val="20"/>
              </w:rPr>
            </w:pPr>
            <w:r w:rsidRPr="00A735B4">
              <w:rPr>
                <w:color w:val="0D0D0D" w:themeColor="text1" w:themeTint="F2"/>
                <w:sz w:val="20"/>
                <w:szCs w:val="20"/>
              </w:rPr>
              <w:t>100</w:t>
            </w:r>
          </w:p>
        </w:tc>
        <w:tc>
          <w:tcPr>
            <w:tcW w:w="970" w:type="dxa"/>
            <w:noWrap/>
          </w:tcPr>
          <w:p w14:paraId="5CF54CE8" w14:textId="5E7FDC55" w:rsidR="00C4454D" w:rsidRPr="00A735B4" w:rsidRDefault="00C4454D" w:rsidP="00C4454D">
            <w:pPr>
              <w:jc w:val="center"/>
              <w:rPr>
                <w:color w:val="0D0D0D" w:themeColor="text1" w:themeTint="F2"/>
                <w:sz w:val="20"/>
                <w:szCs w:val="20"/>
              </w:rPr>
            </w:pPr>
            <w:r w:rsidRPr="00A735B4">
              <w:rPr>
                <w:color w:val="0D0D0D" w:themeColor="text1" w:themeTint="F2"/>
                <w:sz w:val="20"/>
                <w:szCs w:val="20"/>
              </w:rPr>
              <w:t>58</w:t>
            </w:r>
          </w:p>
        </w:tc>
        <w:tc>
          <w:tcPr>
            <w:tcW w:w="1014" w:type="dxa"/>
          </w:tcPr>
          <w:p w14:paraId="499453BF" w14:textId="6A348005" w:rsidR="00C4454D" w:rsidRPr="00A735B4" w:rsidRDefault="00C4454D" w:rsidP="00C4454D">
            <w:pPr>
              <w:jc w:val="center"/>
              <w:rPr>
                <w:color w:val="0D0D0D" w:themeColor="text1" w:themeTint="F2"/>
                <w:sz w:val="20"/>
                <w:szCs w:val="20"/>
              </w:rPr>
            </w:pPr>
            <w:r w:rsidRPr="00A735B4">
              <w:rPr>
                <w:color w:val="0D0D0D" w:themeColor="text1" w:themeTint="F2"/>
                <w:sz w:val="20"/>
                <w:szCs w:val="20"/>
              </w:rPr>
              <w:t>50</w:t>
            </w:r>
          </w:p>
        </w:tc>
        <w:tc>
          <w:tcPr>
            <w:tcW w:w="993" w:type="dxa"/>
          </w:tcPr>
          <w:p w14:paraId="5A5D9CB4" w14:textId="7B20232B" w:rsidR="00C4454D" w:rsidRPr="00A735B4" w:rsidRDefault="00C4454D" w:rsidP="00C4454D">
            <w:pPr>
              <w:jc w:val="center"/>
              <w:rPr>
                <w:color w:val="0D0D0D" w:themeColor="text1" w:themeTint="F2"/>
                <w:sz w:val="20"/>
                <w:szCs w:val="20"/>
              </w:rPr>
            </w:pPr>
            <w:r w:rsidRPr="00A735B4">
              <w:rPr>
                <w:color w:val="0D0D0D" w:themeColor="text1" w:themeTint="F2"/>
                <w:sz w:val="20"/>
                <w:szCs w:val="20"/>
              </w:rPr>
              <w:t>29</w:t>
            </w:r>
          </w:p>
        </w:tc>
        <w:tc>
          <w:tcPr>
            <w:tcW w:w="992" w:type="dxa"/>
          </w:tcPr>
          <w:p w14:paraId="545188D2" w14:textId="1AF22348" w:rsidR="00C4454D" w:rsidRPr="00A735B4" w:rsidRDefault="00C4454D" w:rsidP="00C4454D">
            <w:pPr>
              <w:jc w:val="center"/>
              <w:rPr>
                <w:color w:val="0D0D0D" w:themeColor="text1" w:themeTint="F2"/>
                <w:sz w:val="20"/>
                <w:szCs w:val="20"/>
              </w:rPr>
            </w:pPr>
            <w:r w:rsidRPr="00A735B4">
              <w:rPr>
                <w:color w:val="0D0D0D" w:themeColor="text1" w:themeTint="F2"/>
                <w:sz w:val="20"/>
                <w:szCs w:val="20"/>
              </w:rPr>
              <w:t>40</w:t>
            </w:r>
          </w:p>
        </w:tc>
        <w:tc>
          <w:tcPr>
            <w:tcW w:w="1559" w:type="dxa"/>
            <w:noWrap/>
          </w:tcPr>
          <w:p w14:paraId="56FABB8D" w14:textId="564041F8" w:rsidR="00C4454D" w:rsidRPr="00A735B4" w:rsidRDefault="00C4454D" w:rsidP="00C4454D">
            <w:pPr>
              <w:jc w:val="center"/>
              <w:rPr>
                <w:color w:val="0D0D0D" w:themeColor="text1" w:themeTint="F2"/>
                <w:sz w:val="20"/>
                <w:szCs w:val="20"/>
              </w:rPr>
            </w:pPr>
            <w:r w:rsidRPr="00A735B4">
              <w:rPr>
                <w:color w:val="0D0D0D" w:themeColor="text1" w:themeTint="F2"/>
                <w:sz w:val="20"/>
                <w:szCs w:val="20"/>
              </w:rPr>
              <w:t>56</w:t>
            </w:r>
          </w:p>
        </w:tc>
      </w:tr>
      <w:tr w:rsidR="00C4454D" w:rsidRPr="00A735B4" w14:paraId="7071D329" w14:textId="77777777" w:rsidTr="00C4454D">
        <w:trPr>
          <w:trHeight w:hRule="exact" w:val="284"/>
        </w:trPr>
        <w:tc>
          <w:tcPr>
            <w:tcW w:w="2093" w:type="dxa"/>
            <w:noWrap/>
            <w:hideMark/>
          </w:tcPr>
          <w:p w14:paraId="6EF3E9B4" w14:textId="77777777" w:rsidR="00C4454D" w:rsidRPr="00A735B4" w:rsidRDefault="00C4454D" w:rsidP="00C4454D">
            <w:pPr>
              <w:rPr>
                <w:b/>
                <w:color w:val="0D0D0D" w:themeColor="text1" w:themeTint="F2"/>
                <w:sz w:val="20"/>
                <w:szCs w:val="20"/>
              </w:rPr>
            </w:pPr>
            <w:r w:rsidRPr="00A735B4">
              <w:rPr>
                <w:b/>
                <w:color w:val="0D0D0D" w:themeColor="text1" w:themeTint="F2"/>
                <w:sz w:val="20"/>
                <w:szCs w:val="20"/>
              </w:rPr>
              <w:t>Mortgages</w:t>
            </w:r>
          </w:p>
        </w:tc>
        <w:tc>
          <w:tcPr>
            <w:tcW w:w="850" w:type="dxa"/>
            <w:noWrap/>
          </w:tcPr>
          <w:p w14:paraId="1E599A1A" w14:textId="7A2FA580" w:rsidR="00C4454D" w:rsidRPr="00A735B4" w:rsidRDefault="00C4454D" w:rsidP="00C4454D">
            <w:pPr>
              <w:jc w:val="center"/>
              <w:rPr>
                <w:color w:val="0D0D0D" w:themeColor="text1" w:themeTint="F2"/>
                <w:sz w:val="20"/>
                <w:szCs w:val="20"/>
              </w:rPr>
            </w:pPr>
            <w:r w:rsidRPr="00A735B4">
              <w:rPr>
                <w:color w:val="0D0D0D" w:themeColor="text1" w:themeTint="F2"/>
                <w:sz w:val="20"/>
                <w:szCs w:val="20"/>
              </w:rPr>
              <w:t>94</w:t>
            </w:r>
          </w:p>
        </w:tc>
        <w:tc>
          <w:tcPr>
            <w:tcW w:w="1134" w:type="dxa"/>
            <w:noWrap/>
          </w:tcPr>
          <w:p w14:paraId="6E7986B9" w14:textId="10ED1A9C" w:rsidR="00C4454D" w:rsidRPr="00A735B4" w:rsidRDefault="00C4454D" w:rsidP="00C4454D">
            <w:pPr>
              <w:jc w:val="center"/>
              <w:rPr>
                <w:color w:val="0D0D0D" w:themeColor="text1" w:themeTint="F2"/>
                <w:sz w:val="20"/>
                <w:szCs w:val="20"/>
              </w:rPr>
            </w:pPr>
            <w:r w:rsidRPr="00A735B4">
              <w:rPr>
                <w:color w:val="0D0D0D" w:themeColor="text1" w:themeTint="F2"/>
                <w:sz w:val="20"/>
                <w:szCs w:val="20"/>
              </w:rPr>
              <w:t>54</w:t>
            </w:r>
          </w:p>
        </w:tc>
        <w:tc>
          <w:tcPr>
            <w:tcW w:w="970" w:type="dxa"/>
            <w:noWrap/>
          </w:tcPr>
          <w:p w14:paraId="473258A6" w14:textId="732296EE" w:rsidR="00C4454D" w:rsidRPr="00A735B4" w:rsidRDefault="00C4454D" w:rsidP="00C4454D">
            <w:pPr>
              <w:jc w:val="center"/>
              <w:rPr>
                <w:color w:val="0D0D0D" w:themeColor="text1" w:themeTint="F2"/>
                <w:sz w:val="20"/>
                <w:szCs w:val="20"/>
              </w:rPr>
            </w:pPr>
            <w:r w:rsidRPr="00A735B4">
              <w:rPr>
                <w:color w:val="0D0D0D" w:themeColor="text1" w:themeTint="F2"/>
                <w:sz w:val="20"/>
                <w:szCs w:val="20"/>
              </w:rPr>
              <w:t>50</w:t>
            </w:r>
          </w:p>
        </w:tc>
        <w:tc>
          <w:tcPr>
            <w:tcW w:w="1014" w:type="dxa"/>
          </w:tcPr>
          <w:p w14:paraId="717FB271" w14:textId="11051483" w:rsidR="00C4454D" w:rsidRPr="00A735B4" w:rsidRDefault="00C4454D" w:rsidP="00C4454D">
            <w:pPr>
              <w:jc w:val="center"/>
              <w:rPr>
                <w:color w:val="0D0D0D" w:themeColor="text1" w:themeTint="F2"/>
                <w:sz w:val="20"/>
                <w:szCs w:val="20"/>
              </w:rPr>
            </w:pPr>
            <w:r w:rsidRPr="00A735B4">
              <w:rPr>
                <w:color w:val="0D0D0D" w:themeColor="text1" w:themeTint="F2"/>
                <w:sz w:val="20"/>
                <w:szCs w:val="20"/>
              </w:rPr>
              <w:t>90</w:t>
            </w:r>
          </w:p>
        </w:tc>
        <w:tc>
          <w:tcPr>
            <w:tcW w:w="993" w:type="dxa"/>
          </w:tcPr>
          <w:p w14:paraId="4AED8698" w14:textId="0AF0965F" w:rsidR="00C4454D" w:rsidRPr="00A735B4" w:rsidRDefault="00C4454D" w:rsidP="00C4454D">
            <w:pPr>
              <w:jc w:val="center"/>
              <w:rPr>
                <w:color w:val="0D0D0D" w:themeColor="text1" w:themeTint="F2"/>
                <w:sz w:val="20"/>
                <w:szCs w:val="20"/>
              </w:rPr>
            </w:pPr>
            <w:r w:rsidRPr="00A735B4">
              <w:rPr>
                <w:color w:val="0D0D0D" w:themeColor="text1" w:themeTint="F2"/>
                <w:sz w:val="20"/>
                <w:szCs w:val="20"/>
              </w:rPr>
              <w:t>71</w:t>
            </w:r>
          </w:p>
        </w:tc>
        <w:tc>
          <w:tcPr>
            <w:tcW w:w="992" w:type="dxa"/>
          </w:tcPr>
          <w:p w14:paraId="155164A4" w14:textId="4AC57781" w:rsidR="00C4454D" w:rsidRPr="00A735B4" w:rsidRDefault="00C4454D" w:rsidP="00C4454D">
            <w:pPr>
              <w:jc w:val="center"/>
              <w:rPr>
                <w:color w:val="0D0D0D" w:themeColor="text1" w:themeTint="F2"/>
                <w:sz w:val="20"/>
                <w:szCs w:val="20"/>
              </w:rPr>
            </w:pPr>
            <w:r w:rsidRPr="00A735B4">
              <w:rPr>
                <w:color w:val="0D0D0D" w:themeColor="text1" w:themeTint="F2"/>
                <w:sz w:val="20"/>
                <w:szCs w:val="20"/>
              </w:rPr>
              <w:t>20</w:t>
            </w:r>
          </w:p>
        </w:tc>
        <w:tc>
          <w:tcPr>
            <w:tcW w:w="1559" w:type="dxa"/>
            <w:noWrap/>
          </w:tcPr>
          <w:p w14:paraId="6E8E9EDF" w14:textId="14866429" w:rsidR="00C4454D" w:rsidRPr="00A735B4" w:rsidRDefault="00C4454D" w:rsidP="00C4454D">
            <w:pPr>
              <w:jc w:val="center"/>
              <w:rPr>
                <w:color w:val="0D0D0D" w:themeColor="text1" w:themeTint="F2"/>
                <w:sz w:val="20"/>
                <w:szCs w:val="20"/>
              </w:rPr>
            </w:pPr>
            <w:r w:rsidRPr="00A735B4">
              <w:rPr>
                <w:color w:val="0D0D0D" w:themeColor="text1" w:themeTint="F2"/>
                <w:sz w:val="20"/>
                <w:szCs w:val="20"/>
              </w:rPr>
              <w:t>63</w:t>
            </w:r>
          </w:p>
        </w:tc>
      </w:tr>
      <w:tr w:rsidR="00C4454D" w:rsidRPr="00A735B4" w14:paraId="57467B9D" w14:textId="77777777" w:rsidTr="00C4454D">
        <w:trPr>
          <w:trHeight w:hRule="exact" w:val="284"/>
        </w:trPr>
        <w:tc>
          <w:tcPr>
            <w:tcW w:w="2093" w:type="dxa"/>
            <w:noWrap/>
            <w:hideMark/>
          </w:tcPr>
          <w:p w14:paraId="59BEB95D" w14:textId="77777777" w:rsidR="00C4454D" w:rsidRPr="00A735B4" w:rsidRDefault="00C4454D" w:rsidP="00C4454D">
            <w:pPr>
              <w:rPr>
                <w:b/>
                <w:color w:val="0D0D0D" w:themeColor="text1" w:themeTint="F2"/>
                <w:sz w:val="20"/>
                <w:szCs w:val="20"/>
              </w:rPr>
            </w:pPr>
            <w:r w:rsidRPr="00A735B4">
              <w:rPr>
                <w:b/>
                <w:color w:val="0D0D0D" w:themeColor="text1" w:themeTint="F2"/>
                <w:sz w:val="20"/>
                <w:szCs w:val="20"/>
              </w:rPr>
              <w:t>Fixed deposit accounts</w:t>
            </w:r>
          </w:p>
        </w:tc>
        <w:tc>
          <w:tcPr>
            <w:tcW w:w="850" w:type="dxa"/>
            <w:noWrap/>
          </w:tcPr>
          <w:p w14:paraId="04DA0D2A" w14:textId="02BD39A3" w:rsidR="00C4454D" w:rsidRPr="00A735B4" w:rsidRDefault="00C4454D" w:rsidP="00C4454D">
            <w:pPr>
              <w:jc w:val="center"/>
              <w:rPr>
                <w:color w:val="0D0D0D" w:themeColor="text1" w:themeTint="F2"/>
                <w:sz w:val="20"/>
                <w:szCs w:val="20"/>
              </w:rPr>
            </w:pPr>
            <w:r w:rsidRPr="00A735B4">
              <w:rPr>
                <w:color w:val="0D0D0D" w:themeColor="text1" w:themeTint="F2"/>
                <w:sz w:val="20"/>
                <w:szCs w:val="20"/>
              </w:rPr>
              <w:t>100</w:t>
            </w:r>
          </w:p>
        </w:tc>
        <w:tc>
          <w:tcPr>
            <w:tcW w:w="1134" w:type="dxa"/>
            <w:noWrap/>
          </w:tcPr>
          <w:p w14:paraId="3C37B8B5" w14:textId="3058D34B" w:rsidR="00C4454D" w:rsidRPr="00A735B4" w:rsidRDefault="00C4454D" w:rsidP="00C4454D">
            <w:pPr>
              <w:jc w:val="center"/>
              <w:rPr>
                <w:color w:val="0D0D0D" w:themeColor="text1" w:themeTint="F2"/>
                <w:sz w:val="20"/>
                <w:szCs w:val="20"/>
              </w:rPr>
            </w:pPr>
            <w:r w:rsidRPr="00A735B4">
              <w:rPr>
                <w:color w:val="0D0D0D" w:themeColor="text1" w:themeTint="F2"/>
                <w:sz w:val="20"/>
                <w:szCs w:val="20"/>
              </w:rPr>
              <w:t>69</w:t>
            </w:r>
          </w:p>
        </w:tc>
        <w:tc>
          <w:tcPr>
            <w:tcW w:w="970" w:type="dxa"/>
            <w:noWrap/>
          </w:tcPr>
          <w:p w14:paraId="40B5D74A" w14:textId="5AAEBD1D" w:rsidR="00C4454D" w:rsidRPr="00A735B4" w:rsidRDefault="00C4454D" w:rsidP="00C4454D">
            <w:pPr>
              <w:jc w:val="center"/>
              <w:rPr>
                <w:color w:val="0D0D0D" w:themeColor="text1" w:themeTint="F2"/>
                <w:sz w:val="20"/>
                <w:szCs w:val="20"/>
              </w:rPr>
            </w:pPr>
            <w:r w:rsidRPr="00A735B4">
              <w:rPr>
                <w:color w:val="0D0D0D" w:themeColor="text1" w:themeTint="F2"/>
                <w:sz w:val="20"/>
                <w:szCs w:val="20"/>
              </w:rPr>
              <w:t>92</w:t>
            </w:r>
          </w:p>
        </w:tc>
        <w:tc>
          <w:tcPr>
            <w:tcW w:w="1014" w:type="dxa"/>
          </w:tcPr>
          <w:p w14:paraId="1B10FC10" w14:textId="7C99DC58" w:rsidR="00C4454D" w:rsidRPr="00A735B4" w:rsidRDefault="00C4454D" w:rsidP="00C4454D">
            <w:pPr>
              <w:jc w:val="center"/>
              <w:rPr>
                <w:color w:val="0D0D0D" w:themeColor="text1" w:themeTint="F2"/>
                <w:sz w:val="20"/>
                <w:szCs w:val="20"/>
              </w:rPr>
            </w:pPr>
            <w:r w:rsidRPr="00A735B4">
              <w:rPr>
                <w:color w:val="0D0D0D" w:themeColor="text1" w:themeTint="F2"/>
                <w:sz w:val="20"/>
                <w:szCs w:val="20"/>
              </w:rPr>
              <w:t>80</w:t>
            </w:r>
          </w:p>
        </w:tc>
        <w:tc>
          <w:tcPr>
            <w:tcW w:w="993" w:type="dxa"/>
          </w:tcPr>
          <w:p w14:paraId="75A2C4E8" w14:textId="35A721DE" w:rsidR="00C4454D" w:rsidRPr="00A735B4" w:rsidRDefault="00C4454D" w:rsidP="00C4454D">
            <w:pPr>
              <w:jc w:val="center"/>
              <w:rPr>
                <w:color w:val="0D0D0D" w:themeColor="text1" w:themeTint="F2"/>
                <w:sz w:val="20"/>
                <w:szCs w:val="20"/>
              </w:rPr>
            </w:pPr>
            <w:r w:rsidRPr="00A735B4">
              <w:rPr>
                <w:color w:val="0D0D0D" w:themeColor="text1" w:themeTint="F2"/>
                <w:sz w:val="20"/>
                <w:szCs w:val="20"/>
              </w:rPr>
              <w:t>100</w:t>
            </w:r>
          </w:p>
        </w:tc>
        <w:tc>
          <w:tcPr>
            <w:tcW w:w="992" w:type="dxa"/>
          </w:tcPr>
          <w:p w14:paraId="0068E2FC" w14:textId="67CB0BE6" w:rsidR="00C4454D" w:rsidRPr="00A735B4" w:rsidRDefault="00C4454D" w:rsidP="00C4454D">
            <w:pPr>
              <w:jc w:val="center"/>
              <w:rPr>
                <w:color w:val="0D0D0D" w:themeColor="text1" w:themeTint="F2"/>
                <w:sz w:val="20"/>
                <w:szCs w:val="20"/>
              </w:rPr>
            </w:pPr>
            <w:r w:rsidRPr="00A735B4">
              <w:rPr>
                <w:color w:val="0D0D0D" w:themeColor="text1" w:themeTint="F2"/>
                <w:sz w:val="20"/>
                <w:szCs w:val="20"/>
              </w:rPr>
              <w:t>60</w:t>
            </w:r>
          </w:p>
        </w:tc>
        <w:tc>
          <w:tcPr>
            <w:tcW w:w="1559" w:type="dxa"/>
            <w:noWrap/>
          </w:tcPr>
          <w:p w14:paraId="52D883D6" w14:textId="739476FB" w:rsidR="00C4454D" w:rsidRPr="00A735B4" w:rsidRDefault="00C4454D" w:rsidP="00C4454D">
            <w:pPr>
              <w:jc w:val="center"/>
              <w:rPr>
                <w:color w:val="0D0D0D" w:themeColor="text1" w:themeTint="F2"/>
                <w:sz w:val="20"/>
                <w:szCs w:val="20"/>
              </w:rPr>
            </w:pPr>
            <w:r w:rsidRPr="00A735B4">
              <w:rPr>
                <w:color w:val="0D0D0D" w:themeColor="text1" w:themeTint="F2"/>
                <w:sz w:val="20"/>
                <w:szCs w:val="20"/>
              </w:rPr>
              <w:t>83</w:t>
            </w:r>
          </w:p>
        </w:tc>
      </w:tr>
      <w:tr w:rsidR="00C4454D" w:rsidRPr="00A735B4" w14:paraId="210EA08D" w14:textId="77777777" w:rsidTr="00C4454D">
        <w:trPr>
          <w:trHeight w:hRule="exact" w:val="284"/>
        </w:trPr>
        <w:tc>
          <w:tcPr>
            <w:tcW w:w="2093" w:type="dxa"/>
            <w:noWrap/>
            <w:hideMark/>
          </w:tcPr>
          <w:p w14:paraId="46011A37" w14:textId="77777777" w:rsidR="00C4454D" w:rsidRPr="00A735B4" w:rsidRDefault="00C4454D" w:rsidP="00C4454D">
            <w:pPr>
              <w:rPr>
                <w:b/>
                <w:color w:val="0D0D0D" w:themeColor="text1" w:themeTint="F2"/>
                <w:sz w:val="20"/>
                <w:szCs w:val="20"/>
              </w:rPr>
            </w:pPr>
            <w:r w:rsidRPr="00A735B4">
              <w:rPr>
                <w:b/>
                <w:color w:val="0D0D0D" w:themeColor="text1" w:themeTint="F2"/>
                <w:sz w:val="20"/>
                <w:szCs w:val="20"/>
              </w:rPr>
              <w:t>Credit cards</w:t>
            </w:r>
          </w:p>
        </w:tc>
        <w:tc>
          <w:tcPr>
            <w:tcW w:w="850" w:type="dxa"/>
            <w:noWrap/>
          </w:tcPr>
          <w:p w14:paraId="33578433" w14:textId="21A561C3" w:rsidR="00C4454D" w:rsidRPr="00A735B4" w:rsidRDefault="00C4454D" w:rsidP="00C4454D">
            <w:pPr>
              <w:jc w:val="center"/>
              <w:rPr>
                <w:color w:val="0D0D0D" w:themeColor="text1" w:themeTint="F2"/>
                <w:sz w:val="20"/>
                <w:szCs w:val="20"/>
              </w:rPr>
            </w:pPr>
            <w:r w:rsidRPr="00A735B4">
              <w:rPr>
                <w:color w:val="0D0D0D" w:themeColor="text1" w:themeTint="F2"/>
                <w:sz w:val="20"/>
                <w:szCs w:val="20"/>
              </w:rPr>
              <w:t>63</w:t>
            </w:r>
          </w:p>
        </w:tc>
        <w:tc>
          <w:tcPr>
            <w:tcW w:w="1134" w:type="dxa"/>
            <w:noWrap/>
          </w:tcPr>
          <w:p w14:paraId="3F7778A9" w14:textId="60A442F0" w:rsidR="00C4454D" w:rsidRPr="00A735B4" w:rsidRDefault="00C4454D" w:rsidP="00C4454D">
            <w:pPr>
              <w:jc w:val="center"/>
              <w:rPr>
                <w:color w:val="0D0D0D" w:themeColor="text1" w:themeTint="F2"/>
                <w:sz w:val="20"/>
                <w:szCs w:val="20"/>
              </w:rPr>
            </w:pPr>
            <w:r w:rsidRPr="00A735B4">
              <w:rPr>
                <w:color w:val="0D0D0D" w:themeColor="text1" w:themeTint="F2"/>
                <w:sz w:val="20"/>
                <w:szCs w:val="20"/>
              </w:rPr>
              <w:t>92</w:t>
            </w:r>
          </w:p>
        </w:tc>
        <w:tc>
          <w:tcPr>
            <w:tcW w:w="970" w:type="dxa"/>
            <w:noWrap/>
          </w:tcPr>
          <w:p w14:paraId="655CC6F4" w14:textId="18A8EDDF" w:rsidR="00C4454D" w:rsidRPr="00A735B4" w:rsidRDefault="00C4454D" w:rsidP="00C4454D">
            <w:pPr>
              <w:jc w:val="center"/>
              <w:rPr>
                <w:color w:val="0D0D0D" w:themeColor="text1" w:themeTint="F2"/>
                <w:sz w:val="20"/>
                <w:szCs w:val="20"/>
              </w:rPr>
            </w:pPr>
            <w:r w:rsidRPr="00A735B4">
              <w:rPr>
                <w:color w:val="0D0D0D" w:themeColor="text1" w:themeTint="F2"/>
                <w:sz w:val="20"/>
                <w:szCs w:val="20"/>
              </w:rPr>
              <w:t>42</w:t>
            </w:r>
          </w:p>
        </w:tc>
        <w:tc>
          <w:tcPr>
            <w:tcW w:w="1014" w:type="dxa"/>
          </w:tcPr>
          <w:p w14:paraId="33497D7F" w14:textId="23BA4115" w:rsidR="00C4454D" w:rsidRPr="00A735B4" w:rsidRDefault="00C4454D" w:rsidP="00C4454D">
            <w:pPr>
              <w:jc w:val="center"/>
              <w:rPr>
                <w:color w:val="0D0D0D" w:themeColor="text1" w:themeTint="F2"/>
                <w:sz w:val="20"/>
                <w:szCs w:val="20"/>
              </w:rPr>
            </w:pPr>
            <w:r w:rsidRPr="00A735B4">
              <w:rPr>
                <w:color w:val="0D0D0D" w:themeColor="text1" w:themeTint="F2"/>
                <w:sz w:val="20"/>
                <w:szCs w:val="20"/>
              </w:rPr>
              <w:t>50</w:t>
            </w:r>
          </w:p>
        </w:tc>
        <w:tc>
          <w:tcPr>
            <w:tcW w:w="993" w:type="dxa"/>
          </w:tcPr>
          <w:p w14:paraId="25603878" w14:textId="3B5F7787" w:rsidR="00C4454D" w:rsidRPr="00A735B4" w:rsidRDefault="00C4454D" w:rsidP="00C4454D">
            <w:pPr>
              <w:jc w:val="center"/>
              <w:rPr>
                <w:color w:val="0D0D0D" w:themeColor="text1" w:themeTint="F2"/>
                <w:sz w:val="20"/>
                <w:szCs w:val="20"/>
              </w:rPr>
            </w:pPr>
            <w:r w:rsidRPr="00A735B4">
              <w:rPr>
                <w:color w:val="0D0D0D" w:themeColor="text1" w:themeTint="F2"/>
                <w:sz w:val="20"/>
                <w:szCs w:val="20"/>
              </w:rPr>
              <w:t>29</w:t>
            </w:r>
          </w:p>
        </w:tc>
        <w:tc>
          <w:tcPr>
            <w:tcW w:w="992" w:type="dxa"/>
          </w:tcPr>
          <w:p w14:paraId="77632A6F" w14:textId="58795906" w:rsidR="00C4454D" w:rsidRPr="00A735B4" w:rsidRDefault="00C4454D" w:rsidP="00C4454D">
            <w:pPr>
              <w:jc w:val="center"/>
              <w:rPr>
                <w:color w:val="0D0D0D" w:themeColor="text1" w:themeTint="F2"/>
                <w:sz w:val="20"/>
                <w:szCs w:val="20"/>
              </w:rPr>
            </w:pPr>
            <w:r w:rsidRPr="00A735B4">
              <w:rPr>
                <w:color w:val="0D0D0D" w:themeColor="text1" w:themeTint="F2"/>
                <w:sz w:val="20"/>
                <w:szCs w:val="20"/>
              </w:rPr>
              <w:t>50</w:t>
            </w:r>
          </w:p>
        </w:tc>
        <w:tc>
          <w:tcPr>
            <w:tcW w:w="1559" w:type="dxa"/>
            <w:noWrap/>
          </w:tcPr>
          <w:p w14:paraId="325FD22C" w14:textId="425912FF" w:rsidR="00C4454D" w:rsidRPr="00A735B4" w:rsidRDefault="00C4454D" w:rsidP="00C4454D">
            <w:pPr>
              <w:jc w:val="center"/>
              <w:rPr>
                <w:color w:val="0D0D0D" w:themeColor="text1" w:themeTint="F2"/>
                <w:sz w:val="20"/>
                <w:szCs w:val="20"/>
              </w:rPr>
            </w:pPr>
            <w:r w:rsidRPr="00A735B4">
              <w:rPr>
                <w:color w:val="0D0D0D" w:themeColor="text1" w:themeTint="F2"/>
                <w:sz w:val="20"/>
                <w:szCs w:val="20"/>
              </w:rPr>
              <w:t>54</w:t>
            </w:r>
          </w:p>
        </w:tc>
      </w:tr>
      <w:tr w:rsidR="00C4454D" w:rsidRPr="00A735B4" w14:paraId="793B84AD" w14:textId="77777777" w:rsidTr="00C4454D">
        <w:trPr>
          <w:trHeight w:hRule="exact" w:val="284"/>
        </w:trPr>
        <w:tc>
          <w:tcPr>
            <w:tcW w:w="2093" w:type="dxa"/>
            <w:noWrap/>
            <w:hideMark/>
          </w:tcPr>
          <w:p w14:paraId="49320E66" w14:textId="77777777" w:rsidR="00C4454D" w:rsidRPr="00A735B4" w:rsidRDefault="00C4454D" w:rsidP="00C4454D">
            <w:pPr>
              <w:rPr>
                <w:b/>
                <w:color w:val="0D0D0D" w:themeColor="text1" w:themeTint="F2"/>
                <w:sz w:val="20"/>
                <w:szCs w:val="20"/>
              </w:rPr>
            </w:pPr>
            <w:r w:rsidRPr="00A735B4">
              <w:rPr>
                <w:b/>
                <w:color w:val="0D0D0D" w:themeColor="text1" w:themeTint="F2"/>
                <w:sz w:val="20"/>
                <w:szCs w:val="20"/>
              </w:rPr>
              <w:t>Debit cards</w:t>
            </w:r>
          </w:p>
        </w:tc>
        <w:tc>
          <w:tcPr>
            <w:tcW w:w="850" w:type="dxa"/>
            <w:noWrap/>
          </w:tcPr>
          <w:p w14:paraId="205F3C58" w14:textId="6E3A95FA" w:rsidR="00C4454D" w:rsidRPr="00A735B4" w:rsidRDefault="00C4454D" w:rsidP="00C4454D">
            <w:pPr>
              <w:jc w:val="center"/>
              <w:rPr>
                <w:color w:val="0D0D0D" w:themeColor="text1" w:themeTint="F2"/>
                <w:sz w:val="20"/>
                <w:szCs w:val="20"/>
              </w:rPr>
            </w:pPr>
            <w:r w:rsidRPr="00A735B4">
              <w:rPr>
                <w:color w:val="0D0D0D" w:themeColor="text1" w:themeTint="F2"/>
                <w:sz w:val="20"/>
                <w:szCs w:val="20"/>
              </w:rPr>
              <w:t>88</w:t>
            </w:r>
          </w:p>
        </w:tc>
        <w:tc>
          <w:tcPr>
            <w:tcW w:w="1134" w:type="dxa"/>
            <w:noWrap/>
          </w:tcPr>
          <w:p w14:paraId="009AB4EB" w14:textId="589893C0" w:rsidR="00C4454D" w:rsidRPr="00A735B4" w:rsidRDefault="00C4454D" w:rsidP="00C4454D">
            <w:pPr>
              <w:jc w:val="center"/>
              <w:rPr>
                <w:color w:val="0D0D0D" w:themeColor="text1" w:themeTint="F2"/>
                <w:sz w:val="20"/>
                <w:szCs w:val="20"/>
              </w:rPr>
            </w:pPr>
            <w:r w:rsidRPr="00A735B4">
              <w:rPr>
                <w:color w:val="0D0D0D" w:themeColor="text1" w:themeTint="F2"/>
                <w:sz w:val="20"/>
                <w:szCs w:val="20"/>
              </w:rPr>
              <w:t>23</w:t>
            </w:r>
          </w:p>
        </w:tc>
        <w:tc>
          <w:tcPr>
            <w:tcW w:w="970" w:type="dxa"/>
            <w:noWrap/>
          </w:tcPr>
          <w:p w14:paraId="4A1B50A5" w14:textId="7069175F" w:rsidR="00C4454D" w:rsidRPr="00A735B4" w:rsidRDefault="00C4454D" w:rsidP="00C4454D">
            <w:pPr>
              <w:jc w:val="center"/>
              <w:rPr>
                <w:color w:val="0D0D0D" w:themeColor="text1" w:themeTint="F2"/>
                <w:sz w:val="20"/>
                <w:szCs w:val="20"/>
              </w:rPr>
            </w:pPr>
            <w:r w:rsidRPr="00A735B4">
              <w:rPr>
                <w:color w:val="0D0D0D" w:themeColor="text1" w:themeTint="F2"/>
                <w:sz w:val="20"/>
                <w:szCs w:val="20"/>
              </w:rPr>
              <w:t>58</w:t>
            </w:r>
          </w:p>
        </w:tc>
        <w:tc>
          <w:tcPr>
            <w:tcW w:w="1014" w:type="dxa"/>
          </w:tcPr>
          <w:p w14:paraId="14F1A967" w14:textId="0AB28390" w:rsidR="00C4454D" w:rsidRPr="00A735B4" w:rsidRDefault="00C4454D" w:rsidP="00C4454D">
            <w:pPr>
              <w:jc w:val="center"/>
              <w:rPr>
                <w:color w:val="0D0D0D" w:themeColor="text1" w:themeTint="F2"/>
                <w:sz w:val="20"/>
                <w:szCs w:val="20"/>
              </w:rPr>
            </w:pPr>
            <w:r w:rsidRPr="00A735B4">
              <w:rPr>
                <w:color w:val="0D0D0D" w:themeColor="text1" w:themeTint="F2"/>
                <w:sz w:val="20"/>
                <w:szCs w:val="20"/>
              </w:rPr>
              <w:t>90</w:t>
            </w:r>
          </w:p>
        </w:tc>
        <w:tc>
          <w:tcPr>
            <w:tcW w:w="993" w:type="dxa"/>
          </w:tcPr>
          <w:p w14:paraId="15FCA318" w14:textId="7D6DDC16" w:rsidR="00C4454D" w:rsidRPr="00A735B4" w:rsidRDefault="00C4454D" w:rsidP="00C4454D">
            <w:pPr>
              <w:jc w:val="center"/>
              <w:rPr>
                <w:color w:val="0D0D0D" w:themeColor="text1" w:themeTint="F2"/>
                <w:sz w:val="20"/>
                <w:szCs w:val="20"/>
              </w:rPr>
            </w:pPr>
            <w:r w:rsidRPr="00A735B4">
              <w:rPr>
                <w:color w:val="0D0D0D" w:themeColor="text1" w:themeTint="F2"/>
                <w:sz w:val="20"/>
                <w:szCs w:val="20"/>
              </w:rPr>
              <w:t>100</w:t>
            </w:r>
          </w:p>
        </w:tc>
        <w:tc>
          <w:tcPr>
            <w:tcW w:w="992" w:type="dxa"/>
          </w:tcPr>
          <w:p w14:paraId="18099EEC" w14:textId="7AA141B5" w:rsidR="00C4454D" w:rsidRPr="00A735B4" w:rsidRDefault="00C4454D" w:rsidP="00C4454D">
            <w:pPr>
              <w:jc w:val="center"/>
              <w:rPr>
                <w:color w:val="0D0D0D" w:themeColor="text1" w:themeTint="F2"/>
                <w:sz w:val="20"/>
                <w:szCs w:val="20"/>
              </w:rPr>
            </w:pPr>
            <w:r w:rsidRPr="00A735B4">
              <w:rPr>
                <w:color w:val="0D0D0D" w:themeColor="text1" w:themeTint="F2"/>
                <w:sz w:val="20"/>
                <w:szCs w:val="20"/>
              </w:rPr>
              <w:t>50</w:t>
            </w:r>
          </w:p>
        </w:tc>
        <w:tc>
          <w:tcPr>
            <w:tcW w:w="1559" w:type="dxa"/>
            <w:noWrap/>
          </w:tcPr>
          <w:p w14:paraId="442276FC" w14:textId="1762B790" w:rsidR="00C4454D" w:rsidRPr="00A735B4" w:rsidRDefault="00C4454D" w:rsidP="00C4454D">
            <w:pPr>
              <w:jc w:val="center"/>
              <w:rPr>
                <w:color w:val="0D0D0D" w:themeColor="text1" w:themeTint="F2"/>
                <w:sz w:val="20"/>
                <w:szCs w:val="20"/>
              </w:rPr>
            </w:pPr>
            <w:r w:rsidRPr="00A735B4">
              <w:rPr>
                <w:color w:val="0D0D0D" w:themeColor="text1" w:themeTint="F2"/>
                <w:sz w:val="20"/>
                <w:szCs w:val="20"/>
              </w:rPr>
              <w:t>68</w:t>
            </w:r>
          </w:p>
        </w:tc>
      </w:tr>
      <w:tr w:rsidR="00C4454D" w:rsidRPr="00A735B4" w14:paraId="6BADCA3D" w14:textId="77777777" w:rsidTr="00C4454D">
        <w:trPr>
          <w:trHeight w:hRule="exact" w:val="284"/>
        </w:trPr>
        <w:tc>
          <w:tcPr>
            <w:tcW w:w="2093" w:type="dxa"/>
            <w:noWrap/>
            <w:hideMark/>
          </w:tcPr>
          <w:p w14:paraId="7B5DC699" w14:textId="77777777" w:rsidR="00C4454D" w:rsidRPr="00A735B4" w:rsidRDefault="00C4454D" w:rsidP="00C4454D">
            <w:pPr>
              <w:rPr>
                <w:b/>
                <w:color w:val="0D0D0D" w:themeColor="text1" w:themeTint="F2"/>
                <w:sz w:val="20"/>
                <w:szCs w:val="20"/>
              </w:rPr>
            </w:pPr>
            <w:r w:rsidRPr="00A735B4">
              <w:rPr>
                <w:b/>
                <w:color w:val="0D0D0D" w:themeColor="text1" w:themeTint="F2"/>
                <w:sz w:val="20"/>
                <w:szCs w:val="20"/>
              </w:rPr>
              <w:t>Invoice discounting</w:t>
            </w:r>
          </w:p>
        </w:tc>
        <w:tc>
          <w:tcPr>
            <w:tcW w:w="850" w:type="dxa"/>
            <w:noWrap/>
          </w:tcPr>
          <w:p w14:paraId="5798CF32" w14:textId="4128DE10" w:rsidR="00C4454D" w:rsidRPr="00A735B4" w:rsidRDefault="00C4454D" w:rsidP="00C4454D">
            <w:pPr>
              <w:jc w:val="center"/>
              <w:rPr>
                <w:color w:val="0D0D0D" w:themeColor="text1" w:themeTint="F2"/>
                <w:sz w:val="20"/>
                <w:szCs w:val="20"/>
              </w:rPr>
            </w:pPr>
            <w:r w:rsidRPr="00A735B4">
              <w:rPr>
                <w:color w:val="0D0D0D" w:themeColor="text1" w:themeTint="F2"/>
                <w:sz w:val="20"/>
                <w:szCs w:val="20"/>
              </w:rPr>
              <w:t>75</w:t>
            </w:r>
          </w:p>
        </w:tc>
        <w:tc>
          <w:tcPr>
            <w:tcW w:w="1134" w:type="dxa"/>
            <w:noWrap/>
          </w:tcPr>
          <w:p w14:paraId="1C51957F" w14:textId="57DBE1FB" w:rsidR="00C4454D" w:rsidRPr="00A735B4" w:rsidRDefault="00C4454D" w:rsidP="00C4454D">
            <w:pPr>
              <w:jc w:val="center"/>
              <w:rPr>
                <w:color w:val="0D0D0D" w:themeColor="text1" w:themeTint="F2"/>
                <w:sz w:val="20"/>
                <w:szCs w:val="20"/>
              </w:rPr>
            </w:pPr>
            <w:r w:rsidRPr="00A735B4">
              <w:rPr>
                <w:color w:val="0D0D0D" w:themeColor="text1" w:themeTint="F2"/>
                <w:sz w:val="20"/>
                <w:szCs w:val="20"/>
              </w:rPr>
              <w:t>77</w:t>
            </w:r>
          </w:p>
        </w:tc>
        <w:tc>
          <w:tcPr>
            <w:tcW w:w="970" w:type="dxa"/>
            <w:noWrap/>
          </w:tcPr>
          <w:p w14:paraId="00E0E4EF" w14:textId="29792FAE" w:rsidR="00C4454D" w:rsidRPr="00A735B4" w:rsidRDefault="00C4454D" w:rsidP="00C4454D">
            <w:pPr>
              <w:jc w:val="center"/>
              <w:rPr>
                <w:color w:val="0D0D0D" w:themeColor="text1" w:themeTint="F2"/>
                <w:sz w:val="20"/>
                <w:szCs w:val="20"/>
              </w:rPr>
            </w:pPr>
            <w:r w:rsidRPr="00A735B4">
              <w:rPr>
                <w:color w:val="0D0D0D" w:themeColor="text1" w:themeTint="F2"/>
                <w:sz w:val="20"/>
                <w:szCs w:val="20"/>
              </w:rPr>
              <w:t>58</w:t>
            </w:r>
          </w:p>
        </w:tc>
        <w:tc>
          <w:tcPr>
            <w:tcW w:w="1014" w:type="dxa"/>
          </w:tcPr>
          <w:p w14:paraId="4EBB565A" w14:textId="2926E35B" w:rsidR="00C4454D" w:rsidRPr="00A735B4" w:rsidRDefault="00C4454D" w:rsidP="00C4454D">
            <w:pPr>
              <w:jc w:val="center"/>
              <w:rPr>
                <w:color w:val="0D0D0D" w:themeColor="text1" w:themeTint="F2"/>
                <w:sz w:val="20"/>
                <w:szCs w:val="20"/>
              </w:rPr>
            </w:pPr>
            <w:r w:rsidRPr="00A735B4">
              <w:rPr>
                <w:color w:val="0D0D0D" w:themeColor="text1" w:themeTint="F2"/>
                <w:sz w:val="20"/>
                <w:szCs w:val="20"/>
              </w:rPr>
              <w:t>60</w:t>
            </w:r>
          </w:p>
        </w:tc>
        <w:tc>
          <w:tcPr>
            <w:tcW w:w="993" w:type="dxa"/>
          </w:tcPr>
          <w:p w14:paraId="03EC9703" w14:textId="53ECD5ED" w:rsidR="00C4454D" w:rsidRPr="00A735B4" w:rsidRDefault="00C4454D" w:rsidP="00C4454D">
            <w:pPr>
              <w:jc w:val="center"/>
              <w:rPr>
                <w:color w:val="0D0D0D" w:themeColor="text1" w:themeTint="F2"/>
                <w:sz w:val="20"/>
                <w:szCs w:val="20"/>
              </w:rPr>
            </w:pPr>
            <w:r w:rsidRPr="00A735B4">
              <w:rPr>
                <w:color w:val="0D0D0D" w:themeColor="text1" w:themeTint="F2"/>
                <w:sz w:val="20"/>
                <w:szCs w:val="20"/>
              </w:rPr>
              <w:t>43</w:t>
            </w:r>
          </w:p>
        </w:tc>
        <w:tc>
          <w:tcPr>
            <w:tcW w:w="992" w:type="dxa"/>
          </w:tcPr>
          <w:p w14:paraId="266A04A4" w14:textId="3FD7C3F5" w:rsidR="00C4454D" w:rsidRPr="00A735B4" w:rsidRDefault="00C4454D" w:rsidP="00C4454D">
            <w:pPr>
              <w:jc w:val="center"/>
              <w:rPr>
                <w:color w:val="0D0D0D" w:themeColor="text1" w:themeTint="F2"/>
                <w:sz w:val="20"/>
                <w:szCs w:val="20"/>
              </w:rPr>
            </w:pPr>
            <w:r w:rsidRPr="00A735B4">
              <w:rPr>
                <w:color w:val="0D0D0D" w:themeColor="text1" w:themeTint="F2"/>
                <w:sz w:val="20"/>
                <w:szCs w:val="20"/>
              </w:rPr>
              <w:t>30</w:t>
            </w:r>
          </w:p>
        </w:tc>
        <w:tc>
          <w:tcPr>
            <w:tcW w:w="1559" w:type="dxa"/>
            <w:noWrap/>
          </w:tcPr>
          <w:p w14:paraId="4C40C40B" w14:textId="53856632" w:rsidR="00C4454D" w:rsidRPr="00A735B4" w:rsidRDefault="00C4454D" w:rsidP="00C4454D">
            <w:pPr>
              <w:jc w:val="center"/>
              <w:rPr>
                <w:color w:val="0D0D0D" w:themeColor="text1" w:themeTint="F2"/>
                <w:sz w:val="20"/>
                <w:szCs w:val="20"/>
              </w:rPr>
            </w:pPr>
            <w:r w:rsidRPr="00A735B4">
              <w:rPr>
                <w:color w:val="0D0D0D" w:themeColor="text1" w:themeTint="F2"/>
                <w:sz w:val="20"/>
                <w:szCs w:val="20"/>
              </w:rPr>
              <w:t>57</w:t>
            </w:r>
          </w:p>
        </w:tc>
      </w:tr>
      <w:tr w:rsidR="00C4454D" w:rsidRPr="00A735B4" w14:paraId="522FB350" w14:textId="77777777" w:rsidTr="00C4454D">
        <w:trPr>
          <w:trHeight w:hRule="exact" w:val="284"/>
        </w:trPr>
        <w:tc>
          <w:tcPr>
            <w:tcW w:w="2093" w:type="dxa"/>
            <w:noWrap/>
            <w:hideMark/>
          </w:tcPr>
          <w:p w14:paraId="053463C0" w14:textId="3FAE5DFC" w:rsidR="00C4454D" w:rsidRPr="00A735B4" w:rsidRDefault="00C4454D" w:rsidP="00C4454D">
            <w:pPr>
              <w:rPr>
                <w:b/>
                <w:color w:val="0D0D0D" w:themeColor="text1" w:themeTint="F2"/>
                <w:sz w:val="20"/>
                <w:szCs w:val="20"/>
              </w:rPr>
            </w:pPr>
            <w:r w:rsidRPr="00A735B4">
              <w:rPr>
                <w:b/>
                <w:color w:val="0D0D0D" w:themeColor="text1" w:themeTint="F2"/>
                <w:sz w:val="20"/>
                <w:szCs w:val="20"/>
              </w:rPr>
              <w:t>LPO finance</w:t>
            </w:r>
          </w:p>
        </w:tc>
        <w:tc>
          <w:tcPr>
            <w:tcW w:w="850" w:type="dxa"/>
            <w:noWrap/>
          </w:tcPr>
          <w:p w14:paraId="45E36B48" w14:textId="1F5873E0" w:rsidR="00C4454D" w:rsidRPr="00A735B4" w:rsidRDefault="00C4454D" w:rsidP="00C4454D">
            <w:pPr>
              <w:jc w:val="center"/>
              <w:rPr>
                <w:color w:val="0D0D0D" w:themeColor="text1" w:themeTint="F2"/>
                <w:sz w:val="20"/>
                <w:szCs w:val="20"/>
              </w:rPr>
            </w:pPr>
            <w:r w:rsidRPr="00A735B4">
              <w:rPr>
                <w:color w:val="0D0D0D" w:themeColor="text1" w:themeTint="F2"/>
                <w:sz w:val="20"/>
                <w:szCs w:val="20"/>
              </w:rPr>
              <w:t>88</w:t>
            </w:r>
          </w:p>
        </w:tc>
        <w:tc>
          <w:tcPr>
            <w:tcW w:w="1134" w:type="dxa"/>
            <w:noWrap/>
          </w:tcPr>
          <w:p w14:paraId="40977B47" w14:textId="1F621E5C" w:rsidR="00C4454D" w:rsidRPr="00A735B4" w:rsidRDefault="00C4454D" w:rsidP="00C4454D">
            <w:pPr>
              <w:jc w:val="center"/>
              <w:rPr>
                <w:color w:val="0D0D0D" w:themeColor="text1" w:themeTint="F2"/>
                <w:sz w:val="20"/>
                <w:szCs w:val="20"/>
              </w:rPr>
            </w:pPr>
            <w:r w:rsidRPr="00A735B4">
              <w:rPr>
                <w:color w:val="0D0D0D" w:themeColor="text1" w:themeTint="F2"/>
                <w:sz w:val="20"/>
                <w:szCs w:val="20"/>
              </w:rPr>
              <w:t>38</w:t>
            </w:r>
          </w:p>
        </w:tc>
        <w:tc>
          <w:tcPr>
            <w:tcW w:w="970" w:type="dxa"/>
            <w:noWrap/>
          </w:tcPr>
          <w:p w14:paraId="0E612FA2" w14:textId="12337BED" w:rsidR="00C4454D" w:rsidRPr="00A735B4" w:rsidRDefault="00C4454D" w:rsidP="00C4454D">
            <w:pPr>
              <w:jc w:val="center"/>
              <w:rPr>
                <w:color w:val="0D0D0D" w:themeColor="text1" w:themeTint="F2"/>
                <w:sz w:val="20"/>
                <w:szCs w:val="20"/>
              </w:rPr>
            </w:pPr>
            <w:r w:rsidRPr="00A735B4">
              <w:rPr>
                <w:color w:val="0D0D0D" w:themeColor="text1" w:themeTint="F2"/>
                <w:sz w:val="20"/>
                <w:szCs w:val="20"/>
              </w:rPr>
              <w:t>50</w:t>
            </w:r>
          </w:p>
        </w:tc>
        <w:tc>
          <w:tcPr>
            <w:tcW w:w="1014" w:type="dxa"/>
          </w:tcPr>
          <w:p w14:paraId="416D0F5A" w14:textId="5C25F808" w:rsidR="00C4454D" w:rsidRPr="00A735B4" w:rsidRDefault="00C4454D" w:rsidP="00C4454D">
            <w:pPr>
              <w:jc w:val="center"/>
              <w:rPr>
                <w:color w:val="0D0D0D" w:themeColor="text1" w:themeTint="F2"/>
                <w:sz w:val="20"/>
                <w:szCs w:val="20"/>
              </w:rPr>
            </w:pPr>
            <w:r w:rsidRPr="00A735B4">
              <w:rPr>
                <w:color w:val="0D0D0D" w:themeColor="text1" w:themeTint="F2"/>
                <w:sz w:val="20"/>
                <w:szCs w:val="20"/>
              </w:rPr>
              <w:t>10</w:t>
            </w:r>
          </w:p>
        </w:tc>
        <w:tc>
          <w:tcPr>
            <w:tcW w:w="993" w:type="dxa"/>
          </w:tcPr>
          <w:p w14:paraId="0FF2BDB3" w14:textId="37A928F1" w:rsidR="00C4454D" w:rsidRPr="00A735B4" w:rsidRDefault="00C4454D" w:rsidP="00C4454D">
            <w:pPr>
              <w:jc w:val="center"/>
              <w:rPr>
                <w:color w:val="0D0D0D" w:themeColor="text1" w:themeTint="F2"/>
                <w:sz w:val="20"/>
                <w:szCs w:val="20"/>
              </w:rPr>
            </w:pPr>
            <w:r w:rsidRPr="00A735B4">
              <w:rPr>
                <w:color w:val="0D0D0D" w:themeColor="text1" w:themeTint="F2"/>
                <w:sz w:val="20"/>
                <w:szCs w:val="20"/>
              </w:rPr>
              <w:t>71</w:t>
            </w:r>
          </w:p>
        </w:tc>
        <w:tc>
          <w:tcPr>
            <w:tcW w:w="992" w:type="dxa"/>
          </w:tcPr>
          <w:p w14:paraId="6E6432DF" w14:textId="6F947DD0" w:rsidR="00C4454D" w:rsidRPr="00A735B4" w:rsidRDefault="00C4454D" w:rsidP="00C4454D">
            <w:pPr>
              <w:jc w:val="center"/>
              <w:rPr>
                <w:color w:val="0D0D0D" w:themeColor="text1" w:themeTint="F2"/>
                <w:sz w:val="20"/>
                <w:szCs w:val="20"/>
              </w:rPr>
            </w:pPr>
            <w:r w:rsidRPr="00A735B4">
              <w:rPr>
                <w:color w:val="0D0D0D" w:themeColor="text1" w:themeTint="F2"/>
                <w:sz w:val="20"/>
                <w:szCs w:val="20"/>
              </w:rPr>
              <w:t>30</w:t>
            </w:r>
          </w:p>
        </w:tc>
        <w:tc>
          <w:tcPr>
            <w:tcW w:w="1559" w:type="dxa"/>
            <w:noWrap/>
          </w:tcPr>
          <w:p w14:paraId="150093B8" w14:textId="2EAB93B8" w:rsidR="00C4454D" w:rsidRPr="00A735B4" w:rsidRDefault="00C4454D" w:rsidP="00C4454D">
            <w:pPr>
              <w:jc w:val="center"/>
              <w:rPr>
                <w:color w:val="0D0D0D" w:themeColor="text1" w:themeTint="F2"/>
                <w:sz w:val="20"/>
                <w:szCs w:val="20"/>
              </w:rPr>
            </w:pPr>
            <w:r w:rsidRPr="00A735B4">
              <w:rPr>
                <w:color w:val="0D0D0D" w:themeColor="text1" w:themeTint="F2"/>
                <w:sz w:val="20"/>
                <w:szCs w:val="20"/>
              </w:rPr>
              <w:t>48</w:t>
            </w:r>
          </w:p>
        </w:tc>
      </w:tr>
      <w:tr w:rsidR="00C4454D" w:rsidRPr="00A735B4" w14:paraId="0EF1B366" w14:textId="77777777" w:rsidTr="00C4454D">
        <w:trPr>
          <w:trHeight w:hRule="exact" w:val="284"/>
        </w:trPr>
        <w:tc>
          <w:tcPr>
            <w:tcW w:w="2093" w:type="dxa"/>
            <w:noWrap/>
            <w:hideMark/>
          </w:tcPr>
          <w:p w14:paraId="0AFEEA1E" w14:textId="77777777" w:rsidR="00C4454D" w:rsidRPr="00A735B4" w:rsidRDefault="00C4454D" w:rsidP="00C4454D">
            <w:pPr>
              <w:rPr>
                <w:b/>
                <w:color w:val="0D0D0D" w:themeColor="text1" w:themeTint="F2"/>
                <w:sz w:val="20"/>
                <w:szCs w:val="20"/>
              </w:rPr>
            </w:pPr>
            <w:r w:rsidRPr="00A735B4">
              <w:rPr>
                <w:b/>
                <w:color w:val="0D0D0D" w:themeColor="text1" w:themeTint="F2"/>
                <w:sz w:val="20"/>
                <w:szCs w:val="20"/>
              </w:rPr>
              <w:t>Asset finance</w:t>
            </w:r>
          </w:p>
        </w:tc>
        <w:tc>
          <w:tcPr>
            <w:tcW w:w="850" w:type="dxa"/>
            <w:noWrap/>
          </w:tcPr>
          <w:p w14:paraId="70684382" w14:textId="074EB6C4" w:rsidR="00C4454D" w:rsidRPr="00A735B4" w:rsidRDefault="00C4454D" w:rsidP="00C4454D">
            <w:pPr>
              <w:jc w:val="center"/>
              <w:rPr>
                <w:color w:val="0D0D0D" w:themeColor="text1" w:themeTint="F2"/>
                <w:sz w:val="20"/>
                <w:szCs w:val="20"/>
              </w:rPr>
            </w:pPr>
            <w:r w:rsidRPr="00A735B4">
              <w:rPr>
                <w:color w:val="0D0D0D" w:themeColor="text1" w:themeTint="F2"/>
                <w:sz w:val="20"/>
                <w:szCs w:val="20"/>
              </w:rPr>
              <w:t>100</w:t>
            </w:r>
          </w:p>
        </w:tc>
        <w:tc>
          <w:tcPr>
            <w:tcW w:w="1134" w:type="dxa"/>
            <w:noWrap/>
          </w:tcPr>
          <w:p w14:paraId="6AF2BE6C" w14:textId="71C6242A" w:rsidR="00C4454D" w:rsidRPr="00A735B4" w:rsidRDefault="00C4454D" w:rsidP="00C4454D">
            <w:pPr>
              <w:jc w:val="center"/>
              <w:rPr>
                <w:color w:val="0D0D0D" w:themeColor="text1" w:themeTint="F2"/>
                <w:sz w:val="20"/>
                <w:szCs w:val="20"/>
              </w:rPr>
            </w:pPr>
            <w:r w:rsidRPr="00A735B4">
              <w:rPr>
                <w:color w:val="0D0D0D" w:themeColor="text1" w:themeTint="F2"/>
                <w:sz w:val="20"/>
                <w:szCs w:val="20"/>
              </w:rPr>
              <w:t>77</w:t>
            </w:r>
          </w:p>
        </w:tc>
        <w:tc>
          <w:tcPr>
            <w:tcW w:w="970" w:type="dxa"/>
            <w:noWrap/>
          </w:tcPr>
          <w:p w14:paraId="7D801A29" w14:textId="59664A7B" w:rsidR="00C4454D" w:rsidRPr="00A735B4" w:rsidRDefault="00C4454D" w:rsidP="00C4454D">
            <w:pPr>
              <w:jc w:val="center"/>
              <w:rPr>
                <w:color w:val="0D0D0D" w:themeColor="text1" w:themeTint="F2"/>
                <w:sz w:val="20"/>
                <w:szCs w:val="20"/>
              </w:rPr>
            </w:pPr>
            <w:r w:rsidRPr="00A735B4">
              <w:rPr>
                <w:color w:val="0D0D0D" w:themeColor="text1" w:themeTint="F2"/>
                <w:sz w:val="20"/>
                <w:szCs w:val="20"/>
              </w:rPr>
              <w:t>58</w:t>
            </w:r>
          </w:p>
        </w:tc>
        <w:tc>
          <w:tcPr>
            <w:tcW w:w="1014" w:type="dxa"/>
          </w:tcPr>
          <w:p w14:paraId="36788A83" w14:textId="444427D3" w:rsidR="00C4454D" w:rsidRPr="00A735B4" w:rsidRDefault="00C4454D" w:rsidP="00C4454D">
            <w:pPr>
              <w:jc w:val="center"/>
              <w:rPr>
                <w:color w:val="0D0D0D" w:themeColor="text1" w:themeTint="F2"/>
                <w:sz w:val="20"/>
                <w:szCs w:val="20"/>
              </w:rPr>
            </w:pPr>
            <w:r w:rsidRPr="00A735B4">
              <w:rPr>
                <w:color w:val="0D0D0D" w:themeColor="text1" w:themeTint="F2"/>
                <w:sz w:val="20"/>
                <w:szCs w:val="20"/>
              </w:rPr>
              <w:t>40</w:t>
            </w:r>
          </w:p>
        </w:tc>
        <w:tc>
          <w:tcPr>
            <w:tcW w:w="993" w:type="dxa"/>
          </w:tcPr>
          <w:p w14:paraId="4966818E" w14:textId="05B8AD03" w:rsidR="00C4454D" w:rsidRPr="00A735B4" w:rsidRDefault="00C4454D" w:rsidP="00C4454D">
            <w:pPr>
              <w:jc w:val="center"/>
              <w:rPr>
                <w:color w:val="0D0D0D" w:themeColor="text1" w:themeTint="F2"/>
                <w:sz w:val="20"/>
                <w:szCs w:val="20"/>
              </w:rPr>
            </w:pPr>
            <w:r w:rsidRPr="00A735B4">
              <w:rPr>
                <w:color w:val="0D0D0D" w:themeColor="text1" w:themeTint="F2"/>
                <w:sz w:val="20"/>
                <w:szCs w:val="20"/>
              </w:rPr>
              <w:t>100</w:t>
            </w:r>
          </w:p>
        </w:tc>
        <w:tc>
          <w:tcPr>
            <w:tcW w:w="992" w:type="dxa"/>
          </w:tcPr>
          <w:p w14:paraId="7C8506BD" w14:textId="18D1FA06" w:rsidR="00C4454D" w:rsidRPr="00A735B4" w:rsidRDefault="00C4454D" w:rsidP="00C4454D">
            <w:pPr>
              <w:jc w:val="center"/>
              <w:rPr>
                <w:color w:val="0D0D0D" w:themeColor="text1" w:themeTint="F2"/>
                <w:sz w:val="20"/>
                <w:szCs w:val="20"/>
              </w:rPr>
            </w:pPr>
            <w:r w:rsidRPr="00A735B4">
              <w:rPr>
                <w:color w:val="0D0D0D" w:themeColor="text1" w:themeTint="F2"/>
                <w:sz w:val="20"/>
                <w:szCs w:val="20"/>
              </w:rPr>
              <w:t>30</w:t>
            </w:r>
          </w:p>
        </w:tc>
        <w:tc>
          <w:tcPr>
            <w:tcW w:w="1559" w:type="dxa"/>
            <w:noWrap/>
          </w:tcPr>
          <w:p w14:paraId="16607EEB" w14:textId="4A7178EB" w:rsidR="00C4454D" w:rsidRPr="00A735B4" w:rsidRDefault="00C4454D" w:rsidP="00C4454D">
            <w:pPr>
              <w:jc w:val="center"/>
              <w:rPr>
                <w:color w:val="0D0D0D" w:themeColor="text1" w:themeTint="F2"/>
                <w:sz w:val="20"/>
                <w:szCs w:val="20"/>
              </w:rPr>
            </w:pPr>
            <w:r w:rsidRPr="00A735B4">
              <w:rPr>
                <w:color w:val="0D0D0D" w:themeColor="text1" w:themeTint="F2"/>
                <w:sz w:val="20"/>
                <w:szCs w:val="20"/>
              </w:rPr>
              <w:t>68</w:t>
            </w:r>
          </w:p>
        </w:tc>
      </w:tr>
      <w:tr w:rsidR="00C4454D" w:rsidRPr="00A735B4" w14:paraId="4B66AECC" w14:textId="77777777" w:rsidTr="00C4454D">
        <w:trPr>
          <w:trHeight w:hRule="exact" w:val="284"/>
        </w:trPr>
        <w:tc>
          <w:tcPr>
            <w:tcW w:w="2093" w:type="dxa"/>
            <w:noWrap/>
          </w:tcPr>
          <w:p w14:paraId="697C021B" w14:textId="77777777" w:rsidR="00C4454D" w:rsidRPr="00A735B4" w:rsidRDefault="00C4454D" w:rsidP="00C4454D">
            <w:pPr>
              <w:rPr>
                <w:b/>
                <w:color w:val="0D0D0D" w:themeColor="text1" w:themeTint="F2"/>
                <w:sz w:val="20"/>
                <w:szCs w:val="20"/>
              </w:rPr>
            </w:pPr>
            <w:r w:rsidRPr="00A735B4">
              <w:rPr>
                <w:b/>
                <w:color w:val="0D0D0D" w:themeColor="text1" w:themeTint="F2"/>
                <w:sz w:val="20"/>
                <w:szCs w:val="20"/>
              </w:rPr>
              <w:t>Investment products</w:t>
            </w:r>
          </w:p>
        </w:tc>
        <w:tc>
          <w:tcPr>
            <w:tcW w:w="850" w:type="dxa"/>
            <w:noWrap/>
          </w:tcPr>
          <w:p w14:paraId="5569AC89" w14:textId="7E38A6CF" w:rsidR="00C4454D" w:rsidRPr="00A735B4" w:rsidRDefault="00C4454D" w:rsidP="00C4454D">
            <w:pPr>
              <w:jc w:val="center"/>
              <w:rPr>
                <w:color w:val="0D0D0D" w:themeColor="text1" w:themeTint="F2"/>
                <w:sz w:val="20"/>
                <w:szCs w:val="20"/>
              </w:rPr>
            </w:pPr>
            <w:r w:rsidRPr="00A735B4">
              <w:rPr>
                <w:color w:val="0D0D0D" w:themeColor="text1" w:themeTint="F2"/>
                <w:sz w:val="20"/>
                <w:szCs w:val="20"/>
              </w:rPr>
              <w:t>88</w:t>
            </w:r>
          </w:p>
        </w:tc>
        <w:tc>
          <w:tcPr>
            <w:tcW w:w="1134" w:type="dxa"/>
            <w:noWrap/>
          </w:tcPr>
          <w:p w14:paraId="520CDEBB" w14:textId="5E64526D" w:rsidR="00C4454D" w:rsidRPr="00A735B4" w:rsidRDefault="00C4454D" w:rsidP="00C4454D">
            <w:pPr>
              <w:jc w:val="center"/>
              <w:rPr>
                <w:color w:val="0D0D0D" w:themeColor="text1" w:themeTint="F2"/>
                <w:sz w:val="20"/>
                <w:szCs w:val="20"/>
              </w:rPr>
            </w:pPr>
            <w:r w:rsidRPr="00A735B4">
              <w:rPr>
                <w:color w:val="0D0D0D" w:themeColor="text1" w:themeTint="F2"/>
                <w:sz w:val="20"/>
                <w:szCs w:val="20"/>
              </w:rPr>
              <w:t>54</w:t>
            </w:r>
          </w:p>
        </w:tc>
        <w:tc>
          <w:tcPr>
            <w:tcW w:w="970" w:type="dxa"/>
            <w:noWrap/>
          </w:tcPr>
          <w:p w14:paraId="52C99967" w14:textId="49BB09EC" w:rsidR="00C4454D" w:rsidRPr="00A735B4" w:rsidRDefault="00C4454D" w:rsidP="00C4454D">
            <w:pPr>
              <w:jc w:val="center"/>
              <w:rPr>
                <w:color w:val="0D0D0D" w:themeColor="text1" w:themeTint="F2"/>
                <w:sz w:val="20"/>
                <w:szCs w:val="20"/>
              </w:rPr>
            </w:pPr>
            <w:r w:rsidRPr="00A735B4">
              <w:rPr>
                <w:color w:val="0D0D0D" w:themeColor="text1" w:themeTint="F2"/>
                <w:sz w:val="20"/>
                <w:szCs w:val="20"/>
              </w:rPr>
              <w:t>25</w:t>
            </w:r>
          </w:p>
        </w:tc>
        <w:tc>
          <w:tcPr>
            <w:tcW w:w="1014" w:type="dxa"/>
          </w:tcPr>
          <w:p w14:paraId="1B0EECB9" w14:textId="277872E9" w:rsidR="00C4454D" w:rsidRPr="00A735B4" w:rsidRDefault="00C4454D" w:rsidP="00C4454D">
            <w:pPr>
              <w:jc w:val="center"/>
              <w:rPr>
                <w:color w:val="0D0D0D" w:themeColor="text1" w:themeTint="F2"/>
                <w:sz w:val="20"/>
                <w:szCs w:val="20"/>
              </w:rPr>
            </w:pPr>
            <w:r w:rsidRPr="00A735B4">
              <w:rPr>
                <w:color w:val="0D0D0D" w:themeColor="text1" w:themeTint="F2"/>
                <w:sz w:val="20"/>
                <w:szCs w:val="20"/>
              </w:rPr>
              <w:t>40</w:t>
            </w:r>
          </w:p>
        </w:tc>
        <w:tc>
          <w:tcPr>
            <w:tcW w:w="993" w:type="dxa"/>
          </w:tcPr>
          <w:p w14:paraId="269C22B1" w14:textId="52DD15C2" w:rsidR="00C4454D" w:rsidRPr="00A735B4" w:rsidRDefault="00C4454D" w:rsidP="00C4454D">
            <w:pPr>
              <w:jc w:val="center"/>
              <w:rPr>
                <w:color w:val="0D0D0D" w:themeColor="text1" w:themeTint="F2"/>
                <w:sz w:val="20"/>
                <w:szCs w:val="20"/>
              </w:rPr>
            </w:pPr>
            <w:r w:rsidRPr="00A735B4">
              <w:rPr>
                <w:color w:val="0D0D0D" w:themeColor="text1" w:themeTint="F2"/>
                <w:sz w:val="20"/>
                <w:szCs w:val="20"/>
              </w:rPr>
              <w:t>43</w:t>
            </w:r>
          </w:p>
        </w:tc>
        <w:tc>
          <w:tcPr>
            <w:tcW w:w="992" w:type="dxa"/>
          </w:tcPr>
          <w:p w14:paraId="4EEB9D97" w14:textId="06988766" w:rsidR="00C4454D" w:rsidRPr="00A735B4" w:rsidRDefault="00C4454D" w:rsidP="00C4454D">
            <w:pPr>
              <w:jc w:val="center"/>
              <w:rPr>
                <w:color w:val="0D0D0D" w:themeColor="text1" w:themeTint="F2"/>
                <w:sz w:val="20"/>
                <w:szCs w:val="20"/>
              </w:rPr>
            </w:pPr>
            <w:r w:rsidRPr="00A735B4">
              <w:rPr>
                <w:color w:val="0D0D0D" w:themeColor="text1" w:themeTint="F2"/>
                <w:sz w:val="20"/>
                <w:szCs w:val="20"/>
              </w:rPr>
              <w:t>40</w:t>
            </w:r>
          </w:p>
        </w:tc>
        <w:tc>
          <w:tcPr>
            <w:tcW w:w="1559" w:type="dxa"/>
            <w:noWrap/>
          </w:tcPr>
          <w:p w14:paraId="40099A06" w14:textId="248F1851" w:rsidR="00C4454D" w:rsidRPr="00A735B4" w:rsidRDefault="00C4454D" w:rsidP="00C4454D">
            <w:pPr>
              <w:jc w:val="center"/>
              <w:rPr>
                <w:color w:val="0D0D0D" w:themeColor="text1" w:themeTint="F2"/>
                <w:sz w:val="20"/>
                <w:szCs w:val="20"/>
              </w:rPr>
            </w:pPr>
            <w:r w:rsidRPr="00A735B4">
              <w:rPr>
                <w:color w:val="0D0D0D" w:themeColor="text1" w:themeTint="F2"/>
                <w:sz w:val="20"/>
                <w:szCs w:val="20"/>
              </w:rPr>
              <w:t>48</w:t>
            </w:r>
          </w:p>
        </w:tc>
      </w:tr>
      <w:tr w:rsidR="00C4454D" w:rsidRPr="00A735B4" w14:paraId="3A01E0AD" w14:textId="77777777" w:rsidTr="00C4454D">
        <w:trPr>
          <w:trHeight w:hRule="exact" w:val="284"/>
        </w:trPr>
        <w:tc>
          <w:tcPr>
            <w:tcW w:w="2093" w:type="dxa"/>
            <w:noWrap/>
          </w:tcPr>
          <w:p w14:paraId="3D4CA10D" w14:textId="77777777" w:rsidR="00C4454D" w:rsidRPr="00A735B4" w:rsidRDefault="00C4454D" w:rsidP="00C4454D">
            <w:pPr>
              <w:rPr>
                <w:b/>
                <w:color w:val="0D0D0D" w:themeColor="text1" w:themeTint="F2"/>
                <w:sz w:val="20"/>
                <w:szCs w:val="20"/>
              </w:rPr>
            </w:pPr>
            <w:r w:rsidRPr="00A735B4">
              <w:rPr>
                <w:b/>
                <w:color w:val="0D0D0D" w:themeColor="text1" w:themeTint="F2"/>
                <w:sz w:val="20"/>
                <w:szCs w:val="20"/>
              </w:rPr>
              <w:t>Women accounts</w:t>
            </w:r>
          </w:p>
        </w:tc>
        <w:tc>
          <w:tcPr>
            <w:tcW w:w="850" w:type="dxa"/>
            <w:noWrap/>
          </w:tcPr>
          <w:p w14:paraId="3FCB3A80" w14:textId="20A4A11D" w:rsidR="00C4454D" w:rsidRPr="00A735B4" w:rsidRDefault="00C4454D" w:rsidP="00C4454D">
            <w:pPr>
              <w:jc w:val="center"/>
              <w:rPr>
                <w:color w:val="0D0D0D" w:themeColor="text1" w:themeTint="F2"/>
                <w:sz w:val="20"/>
                <w:szCs w:val="20"/>
              </w:rPr>
            </w:pPr>
            <w:r w:rsidRPr="00A735B4">
              <w:rPr>
                <w:color w:val="0D0D0D" w:themeColor="text1" w:themeTint="F2"/>
                <w:sz w:val="20"/>
                <w:szCs w:val="20"/>
              </w:rPr>
              <w:t>50</w:t>
            </w:r>
          </w:p>
        </w:tc>
        <w:tc>
          <w:tcPr>
            <w:tcW w:w="1134" w:type="dxa"/>
            <w:noWrap/>
          </w:tcPr>
          <w:p w14:paraId="729024FA" w14:textId="66C58629" w:rsidR="00C4454D" w:rsidRPr="00A735B4" w:rsidRDefault="00C4454D" w:rsidP="00C4454D">
            <w:pPr>
              <w:jc w:val="center"/>
              <w:rPr>
                <w:color w:val="0D0D0D" w:themeColor="text1" w:themeTint="F2"/>
                <w:sz w:val="20"/>
                <w:szCs w:val="20"/>
              </w:rPr>
            </w:pPr>
            <w:r w:rsidRPr="00A735B4">
              <w:rPr>
                <w:color w:val="0D0D0D" w:themeColor="text1" w:themeTint="F2"/>
                <w:sz w:val="20"/>
                <w:szCs w:val="20"/>
              </w:rPr>
              <w:t>15</w:t>
            </w:r>
          </w:p>
        </w:tc>
        <w:tc>
          <w:tcPr>
            <w:tcW w:w="970" w:type="dxa"/>
            <w:noWrap/>
          </w:tcPr>
          <w:p w14:paraId="1EE77AEA" w14:textId="42B8CEAD" w:rsidR="00C4454D" w:rsidRPr="00A735B4" w:rsidRDefault="00C4454D" w:rsidP="00C4454D">
            <w:pPr>
              <w:jc w:val="center"/>
              <w:rPr>
                <w:color w:val="0D0D0D" w:themeColor="text1" w:themeTint="F2"/>
                <w:sz w:val="20"/>
                <w:szCs w:val="20"/>
              </w:rPr>
            </w:pPr>
            <w:r w:rsidRPr="00A735B4">
              <w:rPr>
                <w:color w:val="0D0D0D" w:themeColor="text1" w:themeTint="F2"/>
                <w:sz w:val="20"/>
                <w:szCs w:val="20"/>
              </w:rPr>
              <w:t>17</w:t>
            </w:r>
          </w:p>
        </w:tc>
        <w:tc>
          <w:tcPr>
            <w:tcW w:w="1014" w:type="dxa"/>
          </w:tcPr>
          <w:p w14:paraId="316332A8" w14:textId="46DD9F62" w:rsidR="00C4454D" w:rsidRPr="00A735B4" w:rsidRDefault="00C4454D" w:rsidP="00C4454D">
            <w:pPr>
              <w:jc w:val="center"/>
              <w:rPr>
                <w:color w:val="0D0D0D" w:themeColor="text1" w:themeTint="F2"/>
                <w:sz w:val="20"/>
                <w:szCs w:val="20"/>
              </w:rPr>
            </w:pPr>
            <w:r w:rsidRPr="00A735B4">
              <w:rPr>
                <w:color w:val="0D0D0D" w:themeColor="text1" w:themeTint="F2"/>
                <w:sz w:val="20"/>
                <w:szCs w:val="20"/>
              </w:rPr>
              <w:t>0</w:t>
            </w:r>
          </w:p>
        </w:tc>
        <w:tc>
          <w:tcPr>
            <w:tcW w:w="993" w:type="dxa"/>
          </w:tcPr>
          <w:p w14:paraId="459B3418" w14:textId="3F3858F4" w:rsidR="00C4454D" w:rsidRPr="00A735B4" w:rsidRDefault="00C4454D" w:rsidP="00C4454D">
            <w:pPr>
              <w:jc w:val="center"/>
              <w:rPr>
                <w:color w:val="0D0D0D" w:themeColor="text1" w:themeTint="F2"/>
                <w:sz w:val="20"/>
                <w:szCs w:val="20"/>
              </w:rPr>
            </w:pPr>
            <w:r w:rsidRPr="00A735B4">
              <w:rPr>
                <w:color w:val="0D0D0D" w:themeColor="text1" w:themeTint="F2"/>
                <w:sz w:val="20"/>
                <w:szCs w:val="20"/>
              </w:rPr>
              <w:t>43</w:t>
            </w:r>
          </w:p>
        </w:tc>
        <w:tc>
          <w:tcPr>
            <w:tcW w:w="992" w:type="dxa"/>
          </w:tcPr>
          <w:p w14:paraId="6E2A471F" w14:textId="6FB9671F" w:rsidR="00C4454D" w:rsidRPr="00A735B4" w:rsidRDefault="00C4454D" w:rsidP="00C4454D">
            <w:pPr>
              <w:jc w:val="center"/>
              <w:rPr>
                <w:color w:val="0D0D0D" w:themeColor="text1" w:themeTint="F2"/>
                <w:sz w:val="20"/>
                <w:szCs w:val="20"/>
              </w:rPr>
            </w:pPr>
            <w:r w:rsidRPr="00A735B4">
              <w:rPr>
                <w:color w:val="0D0D0D" w:themeColor="text1" w:themeTint="F2"/>
                <w:sz w:val="20"/>
                <w:szCs w:val="20"/>
              </w:rPr>
              <w:t>30</w:t>
            </w:r>
          </w:p>
        </w:tc>
        <w:tc>
          <w:tcPr>
            <w:tcW w:w="1559" w:type="dxa"/>
            <w:noWrap/>
          </w:tcPr>
          <w:p w14:paraId="66F75843" w14:textId="36B61257" w:rsidR="00C4454D" w:rsidRPr="00A735B4" w:rsidRDefault="00C4454D" w:rsidP="00C4454D">
            <w:pPr>
              <w:jc w:val="center"/>
              <w:rPr>
                <w:color w:val="0D0D0D" w:themeColor="text1" w:themeTint="F2"/>
                <w:sz w:val="20"/>
                <w:szCs w:val="20"/>
              </w:rPr>
            </w:pPr>
            <w:r w:rsidRPr="00A735B4">
              <w:rPr>
                <w:color w:val="0D0D0D" w:themeColor="text1" w:themeTint="F2"/>
                <w:sz w:val="20"/>
                <w:szCs w:val="20"/>
              </w:rPr>
              <w:t>26</w:t>
            </w:r>
          </w:p>
        </w:tc>
      </w:tr>
      <w:tr w:rsidR="00C4454D" w:rsidRPr="00A735B4" w14:paraId="54D4D3D1" w14:textId="77777777" w:rsidTr="00C4454D">
        <w:trPr>
          <w:trHeight w:hRule="exact" w:val="284"/>
        </w:trPr>
        <w:tc>
          <w:tcPr>
            <w:tcW w:w="2093" w:type="dxa"/>
            <w:noWrap/>
            <w:hideMark/>
          </w:tcPr>
          <w:p w14:paraId="75151A9F" w14:textId="77777777" w:rsidR="00C4454D" w:rsidRPr="00A735B4" w:rsidRDefault="00C4454D" w:rsidP="00C4454D">
            <w:pPr>
              <w:rPr>
                <w:b/>
                <w:color w:val="0D0D0D" w:themeColor="text1" w:themeTint="F2"/>
                <w:sz w:val="20"/>
                <w:szCs w:val="20"/>
              </w:rPr>
            </w:pPr>
            <w:r w:rsidRPr="00A735B4">
              <w:rPr>
                <w:b/>
                <w:color w:val="0D0D0D" w:themeColor="text1" w:themeTint="F2"/>
                <w:sz w:val="20"/>
                <w:szCs w:val="20"/>
              </w:rPr>
              <w:t>Local bank draft</w:t>
            </w:r>
          </w:p>
        </w:tc>
        <w:tc>
          <w:tcPr>
            <w:tcW w:w="850" w:type="dxa"/>
            <w:noWrap/>
          </w:tcPr>
          <w:p w14:paraId="45AB346E" w14:textId="01EA53AC" w:rsidR="00C4454D" w:rsidRPr="00A735B4" w:rsidRDefault="00C4454D" w:rsidP="00C4454D">
            <w:pPr>
              <w:jc w:val="center"/>
              <w:rPr>
                <w:color w:val="0D0D0D" w:themeColor="text1" w:themeTint="F2"/>
                <w:sz w:val="20"/>
                <w:szCs w:val="20"/>
              </w:rPr>
            </w:pPr>
            <w:r w:rsidRPr="00A735B4">
              <w:rPr>
                <w:color w:val="0D0D0D" w:themeColor="text1" w:themeTint="F2"/>
                <w:sz w:val="20"/>
                <w:szCs w:val="20"/>
              </w:rPr>
              <w:t>88</w:t>
            </w:r>
          </w:p>
        </w:tc>
        <w:tc>
          <w:tcPr>
            <w:tcW w:w="1134" w:type="dxa"/>
            <w:noWrap/>
          </w:tcPr>
          <w:p w14:paraId="540744BD" w14:textId="1598AC94" w:rsidR="00C4454D" w:rsidRPr="00A735B4" w:rsidRDefault="00C4454D" w:rsidP="00C4454D">
            <w:pPr>
              <w:jc w:val="center"/>
              <w:rPr>
                <w:color w:val="0D0D0D" w:themeColor="text1" w:themeTint="F2"/>
                <w:sz w:val="20"/>
                <w:szCs w:val="20"/>
              </w:rPr>
            </w:pPr>
            <w:r w:rsidRPr="00A735B4">
              <w:rPr>
                <w:color w:val="0D0D0D" w:themeColor="text1" w:themeTint="F2"/>
                <w:sz w:val="20"/>
                <w:szCs w:val="20"/>
              </w:rPr>
              <w:t>92</w:t>
            </w:r>
          </w:p>
        </w:tc>
        <w:tc>
          <w:tcPr>
            <w:tcW w:w="970" w:type="dxa"/>
            <w:noWrap/>
          </w:tcPr>
          <w:p w14:paraId="35E4EC44" w14:textId="1D215B00" w:rsidR="00C4454D" w:rsidRPr="00A735B4" w:rsidRDefault="00C4454D" w:rsidP="00C4454D">
            <w:pPr>
              <w:jc w:val="center"/>
              <w:rPr>
                <w:color w:val="0D0D0D" w:themeColor="text1" w:themeTint="F2"/>
                <w:sz w:val="20"/>
                <w:szCs w:val="20"/>
              </w:rPr>
            </w:pPr>
            <w:r w:rsidRPr="00A735B4">
              <w:rPr>
                <w:color w:val="0D0D0D" w:themeColor="text1" w:themeTint="F2"/>
                <w:sz w:val="20"/>
                <w:szCs w:val="20"/>
              </w:rPr>
              <w:t>92</w:t>
            </w:r>
          </w:p>
        </w:tc>
        <w:tc>
          <w:tcPr>
            <w:tcW w:w="1014" w:type="dxa"/>
          </w:tcPr>
          <w:p w14:paraId="2A48ABDF" w14:textId="23ACC015" w:rsidR="00C4454D" w:rsidRPr="00A735B4" w:rsidRDefault="00C4454D" w:rsidP="00C4454D">
            <w:pPr>
              <w:jc w:val="center"/>
              <w:rPr>
                <w:color w:val="0D0D0D" w:themeColor="text1" w:themeTint="F2"/>
                <w:sz w:val="20"/>
                <w:szCs w:val="20"/>
              </w:rPr>
            </w:pPr>
            <w:r w:rsidRPr="00A735B4">
              <w:rPr>
                <w:color w:val="0D0D0D" w:themeColor="text1" w:themeTint="F2"/>
                <w:sz w:val="20"/>
                <w:szCs w:val="20"/>
              </w:rPr>
              <w:t>90</w:t>
            </w:r>
          </w:p>
        </w:tc>
        <w:tc>
          <w:tcPr>
            <w:tcW w:w="993" w:type="dxa"/>
          </w:tcPr>
          <w:p w14:paraId="40F64235" w14:textId="35519822" w:rsidR="00C4454D" w:rsidRPr="00A735B4" w:rsidRDefault="00C4454D" w:rsidP="00C4454D">
            <w:pPr>
              <w:jc w:val="center"/>
              <w:rPr>
                <w:color w:val="0D0D0D" w:themeColor="text1" w:themeTint="F2"/>
                <w:sz w:val="20"/>
                <w:szCs w:val="20"/>
              </w:rPr>
            </w:pPr>
            <w:r w:rsidRPr="00A735B4">
              <w:rPr>
                <w:color w:val="0D0D0D" w:themeColor="text1" w:themeTint="F2"/>
                <w:sz w:val="20"/>
                <w:szCs w:val="20"/>
              </w:rPr>
              <w:t>100</w:t>
            </w:r>
          </w:p>
        </w:tc>
        <w:tc>
          <w:tcPr>
            <w:tcW w:w="992" w:type="dxa"/>
          </w:tcPr>
          <w:p w14:paraId="4256CDEF" w14:textId="1646142A" w:rsidR="00C4454D" w:rsidRPr="00A735B4" w:rsidRDefault="00C4454D" w:rsidP="00C4454D">
            <w:pPr>
              <w:jc w:val="center"/>
              <w:rPr>
                <w:color w:val="0D0D0D" w:themeColor="text1" w:themeTint="F2"/>
                <w:sz w:val="20"/>
                <w:szCs w:val="20"/>
              </w:rPr>
            </w:pPr>
            <w:r w:rsidRPr="00A735B4">
              <w:rPr>
                <w:color w:val="0D0D0D" w:themeColor="text1" w:themeTint="F2"/>
                <w:sz w:val="20"/>
                <w:szCs w:val="20"/>
              </w:rPr>
              <w:t>60</w:t>
            </w:r>
          </w:p>
        </w:tc>
        <w:tc>
          <w:tcPr>
            <w:tcW w:w="1559" w:type="dxa"/>
            <w:noWrap/>
          </w:tcPr>
          <w:p w14:paraId="17272C22" w14:textId="1980517F" w:rsidR="00C4454D" w:rsidRPr="00A735B4" w:rsidRDefault="00C4454D" w:rsidP="00C4454D">
            <w:pPr>
              <w:jc w:val="center"/>
              <w:rPr>
                <w:color w:val="0D0D0D" w:themeColor="text1" w:themeTint="F2"/>
                <w:sz w:val="20"/>
                <w:szCs w:val="20"/>
              </w:rPr>
            </w:pPr>
            <w:r w:rsidRPr="00A735B4">
              <w:rPr>
                <w:color w:val="0D0D0D" w:themeColor="text1" w:themeTint="F2"/>
                <w:sz w:val="20"/>
                <w:szCs w:val="20"/>
              </w:rPr>
              <w:t>87</w:t>
            </w:r>
          </w:p>
        </w:tc>
      </w:tr>
      <w:tr w:rsidR="00C4454D" w:rsidRPr="00A735B4" w14:paraId="09C66AA1" w14:textId="77777777" w:rsidTr="00C4454D">
        <w:trPr>
          <w:trHeight w:hRule="exact" w:val="284"/>
        </w:trPr>
        <w:tc>
          <w:tcPr>
            <w:tcW w:w="2093" w:type="dxa"/>
            <w:noWrap/>
            <w:hideMark/>
          </w:tcPr>
          <w:p w14:paraId="03CECD00" w14:textId="77777777" w:rsidR="00C4454D" w:rsidRPr="00A735B4" w:rsidRDefault="00C4454D" w:rsidP="00C4454D">
            <w:pPr>
              <w:rPr>
                <w:b/>
                <w:color w:val="0D0D0D" w:themeColor="text1" w:themeTint="F2"/>
                <w:sz w:val="20"/>
                <w:szCs w:val="20"/>
              </w:rPr>
            </w:pPr>
            <w:r w:rsidRPr="00A735B4">
              <w:rPr>
                <w:b/>
                <w:color w:val="0D0D0D" w:themeColor="text1" w:themeTint="F2"/>
                <w:sz w:val="20"/>
                <w:szCs w:val="20"/>
              </w:rPr>
              <w:t>Foreign bank draft</w:t>
            </w:r>
          </w:p>
        </w:tc>
        <w:tc>
          <w:tcPr>
            <w:tcW w:w="850" w:type="dxa"/>
            <w:noWrap/>
          </w:tcPr>
          <w:p w14:paraId="2F9B24D6" w14:textId="6AC33E7D" w:rsidR="00C4454D" w:rsidRPr="00A735B4" w:rsidRDefault="00C4454D" w:rsidP="00C4454D">
            <w:pPr>
              <w:jc w:val="center"/>
              <w:rPr>
                <w:color w:val="0D0D0D" w:themeColor="text1" w:themeTint="F2"/>
                <w:sz w:val="20"/>
                <w:szCs w:val="20"/>
              </w:rPr>
            </w:pPr>
            <w:r w:rsidRPr="00A735B4">
              <w:rPr>
                <w:color w:val="0D0D0D" w:themeColor="text1" w:themeTint="F2"/>
                <w:sz w:val="20"/>
                <w:szCs w:val="20"/>
              </w:rPr>
              <w:t>81</w:t>
            </w:r>
          </w:p>
        </w:tc>
        <w:tc>
          <w:tcPr>
            <w:tcW w:w="1134" w:type="dxa"/>
            <w:noWrap/>
          </w:tcPr>
          <w:p w14:paraId="6DE0E32E" w14:textId="5F413AF1" w:rsidR="00C4454D" w:rsidRPr="00A735B4" w:rsidRDefault="00C4454D" w:rsidP="00C4454D">
            <w:pPr>
              <w:jc w:val="center"/>
              <w:rPr>
                <w:color w:val="0D0D0D" w:themeColor="text1" w:themeTint="F2"/>
                <w:sz w:val="20"/>
                <w:szCs w:val="20"/>
              </w:rPr>
            </w:pPr>
            <w:r w:rsidRPr="00A735B4">
              <w:rPr>
                <w:color w:val="0D0D0D" w:themeColor="text1" w:themeTint="F2"/>
                <w:sz w:val="20"/>
                <w:szCs w:val="20"/>
              </w:rPr>
              <w:t>92</w:t>
            </w:r>
          </w:p>
        </w:tc>
        <w:tc>
          <w:tcPr>
            <w:tcW w:w="970" w:type="dxa"/>
            <w:noWrap/>
          </w:tcPr>
          <w:p w14:paraId="677859D0" w14:textId="647F2137" w:rsidR="00C4454D" w:rsidRPr="00A735B4" w:rsidRDefault="00C4454D" w:rsidP="00C4454D">
            <w:pPr>
              <w:jc w:val="center"/>
              <w:rPr>
                <w:color w:val="0D0D0D" w:themeColor="text1" w:themeTint="F2"/>
                <w:sz w:val="20"/>
                <w:szCs w:val="20"/>
              </w:rPr>
            </w:pPr>
            <w:r w:rsidRPr="00A735B4">
              <w:rPr>
                <w:color w:val="0D0D0D" w:themeColor="text1" w:themeTint="F2"/>
                <w:sz w:val="20"/>
                <w:szCs w:val="20"/>
              </w:rPr>
              <w:t>75</w:t>
            </w:r>
          </w:p>
        </w:tc>
        <w:tc>
          <w:tcPr>
            <w:tcW w:w="1014" w:type="dxa"/>
          </w:tcPr>
          <w:p w14:paraId="0F1A7561" w14:textId="7C2A29DF" w:rsidR="00C4454D" w:rsidRPr="00A735B4" w:rsidRDefault="00C4454D" w:rsidP="00C4454D">
            <w:pPr>
              <w:jc w:val="center"/>
              <w:rPr>
                <w:color w:val="0D0D0D" w:themeColor="text1" w:themeTint="F2"/>
                <w:sz w:val="20"/>
                <w:szCs w:val="20"/>
              </w:rPr>
            </w:pPr>
            <w:r w:rsidRPr="00A735B4">
              <w:rPr>
                <w:color w:val="0D0D0D" w:themeColor="text1" w:themeTint="F2"/>
                <w:sz w:val="20"/>
                <w:szCs w:val="20"/>
              </w:rPr>
              <w:t>40</w:t>
            </w:r>
          </w:p>
        </w:tc>
        <w:tc>
          <w:tcPr>
            <w:tcW w:w="993" w:type="dxa"/>
          </w:tcPr>
          <w:p w14:paraId="0515C489" w14:textId="7895499E" w:rsidR="00C4454D" w:rsidRPr="00A735B4" w:rsidRDefault="00C4454D" w:rsidP="00C4454D">
            <w:pPr>
              <w:jc w:val="center"/>
              <w:rPr>
                <w:color w:val="0D0D0D" w:themeColor="text1" w:themeTint="F2"/>
                <w:sz w:val="20"/>
                <w:szCs w:val="20"/>
              </w:rPr>
            </w:pPr>
            <w:r w:rsidRPr="00A735B4">
              <w:rPr>
                <w:color w:val="0D0D0D" w:themeColor="text1" w:themeTint="F2"/>
                <w:sz w:val="20"/>
                <w:szCs w:val="20"/>
              </w:rPr>
              <w:t>57</w:t>
            </w:r>
          </w:p>
        </w:tc>
        <w:tc>
          <w:tcPr>
            <w:tcW w:w="992" w:type="dxa"/>
          </w:tcPr>
          <w:p w14:paraId="2F217B63" w14:textId="12362B1C" w:rsidR="00C4454D" w:rsidRPr="00A735B4" w:rsidRDefault="00C4454D" w:rsidP="00C4454D">
            <w:pPr>
              <w:jc w:val="center"/>
              <w:rPr>
                <w:color w:val="0D0D0D" w:themeColor="text1" w:themeTint="F2"/>
                <w:sz w:val="20"/>
                <w:szCs w:val="20"/>
              </w:rPr>
            </w:pPr>
            <w:r w:rsidRPr="00A735B4">
              <w:rPr>
                <w:color w:val="0D0D0D" w:themeColor="text1" w:themeTint="F2"/>
                <w:sz w:val="20"/>
                <w:szCs w:val="20"/>
              </w:rPr>
              <w:t>60</w:t>
            </w:r>
          </w:p>
        </w:tc>
        <w:tc>
          <w:tcPr>
            <w:tcW w:w="1559" w:type="dxa"/>
            <w:noWrap/>
          </w:tcPr>
          <w:p w14:paraId="3287409C" w14:textId="43209CA0" w:rsidR="00C4454D" w:rsidRPr="00A735B4" w:rsidRDefault="00C4454D" w:rsidP="00C4454D">
            <w:pPr>
              <w:jc w:val="center"/>
              <w:rPr>
                <w:color w:val="0D0D0D" w:themeColor="text1" w:themeTint="F2"/>
                <w:sz w:val="20"/>
                <w:szCs w:val="20"/>
              </w:rPr>
            </w:pPr>
            <w:r w:rsidRPr="00A735B4">
              <w:rPr>
                <w:color w:val="0D0D0D" w:themeColor="text1" w:themeTint="F2"/>
                <w:sz w:val="20"/>
                <w:szCs w:val="20"/>
              </w:rPr>
              <w:t>68</w:t>
            </w:r>
          </w:p>
        </w:tc>
      </w:tr>
      <w:tr w:rsidR="00C4454D" w:rsidRPr="00A735B4" w14:paraId="72427CAF" w14:textId="77777777" w:rsidTr="00C4454D">
        <w:trPr>
          <w:trHeight w:hRule="exact" w:val="284"/>
        </w:trPr>
        <w:tc>
          <w:tcPr>
            <w:tcW w:w="2093" w:type="dxa"/>
            <w:noWrap/>
            <w:hideMark/>
          </w:tcPr>
          <w:p w14:paraId="1BF560AE" w14:textId="77777777" w:rsidR="00C4454D" w:rsidRPr="00A735B4" w:rsidRDefault="00C4454D" w:rsidP="00C4454D">
            <w:pPr>
              <w:rPr>
                <w:b/>
                <w:color w:val="0D0D0D" w:themeColor="text1" w:themeTint="F2"/>
                <w:sz w:val="20"/>
                <w:szCs w:val="20"/>
              </w:rPr>
            </w:pPr>
            <w:r w:rsidRPr="00A735B4">
              <w:rPr>
                <w:b/>
                <w:color w:val="0D0D0D" w:themeColor="text1" w:themeTint="F2"/>
                <w:sz w:val="20"/>
                <w:szCs w:val="20"/>
              </w:rPr>
              <w:t>RTGS</w:t>
            </w:r>
          </w:p>
        </w:tc>
        <w:tc>
          <w:tcPr>
            <w:tcW w:w="850" w:type="dxa"/>
            <w:noWrap/>
          </w:tcPr>
          <w:p w14:paraId="2F8AC3E9" w14:textId="55257C97" w:rsidR="00C4454D" w:rsidRPr="00A735B4" w:rsidRDefault="00C4454D" w:rsidP="00C4454D">
            <w:pPr>
              <w:jc w:val="center"/>
              <w:rPr>
                <w:color w:val="0D0D0D" w:themeColor="text1" w:themeTint="F2"/>
                <w:sz w:val="20"/>
                <w:szCs w:val="20"/>
              </w:rPr>
            </w:pPr>
            <w:r w:rsidRPr="00A735B4">
              <w:rPr>
                <w:color w:val="0D0D0D" w:themeColor="text1" w:themeTint="F2"/>
                <w:sz w:val="20"/>
                <w:szCs w:val="20"/>
              </w:rPr>
              <w:t>94</w:t>
            </w:r>
          </w:p>
        </w:tc>
        <w:tc>
          <w:tcPr>
            <w:tcW w:w="1134" w:type="dxa"/>
            <w:noWrap/>
          </w:tcPr>
          <w:p w14:paraId="798A8D2B" w14:textId="1A299E39" w:rsidR="00C4454D" w:rsidRPr="00A735B4" w:rsidRDefault="00C4454D" w:rsidP="00C4454D">
            <w:pPr>
              <w:jc w:val="center"/>
              <w:rPr>
                <w:color w:val="0D0D0D" w:themeColor="text1" w:themeTint="F2"/>
                <w:sz w:val="20"/>
                <w:szCs w:val="20"/>
              </w:rPr>
            </w:pPr>
            <w:r w:rsidRPr="00A735B4">
              <w:rPr>
                <w:color w:val="0D0D0D" w:themeColor="text1" w:themeTint="F2"/>
                <w:sz w:val="20"/>
                <w:szCs w:val="20"/>
              </w:rPr>
              <w:t>85</w:t>
            </w:r>
          </w:p>
        </w:tc>
        <w:tc>
          <w:tcPr>
            <w:tcW w:w="970" w:type="dxa"/>
            <w:noWrap/>
          </w:tcPr>
          <w:p w14:paraId="5356AE6B" w14:textId="49A7C3BA" w:rsidR="00C4454D" w:rsidRPr="00A735B4" w:rsidRDefault="00C4454D" w:rsidP="00C4454D">
            <w:pPr>
              <w:jc w:val="center"/>
              <w:rPr>
                <w:color w:val="0D0D0D" w:themeColor="text1" w:themeTint="F2"/>
                <w:sz w:val="20"/>
                <w:szCs w:val="20"/>
              </w:rPr>
            </w:pPr>
            <w:r w:rsidRPr="00A735B4">
              <w:rPr>
                <w:color w:val="0D0D0D" w:themeColor="text1" w:themeTint="F2"/>
                <w:sz w:val="20"/>
                <w:szCs w:val="20"/>
              </w:rPr>
              <w:t>83</w:t>
            </w:r>
          </w:p>
        </w:tc>
        <w:tc>
          <w:tcPr>
            <w:tcW w:w="1014" w:type="dxa"/>
          </w:tcPr>
          <w:p w14:paraId="3F6E2C31" w14:textId="440C9A4D" w:rsidR="00C4454D" w:rsidRPr="00A735B4" w:rsidRDefault="00C4454D" w:rsidP="00C4454D">
            <w:pPr>
              <w:jc w:val="center"/>
              <w:rPr>
                <w:color w:val="0D0D0D" w:themeColor="text1" w:themeTint="F2"/>
                <w:sz w:val="20"/>
                <w:szCs w:val="20"/>
              </w:rPr>
            </w:pPr>
            <w:r w:rsidRPr="00A735B4">
              <w:rPr>
                <w:color w:val="0D0D0D" w:themeColor="text1" w:themeTint="F2"/>
                <w:sz w:val="20"/>
                <w:szCs w:val="20"/>
              </w:rPr>
              <w:t>70</w:t>
            </w:r>
          </w:p>
        </w:tc>
        <w:tc>
          <w:tcPr>
            <w:tcW w:w="993" w:type="dxa"/>
          </w:tcPr>
          <w:p w14:paraId="00A22E2B" w14:textId="32884CBF" w:rsidR="00C4454D" w:rsidRPr="00A735B4" w:rsidRDefault="00C4454D" w:rsidP="00C4454D">
            <w:pPr>
              <w:jc w:val="center"/>
              <w:rPr>
                <w:color w:val="0D0D0D" w:themeColor="text1" w:themeTint="F2"/>
                <w:sz w:val="20"/>
                <w:szCs w:val="20"/>
              </w:rPr>
            </w:pPr>
            <w:r w:rsidRPr="00A735B4">
              <w:rPr>
                <w:color w:val="0D0D0D" w:themeColor="text1" w:themeTint="F2"/>
                <w:sz w:val="20"/>
                <w:szCs w:val="20"/>
              </w:rPr>
              <w:t>71</w:t>
            </w:r>
          </w:p>
        </w:tc>
        <w:tc>
          <w:tcPr>
            <w:tcW w:w="992" w:type="dxa"/>
          </w:tcPr>
          <w:p w14:paraId="68D1DD58" w14:textId="31F50DE2" w:rsidR="00C4454D" w:rsidRPr="00A735B4" w:rsidRDefault="00C4454D" w:rsidP="00C4454D">
            <w:pPr>
              <w:jc w:val="center"/>
              <w:rPr>
                <w:color w:val="0D0D0D" w:themeColor="text1" w:themeTint="F2"/>
                <w:sz w:val="20"/>
                <w:szCs w:val="20"/>
              </w:rPr>
            </w:pPr>
            <w:r w:rsidRPr="00A735B4">
              <w:rPr>
                <w:color w:val="0D0D0D" w:themeColor="text1" w:themeTint="F2"/>
                <w:sz w:val="20"/>
                <w:szCs w:val="20"/>
              </w:rPr>
              <w:t>60</w:t>
            </w:r>
          </w:p>
        </w:tc>
        <w:tc>
          <w:tcPr>
            <w:tcW w:w="1559" w:type="dxa"/>
            <w:noWrap/>
          </w:tcPr>
          <w:p w14:paraId="56255BE0" w14:textId="2122706B" w:rsidR="00C4454D" w:rsidRPr="00A735B4" w:rsidRDefault="00C4454D" w:rsidP="00C4454D">
            <w:pPr>
              <w:jc w:val="center"/>
              <w:rPr>
                <w:color w:val="0D0D0D" w:themeColor="text1" w:themeTint="F2"/>
                <w:sz w:val="20"/>
                <w:szCs w:val="20"/>
              </w:rPr>
            </w:pPr>
            <w:r w:rsidRPr="00A735B4">
              <w:rPr>
                <w:color w:val="0D0D0D" w:themeColor="text1" w:themeTint="F2"/>
                <w:sz w:val="20"/>
                <w:szCs w:val="20"/>
              </w:rPr>
              <w:t>77</w:t>
            </w:r>
          </w:p>
        </w:tc>
      </w:tr>
      <w:tr w:rsidR="00C4454D" w:rsidRPr="00A735B4" w14:paraId="0287C281" w14:textId="77777777" w:rsidTr="00C4454D">
        <w:trPr>
          <w:trHeight w:hRule="exact" w:val="284"/>
        </w:trPr>
        <w:tc>
          <w:tcPr>
            <w:tcW w:w="2093" w:type="dxa"/>
            <w:noWrap/>
            <w:hideMark/>
          </w:tcPr>
          <w:p w14:paraId="7BB63D62" w14:textId="413F8021" w:rsidR="00C4454D" w:rsidRPr="00A735B4" w:rsidRDefault="00C4454D" w:rsidP="00C4454D">
            <w:pPr>
              <w:rPr>
                <w:b/>
                <w:color w:val="0D0D0D" w:themeColor="text1" w:themeTint="F2"/>
                <w:sz w:val="20"/>
                <w:szCs w:val="20"/>
              </w:rPr>
            </w:pPr>
            <w:r w:rsidRPr="00A735B4">
              <w:rPr>
                <w:b/>
                <w:color w:val="0D0D0D" w:themeColor="text1" w:themeTint="F2"/>
                <w:sz w:val="20"/>
                <w:szCs w:val="20"/>
              </w:rPr>
              <w:t>Letters of credit</w:t>
            </w:r>
          </w:p>
        </w:tc>
        <w:tc>
          <w:tcPr>
            <w:tcW w:w="850" w:type="dxa"/>
            <w:noWrap/>
          </w:tcPr>
          <w:p w14:paraId="195DC387" w14:textId="3C2341DD" w:rsidR="00C4454D" w:rsidRPr="00A735B4" w:rsidRDefault="00C4454D" w:rsidP="00C4454D">
            <w:pPr>
              <w:jc w:val="center"/>
              <w:rPr>
                <w:color w:val="0D0D0D" w:themeColor="text1" w:themeTint="F2"/>
                <w:sz w:val="20"/>
                <w:szCs w:val="20"/>
              </w:rPr>
            </w:pPr>
            <w:r w:rsidRPr="00A735B4">
              <w:rPr>
                <w:color w:val="0D0D0D" w:themeColor="text1" w:themeTint="F2"/>
                <w:sz w:val="20"/>
                <w:szCs w:val="20"/>
              </w:rPr>
              <w:t>94</w:t>
            </w:r>
          </w:p>
        </w:tc>
        <w:tc>
          <w:tcPr>
            <w:tcW w:w="1134" w:type="dxa"/>
            <w:noWrap/>
          </w:tcPr>
          <w:p w14:paraId="3D22CD50" w14:textId="2FA286E4" w:rsidR="00C4454D" w:rsidRPr="00A735B4" w:rsidRDefault="00C4454D" w:rsidP="00C4454D">
            <w:pPr>
              <w:jc w:val="center"/>
              <w:rPr>
                <w:color w:val="0D0D0D" w:themeColor="text1" w:themeTint="F2"/>
                <w:sz w:val="20"/>
                <w:szCs w:val="20"/>
              </w:rPr>
            </w:pPr>
            <w:r w:rsidRPr="00A735B4">
              <w:rPr>
                <w:color w:val="0D0D0D" w:themeColor="text1" w:themeTint="F2"/>
                <w:sz w:val="20"/>
                <w:szCs w:val="20"/>
              </w:rPr>
              <w:t>77</w:t>
            </w:r>
          </w:p>
        </w:tc>
        <w:tc>
          <w:tcPr>
            <w:tcW w:w="970" w:type="dxa"/>
            <w:noWrap/>
          </w:tcPr>
          <w:p w14:paraId="7B2B4389" w14:textId="091D96DF" w:rsidR="00C4454D" w:rsidRPr="00A735B4" w:rsidRDefault="00C4454D" w:rsidP="00C4454D">
            <w:pPr>
              <w:jc w:val="center"/>
              <w:rPr>
                <w:color w:val="0D0D0D" w:themeColor="text1" w:themeTint="F2"/>
                <w:sz w:val="20"/>
                <w:szCs w:val="20"/>
              </w:rPr>
            </w:pPr>
            <w:r w:rsidRPr="00A735B4">
              <w:rPr>
                <w:color w:val="0D0D0D" w:themeColor="text1" w:themeTint="F2"/>
                <w:sz w:val="20"/>
                <w:szCs w:val="20"/>
              </w:rPr>
              <w:t>67</w:t>
            </w:r>
          </w:p>
        </w:tc>
        <w:tc>
          <w:tcPr>
            <w:tcW w:w="1014" w:type="dxa"/>
          </w:tcPr>
          <w:p w14:paraId="45CAD7EE" w14:textId="4F31ABC6" w:rsidR="00C4454D" w:rsidRPr="00A735B4" w:rsidRDefault="00C4454D" w:rsidP="00C4454D">
            <w:pPr>
              <w:jc w:val="center"/>
              <w:rPr>
                <w:color w:val="0D0D0D" w:themeColor="text1" w:themeTint="F2"/>
                <w:sz w:val="20"/>
                <w:szCs w:val="20"/>
              </w:rPr>
            </w:pPr>
            <w:r w:rsidRPr="00A735B4">
              <w:rPr>
                <w:color w:val="0D0D0D" w:themeColor="text1" w:themeTint="F2"/>
                <w:sz w:val="20"/>
                <w:szCs w:val="20"/>
              </w:rPr>
              <w:t>80</w:t>
            </w:r>
          </w:p>
        </w:tc>
        <w:tc>
          <w:tcPr>
            <w:tcW w:w="993" w:type="dxa"/>
          </w:tcPr>
          <w:p w14:paraId="11CA945D" w14:textId="3F979EB3" w:rsidR="00C4454D" w:rsidRPr="00A735B4" w:rsidRDefault="00C4454D" w:rsidP="00C4454D">
            <w:pPr>
              <w:jc w:val="center"/>
              <w:rPr>
                <w:color w:val="0D0D0D" w:themeColor="text1" w:themeTint="F2"/>
                <w:sz w:val="20"/>
                <w:szCs w:val="20"/>
              </w:rPr>
            </w:pPr>
            <w:r w:rsidRPr="00A735B4">
              <w:rPr>
                <w:color w:val="0D0D0D" w:themeColor="text1" w:themeTint="F2"/>
                <w:sz w:val="20"/>
                <w:szCs w:val="20"/>
              </w:rPr>
              <w:t>100</w:t>
            </w:r>
          </w:p>
        </w:tc>
        <w:tc>
          <w:tcPr>
            <w:tcW w:w="992" w:type="dxa"/>
          </w:tcPr>
          <w:p w14:paraId="23AA7187" w14:textId="36B015B7" w:rsidR="00C4454D" w:rsidRPr="00A735B4" w:rsidRDefault="00C4454D" w:rsidP="00C4454D">
            <w:pPr>
              <w:jc w:val="center"/>
              <w:rPr>
                <w:color w:val="0D0D0D" w:themeColor="text1" w:themeTint="F2"/>
                <w:sz w:val="20"/>
                <w:szCs w:val="20"/>
              </w:rPr>
            </w:pPr>
            <w:r w:rsidRPr="00A735B4">
              <w:rPr>
                <w:color w:val="0D0D0D" w:themeColor="text1" w:themeTint="F2"/>
                <w:sz w:val="20"/>
                <w:szCs w:val="20"/>
              </w:rPr>
              <w:t>70</w:t>
            </w:r>
          </w:p>
        </w:tc>
        <w:tc>
          <w:tcPr>
            <w:tcW w:w="1559" w:type="dxa"/>
            <w:noWrap/>
          </w:tcPr>
          <w:p w14:paraId="5CD2154B" w14:textId="1C3DDB69" w:rsidR="00C4454D" w:rsidRPr="00A735B4" w:rsidRDefault="00C4454D" w:rsidP="00C4454D">
            <w:pPr>
              <w:jc w:val="center"/>
              <w:rPr>
                <w:color w:val="0D0D0D" w:themeColor="text1" w:themeTint="F2"/>
                <w:sz w:val="20"/>
                <w:szCs w:val="20"/>
              </w:rPr>
            </w:pPr>
            <w:r w:rsidRPr="00A735B4">
              <w:rPr>
                <w:color w:val="0D0D0D" w:themeColor="text1" w:themeTint="F2"/>
                <w:sz w:val="20"/>
                <w:szCs w:val="20"/>
              </w:rPr>
              <w:t>81</w:t>
            </w:r>
          </w:p>
        </w:tc>
      </w:tr>
      <w:tr w:rsidR="00C4454D" w:rsidRPr="00A735B4" w14:paraId="77FD9449" w14:textId="77777777" w:rsidTr="00C4454D">
        <w:trPr>
          <w:trHeight w:hRule="exact" w:val="284"/>
        </w:trPr>
        <w:tc>
          <w:tcPr>
            <w:tcW w:w="2093" w:type="dxa"/>
            <w:noWrap/>
            <w:hideMark/>
          </w:tcPr>
          <w:p w14:paraId="2D3D83B0" w14:textId="77777777" w:rsidR="00C4454D" w:rsidRPr="00A735B4" w:rsidRDefault="00C4454D" w:rsidP="00C4454D">
            <w:pPr>
              <w:rPr>
                <w:b/>
                <w:color w:val="0D0D0D" w:themeColor="text1" w:themeTint="F2"/>
                <w:sz w:val="20"/>
                <w:szCs w:val="20"/>
              </w:rPr>
            </w:pPr>
            <w:r w:rsidRPr="00A735B4">
              <w:rPr>
                <w:b/>
                <w:color w:val="0D0D0D" w:themeColor="text1" w:themeTint="F2"/>
                <w:sz w:val="20"/>
                <w:szCs w:val="20"/>
              </w:rPr>
              <w:t>Foreign exchange</w:t>
            </w:r>
          </w:p>
        </w:tc>
        <w:tc>
          <w:tcPr>
            <w:tcW w:w="850" w:type="dxa"/>
            <w:noWrap/>
          </w:tcPr>
          <w:p w14:paraId="2BF1D2F4" w14:textId="0C16FB07" w:rsidR="00C4454D" w:rsidRPr="00A735B4" w:rsidRDefault="00C4454D" w:rsidP="00C4454D">
            <w:pPr>
              <w:jc w:val="center"/>
              <w:rPr>
                <w:color w:val="0D0D0D" w:themeColor="text1" w:themeTint="F2"/>
                <w:sz w:val="20"/>
                <w:szCs w:val="20"/>
              </w:rPr>
            </w:pPr>
            <w:r w:rsidRPr="00A735B4">
              <w:rPr>
                <w:color w:val="0D0D0D" w:themeColor="text1" w:themeTint="F2"/>
                <w:sz w:val="20"/>
                <w:szCs w:val="20"/>
              </w:rPr>
              <w:t>88</w:t>
            </w:r>
          </w:p>
        </w:tc>
        <w:tc>
          <w:tcPr>
            <w:tcW w:w="1134" w:type="dxa"/>
            <w:noWrap/>
          </w:tcPr>
          <w:p w14:paraId="7736A737" w14:textId="68A8F1A4" w:rsidR="00C4454D" w:rsidRPr="00A735B4" w:rsidRDefault="00C4454D" w:rsidP="00C4454D">
            <w:pPr>
              <w:jc w:val="center"/>
              <w:rPr>
                <w:color w:val="0D0D0D" w:themeColor="text1" w:themeTint="F2"/>
                <w:sz w:val="20"/>
                <w:szCs w:val="20"/>
              </w:rPr>
            </w:pPr>
            <w:r w:rsidRPr="00A735B4">
              <w:rPr>
                <w:color w:val="0D0D0D" w:themeColor="text1" w:themeTint="F2"/>
                <w:sz w:val="20"/>
                <w:szCs w:val="20"/>
              </w:rPr>
              <w:t>92</w:t>
            </w:r>
          </w:p>
        </w:tc>
        <w:tc>
          <w:tcPr>
            <w:tcW w:w="970" w:type="dxa"/>
            <w:noWrap/>
          </w:tcPr>
          <w:p w14:paraId="06B9DB40" w14:textId="344AFFF6" w:rsidR="00C4454D" w:rsidRPr="00A735B4" w:rsidRDefault="00C4454D" w:rsidP="00C4454D">
            <w:pPr>
              <w:jc w:val="center"/>
              <w:rPr>
                <w:color w:val="0D0D0D" w:themeColor="text1" w:themeTint="F2"/>
                <w:sz w:val="20"/>
                <w:szCs w:val="20"/>
              </w:rPr>
            </w:pPr>
            <w:r w:rsidRPr="00A735B4">
              <w:rPr>
                <w:color w:val="0D0D0D" w:themeColor="text1" w:themeTint="F2"/>
                <w:sz w:val="20"/>
                <w:szCs w:val="20"/>
              </w:rPr>
              <w:t>83</w:t>
            </w:r>
          </w:p>
        </w:tc>
        <w:tc>
          <w:tcPr>
            <w:tcW w:w="1014" w:type="dxa"/>
          </w:tcPr>
          <w:p w14:paraId="231CD9E1" w14:textId="3C4A62F9" w:rsidR="00C4454D" w:rsidRPr="00A735B4" w:rsidRDefault="00C4454D" w:rsidP="00C4454D">
            <w:pPr>
              <w:jc w:val="center"/>
              <w:rPr>
                <w:color w:val="0D0D0D" w:themeColor="text1" w:themeTint="F2"/>
                <w:sz w:val="20"/>
                <w:szCs w:val="20"/>
              </w:rPr>
            </w:pPr>
            <w:r w:rsidRPr="00A735B4">
              <w:rPr>
                <w:color w:val="0D0D0D" w:themeColor="text1" w:themeTint="F2"/>
                <w:sz w:val="20"/>
                <w:szCs w:val="20"/>
              </w:rPr>
              <w:t>100</w:t>
            </w:r>
          </w:p>
        </w:tc>
        <w:tc>
          <w:tcPr>
            <w:tcW w:w="993" w:type="dxa"/>
          </w:tcPr>
          <w:p w14:paraId="24DF45FC" w14:textId="0CC3C5CC" w:rsidR="00C4454D" w:rsidRPr="00A735B4" w:rsidRDefault="00C4454D" w:rsidP="00C4454D">
            <w:pPr>
              <w:jc w:val="center"/>
              <w:rPr>
                <w:color w:val="0D0D0D" w:themeColor="text1" w:themeTint="F2"/>
                <w:sz w:val="20"/>
                <w:szCs w:val="20"/>
              </w:rPr>
            </w:pPr>
            <w:r w:rsidRPr="00A735B4">
              <w:rPr>
                <w:color w:val="0D0D0D" w:themeColor="text1" w:themeTint="F2"/>
                <w:sz w:val="20"/>
                <w:szCs w:val="20"/>
              </w:rPr>
              <w:t>100</w:t>
            </w:r>
          </w:p>
        </w:tc>
        <w:tc>
          <w:tcPr>
            <w:tcW w:w="992" w:type="dxa"/>
          </w:tcPr>
          <w:p w14:paraId="248CA5B2" w14:textId="4D87E6B2" w:rsidR="00C4454D" w:rsidRPr="00A735B4" w:rsidRDefault="00C4454D" w:rsidP="00C4454D">
            <w:pPr>
              <w:jc w:val="center"/>
              <w:rPr>
                <w:color w:val="0D0D0D" w:themeColor="text1" w:themeTint="F2"/>
                <w:sz w:val="20"/>
                <w:szCs w:val="20"/>
              </w:rPr>
            </w:pPr>
            <w:r w:rsidRPr="00A735B4">
              <w:rPr>
                <w:color w:val="0D0D0D" w:themeColor="text1" w:themeTint="F2"/>
                <w:sz w:val="20"/>
                <w:szCs w:val="20"/>
              </w:rPr>
              <w:t>60</w:t>
            </w:r>
          </w:p>
        </w:tc>
        <w:tc>
          <w:tcPr>
            <w:tcW w:w="1559" w:type="dxa"/>
            <w:noWrap/>
          </w:tcPr>
          <w:p w14:paraId="42BD6CA3" w14:textId="71AA0E5B" w:rsidR="00C4454D" w:rsidRPr="00A735B4" w:rsidRDefault="00C4454D" w:rsidP="00C4454D">
            <w:pPr>
              <w:jc w:val="center"/>
              <w:rPr>
                <w:color w:val="0D0D0D" w:themeColor="text1" w:themeTint="F2"/>
                <w:sz w:val="20"/>
                <w:szCs w:val="20"/>
              </w:rPr>
            </w:pPr>
            <w:r w:rsidRPr="00A735B4">
              <w:rPr>
                <w:color w:val="0D0D0D" w:themeColor="text1" w:themeTint="F2"/>
                <w:sz w:val="20"/>
                <w:szCs w:val="20"/>
              </w:rPr>
              <w:t>87</w:t>
            </w:r>
          </w:p>
        </w:tc>
      </w:tr>
      <w:tr w:rsidR="00C4454D" w:rsidRPr="00A735B4" w14:paraId="0C4B57DC" w14:textId="77777777" w:rsidTr="00C4454D">
        <w:trPr>
          <w:trHeight w:hRule="exact" w:val="284"/>
        </w:trPr>
        <w:tc>
          <w:tcPr>
            <w:tcW w:w="2093" w:type="dxa"/>
            <w:noWrap/>
            <w:hideMark/>
          </w:tcPr>
          <w:p w14:paraId="562EA403" w14:textId="77777777" w:rsidR="00C4454D" w:rsidRPr="00A735B4" w:rsidRDefault="00C4454D" w:rsidP="00C4454D">
            <w:pPr>
              <w:rPr>
                <w:b/>
                <w:color w:val="0D0D0D" w:themeColor="text1" w:themeTint="F2"/>
                <w:sz w:val="20"/>
                <w:szCs w:val="20"/>
              </w:rPr>
            </w:pPr>
            <w:r w:rsidRPr="00A735B4">
              <w:rPr>
                <w:b/>
                <w:color w:val="0D0D0D" w:themeColor="text1" w:themeTint="F2"/>
                <w:sz w:val="20"/>
                <w:szCs w:val="20"/>
              </w:rPr>
              <w:t>Money transfer services</w:t>
            </w:r>
          </w:p>
        </w:tc>
        <w:tc>
          <w:tcPr>
            <w:tcW w:w="850" w:type="dxa"/>
            <w:noWrap/>
          </w:tcPr>
          <w:p w14:paraId="5656EBB8" w14:textId="23F5B524" w:rsidR="00C4454D" w:rsidRPr="00A735B4" w:rsidRDefault="00C4454D" w:rsidP="00C4454D">
            <w:pPr>
              <w:jc w:val="center"/>
              <w:rPr>
                <w:color w:val="0D0D0D" w:themeColor="text1" w:themeTint="F2"/>
                <w:sz w:val="20"/>
                <w:szCs w:val="20"/>
              </w:rPr>
            </w:pPr>
            <w:r w:rsidRPr="00A735B4">
              <w:rPr>
                <w:color w:val="0D0D0D" w:themeColor="text1" w:themeTint="F2"/>
                <w:sz w:val="20"/>
                <w:szCs w:val="20"/>
              </w:rPr>
              <w:t>94</w:t>
            </w:r>
          </w:p>
        </w:tc>
        <w:tc>
          <w:tcPr>
            <w:tcW w:w="1134" w:type="dxa"/>
            <w:noWrap/>
          </w:tcPr>
          <w:p w14:paraId="5F9DC982" w14:textId="2432F820" w:rsidR="00C4454D" w:rsidRPr="00A735B4" w:rsidRDefault="00C4454D" w:rsidP="00C4454D">
            <w:pPr>
              <w:jc w:val="center"/>
              <w:rPr>
                <w:color w:val="0D0D0D" w:themeColor="text1" w:themeTint="F2"/>
                <w:sz w:val="20"/>
                <w:szCs w:val="20"/>
              </w:rPr>
            </w:pPr>
            <w:r w:rsidRPr="00A735B4">
              <w:rPr>
                <w:color w:val="0D0D0D" w:themeColor="text1" w:themeTint="F2"/>
                <w:sz w:val="20"/>
                <w:szCs w:val="20"/>
              </w:rPr>
              <w:t>92</w:t>
            </w:r>
          </w:p>
        </w:tc>
        <w:tc>
          <w:tcPr>
            <w:tcW w:w="970" w:type="dxa"/>
            <w:noWrap/>
          </w:tcPr>
          <w:p w14:paraId="43486DFF" w14:textId="5265B97E" w:rsidR="00C4454D" w:rsidRPr="00A735B4" w:rsidRDefault="00C4454D" w:rsidP="00C4454D">
            <w:pPr>
              <w:jc w:val="center"/>
              <w:rPr>
                <w:color w:val="0D0D0D" w:themeColor="text1" w:themeTint="F2"/>
                <w:sz w:val="20"/>
                <w:szCs w:val="20"/>
              </w:rPr>
            </w:pPr>
            <w:r w:rsidRPr="00A735B4">
              <w:rPr>
                <w:color w:val="0D0D0D" w:themeColor="text1" w:themeTint="F2"/>
                <w:sz w:val="20"/>
                <w:szCs w:val="20"/>
              </w:rPr>
              <w:t>92</w:t>
            </w:r>
          </w:p>
        </w:tc>
        <w:tc>
          <w:tcPr>
            <w:tcW w:w="1014" w:type="dxa"/>
          </w:tcPr>
          <w:p w14:paraId="4CB0AD72" w14:textId="2389F6C2" w:rsidR="00C4454D" w:rsidRPr="00A735B4" w:rsidRDefault="00C4454D" w:rsidP="00C4454D">
            <w:pPr>
              <w:jc w:val="center"/>
              <w:rPr>
                <w:color w:val="0D0D0D" w:themeColor="text1" w:themeTint="F2"/>
                <w:sz w:val="20"/>
                <w:szCs w:val="20"/>
              </w:rPr>
            </w:pPr>
            <w:r w:rsidRPr="00A735B4">
              <w:rPr>
                <w:color w:val="0D0D0D" w:themeColor="text1" w:themeTint="F2"/>
                <w:sz w:val="20"/>
                <w:szCs w:val="20"/>
              </w:rPr>
              <w:t>90</w:t>
            </w:r>
          </w:p>
        </w:tc>
        <w:tc>
          <w:tcPr>
            <w:tcW w:w="993" w:type="dxa"/>
          </w:tcPr>
          <w:p w14:paraId="30FAD824" w14:textId="7ECC3E19" w:rsidR="00C4454D" w:rsidRPr="00A735B4" w:rsidRDefault="00C4454D" w:rsidP="00C4454D">
            <w:pPr>
              <w:jc w:val="center"/>
              <w:rPr>
                <w:color w:val="0D0D0D" w:themeColor="text1" w:themeTint="F2"/>
                <w:sz w:val="20"/>
                <w:szCs w:val="20"/>
              </w:rPr>
            </w:pPr>
            <w:r w:rsidRPr="00A735B4">
              <w:rPr>
                <w:color w:val="0D0D0D" w:themeColor="text1" w:themeTint="F2"/>
                <w:sz w:val="20"/>
                <w:szCs w:val="20"/>
              </w:rPr>
              <w:t>86</w:t>
            </w:r>
          </w:p>
        </w:tc>
        <w:tc>
          <w:tcPr>
            <w:tcW w:w="992" w:type="dxa"/>
          </w:tcPr>
          <w:p w14:paraId="22429BDF" w14:textId="7C774C2D" w:rsidR="00C4454D" w:rsidRPr="00A735B4" w:rsidRDefault="00C4454D" w:rsidP="00C4454D">
            <w:pPr>
              <w:jc w:val="center"/>
              <w:rPr>
                <w:color w:val="0D0D0D" w:themeColor="text1" w:themeTint="F2"/>
                <w:sz w:val="20"/>
                <w:szCs w:val="20"/>
              </w:rPr>
            </w:pPr>
            <w:r w:rsidRPr="00A735B4">
              <w:rPr>
                <w:color w:val="0D0D0D" w:themeColor="text1" w:themeTint="F2"/>
                <w:sz w:val="20"/>
                <w:szCs w:val="20"/>
              </w:rPr>
              <w:t>60</w:t>
            </w:r>
          </w:p>
        </w:tc>
        <w:tc>
          <w:tcPr>
            <w:tcW w:w="1559" w:type="dxa"/>
            <w:noWrap/>
          </w:tcPr>
          <w:p w14:paraId="706275BA" w14:textId="07B2475F" w:rsidR="00C4454D" w:rsidRPr="00A735B4" w:rsidRDefault="00C4454D" w:rsidP="00C4454D">
            <w:pPr>
              <w:jc w:val="center"/>
              <w:rPr>
                <w:color w:val="0D0D0D" w:themeColor="text1" w:themeTint="F2"/>
                <w:sz w:val="20"/>
                <w:szCs w:val="20"/>
              </w:rPr>
            </w:pPr>
            <w:r w:rsidRPr="00A735B4">
              <w:rPr>
                <w:color w:val="0D0D0D" w:themeColor="text1" w:themeTint="F2"/>
                <w:sz w:val="20"/>
                <w:szCs w:val="20"/>
              </w:rPr>
              <w:t>86</w:t>
            </w:r>
          </w:p>
        </w:tc>
      </w:tr>
      <w:tr w:rsidR="00C4454D" w:rsidRPr="00A735B4" w14:paraId="58D1ED26" w14:textId="77777777" w:rsidTr="00C4454D">
        <w:trPr>
          <w:trHeight w:hRule="exact" w:val="284"/>
        </w:trPr>
        <w:tc>
          <w:tcPr>
            <w:tcW w:w="2093" w:type="dxa"/>
            <w:noWrap/>
            <w:hideMark/>
          </w:tcPr>
          <w:p w14:paraId="41764CFE" w14:textId="77777777" w:rsidR="00C4454D" w:rsidRPr="00A735B4" w:rsidRDefault="00C4454D" w:rsidP="00C4454D">
            <w:pPr>
              <w:rPr>
                <w:b/>
                <w:color w:val="0D0D0D" w:themeColor="text1" w:themeTint="F2"/>
                <w:sz w:val="20"/>
                <w:szCs w:val="20"/>
              </w:rPr>
            </w:pPr>
            <w:r w:rsidRPr="00A735B4">
              <w:rPr>
                <w:b/>
                <w:color w:val="0D0D0D" w:themeColor="text1" w:themeTint="F2"/>
                <w:sz w:val="20"/>
                <w:szCs w:val="20"/>
              </w:rPr>
              <w:t>Performance bonds</w:t>
            </w:r>
          </w:p>
        </w:tc>
        <w:tc>
          <w:tcPr>
            <w:tcW w:w="850" w:type="dxa"/>
            <w:noWrap/>
          </w:tcPr>
          <w:p w14:paraId="72747D58" w14:textId="5D68C613" w:rsidR="00C4454D" w:rsidRPr="00A735B4" w:rsidRDefault="00C4454D" w:rsidP="00C4454D">
            <w:pPr>
              <w:jc w:val="center"/>
              <w:rPr>
                <w:color w:val="0D0D0D" w:themeColor="text1" w:themeTint="F2"/>
                <w:sz w:val="20"/>
                <w:szCs w:val="20"/>
              </w:rPr>
            </w:pPr>
            <w:r w:rsidRPr="00A735B4">
              <w:rPr>
                <w:color w:val="0D0D0D" w:themeColor="text1" w:themeTint="F2"/>
                <w:sz w:val="20"/>
                <w:szCs w:val="20"/>
              </w:rPr>
              <w:t>69</w:t>
            </w:r>
          </w:p>
        </w:tc>
        <w:tc>
          <w:tcPr>
            <w:tcW w:w="1134" w:type="dxa"/>
            <w:noWrap/>
          </w:tcPr>
          <w:p w14:paraId="79F98756" w14:textId="1783BA72" w:rsidR="00C4454D" w:rsidRPr="00A735B4" w:rsidRDefault="00C4454D" w:rsidP="00C4454D">
            <w:pPr>
              <w:jc w:val="center"/>
              <w:rPr>
                <w:color w:val="0D0D0D" w:themeColor="text1" w:themeTint="F2"/>
                <w:sz w:val="20"/>
                <w:szCs w:val="20"/>
              </w:rPr>
            </w:pPr>
            <w:r w:rsidRPr="00A735B4">
              <w:rPr>
                <w:color w:val="0D0D0D" w:themeColor="text1" w:themeTint="F2"/>
                <w:sz w:val="20"/>
                <w:szCs w:val="20"/>
              </w:rPr>
              <w:t>69</w:t>
            </w:r>
          </w:p>
        </w:tc>
        <w:tc>
          <w:tcPr>
            <w:tcW w:w="970" w:type="dxa"/>
            <w:noWrap/>
          </w:tcPr>
          <w:p w14:paraId="74C9DD82" w14:textId="33945E56" w:rsidR="00C4454D" w:rsidRPr="00A735B4" w:rsidRDefault="00C4454D" w:rsidP="00C4454D">
            <w:pPr>
              <w:jc w:val="center"/>
              <w:rPr>
                <w:color w:val="0D0D0D" w:themeColor="text1" w:themeTint="F2"/>
                <w:sz w:val="20"/>
                <w:szCs w:val="20"/>
              </w:rPr>
            </w:pPr>
            <w:r w:rsidRPr="00A735B4">
              <w:rPr>
                <w:color w:val="0D0D0D" w:themeColor="text1" w:themeTint="F2"/>
                <w:sz w:val="20"/>
                <w:szCs w:val="20"/>
              </w:rPr>
              <w:t>58</w:t>
            </w:r>
          </w:p>
        </w:tc>
        <w:tc>
          <w:tcPr>
            <w:tcW w:w="1014" w:type="dxa"/>
          </w:tcPr>
          <w:p w14:paraId="7F43BA63" w14:textId="5DF3E88D" w:rsidR="00C4454D" w:rsidRPr="00A735B4" w:rsidRDefault="00C4454D" w:rsidP="00C4454D">
            <w:pPr>
              <w:jc w:val="center"/>
              <w:rPr>
                <w:color w:val="0D0D0D" w:themeColor="text1" w:themeTint="F2"/>
                <w:sz w:val="20"/>
                <w:szCs w:val="20"/>
              </w:rPr>
            </w:pPr>
            <w:r w:rsidRPr="00A735B4">
              <w:rPr>
                <w:color w:val="0D0D0D" w:themeColor="text1" w:themeTint="F2"/>
                <w:sz w:val="20"/>
                <w:szCs w:val="20"/>
              </w:rPr>
              <w:t>50</w:t>
            </w:r>
          </w:p>
        </w:tc>
        <w:tc>
          <w:tcPr>
            <w:tcW w:w="993" w:type="dxa"/>
          </w:tcPr>
          <w:p w14:paraId="64525309" w14:textId="712D44DB" w:rsidR="00C4454D" w:rsidRPr="00A735B4" w:rsidRDefault="00C4454D" w:rsidP="00C4454D">
            <w:pPr>
              <w:jc w:val="center"/>
              <w:rPr>
                <w:color w:val="0D0D0D" w:themeColor="text1" w:themeTint="F2"/>
                <w:sz w:val="20"/>
                <w:szCs w:val="20"/>
              </w:rPr>
            </w:pPr>
            <w:r w:rsidRPr="00A735B4">
              <w:rPr>
                <w:color w:val="0D0D0D" w:themeColor="text1" w:themeTint="F2"/>
                <w:sz w:val="20"/>
                <w:szCs w:val="20"/>
              </w:rPr>
              <w:t>86</w:t>
            </w:r>
          </w:p>
        </w:tc>
        <w:tc>
          <w:tcPr>
            <w:tcW w:w="992" w:type="dxa"/>
          </w:tcPr>
          <w:p w14:paraId="45486FD6" w14:textId="70B78B61" w:rsidR="00C4454D" w:rsidRPr="00A735B4" w:rsidRDefault="00C4454D" w:rsidP="00C4454D">
            <w:pPr>
              <w:jc w:val="center"/>
              <w:rPr>
                <w:color w:val="0D0D0D" w:themeColor="text1" w:themeTint="F2"/>
                <w:sz w:val="20"/>
                <w:szCs w:val="20"/>
              </w:rPr>
            </w:pPr>
            <w:r w:rsidRPr="00A735B4">
              <w:rPr>
                <w:color w:val="0D0D0D" w:themeColor="text1" w:themeTint="F2"/>
                <w:sz w:val="20"/>
                <w:szCs w:val="20"/>
              </w:rPr>
              <w:t>50</w:t>
            </w:r>
          </w:p>
        </w:tc>
        <w:tc>
          <w:tcPr>
            <w:tcW w:w="1559" w:type="dxa"/>
            <w:noWrap/>
          </w:tcPr>
          <w:p w14:paraId="06F75058" w14:textId="4C6AF1F6" w:rsidR="00C4454D" w:rsidRPr="00A735B4" w:rsidRDefault="00C4454D" w:rsidP="00C4454D">
            <w:pPr>
              <w:jc w:val="center"/>
              <w:rPr>
                <w:color w:val="0D0D0D" w:themeColor="text1" w:themeTint="F2"/>
                <w:sz w:val="20"/>
                <w:szCs w:val="20"/>
              </w:rPr>
            </w:pPr>
            <w:r w:rsidRPr="00A735B4">
              <w:rPr>
                <w:color w:val="0D0D0D" w:themeColor="text1" w:themeTint="F2"/>
                <w:sz w:val="20"/>
                <w:szCs w:val="20"/>
              </w:rPr>
              <w:t>64</w:t>
            </w:r>
          </w:p>
        </w:tc>
      </w:tr>
      <w:tr w:rsidR="00C4454D" w:rsidRPr="00A735B4" w14:paraId="52F8F9A7" w14:textId="77777777" w:rsidTr="00C4454D">
        <w:trPr>
          <w:trHeight w:hRule="exact" w:val="284"/>
        </w:trPr>
        <w:tc>
          <w:tcPr>
            <w:tcW w:w="2093" w:type="dxa"/>
            <w:noWrap/>
            <w:hideMark/>
          </w:tcPr>
          <w:p w14:paraId="0883B8F4" w14:textId="77777777" w:rsidR="00C4454D" w:rsidRPr="00A735B4" w:rsidRDefault="00C4454D" w:rsidP="00C4454D">
            <w:pPr>
              <w:rPr>
                <w:b/>
                <w:color w:val="0D0D0D" w:themeColor="text1" w:themeTint="F2"/>
                <w:sz w:val="20"/>
                <w:szCs w:val="20"/>
              </w:rPr>
            </w:pPr>
            <w:r w:rsidRPr="00A735B4">
              <w:rPr>
                <w:b/>
                <w:color w:val="0D0D0D" w:themeColor="text1" w:themeTint="F2"/>
                <w:sz w:val="20"/>
                <w:szCs w:val="20"/>
              </w:rPr>
              <w:t>Electronic funds transfer</w:t>
            </w:r>
          </w:p>
        </w:tc>
        <w:tc>
          <w:tcPr>
            <w:tcW w:w="850" w:type="dxa"/>
            <w:noWrap/>
          </w:tcPr>
          <w:p w14:paraId="405B1C91" w14:textId="3DD14F99" w:rsidR="00C4454D" w:rsidRPr="00A735B4" w:rsidRDefault="00C4454D" w:rsidP="00C4454D">
            <w:pPr>
              <w:jc w:val="center"/>
              <w:rPr>
                <w:color w:val="0D0D0D" w:themeColor="text1" w:themeTint="F2"/>
                <w:sz w:val="20"/>
                <w:szCs w:val="20"/>
              </w:rPr>
            </w:pPr>
            <w:r w:rsidRPr="00A735B4">
              <w:rPr>
                <w:color w:val="0D0D0D" w:themeColor="text1" w:themeTint="F2"/>
                <w:sz w:val="20"/>
                <w:szCs w:val="20"/>
              </w:rPr>
              <w:t>94</w:t>
            </w:r>
          </w:p>
        </w:tc>
        <w:tc>
          <w:tcPr>
            <w:tcW w:w="1134" w:type="dxa"/>
            <w:noWrap/>
          </w:tcPr>
          <w:p w14:paraId="0263BBCC" w14:textId="21E76345" w:rsidR="00C4454D" w:rsidRPr="00A735B4" w:rsidRDefault="00C4454D" w:rsidP="00C4454D">
            <w:pPr>
              <w:jc w:val="center"/>
              <w:rPr>
                <w:color w:val="0D0D0D" w:themeColor="text1" w:themeTint="F2"/>
                <w:sz w:val="20"/>
                <w:szCs w:val="20"/>
              </w:rPr>
            </w:pPr>
            <w:r w:rsidRPr="00A735B4">
              <w:rPr>
                <w:color w:val="0D0D0D" w:themeColor="text1" w:themeTint="F2"/>
                <w:sz w:val="20"/>
                <w:szCs w:val="20"/>
              </w:rPr>
              <w:t>77</w:t>
            </w:r>
          </w:p>
        </w:tc>
        <w:tc>
          <w:tcPr>
            <w:tcW w:w="970" w:type="dxa"/>
            <w:noWrap/>
          </w:tcPr>
          <w:p w14:paraId="472841C6" w14:textId="44D81ADE" w:rsidR="00C4454D" w:rsidRPr="00A735B4" w:rsidRDefault="00C4454D" w:rsidP="00C4454D">
            <w:pPr>
              <w:jc w:val="center"/>
              <w:rPr>
                <w:color w:val="0D0D0D" w:themeColor="text1" w:themeTint="F2"/>
                <w:sz w:val="20"/>
                <w:szCs w:val="20"/>
              </w:rPr>
            </w:pPr>
            <w:r w:rsidRPr="00A735B4">
              <w:rPr>
                <w:color w:val="0D0D0D" w:themeColor="text1" w:themeTint="F2"/>
                <w:sz w:val="20"/>
                <w:szCs w:val="20"/>
              </w:rPr>
              <w:t>92</w:t>
            </w:r>
          </w:p>
        </w:tc>
        <w:tc>
          <w:tcPr>
            <w:tcW w:w="1014" w:type="dxa"/>
          </w:tcPr>
          <w:p w14:paraId="6E701967" w14:textId="318B9775" w:rsidR="00C4454D" w:rsidRPr="00A735B4" w:rsidRDefault="00C4454D" w:rsidP="00C4454D">
            <w:pPr>
              <w:jc w:val="center"/>
              <w:rPr>
                <w:color w:val="0D0D0D" w:themeColor="text1" w:themeTint="F2"/>
                <w:sz w:val="20"/>
                <w:szCs w:val="20"/>
              </w:rPr>
            </w:pPr>
            <w:r w:rsidRPr="00A735B4">
              <w:rPr>
                <w:color w:val="0D0D0D" w:themeColor="text1" w:themeTint="F2"/>
                <w:sz w:val="20"/>
                <w:szCs w:val="20"/>
              </w:rPr>
              <w:t>50</w:t>
            </w:r>
          </w:p>
        </w:tc>
        <w:tc>
          <w:tcPr>
            <w:tcW w:w="993" w:type="dxa"/>
          </w:tcPr>
          <w:p w14:paraId="5D8B7868" w14:textId="533E310E" w:rsidR="00C4454D" w:rsidRPr="00A735B4" w:rsidRDefault="00C4454D" w:rsidP="00C4454D">
            <w:pPr>
              <w:jc w:val="center"/>
              <w:rPr>
                <w:color w:val="0D0D0D" w:themeColor="text1" w:themeTint="F2"/>
                <w:sz w:val="20"/>
                <w:szCs w:val="20"/>
              </w:rPr>
            </w:pPr>
            <w:r w:rsidRPr="00A735B4">
              <w:rPr>
                <w:color w:val="0D0D0D" w:themeColor="text1" w:themeTint="F2"/>
                <w:sz w:val="20"/>
                <w:szCs w:val="20"/>
              </w:rPr>
              <w:t>86</w:t>
            </w:r>
          </w:p>
        </w:tc>
        <w:tc>
          <w:tcPr>
            <w:tcW w:w="992" w:type="dxa"/>
          </w:tcPr>
          <w:p w14:paraId="4A970E83" w14:textId="13ECBFDA" w:rsidR="00C4454D" w:rsidRPr="00A735B4" w:rsidRDefault="00C4454D" w:rsidP="00C4454D">
            <w:pPr>
              <w:jc w:val="center"/>
              <w:rPr>
                <w:color w:val="0D0D0D" w:themeColor="text1" w:themeTint="F2"/>
                <w:sz w:val="20"/>
                <w:szCs w:val="20"/>
              </w:rPr>
            </w:pPr>
            <w:r w:rsidRPr="00A735B4">
              <w:rPr>
                <w:color w:val="0D0D0D" w:themeColor="text1" w:themeTint="F2"/>
                <w:sz w:val="20"/>
                <w:szCs w:val="20"/>
              </w:rPr>
              <w:t>70</w:t>
            </w:r>
          </w:p>
        </w:tc>
        <w:tc>
          <w:tcPr>
            <w:tcW w:w="1559" w:type="dxa"/>
            <w:noWrap/>
          </w:tcPr>
          <w:p w14:paraId="2014A48A" w14:textId="7C88D8E5" w:rsidR="00C4454D" w:rsidRPr="00A735B4" w:rsidRDefault="00C4454D" w:rsidP="00C4454D">
            <w:pPr>
              <w:jc w:val="center"/>
              <w:rPr>
                <w:color w:val="0D0D0D" w:themeColor="text1" w:themeTint="F2"/>
                <w:sz w:val="20"/>
                <w:szCs w:val="20"/>
              </w:rPr>
            </w:pPr>
            <w:r w:rsidRPr="00A735B4">
              <w:rPr>
                <w:color w:val="0D0D0D" w:themeColor="text1" w:themeTint="F2"/>
                <w:sz w:val="20"/>
                <w:szCs w:val="20"/>
              </w:rPr>
              <w:t>78</w:t>
            </w:r>
          </w:p>
        </w:tc>
      </w:tr>
      <w:tr w:rsidR="00C4454D" w:rsidRPr="00A735B4" w14:paraId="1299C344" w14:textId="77777777" w:rsidTr="00C4454D">
        <w:trPr>
          <w:trHeight w:hRule="exact" w:val="284"/>
        </w:trPr>
        <w:tc>
          <w:tcPr>
            <w:tcW w:w="2093" w:type="dxa"/>
            <w:noWrap/>
            <w:hideMark/>
          </w:tcPr>
          <w:p w14:paraId="348E6C5C" w14:textId="77777777" w:rsidR="00C4454D" w:rsidRPr="00A735B4" w:rsidRDefault="00C4454D" w:rsidP="00C4454D">
            <w:pPr>
              <w:rPr>
                <w:b/>
                <w:color w:val="0D0D0D" w:themeColor="text1" w:themeTint="F2"/>
                <w:sz w:val="20"/>
                <w:szCs w:val="20"/>
              </w:rPr>
            </w:pPr>
            <w:r w:rsidRPr="00A735B4">
              <w:rPr>
                <w:b/>
                <w:color w:val="0D0D0D" w:themeColor="text1" w:themeTint="F2"/>
                <w:sz w:val="20"/>
                <w:szCs w:val="20"/>
              </w:rPr>
              <w:t>Mobile banking</w:t>
            </w:r>
          </w:p>
        </w:tc>
        <w:tc>
          <w:tcPr>
            <w:tcW w:w="850" w:type="dxa"/>
            <w:noWrap/>
          </w:tcPr>
          <w:p w14:paraId="56DFE674" w14:textId="28F5CD11" w:rsidR="00C4454D" w:rsidRPr="00A735B4" w:rsidRDefault="00C4454D" w:rsidP="00C4454D">
            <w:pPr>
              <w:jc w:val="center"/>
              <w:rPr>
                <w:color w:val="0D0D0D" w:themeColor="text1" w:themeTint="F2"/>
                <w:sz w:val="20"/>
                <w:szCs w:val="20"/>
              </w:rPr>
            </w:pPr>
            <w:r w:rsidRPr="00A735B4">
              <w:rPr>
                <w:color w:val="0D0D0D" w:themeColor="text1" w:themeTint="F2"/>
                <w:sz w:val="20"/>
                <w:szCs w:val="20"/>
              </w:rPr>
              <w:t>94</w:t>
            </w:r>
          </w:p>
        </w:tc>
        <w:tc>
          <w:tcPr>
            <w:tcW w:w="1134" w:type="dxa"/>
            <w:noWrap/>
          </w:tcPr>
          <w:p w14:paraId="6698D298" w14:textId="78C8D306" w:rsidR="00C4454D" w:rsidRPr="00A735B4" w:rsidRDefault="00C4454D" w:rsidP="00C4454D">
            <w:pPr>
              <w:jc w:val="center"/>
              <w:rPr>
                <w:color w:val="0D0D0D" w:themeColor="text1" w:themeTint="F2"/>
                <w:sz w:val="20"/>
                <w:szCs w:val="20"/>
              </w:rPr>
            </w:pPr>
            <w:r w:rsidRPr="00A735B4">
              <w:rPr>
                <w:color w:val="0D0D0D" w:themeColor="text1" w:themeTint="F2"/>
                <w:sz w:val="20"/>
                <w:szCs w:val="20"/>
              </w:rPr>
              <w:t>92</w:t>
            </w:r>
          </w:p>
        </w:tc>
        <w:tc>
          <w:tcPr>
            <w:tcW w:w="970" w:type="dxa"/>
            <w:noWrap/>
          </w:tcPr>
          <w:p w14:paraId="0FD404FC" w14:textId="4B5482D1" w:rsidR="00C4454D" w:rsidRPr="00A735B4" w:rsidRDefault="00C4454D" w:rsidP="00C4454D">
            <w:pPr>
              <w:jc w:val="center"/>
              <w:rPr>
                <w:color w:val="0D0D0D" w:themeColor="text1" w:themeTint="F2"/>
                <w:sz w:val="20"/>
                <w:szCs w:val="20"/>
              </w:rPr>
            </w:pPr>
            <w:r w:rsidRPr="00A735B4">
              <w:rPr>
                <w:color w:val="0D0D0D" w:themeColor="text1" w:themeTint="F2"/>
                <w:sz w:val="20"/>
                <w:szCs w:val="20"/>
              </w:rPr>
              <w:t>67</w:t>
            </w:r>
          </w:p>
        </w:tc>
        <w:tc>
          <w:tcPr>
            <w:tcW w:w="1014" w:type="dxa"/>
          </w:tcPr>
          <w:p w14:paraId="53D00360" w14:textId="042B6CAA" w:rsidR="00C4454D" w:rsidRPr="00A735B4" w:rsidRDefault="00C4454D" w:rsidP="00C4454D">
            <w:pPr>
              <w:jc w:val="center"/>
              <w:rPr>
                <w:color w:val="0D0D0D" w:themeColor="text1" w:themeTint="F2"/>
                <w:sz w:val="20"/>
                <w:szCs w:val="20"/>
              </w:rPr>
            </w:pPr>
            <w:r w:rsidRPr="00A735B4">
              <w:rPr>
                <w:color w:val="0D0D0D" w:themeColor="text1" w:themeTint="F2"/>
                <w:sz w:val="20"/>
                <w:szCs w:val="20"/>
              </w:rPr>
              <w:t>90</w:t>
            </w:r>
          </w:p>
        </w:tc>
        <w:tc>
          <w:tcPr>
            <w:tcW w:w="993" w:type="dxa"/>
          </w:tcPr>
          <w:p w14:paraId="6E1E4CD1" w14:textId="10F455FB" w:rsidR="00C4454D" w:rsidRPr="00A735B4" w:rsidRDefault="00C4454D" w:rsidP="00C4454D">
            <w:pPr>
              <w:jc w:val="center"/>
              <w:rPr>
                <w:color w:val="0D0D0D" w:themeColor="text1" w:themeTint="F2"/>
                <w:sz w:val="20"/>
                <w:szCs w:val="20"/>
              </w:rPr>
            </w:pPr>
            <w:r w:rsidRPr="00A735B4">
              <w:rPr>
                <w:color w:val="0D0D0D" w:themeColor="text1" w:themeTint="F2"/>
                <w:sz w:val="20"/>
                <w:szCs w:val="20"/>
              </w:rPr>
              <w:t>86</w:t>
            </w:r>
          </w:p>
        </w:tc>
        <w:tc>
          <w:tcPr>
            <w:tcW w:w="992" w:type="dxa"/>
          </w:tcPr>
          <w:p w14:paraId="1B75F10E" w14:textId="089335B6" w:rsidR="00C4454D" w:rsidRPr="00A735B4" w:rsidRDefault="00C4454D" w:rsidP="00C4454D">
            <w:pPr>
              <w:jc w:val="center"/>
              <w:rPr>
                <w:color w:val="0D0D0D" w:themeColor="text1" w:themeTint="F2"/>
                <w:sz w:val="20"/>
                <w:szCs w:val="20"/>
              </w:rPr>
            </w:pPr>
            <w:r w:rsidRPr="00A735B4">
              <w:rPr>
                <w:color w:val="0D0D0D" w:themeColor="text1" w:themeTint="F2"/>
                <w:sz w:val="20"/>
                <w:szCs w:val="20"/>
              </w:rPr>
              <w:t>50</w:t>
            </w:r>
          </w:p>
        </w:tc>
        <w:tc>
          <w:tcPr>
            <w:tcW w:w="1559" w:type="dxa"/>
            <w:noWrap/>
          </w:tcPr>
          <w:p w14:paraId="16AD54C5" w14:textId="12802B16" w:rsidR="00C4454D" w:rsidRPr="00A735B4" w:rsidRDefault="00C4454D" w:rsidP="00C4454D">
            <w:pPr>
              <w:jc w:val="center"/>
              <w:rPr>
                <w:color w:val="0D0D0D" w:themeColor="text1" w:themeTint="F2"/>
                <w:sz w:val="20"/>
                <w:szCs w:val="20"/>
              </w:rPr>
            </w:pPr>
            <w:r w:rsidRPr="00A735B4">
              <w:rPr>
                <w:color w:val="0D0D0D" w:themeColor="text1" w:themeTint="F2"/>
                <w:sz w:val="20"/>
                <w:szCs w:val="20"/>
              </w:rPr>
              <w:t>80</w:t>
            </w:r>
          </w:p>
        </w:tc>
      </w:tr>
      <w:tr w:rsidR="00C4454D" w:rsidRPr="00A735B4" w14:paraId="556959E4" w14:textId="77777777" w:rsidTr="00C4454D">
        <w:trPr>
          <w:trHeight w:hRule="exact" w:val="284"/>
        </w:trPr>
        <w:tc>
          <w:tcPr>
            <w:tcW w:w="2093" w:type="dxa"/>
            <w:noWrap/>
            <w:hideMark/>
          </w:tcPr>
          <w:p w14:paraId="2FE4B5EF" w14:textId="77777777" w:rsidR="00C4454D" w:rsidRPr="00A735B4" w:rsidRDefault="00C4454D" w:rsidP="00C4454D">
            <w:pPr>
              <w:rPr>
                <w:b/>
                <w:color w:val="0D0D0D" w:themeColor="text1" w:themeTint="F2"/>
                <w:sz w:val="20"/>
                <w:szCs w:val="20"/>
              </w:rPr>
            </w:pPr>
            <w:r w:rsidRPr="00A735B4">
              <w:rPr>
                <w:b/>
                <w:color w:val="0D0D0D" w:themeColor="text1" w:themeTint="F2"/>
                <w:sz w:val="20"/>
                <w:szCs w:val="20"/>
              </w:rPr>
              <w:lastRenderedPageBreak/>
              <w:t>Internet banking</w:t>
            </w:r>
          </w:p>
        </w:tc>
        <w:tc>
          <w:tcPr>
            <w:tcW w:w="850" w:type="dxa"/>
            <w:noWrap/>
          </w:tcPr>
          <w:p w14:paraId="74246E6F" w14:textId="5A01A5A9" w:rsidR="00C4454D" w:rsidRPr="00A735B4" w:rsidRDefault="00C4454D" w:rsidP="00C4454D">
            <w:pPr>
              <w:jc w:val="center"/>
              <w:rPr>
                <w:color w:val="0D0D0D" w:themeColor="text1" w:themeTint="F2"/>
                <w:sz w:val="20"/>
                <w:szCs w:val="20"/>
              </w:rPr>
            </w:pPr>
            <w:r w:rsidRPr="00A735B4">
              <w:rPr>
                <w:color w:val="0D0D0D" w:themeColor="text1" w:themeTint="F2"/>
                <w:sz w:val="20"/>
                <w:szCs w:val="20"/>
              </w:rPr>
              <w:t>81</w:t>
            </w:r>
          </w:p>
        </w:tc>
        <w:tc>
          <w:tcPr>
            <w:tcW w:w="1134" w:type="dxa"/>
            <w:noWrap/>
          </w:tcPr>
          <w:p w14:paraId="34AD85A5" w14:textId="0C3D26DB" w:rsidR="00C4454D" w:rsidRPr="00A735B4" w:rsidRDefault="00C4454D" w:rsidP="00C4454D">
            <w:pPr>
              <w:jc w:val="center"/>
              <w:rPr>
                <w:color w:val="0D0D0D" w:themeColor="text1" w:themeTint="F2"/>
                <w:sz w:val="20"/>
                <w:szCs w:val="20"/>
              </w:rPr>
            </w:pPr>
            <w:r w:rsidRPr="00A735B4">
              <w:rPr>
                <w:color w:val="0D0D0D" w:themeColor="text1" w:themeTint="F2"/>
                <w:sz w:val="20"/>
                <w:szCs w:val="20"/>
              </w:rPr>
              <w:t>77</w:t>
            </w:r>
          </w:p>
        </w:tc>
        <w:tc>
          <w:tcPr>
            <w:tcW w:w="970" w:type="dxa"/>
            <w:noWrap/>
          </w:tcPr>
          <w:p w14:paraId="7FECE560" w14:textId="21084699" w:rsidR="00C4454D" w:rsidRPr="00A735B4" w:rsidRDefault="00C4454D" w:rsidP="00C4454D">
            <w:pPr>
              <w:jc w:val="center"/>
              <w:rPr>
                <w:color w:val="0D0D0D" w:themeColor="text1" w:themeTint="F2"/>
                <w:sz w:val="20"/>
                <w:szCs w:val="20"/>
              </w:rPr>
            </w:pPr>
            <w:r w:rsidRPr="00A735B4">
              <w:rPr>
                <w:color w:val="0D0D0D" w:themeColor="text1" w:themeTint="F2"/>
                <w:sz w:val="20"/>
                <w:szCs w:val="20"/>
              </w:rPr>
              <w:t>92</w:t>
            </w:r>
          </w:p>
        </w:tc>
        <w:tc>
          <w:tcPr>
            <w:tcW w:w="1014" w:type="dxa"/>
          </w:tcPr>
          <w:p w14:paraId="3E289D4B" w14:textId="55892769" w:rsidR="00C4454D" w:rsidRPr="00A735B4" w:rsidRDefault="00C4454D" w:rsidP="00C4454D">
            <w:pPr>
              <w:jc w:val="center"/>
              <w:rPr>
                <w:color w:val="0D0D0D" w:themeColor="text1" w:themeTint="F2"/>
                <w:sz w:val="20"/>
                <w:szCs w:val="20"/>
              </w:rPr>
            </w:pPr>
            <w:r w:rsidRPr="00A735B4">
              <w:rPr>
                <w:color w:val="0D0D0D" w:themeColor="text1" w:themeTint="F2"/>
                <w:sz w:val="20"/>
                <w:szCs w:val="20"/>
              </w:rPr>
              <w:t>70</w:t>
            </w:r>
          </w:p>
        </w:tc>
        <w:tc>
          <w:tcPr>
            <w:tcW w:w="993" w:type="dxa"/>
          </w:tcPr>
          <w:p w14:paraId="3727252E" w14:textId="09B9BA18" w:rsidR="00C4454D" w:rsidRPr="00A735B4" w:rsidRDefault="00C4454D" w:rsidP="00C4454D">
            <w:pPr>
              <w:jc w:val="center"/>
              <w:rPr>
                <w:color w:val="0D0D0D" w:themeColor="text1" w:themeTint="F2"/>
                <w:sz w:val="20"/>
                <w:szCs w:val="20"/>
              </w:rPr>
            </w:pPr>
            <w:r w:rsidRPr="00A735B4">
              <w:rPr>
                <w:color w:val="0D0D0D" w:themeColor="text1" w:themeTint="F2"/>
                <w:sz w:val="20"/>
                <w:szCs w:val="20"/>
              </w:rPr>
              <w:t>100</w:t>
            </w:r>
          </w:p>
        </w:tc>
        <w:tc>
          <w:tcPr>
            <w:tcW w:w="992" w:type="dxa"/>
          </w:tcPr>
          <w:p w14:paraId="73CA34DE" w14:textId="3524E11E" w:rsidR="00C4454D" w:rsidRPr="00A735B4" w:rsidRDefault="00C4454D" w:rsidP="00C4454D">
            <w:pPr>
              <w:jc w:val="center"/>
              <w:rPr>
                <w:color w:val="0D0D0D" w:themeColor="text1" w:themeTint="F2"/>
                <w:sz w:val="20"/>
                <w:szCs w:val="20"/>
              </w:rPr>
            </w:pPr>
            <w:r w:rsidRPr="00A735B4">
              <w:rPr>
                <w:color w:val="0D0D0D" w:themeColor="text1" w:themeTint="F2"/>
                <w:sz w:val="20"/>
                <w:szCs w:val="20"/>
              </w:rPr>
              <w:t>100</w:t>
            </w:r>
          </w:p>
        </w:tc>
        <w:tc>
          <w:tcPr>
            <w:tcW w:w="1559" w:type="dxa"/>
            <w:noWrap/>
          </w:tcPr>
          <w:p w14:paraId="2F5B1CB7" w14:textId="62DD10CA" w:rsidR="00C4454D" w:rsidRPr="00A735B4" w:rsidRDefault="00C4454D" w:rsidP="00C4454D">
            <w:pPr>
              <w:jc w:val="center"/>
              <w:rPr>
                <w:color w:val="0D0D0D" w:themeColor="text1" w:themeTint="F2"/>
                <w:sz w:val="20"/>
                <w:szCs w:val="20"/>
              </w:rPr>
            </w:pPr>
            <w:r w:rsidRPr="00A735B4">
              <w:rPr>
                <w:color w:val="0D0D0D" w:themeColor="text1" w:themeTint="F2"/>
                <w:sz w:val="20"/>
                <w:szCs w:val="20"/>
              </w:rPr>
              <w:t>87</w:t>
            </w:r>
          </w:p>
        </w:tc>
      </w:tr>
      <w:tr w:rsidR="00C4454D" w:rsidRPr="00A735B4" w14:paraId="3D9B73BB" w14:textId="77777777" w:rsidTr="00C4454D">
        <w:trPr>
          <w:trHeight w:hRule="exact" w:val="284"/>
        </w:trPr>
        <w:tc>
          <w:tcPr>
            <w:tcW w:w="2093" w:type="dxa"/>
            <w:noWrap/>
            <w:hideMark/>
          </w:tcPr>
          <w:p w14:paraId="45AA6F9F" w14:textId="77777777" w:rsidR="00C4454D" w:rsidRPr="00A735B4" w:rsidRDefault="00C4454D" w:rsidP="00C4454D">
            <w:pPr>
              <w:rPr>
                <w:b/>
                <w:color w:val="0D0D0D" w:themeColor="text1" w:themeTint="F2"/>
                <w:sz w:val="20"/>
                <w:szCs w:val="20"/>
              </w:rPr>
            </w:pPr>
            <w:r w:rsidRPr="00A735B4">
              <w:rPr>
                <w:b/>
                <w:color w:val="0D0D0D" w:themeColor="text1" w:themeTint="F2"/>
                <w:sz w:val="20"/>
                <w:szCs w:val="20"/>
              </w:rPr>
              <w:t>Regional a/c access OTC</w:t>
            </w:r>
          </w:p>
        </w:tc>
        <w:tc>
          <w:tcPr>
            <w:tcW w:w="850" w:type="dxa"/>
            <w:noWrap/>
          </w:tcPr>
          <w:p w14:paraId="368900E7" w14:textId="55DA0DDE" w:rsidR="00C4454D" w:rsidRPr="00A735B4" w:rsidRDefault="00C4454D" w:rsidP="00C4454D">
            <w:pPr>
              <w:jc w:val="center"/>
              <w:rPr>
                <w:color w:val="0D0D0D" w:themeColor="text1" w:themeTint="F2"/>
                <w:sz w:val="20"/>
                <w:szCs w:val="20"/>
              </w:rPr>
            </w:pPr>
            <w:r w:rsidRPr="00A735B4">
              <w:rPr>
                <w:color w:val="0D0D0D" w:themeColor="text1" w:themeTint="F2"/>
                <w:sz w:val="20"/>
                <w:szCs w:val="20"/>
              </w:rPr>
              <w:t>50</w:t>
            </w:r>
          </w:p>
        </w:tc>
        <w:tc>
          <w:tcPr>
            <w:tcW w:w="1134" w:type="dxa"/>
            <w:noWrap/>
          </w:tcPr>
          <w:p w14:paraId="40F4651A" w14:textId="2952DA7C" w:rsidR="00C4454D" w:rsidRPr="00A735B4" w:rsidRDefault="00C4454D" w:rsidP="00C4454D">
            <w:pPr>
              <w:jc w:val="center"/>
              <w:rPr>
                <w:color w:val="0D0D0D" w:themeColor="text1" w:themeTint="F2"/>
                <w:sz w:val="20"/>
                <w:szCs w:val="20"/>
              </w:rPr>
            </w:pPr>
            <w:r w:rsidRPr="00A735B4">
              <w:rPr>
                <w:color w:val="0D0D0D" w:themeColor="text1" w:themeTint="F2"/>
                <w:sz w:val="20"/>
                <w:szCs w:val="20"/>
              </w:rPr>
              <w:t>46</w:t>
            </w:r>
          </w:p>
        </w:tc>
        <w:tc>
          <w:tcPr>
            <w:tcW w:w="970" w:type="dxa"/>
            <w:noWrap/>
          </w:tcPr>
          <w:p w14:paraId="7AD75F59" w14:textId="6A94A2E8" w:rsidR="00C4454D" w:rsidRPr="00A735B4" w:rsidRDefault="00C4454D" w:rsidP="00C4454D">
            <w:pPr>
              <w:jc w:val="center"/>
              <w:rPr>
                <w:color w:val="0D0D0D" w:themeColor="text1" w:themeTint="F2"/>
                <w:sz w:val="20"/>
                <w:szCs w:val="20"/>
              </w:rPr>
            </w:pPr>
            <w:r w:rsidRPr="00A735B4">
              <w:rPr>
                <w:color w:val="0D0D0D" w:themeColor="text1" w:themeTint="F2"/>
                <w:sz w:val="20"/>
                <w:szCs w:val="20"/>
              </w:rPr>
              <w:t>50</w:t>
            </w:r>
          </w:p>
        </w:tc>
        <w:tc>
          <w:tcPr>
            <w:tcW w:w="1014" w:type="dxa"/>
          </w:tcPr>
          <w:p w14:paraId="3371CF6C" w14:textId="633A92A5" w:rsidR="00C4454D" w:rsidRPr="00A735B4" w:rsidRDefault="00C4454D" w:rsidP="00C4454D">
            <w:pPr>
              <w:jc w:val="center"/>
              <w:rPr>
                <w:color w:val="0D0D0D" w:themeColor="text1" w:themeTint="F2"/>
                <w:sz w:val="20"/>
                <w:szCs w:val="20"/>
              </w:rPr>
            </w:pPr>
            <w:r w:rsidRPr="00A735B4">
              <w:rPr>
                <w:color w:val="0D0D0D" w:themeColor="text1" w:themeTint="F2"/>
                <w:sz w:val="20"/>
                <w:szCs w:val="20"/>
              </w:rPr>
              <w:t>20</w:t>
            </w:r>
          </w:p>
        </w:tc>
        <w:tc>
          <w:tcPr>
            <w:tcW w:w="993" w:type="dxa"/>
          </w:tcPr>
          <w:p w14:paraId="302F1FE7" w14:textId="5918A127" w:rsidR="00C4454D" w:rsidRPr="00A735B4" w:rsidRDefault="00C4454D" w:rsidP="00C4454D">
            <w:pPr>
              <w:jc w:val="center"/>
              <w:rPr>
                <w:color w:val="0D0D0D" w:themeColor="text1" w:themeTint="F2"/>
                <w:sz w:val="20"/>
                <w:szCs w:val="20"/>
              </w:rPr>
            </w:pPr>
            <w:r w:rsidRPr="00A735B4">
              <w:rPr>
                <w:color w:val="0D0D0D" w:themeColor="text1" w:themeTint="F2"/>
                <w:sz w:val="20"/>
                <w:szCs w:val="20"/>
              </w:rPr>
              <w:t>0</w:t>
            </w:r>
          </w:p>
        </w:tc>
        <w:tc>
          <w:tcPr>
            <w:tcW w:w="992" w:type="dxa"/>
          </w:tcPr>
          <w:p w14:paraId="1AE7A734" w14:textId="20EB2D83" w:rsidR="00C4454D" w:rsidRPr="00A735B4" w:rsidRDefault="00C4454D" w:rsidP="00C4454D">
            <w:pPr>
              <w:jc w:val="center"/>
              <w:rPr>
                <w:color w:val="0D0D0D" w:themeColor="text1" w:themeTint="F2"/>
                <w:sz w:val="20"/>
                <w:szCs w:val="20"/>
              </w:rPr>
            </w:pPr>
            <w:r w:rsidRPr="00A735B4">
              <w:rPr>
                <w:color w:val="0D0D0D" w:themeColor="text1" w:themeTint="F2"/>
                <w:sz w:val="20"/>
                <w:szCs w:val="20"/>
              </w:rPr>
              <w:t>20</w:t>
            </w:r>
          </w:p>
        </w:tc>
        <w:tc>
          <w:tcPr>
            <w:tcW w:w="1559" w:type="dxa"/>
            <w:noWrap/>
          </w:tcPr>
          <w:p w14:paraId="440637E7" w14:textId="793DB3FB" w:rsidR="00C4454D" w:rsidRPr="00A735B4" w:rsidRDefault="00C4454D" w:rsidP="00C4454D">
            <w:pPr>
              <w:jc w:val="center"/>
              <w:rPr>
                <w:color w:val="0D0D0D" w:themeColor="text1" w:themeTint="F2"/>
                <w:sz w:val="20"/>
                <w:szCs w:val="20"/>
              </w:rPr>
            </w:pPr>
            <w:r w:rsidRPr="00A735B4">
              <w:rPr>
                <w:color w:val="0D0D0D" w:themeColor="text1" w:themeTint="F2"/>
                <w:sz w:val="20"/>
                <w:szCs w:val="20"/>
              </w:rPr>
              <w:t>31</w:t>
            </w:r>
          </w:p>
        </w:tc>
      </w:tr>
    </w:tbl>
    <w:p w14:paraId="0FB3AC78" w14:textId="62B38C8D" w:rsidR="00C4454D" w:rsidRPr="00A735B4" w:rsidRDefault="00C4454D" w:rsidP="00C4454D">
      <w:pPr>
        <w:ind w:left="180" w:hanging="180"/>
        <w:rPr>
          <w:i/>
        </w:rPr>
      </w:pPr>
      <w:r w:rsidRPr="00A735B4">
        <w:rPr>
          <w:i/>
        </w:rPr>
        <w:t xml:space="preserve"> Note: </w:t>
      </w:r>
      <w:r w:rsidRPr="00A735B4">
        <w:t>LPO = local purchase order; RTGS = real-time gross settlement.</w:t>
      </w:r>
      <w:r w:rsidRPr="00A735B4">
        <w:rPr>
          <w:i/>
        </w:rPr>
        <w:t xml:space="preserve"> </w:t>
      </w:r>
    </w:p>
    <w:p w14:paraId="7AEC41C5" w14:textId="77777777" w:rsidR="00C4454D" w:rsidRPr="00A735B4" w:rsidRDefault="00C4454D" w:rsidP="00C4454D">
      <w:bookmarkStart w:id="128" w:name="_Toc417463408"/>
      <w:bookmarkStart w:id="129" w:name="_Toc419565269"/>
      <w:r w:rsidRPr="00A735B4">
        <w:t>C.5.2 Prices for selected standardized banking services</w:t>
      </w:r>
      <w:bookmarkEnd w:id="128"/>
      <w:bookmarkEnd w:id="129"/>
    </w:p>
    <w:p w14:paraId="54A41C06" w14:textId="189FB169" w:rsidR="00C4454D" w:rsidRPr="00A735B4" w:rsidRDefault="00C4454D" w:rsidP="00C4454D">
      <w:pPr>
        <w:spacing w:before="120"/>
        <w:jc w:val="both"/>
      </w:pPr>
      <w:r w:rsidRPr="00A735B4">
        <w:t>The survey responses provide broad information on price ranges of standardized banking services, such as domestic transactions, foreign funds transfers, and business account transactions in the examined countries.</w:t>
      </w:r>
    </w:p>
    <w:p w14:paraId="36D3FCF4" w14:textId="77777777" w:rsidR="00C4454D" w:rsidRPr="00A735B4" w:rsidRDefault="00C4454D" w:rsidP="00C4454D">
      <w:pPr>
        <w:spacing w:before="120"/>
        <w:jc w:val="both"/>
      </w:pPr>
    </w:p>
    <w:p w14:paraId="7D9BF042" w14:textId="5992932B" w:rsidR="00C4454D" w:rsidRPr="00A735B4" w:rsidRDefault="00C4454D" w:rsidP="00C4454D">
      <w:pPr>
        <w:jc w:val="both"/>
      </w:pPr>
      <w:r w:rsidRPr="00A735B4">
        <w:t xml:space="preserve">The results on prices for domestic transaction costs show wide variation within and between countries. For example, Ugandan prices for outward mobile payments range from zero to US$5.60 per transaction. Similarly, Rwandan real-time gross settlement (RTGS) costs vary between zero and US$0.75, while in Malawi and Zambia RTGS costs are in excess of US$6.30 (table C.6). </w:t>
      </w:r>
    </w:p>
    <w:p w14:paraId="307FE544" w14:textId="16EB2928" w:rsidR="00C4454D" w:rsidRPr="00A735B4" w:rsidRDefault="00C4454D">
      <w:pPr>
        <w:spacing w:after="200" w:line="276" w:lineRule="auto"/>
      </w:pPr>
      <w:r w:rsidRPr="00A735B4">
        <w:br w:type="page"/>
      </w:r>
    </w:p>
    <w:p w14:paraId="56969C7A" w14:textId="77777777" w:rsidR="00C4454D" w:rsidRPr="00A735B4" w:rsidRDefault="00C4454D" w:rsidP="00C4454D">
      <w:pPr>
        <w:jc w:val="both"/>
      </w:pPr>
    </w:p>
    <w:p w14:paraId="358B1C73" w14:textId="6724C0D8" w:rsidR="00C4454D" w:rsidRPr="00A735B4" w:rsidRDefault="00C4454D" w:rsidP="00C4454D">
      <w:pPr>
        <w:spacing w:after="0"/>
        <w:jc w:val="center"/>
      </w:pPr>
      <w:r w:rsidRPr="00A735B4">
        <w:rPr>
          <w:color w:val="1F497D" w:themeColor="text2"/>
        </w:rPr>
        <w:t>Table C.6 Prices for selected domestic transactions</w:t>
      </w:r>
    </w:p>
    <w:tbl>
      <w:tblPr>
        <w:tblpPr w:leftFromText="180" w:rightFromText="180" w:vertAnchor="text" w:horzAnchor="margin" w:tblpY="319"/>
        <w:tblOverlap w:val="never"/>
        <w:tblW w:w="8645" w:type="dxa"/>
        <w:tblCellMar>
          <w:left w:w="10" w:type="dxa"/>
          <w:right w:w="10" w:type="dxa"/>
        </w:tblCellMar>
        <w:tblLook w:val="04A0" w:firstRow="1" w:lastRow="0" w:firstColumn="1" w:lastColumn="0" w:noHBand="0" w:noVBand="1"/>
      </w:tblPr>
      <w:tblGrid>
        <w:gridCol w:w="1415"/>
        <w:gridCol w:w="686"/>
        <w:gridCol w:w="316"/>
        <w:gridCol w:w="259"/>
        <w:gridCol w:w="260"/>
        <w:gridCol w:w="259"/>
        <w:gridCol w:w="260"/>
        <w:gridCol w:w="259"/>
        <w:gridCol w:w="262"/>
        <w:gridCol w:w="259"/>
        <w:gridCol w:w="260"/>
        <w:gridCol w:w="259"/>
        <w:gridCol w:w="260"/>
        <w:gridCol w:w="259"/>
        <w:gridCol w:w="260"/>
        <w:gridCol w:w="259"/>
        <w:gridCol w:w="260"/>
        <w:gridCol w:w="259"/>
        <w:gridCol w:w="260"/>
        <w:gridCol w:w="259"/>
        <w:gridCol w:w="260"/>
        <w:gridCol w:w="259"/>
        <w:gridCol w:w="260"/>
        <w:gridCol w:w="259"/>
        <w:gridCol w:w="260"/>
        <w:gridCol w:w="259"/>
        <w:gridCol w:w="260"/>
      </w:tblGrid>
      <w:tr w:rsidR="00C4454D" w:rsidRPr="00A735B4" w14:paraId="27742498" w14:textId="77777777" w:rsidTr="00C4454D">
        <w:trPr>
          <w:trHeight w:val="464"/>
        </w:trPr>
        <w:tc>
          <w:tcPr>
            <w:tcW w:w="3976" w:type="dxa"/>
            <w:gridSpan w:val="9"/>
            <w:tcBorders>
              <w:top w:val="single" w:sz="8" w:space="0" w:color="365F91" w:themeColor="accent1" w:themeShade="BF"/>
              <w:left w:val="single" w:sz="8" w:space="0" w:color="365F91" w:themeColor="accent1" w:themeShade="BF"/>
              <w:bottom w:val="nil"/>
              <w:right w:val="nil"/>
            </w:tcBorders>
            <w:shd w:val="clear" w:color="auto" w:fill="auto"/>
            <w:noWrap/>
            <w:vAlign w:val="center"/>
            <w:hideMark/>
          </w:tcPr>
          <w:p w14:paraId="34CF2AD7" w14:textId="77777777" w:rsidR="00C4454D" w:rsidRPr="00A735B4" w:rsidRDefault="00C4454D" w:rsidP="00C4454D">
            <w:pPr>
              <w:rPr>
                <w:b/>
                <w:bCs/>
                <w:color w:val="1F497D" w:themeColor="text2"/>
                <w:sz w:val="18"/>
                <w:szCs w:val="18"/>
              </w:rPr>
            </w:pPr>
            <w:r w:rsidRPr="00A735B4">
              <w:rPr>
                <w:b/>
                <w:bCs/>
                <w:color w:val="1F497D" w:themeColor="text2"/>
                <w:sz w:val="18"/>
                <w:szCs w:val="18"/>
              </w:rPr>
              <w:t>DOMESTIC TRANSACTIONS COSTS (US$ per Transaction)</w:t>
            </w:r>
          </w:p>
        </w:tc>
        <w:tc>
          <w:tcPr>
            <w:tcW w:w="259" w:type="dxa"/>
            <w:tcBorders>
              <w:top w:val="single" w:sz="8" w:space="0" w:color="365F91" w:themeColor="accent1" w:themeShade="BF"/>
              <w:left w:val="nil"/>
              <w:bottom w:val="single" w:sz="8" w:space="0" w:color="365F91" w:themeColor="accent1" w:themeShade="BF"/>
              <w:right w:val="nil"/>
            </w:tcBorders>
            <w:shd w:val="clear" w:color="auto" w:fill="auto"/>
            <w:noWrap/>
            <w:vAlign w:val="bottom"/>
            <w:hideMark/>
          </w:tcPr>
          <w:p w14:paraId="0AAB4364" w14:textId="77777777" w:rsidR="00C4454D" w:rsidRPr="00A735B4" w:rsidRDefault="00C4454D" w:rsidP="00C4454D">
            <w:pPr>
              <w:jc w:val="center"/>
              <w:rPr>
                <w:color w:val="1F497D" w:themeColor="text2"/>
                <w:sz w:val="18"/>
                <w:szCs w:val="18"/>
              </w:rPr>
            </w:pPr>
            <w:r w:rsidRPr="00A735B4">
              <w:rPr>
                <w:color w:val="1F497D" w:themeColor="text2"/>
                <w:sz w:val="18"/>
                <w:szCs w:val="18"/>
              </w:rPr>
              <w:t> </w:t>
            </w:r>
          </w:p>
        </w:tc>
        <w:tc>
          <w:tcPr>
            <w:tcW w:w="259" w:type="dxa"/>
            <w:tcBorders>
              <w:top w:val="single" w:sz="8" w:space="0" w:color="365F91" w:themeColor="accent1" w:themeShade="BF"/>
              <w:left w:val="nil"/>
              <w:bottom w:val="single" w:sz="8" w:space="0" w:color="365F91" w:themeColor="accent1" w:themeShade="BF"/>
              <w:right w:val="nil"/>
            </w:tcBorders>
            <w:shd w:val="clear" w:color="auto" w:fill="auto"/>
            <w:noWrap/>
            <w:vAlign w:val="bottom"/>
            <w:hideMark/>
          </w:tcPr>
          <w:p w14:paraId="6744F92A" w14:textId="77777777" w:rsidR="00C4454D" w:rsidRPr="00A735B4" w:rsidRDefault="00C4454D" w:rsidP="00C4454D">
            <w:pPr>
              <w:jc w:val="center"/>
              <w:rPr>
                <w:color w:val="1F497D" w:themeColor="text2"/>
                <w:sz w:val="18"/>
                <w:szCs w:val="18"/>
              </w:rPr>
            </w:pPr>
            <w:r w:rsidRPr="00A735B4">
              <w:rPr>
                <w:color w:val="1F497D" w:themeColor="text2"/>
                <w:sz w:val="18"/>
                <w:szCs w:val="18"/>
              </w:rPr>
              <w:t> </w:t>
            </w:r>
          </w:p>
        </w:tc>
        <w:tc>
          <w:tcPr>
            <w:tcW w:w="259" w:type="dxa"/>
            <w:tcBorders>
              <w:top w:val="single" w:sz="8" w:space="0" w:color="365F91" w:themeColor="accent1" w:themeShade="BF"/>
              <w:left w:val="nil"/>
              <w:bottom w:val="single" w:sz="8" w:space="0" w:color="365F91" w:themeColor="accent1" w:themeShade="BF"/>
              <w:right w:val="nil"/>
            </w:tcBorders>
            <w:shd w:val="clear" w:color="auto" w:fill="auto"/>
            <w:noWrap/>
            <w:vAlign w:val="bottom"/>
            <w:hideMark/>
          </w:tcPr>
          <w:p w14:paraId="5C17B60B" w14:textId="77777777" w:rsidR="00C4454D" w:rsidRPr="00A735B4" w:rsidRDefault="00C4454D" w:rsidP="00C4454D">
            <w:pPr>
              <w:jc w:val="center"/>
              <w:rPr>
                <w:color w:val="1F497D" w:themeColor="text2"/>
                <w:sz w:val="18"/>
                <w:szCs w:val="18"/>
              </w:rPr>
            </w:pPr>
            <w:r w:rsidRPr="00A735B4">
              <w:rPr>
                <w:color w:val="1F497D" w:themeColor="text2"/>
                <w:sz w:val="18"/>
                <w:szCs w:val="18"/>
              </w:rPr>
              <w:t> </w:t>
            </w:r>
          </w:p>
        </w:tc>
        <w:tc>
          <w:tcPr>
            <w:tcW w:w="259" w:type="dxa"/>
            <w:tcBorders>
              <w:top w:val="single" w:sz="8" w:space="0" w:color="365F91" w:themeColor="accent1" w:themeShade="BF"/>
              <w:left w:val="nil"/>
              <w:bottom w:val="single" w:sz="8" w:space="0" w:color="365F91" w:themeColor="accent1" w:themeShade="BF"/>
              <w:right w:val="nil"/>
            </w:tcBorders>
            <w:shd w:val="clear" w:color="auto" w:fill="auto"/>
            <w:noWrap/>
            <w:vAlign w:val="bottom"/>
            <w:hideMark/>
          </w:tcPr>
          <w:p w14:paraId="14AFB285" w14:textId="77777777" w:rsidR="00C4454D" w:rsidRPr="00A735B4" w:rsidRDefault="00C4454D" w:rsidP="00C4454D">
            <w:pPr>
              <w:jc w:val="center"/>
              <w:rPr>
                <w:color w:val="1F497D" w:themeColor="text2"/>
                <w:sz w:val="18"/>
                <w:szCs w:val="18"/>
              </w:rPr>
            </w:pPr>
            <w:r w:rsidRPr="00A735B4">
              <w:rPr>
                <w:color w:val="1F497D" w:themeColor="text2"/>
                <w:sz w:val="18"/>
                <w:szCs w:val="18"/>
              </w:rPr>
              <w:t> </w:t>
            </w:r>
          </w:p>
        </w:tc>
        <w:tc>
          <w:tcPr>
            <w:tcW w:w="259" w:type="dxa"/>
            <w:tcBorders>
              <w:top w:val="single" w:sz="8" w:space="0" w:color="365F91" w:themeColor="accent1" w:themeShade="BF"/>
              <w:left w:val="nil"/>
              <w:bottom w:val="single" w:sz="8" w:space="0" w:color="365F91" w:themeColor="accent1" w:themeShade="BF"/>
              <w:right w:val="nil"/>
            </w:tcBorders>
            <w:shd w:val="clear" w:color="auto" w:fill="auto"/>
            <w:noWrap/>
            <w:vAlign w:val="bottom"/>
            <w:hideMark/>
          </w:tcPr>
          <w:p w14:paraId="336048B9" w14:textId="77777777" w:rsidR="00C4454D" w:rsidRPr="00A735B4" w:rsidRDefault="00C4454D" w:rsidP="00C4454D">
            <w:pPr>
              <w:jc w:val="center"/>
              <w:rPr>
                <w:color w:val="1F497D" w:themeColor="text2"/>
                <w:sz w:val="18"/>
                <w:szCs w:val="18"/>
              </w:rPr>
            </w:pPr>
            <w:r w:rsidRPr="00A735B4">
              <w:rPr>
                <w:color w:val="1F497D" w:themeColor="text2"/>
                <w:sz w:val="18"/>
                <w:szCs w:val="18"/>
              </w:rPr>
              <w:t> </w:t>
            </w:r>
          </w:p>
        </w:tc>
        <w:tc>
          <w:tcPr>
            <w:tcW w:w="259" w:type="dxa"/>
            <w:tcBorders>
              <w:top w:val="single" w:sz="8" w:space="0" w:color="365F91" w:themeColor="accent1" w:themeShade="BF"/>
              <w:left w:val="nil"/>
              <w:bottom w:val="single" w:sz="8" w:space="0" w:color="365F91" w:themeColor="accent1" w:themeShade="BF"/>
              <w:right w:val="nil"/>
            </w:tcBorders>
            <w:shd w:val="clear" w:color="auto" w:fill="auto"/>
            <w:noWrap/>
            <w:vAlign w:val="bottom"/>
            <w:hideMark/>
          </w:tcPr>
          <w:p w14:paraId="0FD2A1B9" w14:textId="77777777" w:rsidR="00C4454D" w:rsidRPr="00A735B4" w:rsidRDefault="00C4454D" w:rsidP="00C4454D">
            <w:pPr>
              <w:jc w:val="center"/>
              <w:rPr>
                <w:color w:val="1F497D" w:themeColor="text2"/>
                <w:sz w:val="18"/>
                <w:szCs w:val="18"/>
              </w:rPr>
            </w:pPr>
            <w:r w:rsidRPr="00A735B4">
              <w:rPr>
                <w:color w:val="1F497D" w:themeColor="text2"/>
                <w:sz w:val="18"/>
                <w:szCs w:val="18"/>
              </w:rPr>
              <w:t> </w:t>
            </w:r>
          </w:p>
        </w:tc>
        <w:tc>
          <w:tcPr>
            <w:tcW w:w="259" w:type="dxa"/>
            <w:tcBorders>
              <w:top w:val="single" w:sz="8" w:space="0" w:color="365F91" w:themeColor="accent1" w:themeShade="BF"/>
              <w:left w:val="nil"/>
              <w:bottom w:val="single" w:sz="8" w:space="0" w:color="365F91" w:themeColor="accent1" w:themeShade="BF"/>
              <w:right w:val="nil"/>
            </w:tcBorders>
            <w:shd w:val="clear" w:color="auto" w:fill="auto"/>
            <w:noWrap/>
            <w:vAlign w:val="bottom"/>
            <w:hideMark/>
          </w:tcPr>
          <w:p w14:paraId="1E92F8BF" w14:textId="77777777" w:rsidR="00C4454D" w:rsidRPr="00A735B4" w:rsidRDefault="00C4454D" w:rsidP="00C4454D">
            <w:pPr>
              <w:jc w:val="center"/>
              <w:rPr>
                <w:color w:val="1F497D" w:themeColor="text2"/>
                <w:sz w:val="18"/>
                <w:szCs w:val="18"/>
              </w:rPr>
            </w:pPr>
            <w:r w:rsidRPr="00A735B4">
              <w:rPr>
                <w:color w:val="1F497D" w:themeColor="text2"/>
                <w:sz w:val="18"/>
                <w:szCs w:val="18"/>
              </w:rPr>
              <w:t> </w:t>
            </w:r>
          </w:p>
        </w:tc>
        <w:tc>
          <w:tcPr>
            <w:tcW w:w="259" w:type="dxa"/>
            <w:tcBorders>
              <w:top w:val="single" w:sz="8" w:space="0" w:color="365F91" w:themeColor="accent1" w:themeShade="BF"/>
              <w:left w:val="nil"/>
              <w:bottom w:val="single" w:sz="8" w:space="0" w:color="365F91" w:themeColor="accent1" w:themeShade="BF"/>
              <w:right w:val="nil"/>
            </w:tcBorders>
            <w:shd w:val="clear" w:color="auto" w:fill="auto"/>
            <w:noWrap/>
            <w:vAlign w:val="bottom"/>
            <w:hideMark/>
          </w:tcPr>
          <w:p w14:paraId="075D7641" w14:textId="77777777" w:rsidR="00C4454D" w:rsidRPr="00A735B4" w:rsidRDefault="00C4454D" w:rsidP="00C4454D">
            <w:pPr>
              <w:jc w:val="center"/>
              <w:rPr>
                <w:color w:val="1F497D" w:themeColor="text2"/>
                <w:sz w:val="18"/>
                <w:szCs w:val="18"/>
              </w:rPr>
            </w:pPr>
            <w:r w:rsidRPr="00A735B4">
              <w:rPr>
                <w:color w:val="1F497D" w:themeColor="text2"/>
                <w:sz w:val="18"/>
                <w:szCs w:val="18"/>
              </w:rPr>
              <w:t> </w:t>
            </w:r>
          </w:p>
        </w:tc>
        <w:tc>
          <w:tcPr>
            <w:tcW w:w="259" w:type="dxa"/>
            <w:tcBorders>
              <w:top w:val="single" w:sz="8" w:space="0" w:color="365F91" w:themeColor="accent1" w:themeShade="BF"/>
              <w:left w:val="nil"/>
              <w:bottom w:val="single" w:sz="8" w:space="0" w:color="365F91" w:themeColor="accent1" w:themeShade="BF"/>
              <w:right w:val="nil"/>
            </w:tcBorders>
            <w:shd w:val="clear" w:color="auto" w:fill="auto"/>
            <w:noWrap/>
            <w:vAlign w:val="bottom"/>
            <w:hideMark/>
          </w:tcPr>
          <w:p w14:paraId="278E5E4D" w14:textId="77777777" w:rsidR="00C4454D" w:rsidRPr="00A735B4" w:rsidRDefault="00C4454D" w:rsidP="00C4454D">
            <w:pPr>
              <w:jc w:val="center"/>
              <w:rPr>
                <w:color w:val="1F497D" w:themeColor="text2"/>
                <w:sz w:val="18"/>
                <w:szCs w:val="18"/>
              </w:rPr>
            </w:pPr>
            <w:r w:rsidRPr="00A735B4">
              <w:rPr>
                <w:color w:val="1F497D" w:themeColor="text2"/>
                <w:sz w:val="18"/>
                <w:szCs w:val="18"/>
              </w:rPr>
              <w:t> </w:t>
            </w:r>
          </w:p>
        </w:tc>
        <w:tc>
          <w:tcPr>
            <w:tcW w:w="259" w:type="dxa"/>
            <w:tcBorders>
              <w:top w:val="single" w:sz="8" w:space="0" w:color="365F91" w:themeColor="accent1" w:themeShade="BF"/>
              <w:left w:val="nil"/>
              <w:bottom w:val="single" w:sz="8" w:space="0" w:color="365F91" w:themeColor="accent1" w:themeShade="BF"/>
              <w:right w:val="nil"/>
            </w:tcBorders>
            <w:shd w:val="clear" w:color="auto" w:fill="auto"/>
            <w:noWrap/>
            <w:vAlign w:val="bottom"/>
            <w:hideMark/>
          </w:tcPr>
          <w:p w14:paraId="1BC47CC7" w14:textId="77777777" w:rsidR="00C4454D" w:rsidRPr="00A735B4" w:rsidRDefault="00C4454D" w:rsidP="00C4454D">
            <w:pPr>
              <w:jc w:val="center"/>
              <w:rPr>
                <w:color w:val="1F497D" w:themeColor="text2"/>
                <w:sz w:val="18"/>
                <w:szCs w:val="18"/>
              </w:rPr>
            </w:pPr>
            <w:r w:rsidRPr="00A735B4">
              <w:rPr>
                <w:color w:val="1F497D" w:themeColor="text2"/>
                <w:sz w:val="18"/>
                <w:szCs w:val="18"/>
              </w:rPr>
              <w:t> </w:t>
            </w:r>
          </w:p>
        </w:tc>
        <w:tc>
          <w:tcPr>
            <w:tcW w:w="259" w:type="dxa"/>
            <w:tcBorders>
              <w:top w:val="single" w:sz="8" w:space="0" w:color="365F91" w:themeColor="accent1" w:themeShade="BF"/>
              <w:left w:val="nil"/>
              <w:bottom w:val="single" w:sz="8" w:space="0" w:color="365F91" w:themeColor="accent1" w:themeShade="BF"/>
              <w:right w:val="nil"/>
            </w:tcBorders>
            <w:shd w:val="clear" w:color="auto" w:fill="auto"/>
            <w:noWrap/>
            <w:vAlign w:val="bottom"/>
            <w:hideMark/>
          </w:tcPr>
          <w:p w14:paraId="5BF398BC" w14:textId="77777777" w:rsidR="00C4454D" w:rsidRPr="00A735B4" w:rsidRDefault="00C4454D" w:rsidP="00C4454D">
            <w:pPr>
              <w:jc w:val="center"/>
              <w:rPr>
                <w:color w:val="1F497D" w:themeColor="text2"/>
                <w:sz w:val="18"/>
                <w:szCs w:val="18"/>
              </w:rPr>
            </w:pPr>
            <w:r w:rsidRPr="00A735B4">
              <w:rPr>
                <w:color w:val="1F497D" w:themeColor="text2"/>
                <w:sz w:val="18"/>
                <w:szCs w:val="18"/>
              </w:rPr>
              <w:t> </w:t>
            </w:r>
          </w:p>
        </w:tc>
        <w:tc>
          <w:tcPr>
            <w:tcW w:w="259" w:type="dxa"/>
            <w:tcBorders>
              <w:top w:val="single" w:sz="8" w:space="0" w:color="365F91" w:themeColor="accent1" w:themeShade="BF"/>
              <w:left w:val="nil"/>
              <w:bottom w:val="single" w:sz="8" w:space="0" w:color="365F91" w:themeColor="accent1" w:themeShade="BF"/>
              <w:right w:val="nil"/>
            </w:tcBorders>
            <w:shd w:val="clear" w:color="auto" w:fill="auto"/>
            <w:noWrap/>
            <w:vAlign w:val="bottom"/>
            <w:hideMark/>
          </w:tcPr>
          <w:p w14:paraId="2B375836" w14:textId="77777777" w:rsidR="00C4454D" w:rsidRPr="00A735B4" w:rsidRDefault="00C4454D" w:rsidP="00C4454D">
            <w:pPr>
              <w:jc w:val="center"/>
              <w:rPr>
                <w:color w:val="1F497D" w:themeColor="text2"/>
                <w:sz w:val="18"/>
                <w:szCs w:val="18"/>
              </w:rPr>
            </w:pPr>
            <w:r w:rsidRPr="00A735B4">
              <w:rPr>
                <w:color w:val="1F497D" w:themeColor="text2"/>
                <w:sz w:val="18"/>
                <w:szCs w:val="18"/>
              </w:rPr>
              <w:t> </w:t>
            </w:r>
          </w:p>
        </w:tc>
        <w:tc>
          <w:tcPr>
            <w:tcW w:w="259" w:type="dxa"/>
            <w:tcBorders>
              <w:top w:val="single" w:sz="8" w:space="0" w:color="365F91" w:themeColor="accent1" w:themeShade="BF"/>
              <w:left w:val="nil"/>
              <w:bottom w:val="single" w:sz="8" w:space="0" w:color="365F91" w:themeColor="accent1" w:themeShade="BF"/>
              <w:right w:val="nil"/>
            </w:tcBorders>
            <w:shd w:val="clear" w:color="auto" w:fill="auto"/>
            <w:noWrap/>
            <w:vAlign w:val="bottom"/>
            <w:hideMark/>
          </w:tcPr>
          <w:p w14:paraId="053FE963" w14:textId="77777777" w:rsidR="00C4454D" w:rsidRPr="00A735B4" w:rsidRDefault="00C4454D" w:rsidP="00C4454D">
            <w:pPr>
              <w:jc w:val="center"/>
              <w:rPr>
                <w:color w:val="1F497D" w:themeColor="text2"/>
                <w:sz w:val="18"/>
                <w:szCs w:val="18"/>
              </w:rPr>
            </w:pPr>
            <w:r w:rsidRPr="00A735B4">
              <w:rPr>
                <w:color w:val="1F497D" w:themeColor="text2"/>
                <w:sz w:val="18"/>
                <w:szCs w:val="18"/>
              </w:rPr>
              <w:t> </w:t>
            </w:r>
          </w:p>
        </w:tc>
        <w:tc>
          <w:tcPr>
            <w:tcW w:w="259" w:type="dxa"/>
            <w:tcBorders>
              <w:top w:val="single" w:sz="8" w:space="0" w:color="365F91" w:themeColor="accent1" w:themeShade="BF"/>
              <w:left w:val="nil"/>
              <w:bottom w:val="single" w:sz="8" w:space="0" w:color="365F91" w:themeColor="accent1" w:themeShade="BF"/>
              <w:right w:val="nil"/>
            </w:tcBorders>
            <w:shd w:val="clear" w:color="auto" w:fill="auto"/>
            <w:noWrap/>
            <w:vAlign w:val="bottom"/>
            <w:hideMark/>
          </w:tcPr>
          <w:p w14:paraId="7FE91F4D" w14:textId="77777777" w:rsidR="00C4454D" w:rsidRPr="00A735B4" w:rsidRDefault="00C4454D" w:rsidP="00C4454D">
            <w:pPr>
              <w:jc w:val="center"/>
              <w:rPr>
                <w:color w:val="1F497D" w:themeColor="text2"/>
                <w:sz w:val="18"/>
                <w:szCs w:val="18"/>
              </w:rPr>
            </w:pPr>
            <w:r w:rsidRPr="00A735B4">
              <w:rPr>
                <w:color w:val="1F497D" w:themeColor="text2"/>
                <w:sz w:val="18"/>
                <w:szCs w:val="18"/>
              </w:rPr>
              <w:t> </w:t>
            </w:r>
          </w:p>
        </w:tc>
        <w:tc>
          <w:tcPr>
            <w:tcW w:w="259" w:type="dxa"/>
            <w:tcBorders>
              <w:top w:val="single" w:sz="8" w:space="0" w:color="365F91" w:themeColor="accent1" w:themeShade="BF"/>
              <w:left w:val="nil"/>
              <w:bottom w:val="single" w:sz="8" w:space="0" w:color="365F91" w:themeColor="accent1" w:themeShade="BF"/>
              <w:right w:val="nil"/>
            </w:tcBorders>
            <w:shd w:val="clear" w:color="auto" w:fill="auto"/>
            <w:noWrap/>
            <w:vAlign w:val="bottom"/>
            <w:hideMark/>
          </w:tcPr>
          <w:p w14:paraId="2D62D0D9" w14:textId="77777777" w:rsidR="00C4454D" w:rsidRPr="00A735B4" w:rsidRDefault="00C4454D" w:rsidP="00C4454D">
            <w:pPr>
              <w:jc w:val="center"/>
              <w:rPr>
                <w:color w:val="1F497D" w:themeColor="text2"/>
                <w:sz w:val="18"/>
                <w:szCs w:val="18"/>
              </w:rPr>
            </w:pPr>
            <w:r w:rsidRPr="00A735B4">
              <w:rPr>
                <w:color w:val="1F497D" w:themeColor="text2"/>
                <w:sz w:val="18"/>
                <w:szCs w:val="18"/>
              </w:rPr>
              <w:t> </w:t>
            </w:r>
          </w:p>
        </w:tc>
        <w:tc>
          <w:tcPr>
            <w:tcW w:w="259" w:type="dxa"/>
            <w:tcBorders>
              <w:top w:val="single" w:sz="8" w:space="0" w:color="365F91" w:themeColor="accent1" w:themeShade="BF"/>
              <w:left w:val="nil"/>
              <w:bottom w:val="single" w:sz="8" w:space="0" w:color="365F91" w:themeColor="accent1" w:themeShade="BF"/>
              <w:right w:val="nil"/>
            </w:tcBorders>
            <w:shd w:val="clear" w:color="auto" w:fill="auto"/>
            <w:noWrap/>
            <w:vAlign w:val="bottom"/>
            <w:hideMark/>
          </w:tcPr>
          <w:p w14:paraId="42F2E2AF" w14:textId="77777777" w:rsidR="00C4454D" w:rsidRPr="00A735B4" w:rsidRDefault="00C4454D" w:rsidP="00C4454D">
            <w:pPr>
              <w:jc w:val="center"/>
              <w:rPr>
                <w:color w:val="1F497D" w:themeColor="text2"/>
                <w:sz w:val="18"/>
                <w:szCs w:val="18"/>
              </w:rPr>
            </w:pPr>
            <w:r w:rsidRPr="00A735B4">
              <w:rPr>
                <w:color w:val="1F497D" w:themeColor="text2"/>
                <w:sz w:val="18"/>
                <w:szCs w:val="18"/>
              </w:rPr>
              <w:t> </w:t>
            </w:r>
          </w:p>
        </w:tc>
        <w:tc>
          <w:tcPr>
            <w:tcW w:w="259" w:type="dxa"/>
            <w:tcBorders>
              <w:top w:val="single" w:sz="8" w:space="0" w:color="365F91" w:themeColor="accent1" w:themeShade="BF"/>
              <w:left w:val="nil"/>
              <w:bottom w:val="single" w:sz="8" w:space="0" w:color="365F91" w:themeColor="accent1" w:themeShade="BF"/>
              <w:right w:val="nil"/>
            </w:tcBorders>
            <w:shd w:val="clear" w:color="auto" w:fill="auto"/>
            <w:noWrap/>
            <w:vAlign w:val="bottom"/>
            <w:hideMark/>
          </w:tcPr>
          <w:p w14:paraId="7AEF22D8" w14:textId="77777777" w:rsidR="00C4454D" w:rsidRPr="00A735B4" w:rsidRDefault="00C4454D" w:rsidP="00C4454D">
            <w:pPr>
              <w:jc w:val="center"/>
              <w:rPr>
                <w:color w:val="1F497D" w:themeColor="text2"/>
                <w:sz w:val="18"/>
                <w:szCs w:val="18"/>
              </w:rPr>
            </w:pPr>
            <w:r w:rsidRPr="00A735B4">
              <w:rPr>
                <w:color w:val="1F497D" w:themeColor="text2"/>
                <w:sz w:val="18"/>
                <w:szCs w:val="18"/>
              </w:rPr>
              <w:t> </w:t>
            </w:r>
          </w:p>
        </w:tc>
        <w:tc>
          <w:tcPr>
            <w:tcW w:w="259" w:type="dxa"/>
            <w:tcBorders>
              <w:top w:val="single" w:sz="8" w:space="0" w:color="365F91" w:themeColor="accent1" w:themeShade="BF"/>
              <w:left w:val="nil"/>
              <w:bottom w:val="single" w:sz="8" w:space="0" w:color="365F91" w:themeColor="accent1" w:themeShade="BF"/>
              <w:right w:val="single" w:sz="8" w:space="0" w:color="365F91" w:themeColor="accent1" w:themeShade="BF"/>
            </w:tcBorders>
            <w:shd w:val="clear" w:color="auto" w:fill="auto"/>
            <w:noWrap/>
            <w:vAlign w:val="bottom"/>
            <w:hideMark/>
          </w:tcPr>
          <w:p w14:paraId="4318BF6A" w14:textId="77777777" w:rsidR="00C4454D" w:rsidRPr="00A735B4" w:rsidRDefault="00C4454D" w:rsidP="00C4454D">
            <w:pPr>
              <w:jc w:val="center"/>
              <w:rPr>
                <w:color w:val="1F497D" w:themeColor="text2"/>
              </w:rPr>
            </w:pPr>
            <w:r w:rsidRPr="00A735B4">
              <w:rPr>
                <w:color w:val="1F497D" w:themeColor="text2"/>
              </w:rPr>
              <w:t> </w:t>
            </w:r>
          </w:p>
        </w:tc>
      </w:tr>
      <w:tr w:rsidR="00C4454D" w:rsidRPr="00A735B4" w14:paraId="7F6BBE46" w14:textId="77777777" w:rsidTr="00C4454D">
        <w:trPr>
          <w:trHeight w:val="361"/>
        </w:trPr>
        <w:tc>
          <w:tcPr>
            <w:tcW w:w="1415" w:type="dxa"/>
            <w:tcBorders>
              <w:top w:val="nil"/>
              <w:left w:val="single" w:sz="8" w:space="0" w:color="365F91" w:themeColor="accent1" w:themeShade="BF"/>
              <w:bottom w:val="single" w:sz="8" w:space="0" w:color="365F91" w:themeColor="accent1" w:themeShade="BF"/>
              <w:right w:val="nil"/>
            </w:tcBorders>
            <w:shd w:val="clear" w:color="auto" w:fill="auto"/>
            <w:noWrap/>
            <w:vAlign w:val="bottom"/>
            <w:hideMark/>
          </w:tcPr>
          <w:p w14:paraId="2DACA1F4"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686" w:type="dxa"/>
            <w:tcBorders>
              <w:top w:val="nil"/>
              <w:left w:val="nil"/>
              <w:bottom w:val="single" w:sz="8" w:space="0" w:color="365F91" w:themeColor="accent1" w:themeShade="BF"/>
              <w:right w:val="single" w:sz="8" w:space="0" w:color="365F91" w:themeColor="accent1" w:themeShade="BF"/>
            </w:tcBorders>
            <w:shd w:val="clear" w:color="auto" w:fill="auto"/>
            <w:noWrap/>
            <w:vAlign w:val="bottom"/>
            <w:hideMark/>
          </w:tcPr>
          <w:p w14:paraId="52CDD319" w14:textId="77777777" w:rsidR="00C4454D" w:rsidRPr="00A735B4" w:rsidRDefault="00C4454D" w:rsidP="00C4454D">
            <w:pPr>
              <w:jc w:val="right"/>
              <w:rPr>
                <w:color w:val="1F497D" w:themeColor="text2"/>
                <w:sz w:val="18"/>
                <w:szCs w:val="18"/>
              </w:rPr>
            </w:pPr>
            <w:r w:rsidRPr="00A735B4">
              <w:rPr>
                <w:color w:val="1F497D" w:themeColor="text2"/>
                <w:sz w:val="18"/>
                <w:szCs w:val="18"/>
              </w:rPr>
              <w:t>US$</w:t>
            </w:r>
          </w:p>
        </w:tc>
        <w:tc>
          <w:tcPr>
            <w:tcW w:w="316"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shd w:val="clear" w:color="auto" w:fill="auto"/>
            <w:noWrap/>
            <w:vAlign w:val="bottom"/>
            <w:hideMark/>
          </w:tcPr>
          <w:p w14:paraId="3D284E88" w14:textId="77777777" w:rsidR="00C4454D" w:rsidRPr="00A735B4" w:rsidRDefault="00C4454D" w:rsidP="00C4454D">
            <w:pPr>
              <w:jc w:val="center"/>
              <w:rPr>
                <w:color w:val="1F497D" w:themeColor="text2"/>
                <w:sz w:val="18"/>
                <w:szCs w:val="18"/>
              </w:rPr>
            </w:pPr>
            <w:r w:rsidRPr="00A735B4">
              <w:rPr>
                <w:color w:val="1F497D" w:themeColor="text2"/>
                <w:sz w:val="18"/>
                <w:szCs w:val="18"/>
              </w:rPr>
              <w:t>0</w:t>
            </w:r>
          </w:p>
        </w:tc>
        <w:tc>
          <w:tcPr>
            <w:tcW w:w="519" w:type="dxa"/>
            <w:gridSpan w:val="2"/>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shd w:val="clear" w:color="auto" w:fill="auto"/>
            <w:vAlign w:val="bottom"/>
          </w:tcPr>
          <w:p w14:paraId="4E599930" w14:textId="77777777" w:rsidR="00C4454D" w:rsidRPr="00A735B4" w:rsidRDefault="00C4454D" w:rsidP="00C4454D">
            <w:pPr>
              <w:jc w:val="center"/>
              <w:rPr>
                <w:color w:val="1F497D" w:themeColor="text2"/>
                <w:sz w:val="18"/>
                <w:szCs w:val="18"/>
              </w:rPr>
            </w:pPr>
            <w:r w:rsidRPr="00A735B4">
              <w:rPr>
                <w:color w:val="1F497D" w:themeColor="text2"/>
                <w:sz w:val="18"/>
                <w:szCs w:val="18"/>
              </w:rPr>
              <w:t>0-1</w:t>
            </w:r>
          </w:p>
        </w:tc>
        <w:tc>
          <w:tcPr>
            <w:tcW w:w="519" w:type="dxa"/>
            <w:gridSpan w:val="2"/>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shd w:val="clear" w:color="auto" w:fill="auto"/>
            <w:noWrap/>
            <w:vAlign w:val="bottom"/>
            <w:hideMark/>
          </w:tcPr>
          <w:p w14:paraId="5E56A1D9" w14:textId="77777777" w:rsidR="00C4454D" w:rsidRPr="00A735B4" w:rsidRDefault="00C4454D" w:rsidP="00C4454D">
            <w:pPr>
              <w:jc w:val="center"/>
              <w:rPr>
                <w:color w:val="1F497D" w:themeColor="text2"/>
                <w:sz w:val="18"/>
                <w:szCs w:val="18"/>
              </w:rPr>
            </w:pPr>
            <w:r w:rsidRPr="00A735B4">
              <w:rPr>
                <w:color w:val="1F497D" w:themeColor="text2"/>
                <w:sz w:val="18"/>
                <w:szCs w:val="18"/>
              </w:rPr>
              <w:t>1-2</w:t>
            </w:r>
          </w:p>
        </w:tc>
        <w:tc>
          <w:tcPr>
            <w:tcW w:w="519" w:type="dxa"/>
            <w:gridSpan w:val="2"/>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shd w:val="clear" w:color="auto" w:fill="auto"/>
            <w:noWrap/>
            <w:vAlign w:val="bottom"/>
            <w:hideMark/>
          </w:tcPr>
          <w:p w14:paraId="3C8BF2C0" w14:textId="77777777" w:rsidR="00C4454D" w:rsidRPr="00A735B4" w:rsidRDefault="00C4454D" w:rsidP="00C4454D">
            <w:pPr>
              <w:jc w:val="center"/>
              <w:rPr>
                <w:color w:val="1F497D" w:themeColor="text2"/>
                <w:sz w:val="18"/>
                <w:szCs w:val="18"/>
              </w:rPr>
            </w:pPr>
            <w:r w:rsidRPr="00A735B4">
              <w:rPr>
                <w:color w:val="1F497D" w:themeColor="text2"/>
                <w:sz w:val="18"/>
                <w:szCs w:val="18"/>
              </w:rPr>
              <w:t>2-3</w:t>
            </w:r>
          </w:p>
        </w:tc>
        <w:tc>
          <w:tcPr>
            <w:tcW w:w="519" w:type="dxa"/>
            <w:gridSpan w:val="2"/>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shd w:val="clear" w:color="auto" w:fill="auto"/>
            <w:noWrap/>
            <w:vAlign w:val="bottom"/>
            <w:hideMark/>
          </w:tcPr>
          <w:p w14:paraId="5FEC7F52" w14:textId="77777777" w:rsidR="00C4454D" w:rsidRPr="00A735B4" w:rsidRDefault="00C4454D" w:rsidP="00C4454D">
            <w:pPr>
              <w:jc w:val="center"/>
              <w:rPr>
                <w:color w:val="1F497D" w:themeColor="text2"/>
                <w:sz w:val="18"/>
                <w:szCs w:val="18"/>
              </w:rPr>
            </w:pPr>
            <w:r w:rsidRPr="00A735B4">
              <w:rPr>
                <w:color w:val="1F497D" w:themeColor="text2"/>
                <w:sz w:val="18"/>
                <w:szCs w:val="18"/>
              </w:rPr>
              <w:t>3-4</w:t>
            </w:r>
          </w:p>
        </w:tc>
        <w:tc>
          <w:tcPr>
            <w:tcW w:w="519" w:type="dxa"/>
            <w:gridSpan w:val="2"/>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shd w:val="clear" w:color="auto" w:fill="auto"/>
            <w:noWrap/>
            <w:vAlign w:val="bottom"/>
            <w:hideMark/>
          </w:tcPr>
          <w:p w14:paraId="0EDD6940" w14:textId="77777777" w:rsidR="00C4454D" w:rsidRPr="00A735B4" w:rsidRDefault="00C4454D" w:rsidP="00C4454D">
            <w:pPr>
              <w:jc w:val="center"/>
              <w:rPr>
                <w:color w:val="1F497D" w:themeColor="text2"/>
                <w:sz w:val="18"/>
                <w:szCs w:val="18"/>
              </w:rPr>
            </w:pPr>
            <w:r w:rsidRPr="00A735B4">
              <w:rPr>
                <w:color w:val="1F497D" w:themeColor="text2"/>
                <w:sz w:val="18"/>
                <w:szCs w:val="18"/>
              </w:rPr>
              <w:t>4-5</w:t>
            </w:r>
          </w:p>
        </w:tc>
        <w:tc>
          <w:tcPr>
            <w:tcW w:w="519" w:type="dxa"/>
            <w:gridSpan w:val="2"/>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shd w:val="clear" w:color="auto" w:fill="auto"/>
            <w:noWrap/>
            <w:vAlign w:val="bottom"/>
            <w:hideMark/>
          </w:tcPr>
          <w:p w14:paraId="5F1B6469" w14:textId="77777777" w:rsidR="00C4454D" w:rsidRPr="00A735B4" w:rsidRDefault="00C4454D" w:rsidP="00C4454D">
            <w:pPr>
              <w:jc w:val="center"/>
              <w:rPr>
                <w:color w:val="1F497D" w:themeColor="text2"/>
                <w:sz w:val="18"/>
                <w:szCs w:val="18"/>
              </w:rPr>
            </w:pPr>
            <w:r w:rsidRPr="00A735B4">
              <w:rPr>
                <w:color w:val="1F497D" w:themeColor="text2"/>
                <w:sz w:val="18"/>
                <w:szCs w:val="18"/>
              </w:rPr>
              <w:t>5-6</w:t>
            </w:r>
          </w:p>
        </w:tc>
        <w:tc>
          <w:tcPr>
            <w:tcW w:w="519" w:type="dxa"/>
            <w:gridSpan w:val="2"/>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shd w:val="clear" w:color="auto" w:fill="auto"/>
            <w:noWrap/>
            <w:vAlign w:val="bottom"/>
            <w:hideMark/>
          </w:tcPr>
          <w:p w14:paraId="38E7F7C5" w14:textId="77777777" w:rsidR="00C4454D" w:rsidRPr="00A735B4" w:rsidRDefault="00C4454D" w:rsidP="00C4454D">
            <w:pPr>
              <w:jc w:val="center"/>
              <w:rPr>
                <w:color w:val="1F497D" w:themeColor="text2"/>
                <w:sz w:val="18"/>
                <w:szCs w:val="18"/>
              </w:rPr>
            </w:pPr>
            <w:r w:rsidRPr="00A735B4">
              <w:rPr>
                <w:color w:val="1F497D" w:themeColor="text2"/>
                <w:sz w:val="18"/>
                <w:szCs w:val="18"/>
              </w:rPr>
              <w:t>6-7</w:t>
            </w:r>
          </w:p>
        </w:tc>
        <w:tc>
          <w:tcPr>
            <w:tcW w:w="519" w:type="dxa"/>
            <w:gridSpan w:val="2"/>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shd w:val="clear" w:color="auto" w:fill="auto"/>
            <w:noWrap/>
            <w:vAlign w:val="bottom"/>
            <w:hideMark/>
          </w:tcPr>
          <w:p w14:paraId="3619226C" w14:textId="77777777" w:rsidR="00C4454D" w:rsidRPr="00A735B4" w:rsidRDefault="00C4454D" w:rsidP="00C4454D">
            <w:pPr>
              <w:jc w:val="center"/>
              <w:rPr>
                <w:color w:val="1F497D" w:themeColor="text2"/>
                <w:sz w:val="18"/>
                <w:szCs w:val="18"/>
              </w:rPr>
            </w:pPr>
            <w:r w:rsidRPr="00A735B4">
              <w:rPr>
                <w:color w:val="1F497D" w:themeColor="text2"/>
                <w:sz w:val="18"/>
                <w:szCs w:val="18"/>
              </w:rPr>
              <w:t>7-8</w:t>
            </w:r>
          </w:p>
        </w:tc>
        <w:tc>
          <w:tcPr>
            <w:tcW w:w="519" w:type="dxa"/>
            <w:gridSpan w:val="2"/>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shd w:val="clear" w:color="auto" w:fill="auto"/>
            <w:noWrap/>
            <w:vAlign w:val="bottom"/>
            <w:hideMark/>
          </w:tcPr>
          <w:p w14:paraId="7D4A6B9D" w14:textId="77777777" w:rsidR="00C4454D" w:rsidRPr="00A735B4" w:rsidRDefault="00C4454D" w:rsidP="00C4454D">
            <w:pPr>
              <w:jc w:val="center"/>
              <w:rPr>
                <w:color w:val="1F497D" w:themeColor="text2"/>
                <w:sz w:val="18"/>
                <w:szCs w:val="18"/>
              </w:rPr>
            </w:pPr>
            <w:r w:rsidRPr="00A735B4">
              <w:rPr>
                <w:color w:val="1F497D" w:themeColor="text2"/>
                <w:sz w:val="18"/>
                <w:szCs w:val="18"/>
              </w:rPr>
              <w:t>8-9</w:t>
            </w:r>
          </w:p>
        </w:tc>
        <w:tc>
          <w:tcPr>
            <w:tcW w:w="519" w:type="dxa"/>
            <w:gridSpan w:val="2"/>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shd w:val="clear" w:color="auto" w:fill="auto"/>
            <w:noWrap/>
            <w:vAlign w:val="bottom"/>
            <w:hideMark/>
          </w:tcPr>
          <w:p w14:paraId="2B0F52D5" w14:textId="77777777" w:rsidR="00C4454D" w:rsidRPr="00A735B4" w:rsidRDefault="00C4454D" w:rsidP="00C4454D">
            <w:pPr>
              <w:jc w:val="center"/>
              <w:rPr>
                <w:color w:val="1F497D" w:themeColor="text2"/>
                <w:sz w:val="18"/>
                <w:szCs w:val="18"/>
              </w:rPr>
            </w:pPr>
            <w:r w:rsidRPr="00A735B4">
              <w:rPr>
                <w:color w:val="1F497D" w:themeColor="text2"/>
                <w:sz w:val="18"/>
                <w:szCs w:val="18"/>
              </w:rPr>
              <w:t>9-10</w:t>
            </w:r>
          </w:p>
        </w:tc>
        <w:tc>
          <w:tcPr>
            <w:tcW w:w="519" w:type="dxa"/>
            <w:gridSpan w:val="2"/>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shd w:val="clear" w:color="auto" w:fill="auto"/>
            <w:noWrap/>
            <w:vAlign w:val="bottom"/>
            <w:hideMark/>
          </w:tcPr>
          <w:p w14:paraId="05E98555" w14:textId="77777777" w:rsidR="00C4454D" w:rsidRPr="00A735B4" w:rsidRDefault="00C4454D" w:rsidP="00C4454D">
            <w:pPr>
              <w:jc w:val="center"/>
              <w:rPr>
                <w:color w:val="1F497D" w:themeColor="text2"/>
                <w:sz w:val="18"/>
                <w:szCs w:val="18"/>
              </w:rPr>
            </w:pPr>
            <w:r w:rsidRPr="00A735B4">
              <w:rPr>
                <w:color w:val="1F497D" w:themeColor="text2"/>
                <w:sz w:val="18"/>
                <w:szCs w:val="18"/>
              </w:rPr>
              <w:t>10-11</w:t>
            </w:r>
          </w:p>
        </w:tc>
        <w:tc>
          <w:tcPr>
            <w:tcW w:w="519" w:type="dxa"/>
            <w:gridSpan w:val="2"/>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shd w:val="clear" w:color="auto" w:fill="auto"/>
            <w:noWrap/>
            <w:vAlign w:val="bottom"/>
            <w:hideMark/>
          </w:tcPr>
          <w:p w14:paraId="6AACBA16" w14:textId="77777777" w:rsidR="00C4454D" w:rsidRPr="00A735B4" w:rsidRDefault="00C4454D" w:rsidP="00C4454D">
            <w:pPr>
              <w:jc w:val="center"/>
              <w:rPr>
                <w:color w:val="1F497D" w:themeColor="text2"/>
                <w:sz w:val="18"/>
                <w:szCs w:val="18"/>
              </w:rPr>
            </w:pPr>
            <w:r w:rsidRPr="00A735B4">
              <w:rPr>
                <w:color w:val="1F497D" w:themeColor="text2"/>
                <w:sz w:val="18"/>
                <w:szCs w:val="18"/>
              </w:rPr>
              <w:t>11-12</w:t>
            </w:r>
          </w:p>
        </w:tc>
      </w:tr>
      <w:tr w:rsidR="00C4454D" w:rsidRPr="00A735B4" w14:paraId="1EC22996" w14:textId="77777777" w:rsidTr="00C4454D">
        <w:trPr>
          <w:trHeight w:val="205"/>
        </w:trPr>
        <w:tc>
          <w:tcPr>
            <w:tcW w:w="2101" w:type="dxa"/>
            <w:gridSpan w:val="2"/>
            <w:tcBorders>
              <w:top w:val="single" w:sz="8" w:space="0" w:color="365F91" w:themeColor="accent1" w:themeShade="BF"/>
              <w:left w:val="single" w:sz="8" w:space="0" w:color="365F91" w:themeColor="accent1" w:themeShade="BF"/>
              <w:bottom w:val="nil"/>
              <w:right w:val="single" w:sz="8" w:space="0" w:color="365F91" w:themeColor="accent1" w:themeShade="BF"/>
            </w:tcBorders>
            <w:shd w:val="clear" w:color="auto" w:fill="auto"/>
            <w:noWrap/>
            <w:vAlign w:val="bottom"/>
            <w:hideMark/>
          </w:tcPr>
          <w:p w14:paraId="636F6CED" w14:textId="77777777" w:rsidR="00C4454D" w:rsidRPr="00A735B4" w:rsidRDefault="00C4454D" w:rsidP="00C4454D">
            <w:pPr>
              <w:rPr>
                <w:b/>
                <w:bCs/>
                <w:color w:val="1F497D" w:themeColor="text2"/>
                <w:sz w:val="18"/>
                <w:szCs w:val="18"/>
              </w:rPr>
            </w:pPr>
            <w:r w:rsidRPr="00A735B4">
              <w:rPr>
                <w:b/>
                <w:bCs/>
                <w:color w:val="1F497D" w:themeColor="text2"/>
                <w:sz w:val="18"/>
                <w:szCs w:val="18"/>
              </w:rPr>
              <w:t>CHECK PAYMENTS</w:t>
            </w:r>
          </w:p>
        </w:tc>
        <w:tc>
          <w:tcPr>
            <w:tcW w:w="316" w:type="dxa"/>
            <w:tcBorders>
              <w:top w:val="single" w:sz="8" w:space="0" w:color="365F91" w:themeColor="accent1" w:themeShade="BF"/>
              <w:left w:val="single" w:sz="8" w:space="0" w:color="365F91" w:themeColor="accent1" w:themeShade="BF"/>
              <w:bottom w:val="nil"/>
              <w:right w:val="single" w:sz="8" w:space="0" w:color="365F91" w:themeColor="accent1" w:themeShade="BF"/>
            </w:tcBorders>
            <w:shd w:val="clear" w:color="auto" w:fill="auto"/>
            <w:noWrap/>
            <w:vAlign w:val="bottom"/>
            <w:hideMark/>
          </w:tcPr>
          <w:p w14:paraId="44B2B6B6"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single" w:sz="8" w:space="0" w:color="365F91" w:themeColor="accent1" w:themeShade="BF"/>
              <w:left w:val="single" w:sz="8" w:space="0" w:color="365F91" w:themeColor="accent1" w:themeShade="BF"/>
              <w:bottom w:val="nil"/>
              <w:right w:val="nil"/>
            </w:tcBorders>
            <w:shd w:val="clear" w:color="auto" w:fill="auto"/>
            <w:noWrap/>
            <w:vAlign w:val="bottom"/>
            <w:hideMark/>
          </w:tcPr>
          <w:p w14:paraId="17182C33"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single" w:sz="8" w:space="0" w:color="365F91" w:themeColor="accent1" w:themeShade="BF"/>
              <w:left w:val="nil"/>
              <w:bottom w:val="nil"/>
              <w:right w:val="single" w:sz="8" w:space="0" w:color="365F91" w:themeColor="accent1" w:themeShade="BF"/>
            </w:tcBorders>
            <w:shd w:val="clear" w:color="auto" w:fill="auto"/>
            <w:noWrap/>
            <w:vAlign w:val="bottom"/>
            <w:hideMark/>
          </w:tcPr>
          <w:p w14:paraId="15647054"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single" w:sz="8" w:space="0" w:color="365F91" w:themeColor="accent1" w:themeShade="BF"/>
              <w:left w:val="single" w:sz="8" w:space="0" w:color="365F91" w:themeColor="accent1" w:themeShade="BF"/>
              <w:bottom w:val="nil"/>
              <w:right w:val="nil"/>
            </w:tcBorders>
            <w:shd w:val="clear" w:color="auto" w:fill="auto"/>
            <w:noWrap/>
            <w:vAlign w:val="bottom"/>
            <w:hideMark/>
          </w:tcPr>
          <w:p w14:paraId="49360B26"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single" w:sz="8" w:space="0" w:color="365F91" w:themeColor="accent1" w:themeShade="BF"/>
              <w:left w:val="nil"/>
              <w:bottom w:val="nil"/>
              <w:right w:val="single" w:sz="8" w:space="0" w:color="365F91" w:themeColor="accent1" w:themeShade="BF"/>
            </w:tcBorders>
            <w:shd w:val="clear" w:color="auto" w:fill="auto"/>
            <w:noWrap/>
            <w:vAlign w:val="bottom"/>
            <w:hideMark/>
          </w:tcPr>
          <w:p w14:paraId="39569955"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single" w:sz="8" w:space="0" w:color="365F91" w:themeColor="accent1" w:themeShade="BF"/>
              <w:left w:val="single" w:sz="8" w:space="0" w:color="365F91" w:themeColor="accent1" w:themeShade="BF"/>
              <w:bottom w:val="nil"/>
              <w:right w:val="nil"/>
            </w:tcBorders>
            <w:shd w:val="clear" w:color="auto" w:fill="auto"/>
            <w:noWrap/>
            <w:vAlign w:val="bottom"/>
            <w:hideMark/>
          </w:tcPr>
          <w:p w14:paraId="4A451444"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single" w:sz="8" w:space="0" w:color="365F91" w:themeColor="accent1" w:themeShade="BF"/>
              <w:left w:val="nil"/>
              <w:bottom w:val="nil"/>
              <w:right w:val="single" w:sz="8" w:space="0" w:color="365F91" w:themeColor="accent1" w:themeShade="BF"/>
            </w:tcBorders>
            <w:shd w:val="clear" w:color="auto" w:fill="auto"/>
            <w:noWrap/>
            <w:vAlign w:val="bottom"/>
            <w:hideMark/>
          </w:tcPr>
          <w:p w14:paraId="57274BFE"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single" w:sz="8" w:space="0" w:color="365F91" w:themeColor="accent1" w:themeShade="BF"/>
              <w:left w:val="single" w:sz="8" w:space="0" w:color="365F91" w:themeColor="accent1" w:themeShade="BF"/>
              <w:bottom w:val="nil"/>
              <w:right w:val="nil"/>
            </w:tcBorders>
            <w:shd w:val="clear" w:color="auto" w:fill="auto"/>
            <w:noWrap/>
            <w:vAlign w:val="bottom"/>
            <w:hideMark/>
          </w:tcPr>
          <w:p w14:paraId="199B4091"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single" w:sz="8" w:space="0" w:color="365F91" w:themeColor="accent1" w:themeShade="BF"/>
              <w:left w:val="nil"/>
              <w:bottom w:val="nil"/>
              <w:right w:val="single" w:sz="8" w:space="0" w:color="365F91" w:themeColor="accent1" w:themeShade="BF"/>
            </w:tcBorders>
            <w:shd w:val="clear" w:color="auto" w:fill="auto"/>
            <w:noWrap/>
            <w:vAlign w:val="bottom"/>
            <w:hideMark/>
          </w:tcPr>
          <w:p w14:paraId="7408C6BA"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single" w:sz="8" w:space="0" w:color="365F91" w:themeColor="accent1" w:themeShade="BF"/>
              <w:left w:val="single" w:sz="8" w:space="0" w:color="365F91" w:themeColor="accent1" w:themeShade="BF"/>
              <w:bottom w:val="nil"/>
              <w:right w:val="nil"/>
            </w:tcBorders>
            <w:shd w:val="clear" w:color="auto" w:fill="auto"/>
            <w:noWrap/>
            <w:vAlign w:val="bottom"/>
            <w:hideMark/>
          </w:tcPr>
          <w:p w14:paraId="0FBCB56D"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single" w:sz="8" w:space="0" w:color="365F91" w:themeColor="accent1" w:themeShade="BF"/>
              <w:left w:val="nil"/>
              <w:bottom w:val="nil"/>
              <w:right w:val="single" w:sz="8" w:space="0" w:color="365F91" w:themeColor="accent1" w:themeShade="BF"/>
            </w:tcBorders>
            <w:shd w:val="clear" w:color="auto" w:fill="auto"/>
            <w:noWrap/>
            <w:vAlign w:val="bottom"/>
            <w:hideMark/>
          </w:tcPr>
          <w:p w14:paraId="5588C0C8"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single" w:sz="8" w:space="0" w:color="365F91" w:themeColor="accent1" w:themeShade="BF"/>
              <w:left w:val="single" w:sz="8" w:space="0" w:color="365F91" w:themeColor="accent1" w:themeShade="BF"/>
              <w:bottom w:val="nil"/>
              <w:right w:val="nil"/>
            </w:tcBorders>
            <w:shd w:val="clear" w:color="auto" w:fill="auto"/>
            <w:noWrap/>
            <w:vAlign w:val="bottom"/>
            <w:hideMark/>
          </w:tcPr>
          <w:p w14:paraId="7A589C9B"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single" w:sz="8" w:space="0" w:color="365F91" w:themeColor="accent1" w:themeShade="BF"/>
              <w:left w:val="nil"/>
              <w:bottom w:val="nil"/>
              <w:right w:val="single" w:sz="8" w:space="0" w:color="365F91" w:themeColor="accent1" w:themeShade="BF"/>
            </w:tcBorders>
            <w:shd w:val="clear" w:color="auto" w:fill="auto"/>
            <w:noWrap/>
            <w:vAlign w:val="bottom"/>
            <w:hideMark/>
          </w:tcPr>
          <w:p w14:paraId="347CF25A"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single" w:sz="8" w:space="0" w:color="365F91" w:themeColor="accent1" w:themeShade="BF"/>
              <w:left w:val="single" w:sz="8" w:space="0" w:color="365F91" w:themeColor="accent1" w:themeShade="BF"/>
              <w:bottom w:val="nil"/>
              <w:right w:val="nil"/>
            </w:tcBorders>
            <w:shd w:val="clear" w:color="auto" w:fill="auto"/>
            <w:noWrap/>
            <w:vAlign w:val="bottom"/>
            <w:hideMark/>
          </w:tcPr>
          <w:p w14:paraId="386A2CE7"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single" w:sz="8" w:space="0" w:color="365F91" w:themeColor="accent1" w:themeShade="BF"/>
              <w:left w:val="nil"/>
              <w:bottom w:val="nil"/>
              <w:right w:val="single" w:sz="8" w:space="0" w:color="365F91" w:themeColor="accent1" w:themeShade="BF"/>
            </w:tcBorders>
            <w:shd w:val="clear" w:color="auto" w:fill="auto"/>
            <w:noWrap/>
            <w:vAlign w:val="bottom"/>
            <w:hideMark/>
          </w:tcPr>
          <w:p w14:paraId="5C497B53"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single" w:sz="8" w:space="0" w:color="365F91" w:themeColor="accent1" w:themeShade="BF"/>
              <w:left w:val="single" w:sz="8" w:space="0" w:color="365F91" w:themeColor="accent1" w:themeShade="BF"/>
              <w:bottom w:val="nil"/>
              <w:right w:val="nil"/>
            </w:tcBorders>
            <w:shd w:val="clear" w:color="auto" w:fill="auto"/>
            <w:noWrap/>
            <w:vAlign w:val="bottom"/>
            <w:hideMark/>
          </w:tcPr>
          <w:p w14:paraId="0A0CFE17"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single" w:sz="8" w:space="0" w:color="365F91" w:themeColor="accent1" w:themeShade="BF"/>
              <w:left w:val="nil"/>
              <w:bottom w:val="nil"/>
              <w:right w:val="single" w:sz="8" w:space="0" w:color="365F91" w:themeColor="accent1" w:themeShade="BF"/>
            </w:tcBorders>
            <w:shd w:val="clear" w:color="auto" w:fill="auto"/>
            <w:noWrap/>
            <w:vAlign w:val="bottom"/>
            <w:hideMark/>
          </w:tcPr>
          <w:p w14:paraId="2F7C7127"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single" w:sz="8" w:space="0" w:color="365F91" w:themeColor="accent1" w:themeShade="BF"/>
              <w:left w:val="single" w:sz="8" w:space="0" w:color="365F91" w:themeColor="accent1" w:themeShade="BF"/>
              <w:bottom w:val="nil"/>
              <w:right w:val="nil"/>
            </w:tcBorders>
            <w:shd w:val="clear" w:color="auto" w:fill="auto"/>
            <w:noWrap/>
            <w:vAlign w:val="bottom"/>
            <w:hideMark/>
          </w:tcPr>
          <w:p w14:paraId="540DB2DE"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single" w:sz="8" w:space="0" w:color="365F91" w:themeColor="accent1" w:themeShade="BF"/>
              <w:left w:val="nil"/>
              <w:bottom w:val="nil"/>
              <w:right w:val="single" w:sz="8" w:space="0" w:color="365F91" w:themeColor="accent1" w:themeShade="BF"/>
            </w:tcBorders>
            <w:shd w:val="clear" w:color="auto" w:fill="auto"/>
            <w:noWrap/>
            <w:vAlign w:val="bottom"/>
            <w:hideMark/>
          </w:tcPr>
          <w:p w14:paraId="2C93D65A"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single" w:sz="8" w:space="0" w:color="365F91" w:themeColor="accent1" w:themeShade="BF"/>
              <w:left w:val="single" w:sz="8" w:space="0" w:color="365F91" w:themeColor="accent1" w:themeShade="BF"/>
              <w:bottom w:val="nil"/>
              <w:right w:val="nil"/>
            </w:tcBorders>
            <w:shd w:val="clear" w:color="auto" w:fill="auto"/>
            <w:noWrap/>
            <w:vAlign w:val="bottom"/>
            <w:hideMark/>
          </w:tcPr>
          <w:p w14:paraId="3E92FD28"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single" w:sz="8" w:space="0" w:color="365F91" w:themeColor="accent1" w:themeShade="BF"/>
              <w:left w:val="nil"/>
              <w:bottom w:val="nil"/>
              <w:right w:val="single" w:sz="8" w:space="0" w:color="365F91" w:themeColor="accent1" w:themeShade="BF"/>
            </w:tcBorders>
            <w:shd w:val="clear" w:color="auto" w:fill="auto"/>
            <w:noWrap/>
            <w:vAlign w:val="bottom"/>
            <w:hideMark/>
          </w:tcPr>
          <w:p w14:paraId="2806C5CB"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single" w:sz="8" w:space="0" w:color="365F91" w:themeColor="accent1" w:themeShade="BF"/>
              <w:left w:val="single" w:sz="8" w:space="0" w:color="365F91" w:themeColor="accent1" w:themeShade="BF"/>
              <w:bottom w:val="nil"/>
              <w:right w:val="nil"/>
            </w:tcBorders>
            <w:shd w:val="clear" w:color="auto" w:fill="auto"/>
            <w:noWrap/>
            <w:vAlign w:val="bottom"/>
            <w:hideMark/>
          </w:tcPr>
          <w:p w14:paraId="26DEC38E"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single" w:sz="8" w:space="0" w:color="365F91" w:themeColor="accent1" w:themeShade="BF"/>
              <w:left w:val="nil"/>
              <w:bottom w:val="nil"/>
              <w:right w:val="single" w:sz="8" w:space="0" w:color="365F91" w:themeColor="accent1" w:themeShade="BF"/>
            </w:tcBorders>
            <w:shd w:val="clear" w:color="auto" w:fill="auto"/>
            <w:noWrap/>
            <w:vAlign w:val="bottom"/>
            <w:hideMark/>
          </w:tcPr>
          <w:p w14:paraId="4B00EB03"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single" w:sz="8" w:space="0" w:color="365F91" w:themeColor="accent1" w:themeShade="BF"/>
              <w:left w:val="single" w:sz="8" w:space="0" w:color="365F91" w:themeColor="accent1" w:themeShade="BF"/>
              <w:bottom w:val="nil"/>
              <w:right w:val="nil"/>
            </w:tcBorders>
            <w:shd w:val="clear" w:color="auto" w:fill="auto"/>
            <w:noWrap/>
            <w:vAlign w:val="bottom"/>
            <w:hideMark/>
          </w:tcPr>
          <w:p w14:paraId="7D44B66A"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single" w:sz="8" w:space="0" w:color="365F91" w:themeColor="accent1" w:themeShade="BF"/>
              <w:left w:val="nil"/>
              <w:bottom w:val="nil"/>
              <w:right w:val="single" w:sz="8" w:space="0" w:color="365F91" w:themeColor="accent1" w:themeShade="BF"/>
            </w:tcBorders>
            <w:shd w:val="clear" w:color="auto" w:fill="auto"/>
            <w:noWrap/>
            <w:vAlign w:val="bottom"/>
            <w:hideMark/>
          </w:tcPr>
          <w:p w14:paraId="50170907" w14:textId="77777777" w:rsidR="00C4454D" w:rsidRPr="00A735B4" w:rsidRDefault="00C4454D" w:rsidP="00C4454D">
            <w:pPr>
              <w:rPr>
                <w:color w:val="1F497D" w:themeColor="text2"/>
              </w:rPr>
            </w:pPr>
            <w:r w:rsidRPr="00A735B4">
              <w:rPr>
                <w:color w:val="1F497D" w:themeColor="text2"/>
              </w:rPr>
              <w:t> </w:t>
            </w:r>
          </w:p>
        </w:tc>
      </w:tr>
      <w:tr w:rsidR="00C4454D" w:rsidRPr="00A735B4" w14:paraId="3C097D33" w14:textId="77777777" w:rsidTr="00C4454D">
        <w:trPr>
          <w:trHeight w:val="205"/>
        </w:trPr>
        <w:tc>
          <w:tcPr>
            <w:tcW w:w="1415" w:type="dxa"/>
            <w:tcBorders>
              <w:top w:val="nil"/>
              <w:left w:val="single" w:sz="8" w:space="0" w:color="365F91" w:themeColor="accent1" w:themeShade="BF"/>
              <w:bottom w:val="nil"/>
              <w:right w:val="nil"/>
            </w:tcBorders>
            <w:shd w:val="clear" w:color="auto" w:fill="auto"/>
            <w:noWrap/>
            <w:vAlign w:val="bottom"/>
            <w:hideMark/>
          </w:tcPr>
          <w:p w14:paraId="19C22361" w14:textId="77777777" w:rsidR="00C4454D" w:rsidRPr="00A735B4" w:rsidRDefault="00C4454D" w:rsidP="00C4454D">
            <w:pPr>
              <w:rPr>
                <w:color w:val="1F497D" w:themeColor="text2"/>
                <w:sz w:val="18"/>
                <w:szCs w:val="18"/>
              </w:rPr>
            </w:pPr>
            <w:r w:rsidRPr="00A735B4">
              <w:rPr>
                <w:color w:val="1F497D" w:themeColor="text2"/>
                <w:sz w:val="18"/>
                <w:szCs w:val="18"/>
              </w:rPr>
              <w:t>Kenya</w:t>
            </w:r>
          </w:p>
        </w:tc>
        <w:tc>
          <w:tcPr>
            <w:tcW w:w="686" w:type="dxa"/>
            <w:tcBorders>
              <w:top w:val="nil"/>
              <w:left w:val="nil"/>
              <w:bottom w:val="nil"/>
              <w:right w:val="single" w:sz="8" w:space="0" w:color="365F91" w:themeColor="accent1" w:themeShade="BF"/>
            </w:tcBorders>
            <w:shd w:val="clear" w:color="auto" w:fill="auto"/>
            <w:noWrap/>
            <w:vAlign w:val="bottom"/>
            <w:hideMark/>
          </w:tcPr>
          <w:p w14:paraId="47D40971" w14:textId="77777777" w:rsidR="00C4454D" w:rsidRPr="00A735B4" w:rsidRDefault="00C4454D" w:rsidP="00C4454D">
            <w:pPr>
              <w:rPr>
                <w:color w:val="1F497D" w:themeColor="text2"/>
                <w:sz w:val="18"/>
                <w:szCs w:val="18"/>
              </w:rPr>
            </w:pPr>
          </w:p>
        </w:tc>
        <w:tc>
          <w:tcPr>
            <w:tcW w:w="316" w:type="dxa"/>
            <w:tcBorders>
              <w:top w:val="nil"/>
              <w:left w:val="single" w:sz="8" w:space="0" w:color="365F91" w:themeColor="accent1" w:themeShade="BF"/>
              <w:bottom w:val="nil"/>
              <w:right w:val="single" w:sz="8" w:space="0" w:color="365F91" w:themeColor="accent1" w:themeShade="BF"/>
            </w:tcBorders>
            <w:shd w:val="clear" w:color="auto" w:fill="365F91" w:themeFill="accent1" w:themeFillShade="BF"/>
            <w:noWrap/>
            <w:vAlign w:val="bottom"/>
            <w:hideMark/>
          </w:tcPr>
          <w:p w14:paraId="2C7B1FA6"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nil"/>
              <w:right w:val="nil"/>
            </w:tcBorders>
            <w:shd w:val="clear" w:color="auto" w:fill="365F91" w:themeFill="accent1" w:themeFillShade="BF"/>
            <w:noWrap/>
            <w:vAlign w:val="bottom"/>
            <w:hideMark/>
          </w:tcPr>
          <w:p w14:paraId="0A79F6DA"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nil"/>
              <w:right w:val="single" w:sz="8" w:space="0" w:color="365F91" w:themeColor="accent1" w:themeShade="BF"/>
            </w:tcBorders>
            <w:shd w:val="clear" w:color="auto" w:fill="365F91" w:themeFill="accent1" w:themeFillShade="BF"/>
            <w:noWrap/>
            <w:vAlign w:val="bottom"/>
            <w:hideMark/>
          </w:tcPr>
          <w:p w14:paraId="03FFD0FB"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nil"/>
              <w:right w:val="nil"/>
            </w:tcBorders>
            <w:shd w:val="clear" w:color="auto" w:fill="365F91" w:themeFill="accent1" w:themeFillShade="BF"/>
            <w:noWrap/>
            <w:vAlign w:val="bottom"/>
            <w:hideMark/>
          </w:tcPr>
          <w:p w14:paraId="0800E11D"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nil"/>
              <w:right w:val="single" w:sz="8" w:space="0" w:color="365F91" w:themeColor="accent1" w:themeShade="BF"/>
            </w:tcBorders>
            <w:shd w:val="clear" w:color="auto" w:fill="auto"/>
            <w:noWrap/>
            <w:vAlign w:val="bottom"/>
            <w:hideMark/>
          </w:tcPr>
          <w:p w14:paraId="24C8C44B"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nil"/>
              <w:right w:val="nil"/>
            </w:tcBorders>
            <w:shd w:val="clear" w:color="auto" w:fill="auto"/>
            <w:noWrap/>
            <w:vAlign w:val="bottom"/>
            <w:hideMark/>
          </w:tcPr>
          <w:p w14:paraId="451F31E9" w14:textId="77777777" w:rsidR="00C4454D" w:rsidRPr="00A735B4" w:rsidRDefault="00C4454D" w:rsidP="00C4454D">
            <w:pPr>
              <w:rPr>
                <w:color w:val="1F497D" w:themeColor="text2"/>
                <w:sz w:val="18"/>
                <w:szCs w:val="18"/>
              </w:rPr>
            </w:pPr>
          </w:p>
        </w:tc>
        <w:tc>
          <w:tcPr>
            <w:tcW w:w="259" w:type="dxa"/>
            <w:tcBorders>
              <w:top w:val="nil"/>
              <w:left w:val="nil"/>
              <w:bottom w:val="nil"/>
              <w:right w:val="single" w:sz="8" w:space="0" w:color="365F91" w:themeColor="accent1" w:themeShade="BF"/>
            </w:tcBorders>
            <w:shd w:val="clear" w:color="auto" w:fill="auto"/>
            <w:noWrap/>
            <w:vAlign w:val="bottom"/>
            <w:hideMark/>
          </w:tcPr>
          <w:p w14:paraId="58CA881E" w14:textId="77777777" w:rsidR="00C4454D" w:rsidRPr="00A735B4" w:rsidRDefault="00C4454D" w:rsidP="00C4454D">
            <w:pPr>
              <w:rPr>
                <w:color w:val="1F497D" w:themeColor="text2"/>
                <w:sz w:val="18"/>
                <w:szCs w:val="18"/>
              </w:rPr>
            </w:pPr>
          </w:p>
        </w:tc>
        <w:tc>
          <w:tcPr>
            <w:tcW w:w="259" w:type="dxa"/>
            <w:tcBorders>
              <w:top w:val="nil"/>
              <w:left w:val="single" w:sz="8" w:space="0" w:color="365F91" w:themeColor="accent1" w:themeShade="BF"/>
              <w:bottom w:val="nil"/>
              <w:right w:val="nil"/>
            </w:tcBorders>
            <w:shd w:val="clear" w:color="auto" w:fill="auto"/>
            <w:noWrap/>
            <w:vAlign w:val="bottom"/>
            <w:hideMark/>
          </w:tcPr>
          <w:p w14:paraId="6CD4C3E2"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nil"/>
              <w:right w:val="single" w:sz="8" w:space="0" w:color="365F91" w:themeColor="accent1" w:themeShade="BF"/>
            </w:tcBorders>
            <w:shd w:val="clear" w:color="auto" w:fill="auto"/>
            <w:noWrap/>
            <w:vAlign w:val="bottom"/>
            <w:hideMark/>
          </w:tcPr>
          <w:p w14:paraId="396B9EE7"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nil"/>
              <w:right w:val="nil"/>
            </w:tcBorders>
            <w:shd w:val="clear" w:color="auto" w:fill="auto"/>
            <w:noWrap/>
            <w:vAlign w:val="bottom"/>
            <w:hideMark/>
          </w:tcPr>
          <w:p w14:paraId="70BBC9AC"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nil"/>
              <w:right w:val="single" w:sz="8" w:space="0" w:color="365F91" w:themeColor="accent1" w:themeShade="BF"/>
            </w:tcBorders>
            <w:shd w:val="clear" w:color="auto" w:fill="auto"/>
            <w:noWrap/>
            <w:vAlign w:val="bottom"/>
            <w:hideMark/>
          </w:tcPr>
          <w:p w14:paraId="6F34CFCE"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nil"/>
              <w:right w:val="nil"/>
            </w:tcBorders>
            <w:shd w:val="clear" w:color="auto" w:fill="auto"/>
            <w:noWrap/>
            <w:vAlign w:val="bottom"/>
            <w:hideMark/>
          </w:tcPr>
          <w:p w14:paraId="581509A5" w14:textId="77777777" w:rsidR="00C4454D" w:rsidRPr="00A735B4" w:rsidRDefault="00C4454D" w:rsidP="00C4454D">
            <w:pPr>
              <w:rPr>
                <w:color w:val="1F497D" w:themeColor="text2"/>
                <w:sz w:val="18"/>
                <w:szCs w:val="18"/>
              </w:rPr>
            </w:pPr>
          </w:p>
        </w:tc>
        <w:tc>
          <w:tcPr>
            <w:tcW w:w="259" w:type="dxa"/>
            <w:tcBorders>
              <w:top w:val="nil"/>
              <w:left w:val="nil"/>
              <w:bottom w:val="nil"/>
              <w:right w:val="single" w:sz="8" w:space="0" w:color="365F91" w:themeColor="accent1" w:themeShade="BF"/>
            </w:tcBorders>
            <w:shd w:val="clear" w:color="auto" w:fill="auto"/>
            <w:noWrap/>
            <w:vAlign w:val="bottom"/>
            <w:hideMark/>
          </w:tcPr>
          <w:p w14:paraId="3A1FE9DD" w14:textId="77777777" w:rsidR="00C4454D" w:rsidRPr="00A735B4" w:rsidRDefault="00C4454D" w:rsidP="00C4454D">
            <w:pPr>
              <w:rPr>
                <w:color w:val="1F497D" w:themeColor="text2"/>
                <w:sz w:val="18"/>
                <w:szCs w:val="18"/>
              </w:rPr>
            </w:pPr>
          </w:p>
        </w:tc>
        <w:tc>
          <w:tcPr>
            <w:tcW w:w="259" w:type="dxa"/>
            <w:tcBorders>
              <w:top w:val="nil"/>
              <w:left w:val="single" w:sz="8" w:space="0" w:color="365F91" w:themeColor="accent1" w:themeShade="BF"/>
              <w:bottom w:val="nil"/>
              <w:right w:val="nil"/>
            </w:tcBorders>
            <w:shd w:val="clear" w:color="auto" w:fill="auto"/>
            <w:noWrap/>
            <w:vAlign w:val="bottom"/>
            <w:hideMark/>
          </w:tcPr>
          <w:p w14:paraId="755BA4D7"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nil"/>
              <w:right w:val="single" w:sz="8" w:space="0" w:color="365F91" w:themeColor="accent1" w:themeShade="BF"/>
            </w:tcBorders>
            <w:shd w:val="clear" w:color="auto" w:fill="auto"/>
            <w:noWrap/>
            <w:vAlign w:val="bottom"/>
            <w:hideMark/>
          </w:tcPr>
          <w:p w14:paraId="57CFB8FA"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nil"/>
              <w:right w:val="nil"/>
            </w:tcBorders>
            <w:shd w:val="clear" w:color="auto" w:fill="auto"/>
            <w:noWrap/>
            <w:vAlign w:val="bottom"/>
            <w:hideMark/>
          </w:tcPr>
          <w:p w14:paraId="56F825D0" w14:textId="77777777" w:rsidR="00C4454D" w:rsidRPr="00A735B4" w:rsidRDefault="00C4454D" w:rsidP="00C4454D">
            <w:pPr>
              <w:rPr>
                <w:color w:val="1F497D" w:themeColor="text2"/>
                <w:sz w:val="18"/>
                <w:szCs w:val="18"/>
              </w:rPr>
            </w:pPr>
          </w:p>
        </w:tc>
        <w:tc>
          <w:tcPr>
            <w:tcW w:w="259" w:type="dxa"/>
            <w:tcBorders>
              <w:top w:val="nil"/>
              <w:left w:val="nil"/>
              <w:bottom w:val="nil"/>
              <w:right w:val="single" w:sz="8" w:space="0" w:color="365F91" w:themeColor="accent1" w:themeShade="BF"/>
            </w:tcBorders>
            <w:shd w:val="clear" w:color="auto" w:fill="auto"/>
            <w:noWrap/>
            <w:vAlign w:val="bottom"/>
            <w:hideMark/>
          </w:tcPr>
          <w:p w14:paraId="08CF71FC" w14:textId="77777777" w:rsidR="00C4454D" w:rsidRPr="00A735B4" w:rsidRDefault="00C4454D" w:rsidP="00C4454D">
            <w:pPr>
              <w:rPr>
                <w:color w:val="1F497D" w:themeColor="text2"/>
                <w:sz w:val="18"/>
                <w:szCs w:val="18"/>
              </w:rPr>
            </w:pPr>
          </w:p>
        </w:tc>
        <w:tc>
          <w:tcPr>
            <w:tcW w:w="259" w:type="dxa"/>
            <w:tcBorders>
              <w:top w:val="nil"/>
              <w:left w:val="single" w:sz="8" w:space="0" w:color="365F91" w:themeColor="accent1" w:themeShade="BF"/>
              <w:bottom w:val="nil"/>
              <w:right w:val="nil"/>
            </w:tcBorders>
            <w:shd w:val="clear" w:color="auto" w:fill="auto"/>
            <w:noWrap/>
            <w:vAlign w:val="bottom"/>
            <w:hideMark/>
          </w:tcPr>
          <w:p w14:paraId="195486B9"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nil"/>
              <w:right w:val="single" w:sz="8" w:space="0" w:color="365F91" w:themeColor="accent1" w:themeShade="BF"/>
            </w:tcBorders>
            <w:shd w:val="clear" w:color="auto" w:fill="auto"/>
            <w:noWrap/>
            <w:vAlign w:val="bottom"/>
            <w:hideMark/>
          </w:tcPr>
          <w:p w14:paraId="5AC12732"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nil"/>
              <w:right w:val="nil"/>
            </w:tcBorders>
            <w:shd w:val="clear" w:color="auto" w:fill="auto"/>
            <w:noWrap/>
            <w:vAlign w:val="bottom"/>
            <w:hideMark/>
          </w:tcPr>
          <w:p w14:paraId="3F0987A6"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nil"/>
              <w:right w:val="single" w:sz="8" w:space="0" w:color="365F91" w:themeColor="accent1" w:themeShade="BF"/>
            </w:tcBorders>
            <w:shd w:val="clear" w:color="auto" w:fill="auto"/>
            <w:noWrap/>
            <w:vAlign w:val="bottom"/>
            <w:hideMark/>
          </w:tcPr>
          <w:p w14:paraId="6BA5C704"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nil"/>
              <w:right w:val="nil"/>
            </w:tcBorders>
            <w:shd w:val="clear" w:color="auto" w:fill="auto"/>
            <w:noWrap/>
            <w:vAlign w:val="bottom"/>
            <w:hideMark/>
          </w:tcPr>
          <w:p w14:paraId="51D0CAE1"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nil"/>
              <w:right w:val="single" w:sz="8" w:space="0" w:color="365F91" w:themeColor="accent1" w:themeShade="BF"/>
            </w:tcBorders>
            <w:shd w:val="clear" w:color="auto" w:fill="auto"/>
            <w:noWrap/>
            <w:vAlign w:val="bottom"/>
            <w:hideMark/>
          </w:tcPr>
          <w:p w14:paraId="5203FF44"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nil"/>
              <w:right w:val="nil"/>
            </w:tcBorders>
            <w:shd w:val="clear" w:color="auto" w:fill="auto"/>
            <w:noWrap/>
            <w:vAlign w:val="bottom"/>
            <w:hideMark/>
          </w:tcPr>
          <w:p w14:paraId="7E64B242"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nil"/>
              <w:right w:val="single" w:sz="8" w:space="0" w:color="365F91" w:themeColor="accent1" w:themeShade="BF"/>
            </w:tcBorders>
            <w:shd w:val="clear" w:color="auto" w:fill="auto"/>
            <w:noWrap/>
            <w:vAlign w:val="bottom"/>
            <w:hideMark/>
          </w:tcPr>
          <w:p w14:paraId="78179704" w14:textId="77777777" w:rsidR="00C4454D" w:rsidRPr="00A735B4" w:rsidRDefault="00C4454D" w:rsidP="00C4454D">
            <w:pPr>
              <w:rPr>
                <w:color w:val="1F497D" w:themeColor="text2"/>
              </w:rPr>
            </w:pPr>
            <w:r w:rsidRPr="00A735B4">
              <w:rPr>
                <w:color w:val="1F497D" w:themeColor="text2"/>
              </w:rPr>
              <w:t> </w:t>
            </w:r>
          </w:p>
        </w:tc>
      </w:tr>
      <w:tr w:rsidR="00C4454D" w:rsidRPr="00A735B4" w14:paraId="53F77E81" w14:textId="77777777" w:rsidTr="00C4454D">
        <w:trPr>
          <w:trHeight w:val="205"/>
        </w:trPr>
        <w:tc>
          <w:tcPr>
            <w:tcW w:w="1415" w:type="dxa"/>
            <w:tcBorders>
              <w:top w:val="nil"/>
              <w:left w:val="single" w:sz="8" w:space="0" w:color="365F91" w:themeColor="accent1" w:themeShade="BF"/>
              <w:bottom w:val="nil"/>
              <w:right w:val="nil"/>
            </w:tcBorders>
            <w:shd w:val="clear" w:color="auto" w:fill="auto"/>
            <w:noWrap/>
            <w:vAlign w:val="bottom"/>
            <w:hideMark/>
          </w:tcPr>
          <w:p w14:paraId="5314D409" w14:textId="77777777" w:rsidR="00C4454D" w:rsidRPr="00A735B4" w:rsidRDefault="00C4454D" w:rsidP="00C4454D">
            <w:pPr>
              <w:rPr>
                <w:color w:val="1F497D" w:themeColor="text2"/>
                <w:sz w:val="18"/>
                <w:szCs w:val="18"/>
              </w:rPr>
            </w:pPr>
            <w:r w:rsidRPr="00A735B4">
              <w:rPr>
                <w:color w:val="1F497D" w:themeColor="text2"/>
                <w:sz w:val="18"/>
                <w:szCs w:val="18"/>
              </w:rPr>
              <w:t>Tanzania</w:t>
            </w:r>
          </w:p>
        </w:tc>
        <w:tc>
          <w:tcPr>
            <w:tcW w:w="686" w:type="dxa"/>
            <w:tcBorders>
              <w:top w:val="nil"/>
              <w:left w:val="nil"/>
              <w:bottom w:val="nil"/>
              <w:right w:val="single" w:sz="8" w:space="0" w:color="365F91" w:themeColor="accent1" w:themeShade="BF"/>
            </w:tcBorders>
            <w:shd w:val="clear" w:color="auto" w:fill="auto"/>
            <w:noWrap/>
            <w:vAlign w:val="bottom"/>
            <w:hideMark/>
          </w:tcPr>
          <w:p w14:paraId="6117342F" w14:textId="77777777" w:rsidR="00C4454D" w:rsidRPr="00A735B4" w:rsidRDefault="00C4454D" w:rsidP="00C4454D">
            <w:pPr>
              <w:rPr>
                <w:color w:val="1F497D" w:themeColor="text2"/>
                <w:sz w:val="18"/>
                <w:szCs w:val="18"/>
              </w:rPr>
            </w:pPr>
          </w:p>
        </w:tc>
        <w:tc>
          <w:tcPr>
            <w:tcW w:w="316" w:type="dxa"/>
            <w:tcBorders>
              <w:top w:val="nil"/>
              <w:left w:val="single" w:sz="8" w:space="0" w:color="365F91" w:themeColor="accent1" w:themeShade="BF"/>
              <w:bottom w:val="nil"/>
              <w:right w:val="single" w:sz="8" w:space="0" w:color="365F91" w:themeColor="accent1" w:themeShade="BF"/>
            </w:tcBorders>
            <w:shd w:val="clear" w:color="auto" w:fill="auto"/>
            <w:noWrap/>
            <w:vAlign w:val="bottom"/>
            <w:hideMark/>
          </w:tcPr>
          <w:p w14:paraId="5239E3E3"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nil"/>
              <w:right w:val="nil"/>
            </w:tcBorders>
            <w:shd w:val="clear" w:color="auto" w:fill="auto"/>
            <w:noWrap/>
            <w:vAlign w:val="bottom"/>
            <w:hideMark/>
          </w:tcPr>
          <w:p w14:paraId="11E85C20" w14:textId="77777777" w:rsidR="00C4454D" w:rsidRPr="00A735B4" w:rsidRDefault="00C4454D" w:rsidP="00C4454D">
            <w:pPr>
              <w:rPr>
                <w:color w:val="1F497D" w:themeColor="text2"/>
                <w:sz w:val="18"/>
                <w:szCs w:val="18"/>
              </w:rPr>
            </w:pPr>
          </w:p>
        </w:tc>
        <w:tc>
          <w:tcPr>
            <w:tcW w:w="259" w:type="dxa"/>
            <w:tcBorders>
              <w:top w:val="nil"/>
              <w:left w:val="nil"/>
              <w:bottom w:val="nil"/>
              <w:right w:val="single" w:sz="8" w:space="0" w:color="365F91" w:themeColor="accent1" w:themeShade="BF"/>
            </w:tcBorders>
            <w:shd w:val="clear" w:color="auto" w:fill="auto"/>
            <w:noWrap/>
            <w:vAlign w:val="bottom"/>
            <w:hideMark/>
          </w:tcPr>
          <w:p w14:paraId="1A22F73E"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nil"/>
              <w:right w:val="nil"/>
            </w:tcBorders>
            <w:shd w:val="clear" w:color="auto" w:fill="auto"/>
            <w:noWrap/>
            <w:vAlign w:val="bottom"/>
            <w:hideMark/>
          </w:tcPr>
          <w:p w14:paraId="4A73C12B"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nil"/>
              <w:right w:val="single" w:sz="8" w:space="0" w:color="365F91" w:themeColor="accent1" w:themeShade="BF"/>
            </w:tcBorders>
            <w:shd w:val="clear" w:color="auto" w:fill="365F91" w:themeFill="accent1" w:themeFillShade="BF"/>
            <w:noWrap/>
            <w:vAlign w:val="bottom"/>
            <w:hideMark/>
          </w:tcPr>
          <w:p w14:paraId="55C65893"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nil"/>
              <w:right w:val="nil"/>
            </w:tcBorders>
            <w:shd w:val="clear" w:color="auto" w:fill="365F91" w:themeFill="accent1" w:themeFillShade="BF"/>
            <w:noWrap/>
            <w:vAlign w:val="bottom"/>
            <w:hideMark/>
          </w:tcPr>
          <w:p w14:paraId="3540E3F5"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nil"/>
              <w:right w:val="single" w:sz="8" w:space="0" w:color="365F91" w:themeColor="accent1" w:themeShade="BF"/>
            </w:tcBorders>
            <w:shd w:val="clear" w:color="auto" w:fill="365F91" w:themeFill="accent1" w:themeFillShade="BF"/>
            <w:noWrap/>
            <w:vAlign w:val="bottom"/>
            <w:hideMark/>
          </w:tcPr>
          <w:p w14:paraId="1575FEB4"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nil"/>
              <w:right w:val="nil"/>
            </w:tcBorders>
            <w:shd w:val="clear" w:color="auto" w:fill="365F91" w:themeFill="accent1" w:themeFillShade="BF"/>
            <w:noWrap/>
            <w:vAlign w:val="bottom"/>
            <w:hideMark/>
          </w:tcPr>
          <w:p w14:paraId="6AB90AEB"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nil"/>
              <w:right w:val="single" w:sz="8" w:space="0" w:color="365F91" w:themeColor="accent1" w:themeShade="BF"/>
            </w:tcBorders>
            <w:shd w:val="clear" w:color="auto" w:fill="365F91" w:themeFill="accent1" w:themeFillShade="BF"/>
            <w:noWrap/>
            <w:vAlign w:val="bottom"/>
            <w:hideMark/>
          </w:tcPr>
          <w:p w14:paraId="57E4B6CE"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nil"/>
              <w:right w:val="nil"/>
            </w:tcBorders>
            <w:shd w:val="clear" w:color="auto" w:fill="365F91" w:themeFill="accent1" w:themeFillShade="BF"/>
            <w:noWrap/>
            <w:vAlign w:val="bottom"/>
            <w:hideMark/>
          </w:tcPr>
          <w:p w14:paraId="7C45EA14"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nil"/>
              <w:right w:val="single" w:sz="8" w:space="0" w:color="365F91" w:themeColor="accent1" w:themeShade="BF"/>
            </w:tcBorders>
            <w:shd w:val="clear" w:color="auto" w:fill="365F91" w:themeFill="accent1" w:themeFillShade="BF"/>
            <w:noWrap/>
            <w:vAlign w:val="bottom"/>
            <w:hideMark/>
          </w:tcPr>
          <w:p w14:paraId="2131FB07"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nil"/>
              <w:right w:val="nil"/>
            </w:tcBorders>
            <w:shd w:val="clear" w:color="auto" w:fill="365F91" w:themeFill="accent1" w:themeFillShade="BF"/>
            <w:noWrap/>
            <w:vAlign w:val="bottom"/>
            <w:hideMark/>
          </w:tcPr>
          <w:p w14:paraId="1577F577"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nil"/>
              <w:right w:val="single" w:sz="8" w:space="0" w:color="365F91" w:themeColor="accent1" w:themeShade="BF"/>
            </w:tcBorders>
            <w:shd w:val="clear" w:color="auto" w:fill="365F91" w:themeFill="accent1" w:themeFillShade="BF"/>
            <w:noWrap/>
            <w:vAlign w:val="bottom"/>
            <w:hideMark/>
          </w:tcPr>
          <w:p w14:paraId="3610995E"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nil"/>
              <w:right w:val="nil"/>
            </w:tcBorders>
            <w:shd w:val="clear" w:color="auto" w:fill="auto"/>
            <w:noWrap/>
            <w:vAlign w:val="bottom"/>
            <w:hideMark/>
          </w:tcPr>
          <w:p w14:paraId="35D87B66"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nil"/>
              <w:right w:val="single" w:sz="8" w:space="0" w:color="365F91" w:themeColor="accent1" w:themeShade="BF"/>
            </w:tcBorders>
            <w:shd w:val="clear" w:color="auto" w:fill="auto"/>
            <w:noWrap/>
            <w:vAlign w:val="bottom"/>
            <w:hideMark/>
          </w:tcPr>
          <w:p w14:paraId="4D02C023"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nil"/>
              <w:right w:val="nil"/>
            </w:tcBorders>
            <w:shd w:val="clear" w:color="auto" w:fill="auto"/>
            <w:noWrap/>
            <w:vAlign w:val="bottom"/>
            <w:hideMark/>
          </w:tcPr>
          <w:p w14:paraId="7D91CE83" w14:textId="77777777" w:rsidR="00C4454D" w:rsidRPr="00A735B4" w:rsidRDefault="00C4454D" w:rsidP="00C4454D">
            <w:pPr>
              <w:rPr>
                <w:color w:val="1F497D" w:themeColor="text2"/>
                <w:sz w:val="18"/>
                <w:szCs w:val="18"/>
              </w:rPr>
            </w:pPr>
          </w:p>
        </w:tc>
        <w:tc>
          <w:tcPr>
            <w:tcW w:w="259" w:type="dxa"/>
            <w:tcBorders>
              <w:top w:val="nil"/>
              <w:left w:val="nil"/>
              <w:bottom w:val="nil"/>
              <w:right w:val="single" w:sz="8" w:space="0" w:color="365F91" w:themeColor="accent1" w:themeShade="BF"/>
            </w:tcBorders>
            <w:shd w:val="clear" w:color="auto" w:fill="auto"/>
            <w:noWrap/>
            <w:vAlign w:val="bottom"/>
            <w:hideMark/>
          </w:tcPr>
          <w:p w14:paraId="5DAC6296" w14:textId="77777777" w:rsidR="00C4454D" w:rsidRPr="00A735B4" w:rsidRDefault="00C4454D" w:rsidP="00C4454D">
            <w:pPr>
              <w:rPr>
                <w:color w:val="1F497D" w:themeColor="text2"/>
                <w:sz w:val="18"/>
                <w:szCs w:val="18"/>
              </w:rPr>
            </w:pPr>
          </w:p>
        </w:tc>
        <w:tc>
          <w:tcPr>
            <w:tcW w:w="259" w:type="dxa"/>
            <w:tcBorders>
              <w:top w:val="nil"/>
              <w:left w:val="single" w:sz="8" w:space="0" w:color="365F91" w:themeColor="accent1" w:themeShade="BF"/>
              <w:bottom w:val="nil"/>
              <w:right w:val="nil"/>
            </w:tcBorders>
            <w:shd w:val="clear" w:color="auto" w:fill="auto"/>
            <w:noWrap/>
            <w:vAlign w:val="bottom"/>
            <w:hideMark/>
          </w:tcPr>
          <w:p w14:paraId="394EFD05"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nil"/>
              <w:right w:val="single" w:sz="8" w:space="0" w:color="365F91" w:themeColor="accent1" w:themeShade="BF"/>
            </w:tcBorders>
            <w:shd w:val="clear" w:color="auto" w:fill="auto"/>
            <w:noWrap/>
            <w:vAlign w:val="bottom"/>
            <w:hideMark/>
          </w:tcPr>
          <w:p w14:paraId="264D6B34"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nil"/>
              <w:right w:val="nil"/>
            </w:tcBorders>
            <w:shd w:val="clear" w:color="auto" w:fill="auto"/>
            <w:noWrap/>
            <w:vAlign w:val="bottom"/>
            <w:hideMark/>
          </w:tcPr>
          <w:p w14:paraId="03168130"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nil"/>
              <w:right w:val="single" w:sz="8" w:space="0" w:color="365F91" w:themeColor="accent1" w:themeShade="BF"/>
            </w:tcBorders>
            <w:shd w:val="clear" w:color="auto" w:fill="auto"/>
            <w:noWrap/>
            <w:vAlign w:val="bottom"/>
            <w:hideMark/>
          </w:tcPr>
          <w:p w14:paraId="1166B301"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nil"/>
              <w:right w:val="nil"/>
            </w:tcBorders>
            <w:shd w:val="clear" w:color="auto" w:fill="auto"/>
            <w:noWrap/>
            <w:vAlign w:val="bottom"/>
            <w:hideMark/>
          </w:tcPr>
          <w:p w14:paraId="2BEDF96B"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nil"/>
              <w:right w:val="single" w:sz="8" w:space="0" w:color="365F91" w:themeColor="accent1" w:themeShade="BF"/>
            </w:tcBorders>
            <w:shd w:val="clear" w:color="auto" w:fill="auto"/>
            <w:noWrap/>
            <w:vAlign w:val="bottom"/>
            <w:hideMark/>
          </w:tcPr>
          <w:p w14:paraId="6386565C"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nil"/>
              <w:right w:val="nil"/>
            </w:tcBorders>
            <w:shd w:val="clear" w:color="auto" w:fill="auto"/>
            <w:noWrap/>
            <w:vAlign w:val="bottom"/>
            <w:hideMark/>
          </w:tcPr>
          <w:p w14:paraId="33ABF51E"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nil"/>
              <w:right w:val="single" w:sz="8" w:space="0" w:color="365F91" w:themeColor="accent1" w:themeShade="BF"/>
            </w:tcBorders>
            <w:shd w:val="clear" w:color="auto" w:fill="auto"/>
            <w:noWrap/>
            <w:vAlign w:val="bottom"/>
            <w:hideMark/>
          </w:tcPr>
          <w:p w14:paraId="66E756BD" w14:textId="77777777" w:rsidR="00C4454D" w:rsidRPr="00A735B4" w:rsidRDefault="00C4454D" w:rsidP="00C4454D">
            <w:pPr>
              <w:rPr>
                <w:color w:val="1F497D" w:themeColor="text2"/>
              </w:rPr>
            </w:pPr>
            <w:r w:rsidRPr="00A735B4">
              <w:rPr>
                <w:color w:val="1F497D" w:themeColor="text2"/>
              </w:rPr>
              <w:t> </w:t>
            </w:r>
          </w:p>
        </w:tc>
      </w:tr>
      <w:tr w:rsidR="00C4454D" w:rsidRPr="00A735B4" w14:paraId="3F5AA31B" w14:textId="77777777" w:rsidTr="00C4454D">
        <w:trPr>
          <w:trHeight w:val="205"/>
        </w:trPr>
        <w:tc>
          <w:tcPr>
            <w:tcW w:w="1415" w:type="dxa"/>
            <w:tcBorders>
              <w:top w:val="nil"/>
              <w:left w:val="single" w:sz="8" w:space="0" w:color="365F91" w:themeColor="accent1" w:themeShade="BF"/>
              <w:bottom w:val="nil"/>
              <w:right w:val="nil"/>
            </w:tcBorders>
            <w:shd w:val="clear" w:color="auto" w:fill="auto"/>
            <w:noWrap/>
            <w:vAlign w:val="bottom"/>
            <w:hideMark/>
          </w:tcPr>
          <w:p w14:paraId="58BCFFA4" w14:textId="77777777" w:rsidR="00C4454D" w:rsidRPr="00A735B4" w:rsidRDefault="00C4454D" w:rsidP="00C4454D">
            <w:pPr>
              <w:rPr>
                <w:color w:val="1F497D" w:themeColor="text2"/>
                <w:sz w:val="18"/>
                <w:szCs w:val="18"/>
              </w:rPr>
            </w:pPr>
            <w:r w:rsidRPr="00A735B4">
              <w:rPr>
                <w:color w:val="1F497D" w:themeColor="text2"/>
                <w:sz w:val="18"/>
                <w:szCs w:val="18"/>
              </w:rPr>
              <w:t>Uganda</w:t>
            </w:r>
          </w:p>
        </w:tc>
        <w:tc>
          <w:tcPr>
            <w:tcW w:w="686" w:type="dxa"/>
            <w:tcBorders>
              <w:top w:val="nil"/>
              <w:left w:val="nil"/>
              <w:bottom w:val="nil"/>
              <w:right w:val="single" w:sz="8" w:space="0" w:color="365F91" w:themeColor="accent1" w:themeShade="BF"/>
            </w:tcBorders>
            <w:shd w:val="clear" w:color="auto" w:fill="auto"/>
            <w:noWrap/>
            <w:vAlign w:val="bottom"/>
            <w:hideMark/>
          </w:tcPr>
          <w:p w14:paraId="65A81C2E" w14:textId="77777777" w:rsidR="00C4454D" w:rsidRPr="00A735B4" w:rsidRDefault="00C4454D" w:rsidP="00C4454D">
            <w:pPr>
              <w:rPr>
                <w:color w:val="1F497D" w:themeColor="text2"/>
                <w:sz w:val="18"/>
                <w:szCs w:val="18"/>
              </w:rPr>
            </w:pPr>
          </w:p>
        </w:tc>
        <w:tc>
          <w:tcPr>
            <w:tcW w:w="316" w:type="dxa"/>
            <w:tcBorders>
              <w:top w:val="nil"/>
              <w:left w:val="single" w:sz="8" w:space="0" w:color="365F91" w:themeColor="accent1" w:themeShade="BF"/>
              <w:bottom w:val="nil"/>
              <w:right w:val="single" w:sz="8" w:space="0" w:color="365F91" w:themeColor="accent1" w:themeShade="BF"/>
            </w:tcBorders>
            <w:shd w:val="clear" w:color="auto" w:fill="auto"/>
            <w:noWrap/>
            <w:vAlign w:val="bottom"/>
            <w:hideMark/>
          </w:tcPr>
          <w:p w14:paraId="7D4DF63C"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nil"/>
              <w:right w:val="nil"/>
            </w:tcBorders>
            <w:shd w:val="clear" w:color="auto" w:fill="auto"/>
            <w:noWrap/>
            <w:vAlign w:val="bottom"/>
            <w:hideMark/>
          </w:tcPr>
          <w:p w14:paraId="32EC60B9" w14:textId="77777777" w:rsidR="00C4454D" w:rsidRPr="00A735B4" w:rsidRDefault="00C4454D" w:rsidP="00C4454D">
            <w:pPr>
              <w:rPr>
                <w:color w:val="1F497D" w:themeColor="text2"/>
                <w:sz w:val="18"/>
                <w:szCs w:val="18"/>
              </w:rPr>
            </w:pPr>
          </w:p>
        </w:tc>
        <w:tc>
          <w:tcPr>
            <w:tcW w:w="259" w:type="dxa"/>
            <w:tcBorders>
              <w:top w:val="nil"/>
              <w:left w:val="nil"/>
              <w:bottom w:val="nil"/>
              <w:right w:val="single" w:sz="8" w:space="0" w:color="365F91" w:themeColor="accent1" w:themeShade="BF"/>
            </w:tcBorders>
            <w:shd w:val="clear" w:color="auto" w:fill="365F91" w:themeFill="accent1" w:themeFillShade="BF"/>
            <w:noWrap/>
            <w:vAlign w:val="bottom"/>
            <w:hideMark/>
          </w:tcPr>
          <w:p w14:paraId="314755AD"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nil"/>
              <w:right w:val="nil"/>
            </w:tcBorders>
            <w:shd w:val="clear" w:color="auto" w:fill="365F91" w:themeFill="accent1" w:themeFillShade="BF"/>
            <w:noWrap/>
            <w:vAlign w:val="bottom"/>
            <w:hideMark/>
          </w:tcPr>
          <w:p w14:paraId="18AE97BB"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nil"/>
              <w:right w:val="single" w:sz="8" w:space="0" w:color="365F91" w:themeColor="accent1" w:themeShade="BF"/>
            </w:tcBorders>
            <w:shd w:val="clear" w:color="auto" w:fill="365F91" w:themeFill="accent1" w:themeFillShade="BF"/>
            <w:noWrap/>
            <w:vAlign w:val="bottom"/>
            <w:hideMark/>
          </w:tcPr>
          <w:p w14:paraId="7CFF9827"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nil"/>
              <w:right w:val="nil"/>
            </w:tcBorders>
            <w:shd w:val="clear" w:color="auto" w:fill="365F91" w:themeFill="accent1" w:themeFillShade="BF"/>
            <w:noWrap/>
            <w:vAlign w:val="bottom"/>
            <w:hideMark/>
          </w:tcPr>
          <w:p w14:paraId="747D0B59"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nil"/>
              <w:right w:val="single" w:sz="8" w:space="0" w:color="365F91" w:themeColor="accent1" w:themeShade="BF"/>
            </w:tcBorders>
            <w:shd w:val="clear" w:color="auto" w:fill="365F91" w:themeFill="accent1" w:themeFillShade="BF"/>
            <w:noWrap/>
            <w:vAlign w:val="bottom"/>
            <w:hideMark/>
          </w:tcPr>
          <w:p w14:paraId="7C2946D8"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nil"/>
              <w:right w:val="nil"/>
            </w:tcBorders>
            <w:shd w:val="clear" w:color="auto" w:fill="365F91" w:themeFill="accent1" w:themeFillShade="BF"/>
            <w:noWrap/>
            <w:vAlign w:val="bottom"/>
            <w:hideMark/>
          </w:tcPr>
          <w:p w14:paraId="568FD3DD"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nil"/>
              <w:right w:val="single" w:sz="8" w:space="0" w:color="365F91" w:themeColor="accent1" w:themeShade="BF"/>
            </w:tcBorders>
            <w:shd w:val="clear" w:color="auto" w:fill="365F91" w:themeFill="accent1" w:themeFillShade="BF"/>
            <w:noWrap/>
            <w:vAlign w:val="bottom"/>
            <w:hideMark/>
          </w:tcPr>
          <w:p w14:paraId="66BFA7D0"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nil"/>
              <w:right w:val="nil"/>
            </w:tcBorders>
            <w:shd w:val="clear" w:color="auto" w:fill="365F91" w:themeFill="accent1" w:themeFillShade="BF"/>
            <w:noWrap/>
            <w:vAlign w:val="bottom"/>
            <w:hideMark/>
          </w:tcPr>
          <w:p w14:paraId="6195D14B"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nil"/>
              <w:right w:val="single" w:sz="8" w:space="0" w:color="365F91" w:themeColor="accent1" w:themeShade="BF"/>
            </w:tcBorders>
            <w:shd w:val="clear" w:color="auto" w:fill="365F91" w:themeFill="accent1" w:themeFillShade="BF"/>
            <w:noWrap/>
            <w:vAlign w:val="bottom"/>
            <w:hideMark/>
          </w:tcPr>
          <w:p w14:paraId="4B8B1851"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nil"/>
              <w:right w:val="nil"/>
            </w:tcBorders>
            <w:shd w:val="clear" w:color="auto" w:fill="365F91" w:themeFill="accent1" w:themeFillShade="BF"/>
            <w:noWrap/>
            <w:vAlign w:val="bottom"/>
            <w:hideMark/>
          </w:tcPr>
          <w:p w14:paraId="3230AEBF"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nil"/>
              <w:right w:val="single" w:sz="8" w:space="0" w:color="365F91" w:themeColor="accent1" w:themeShade="BF"/>
            </w:tcBorders>
            <w:shd w:val="clear" w:color="auto" w:fill="365F91" w:themeFill="accent1" w:themeFillShade="BF"/>
            <w:noWrap/>
            <w:vAlign w:val="bottom"/>
            <w:hideMark/>
          </w:tcPr>
          <w:p w14:paraId="10ACAEA1"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nil"/>
              <w:right w:val="nil"/>
            </w:tcBorders>
            <w:shd w:val="clear" w:color="auto" w:fill="365F91" w:themeFill="accent1" w:themeFillShade="BF"/>
            <w:noWrap/>
            <w:vAlign w:val="bottom"/>
            <w:hideMark/>
          </w:tcPr>
          <w:p w14:paraId="4BB416C7"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nil"/>
              <w:right w:val="single" w:sz="8" w:space="0" w:color="365F91" w:themeColor="accent1" w:themeShade="BF"/>
            </w:tcBorders>
            <w:shd w:val="clear" w:color="auto" w:fill="365F91" w:themeFill="accent1" w:themeFillShade="BF"/>
            <w:noWrap/>
            <w:vAlign w:val="bottom"/>
            <w:hideMark/>
          </w:tcPr>
          <w:p w14:paraId="56DAA449"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nil"/>
              <w:right w:val="nil"/>
            </w:tcBorders>
            <w:shd w:val="clear" w:color="auto" w:fill="365F91" w:themeFill="accent1" w:themeFillShade="BF"/>
            <w:noWrap/>
            <w:vAlign w:val="bottom"/>
            <w:hideMark/>
          </w:tcPr>
          <w:p w14:paraId="1CDD761D"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nil"/>
              <w:right w:val="single" w:sz="8" w:space="0" w:color="365F91" w:themeColor="accent1" w:themeShade="BF"/>
            </w:tcBorders>
            <w:shd w:val="clear" w:color="auto" w:fill="365F91" w:themeFill="accent1" w:themeFillShade="BF"/>
            <w:noWrap/>
            <w:vAlign w:val="bottom"/>
            <w:hideMark/>
          </w:tcPr>
          <w:p w14:paraId="7708F818"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nil"/>
              <w:right w:val="nil"/>
            </w:tcBorders>
            <w:shd w:val="clear" w:color="auto" w:fill="365F91" w:themeFill="accent1" w:themeFillShade="BF"/>
            <w:noWrap/>
            <w:vAlign w:val="bottom"/>
            <w:hideMark/>
          </w:tcPr>
          <w:p w14:paraId="2E22AE73"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nil"/>
              <w:right w:val="single" w:sz="8" w:space="0" w:color="365F91" w:themeColor="accent1" w:themeShade="BF"/>
            </w:tcBorders>
            <w:shd w:val="clear" w:color="auto" w:fill="365F91" w:themeFill="accent1" w:themeFillShade="BF"/>
            <w:noWrap/>
            <w:vAlign w:val="bottom"/>
            <w:hideMark/>
          </w:tcPr>
          <w:p w14:paraId="038B43D4"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nil"/>
              <w:right w:val="nil"/>
            </w:tcBorders>
            <w:shd w:val="clear" w:color="auto" w:fill="365F91" w:themeFill="accent1" w:themeFillShade="BF"/>
            <w:noWrap/>
            <w:vAlign w:val="bottom"/>
            <w:hideMark/>
          </w:tcPr>
          <w:p w14:paraId="10B5CB86"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nil"/>
              <w:right w:val="single" w:sz="8" w:space="0" w:color="365F91" w:themeColor="accent1" w:themeShade="BF"/>
            </w:tcBorders>
            <w:shd w:val="clear" w:color="auto" w:fill="365F91" w:themeFill="accent1" w:themeFillShade="BF"/>
            <w:noWrap/>
            <w:vAlign w:val="bottom"/>
            <w:hideMark/>
          </w:tcPr>
          <w:p w14:paraId="294D8D4D"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nil"/>
              <w:right w:val="nil"/>
            </w:tcBorders>
            <w:shd w:val="clear" w:color="auto" w:fill="365F91" w:themeFill="accent1" w:themeFillShade="BF"/>
            <w:noWrap/>
            <w:vAlign w:val="bottom"/>
            <w:hideMark/>
          </w:tcPr>
          <w:p w14:paraId="1F32909A"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nil"/>
              <w:right w:val="single" w:sz="8" w:space="0" w:color="365F91" w:themeColor="accent1" w:themeShade="BF"/>
            </w:tcBorders>
            <w:shd w:val="clear" w:color="auto" w:fill="365F91" w:themeFill="accent1" w:themeFillShade="BF"/>
            <w:noWrap/>
            <w:vAlign w:val="bottom"/>
            <w:hideMark/>
          </w:tcPr>
          <w:p w14:paraId="71E21E50"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nil"/>
              <w:right w:val="nil"/>
            </w:tcBorders>
            <w:shd w:val="clear" w:color="auto" w:fill="365F91" w:themeFill="accent1" w:themeFillShade="BF"/>
            <w:noWrap/>
            <w:vAlign w:val="bottom"/>
            <w:hideMark/>
          </w:tcPr>
          <w:p w14:paraId="0AB1D003"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nil"/>
              <w:right w:val="single" w:sz="8" w:space="0" w:color="365F91" w:themeColor="accent1" w:themeShade="BF"/>
            </w:tcBorders>
            <w:shd w:val="clear" w:color="auto" w:fill="auto"/>
            <w:noWrap/>
            <w:vAlign w:val="bottom"/>
            <w:hideMark/>
          </w:tcPr>
          <w:p w14:paraId="6285BAC3" w14:textId="77777777" w:rsidR="00C4454D" w:rsidRPr="00A735B4" w:rsidRDefault="00C4454D" w:rsidP="00C4454D">
            <w:pPr>
              <w:rPr>
                <w:color w:val="1F497D" w:themeColor="text2"/>
              </w:rPr>
            </w:pPr>
            <w:r w:rsidRPr="00A735B4">
              <w:rPr>
                <w:color w:val="1F497D" w:themeColor="text2"/>
              </w:rPr>
              <w:t> </w:t>
            </w:r>
          </w:p>
        </w:tc>
      </w:tr>
      <w:tr w:rsidR="00C4454D" w:rsidRPr="00A735B4" w14:paraId="54ADCAAC" w14:textId="77777777" w:rsidTr="00C4454D">
        <w:trPr>
          <w:trHeight w:val="205"/>
        </w:trPr>
        <w:tc>
          <w:tcPr>
            <w:tcW w:w="1415" w:type="dxa"/>
            <w:tcBorders>
              <w:top w:val="nil"/>
              <w:left w:val="single" w:sz="8" w:space="0" w:color="365F91" w:themeColor="accent1" w:themeShade="BF"/>
              <w:bottom w:val="nil"/>
              <w:right w:val="nil"/>
            </w:tcBorders>
            <w:shd w:val="clear" w:color="auto" w:fill="auto"/>
            <w:noWrap/>
            <w:vAlign w:val="bottom"/>
            <w:hideMark/>
          </w:tcPr>
          <w:p w14:paraId="13301B9A" w14:textId="77777777" w:rsidR="00C4454D" w:rsidRPr="00A735B4" w:rsidRDefault="00C4454D" w:rsidP="00C4454D">
            <w:pPr>
              <w:rPr>
                <w:color w:val="1F497D" w:themeColor="text2"/>
                <w:sz w:val="18"/>
                <w:szCs w:val="18"/>
              </w:rPr>
            </w:pPr>
            <w:r w:rsidRPr="00A735B4">
              <w:rPr>
                <w:color w:val="1F497D" w:themeColor="text2"/>
                <w:sz w:val="18"/>
                <w:szCs w:val="18"/>
              </w:rPr>
              <w:t>Rwanda</w:t>
            </w:r>
          </w:p>
        </w:tc>
        <w:tc>
          <w:tcPr>
            <w:tcW w:w="686" w:type="dxa"/>
            <w:tcBorders>
              <w:top w:val="nil"/>
              <w:left w:val="nil"/>
              <w:bottom w:val="nil"/>
              <w:right w:val="single" w:sz="8" w:space="0" w:color="365F91" w:themeColor="accent1" w:themeShade="BF"/>
            </w:tcBorders>
            <w:shd w:val="clear" w:color="auto" w:fill="auto"/>
            <w:noWrap/>
            <w:vAlign w:val="bottom"/>
            <w:hideMark/>
          </w:tcPr>
          <w:p w14:paraId="379F9FCA" w14:textId="77777777" w:rsidR="00C4454D" w:rsidRPr="00A735B4" w:rsidRDefault="00C4454D" w:rsidP="00C4454D">
            <w:pPr>
              <w:rPr>
                <w:color w:val="1F497D" w:themeColor="text2"/>
                <w:sz w:val="18"/>
                <w:szCs w:val="18"/>
              </w:rPr>
            </w:pPr>
          </w:p>
        </w:tc>
        <w:tc>
          <w:tcPr>
            <w:tcW w:w="316" w:type="dxa"/>
            <w:tcBorders>
              <w:top w:val="nil"/>
              <w:left w:val="single" w:sz="8" w:space="0" w:color="365F91" w:themeColor="accent1" w:themeShade="BF"/>
              <w:bottom w:val="nil"/>
              <w:right w:val="single" w:sz="8" w:space="0" w:color="365F91" w:themeColor="accent1" w:themeShade="BF"/>
            </w:tcBorders>
            <w:shd w:val="clear" w:color="auto" w:fill="auto"/>
            <w:noWrap/>
            <w:vAlign w:val="bottom"/>
            <w:hideMark/>
          </w:tcPr>
          <w:p w14:paraId="01C1CEBF"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nil"/>
              <w:right w:val="nil"/>
            </w:tcBorders>
            <w:shd w:val="clear" w:color="auto" w:fill="365F91" w:themeFill="accent1" w:themeFillShade="BF"/>
            <w:noWrap/>
            <w:vAlign w:val="bottom"/>
            <w:hideMark/>
          </w:tcPr>
          <w:p w14:paraId="03251802"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nil"/>
              <w:right w:val="single" w:sz="8" w:space="0" w:color="365F91" w:themeColor="accent1" w:themeShade="BF"/>
            </w:tcBorders>
            <w:shd w:val="clear" w:color="auto" w:fill="365F91" w:themeFill="accent1" w:themeFillShade="BF"/>
            <w:noWrap/>
            <w:vAlign w:val="bottom"/>
            <w:hideMark/>
          </w:tcPr>
          <w:p w14:paraId="4116B50F"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nil"/>
              <w:right w:val="nil"/>
            </w:tcBorders>
            <w:shd w:val="clear" w:color="auto" w:fill="auto"/>
            <w:noWrap/>
            <w:vAlign w:val="bottom"/>
            <w:hideMark/>
          </w:tcPr>
          <w:p w14:paraId="1F2CD0FF"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nil"/>
              <w:right w:val="single" w:sz="8" w:space="0" w:color="365F91" w:themeColor="accent1" w:themeShade="BF"/>
            </w:tcBorders>
            <w:shd w:val="clear" w:color="auto" w:fill="auto"/>
            <w:noWrap/>
            <w:vAlign w:val="bottom"/>
            <w:hideMark/>
          </w:tcPr>
          <w:p w14:paraId="155A7C97"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nil"/>
              <w:right w:val="nil"/>
            </w:tcBorders>
            <w:shd w:val="clear" w:color="auto" w:fill="auto"/>
            <w:noWrap/>
            <w:vAlign w:val="bottom"/>
            <w:hideMark/>
          </w:tcPr>
          <w:p w14:paraId="4B6A57F0" w14:textId="77777777" w:rsidR="00C4454D" w:rsidRPr="00A735B4" w:rsidRDefault="00C4454D" w:rsidP="00C4454D">
            <w:pPr>
              <w:rPr>
                <w:color w:val="1F497D" w:themeColor="text2"/>
                <w:sz w:val="18"/>
                <w:szCs w:val="18"/>
              </w:rPr>
            </w:pPr>
          </w:p>
        </w:tc>
        <w:tc>
          <w:tcPr>
            <w:tcW w:w="259" w:type="dxa"/>
            <w:tcBorders>
              <w:top w:val="nil"/>
              <w:left w:val="nil"/>
              <w:bottom w:val="nil"/>
              <w:right w:val="single" w:sz="8" w:space="0" w:color="365F91" w:themeColor="accent1" w:themeShade="BF"/>
            </w:tcBorders>
            <w:shd w:val="clear" w:color="auto" w:fill="auto"/>
            <w:noWrap/>
            <w:vAlign w:val="bottom"/>
            <w:hideMark/>
          </w:tcPr>
          <w:p w14:paraId="49BC7D09" w14:textId="77777777" w:rsidR="00C4454D" w:rsidRPr="00A735B4" w:rsidRDefault="00C4454D" w:rsidP="00C4454D">
            <w:pPr>
              <w:rPr>
                <w:color w:val="1F497D" w:themeColor="text2"/>
                <w:sz w:val="18"/>
                <w:szCs w:val="18"/>
              </w:rPr>
            </w:pPr>
          </w:p>
        </w:tc>
        <w:tc>
          <w:tcPr>
            <w:tcW w:w="259" w:type="dxa"/>
            <w:tcBorders>
              <w:top w:val="nil"/>
              <w:left w:val="single" w:sz="8" w:space="0" w:color="365F91" w:themeColor="accent1" w:themeShade="BF"/>
              <w:bottom w:val="nil"/>
              <w:right w:val="nil"/>
            </w:tcBorders>
            <w:shd w:val="clear" w:color="auto" w:fill="auto"/>
            <w:noWrap/>
            <w:vAlign w:val="bottom"/>
            <w:hideMark/>
          </w:tcPr>
          <w:p w14:paraId="5F159CDB"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nil"/>
              <w:right w:val="single" w:sz="8" w:space="0" w:color="365F91" w:themeColor="accent1" w:themeShade="BF"/>
            </w:tcBorders>
            <w:shd w:val="clear" w:color="auto" w:fill="auto"/>
            <w:noWrap/>
            <w:vAlign w:val="bottom"/>
            <w:hideMark/>
          </w:tcPr>
          <w:p w14:paraId="5B2F6E8D"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nil"/>
              <w:right w:val="nil"/>
            </w:tcBorders>
            <w:shd w:val="clear" w:color="auto" w:fill="auto"/>
            <w:noWrap/>
            <w:vAlign w:val="bottom"/>
            <w:hideMark/>
          </w:tcPr>
          <w:p w14:paraId="45B0EDC4"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nil"/>
              <w:right w:val="single" w:sz="8" w:space="0" w:color="365F91" w:themeColor="accent1" w:themeShade="BF"/>
            </w:tcBorders>
            <w:shd w:val="clear" w:color="auto" w:fill="auto"/>
            <w:noWrap/>
            <w:vAlign w:val="bottom"/>
            <w:hideMark/>
          </w:tcPr>
          <w:p w14:paraId="2F9E4A2D"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nil"/>
              <w:right w:val="nil"/>
            </w:tcBorders>
            <w:shd w:val="clear" w:color="auto" w:fill="auto"/>
            <w:noWrap/>
            <w:vAlign w:val="bottom"/>
            <w:hideMark/>
          </w:tcPr>
          <w:p w14:paraId="66906F3F" w14:textId="77777777" w:rsidR="00C4454D" w:rsidRPr="00A735B4" w:rsidRDefault="00C4454D" w:rsidP="00C4454D">
            <w:pPr>
              <w:rPr>
                <w:color w:val="1F497D" w:themeColor="text2"/>
                <w:sz w:val="18"/>
                <w:szCs w:val="18"/>
              </w:rPr>
            </w:pPr>
          </w:p>
        </w:tc>
        <w:tc>
          <w:tcPr>
            <w:tcW w:w="259" w:type="dxa"/>
            <w:tcBorders>
              <w:top w:val="nil"/>
              <w:left w:val="nil"/>
              <w:bottom w:val="nil"/>
              <w:right w:val="single" w:sz="8" w:space="0" w:color="365F91" w:themeColor="accent1" w:themeShade="BF"/>
            </w:tcBorders>
            <w:shd w:val="clear" w:color="auto" w:fill="auto"/>
            <w:noWrap/>
            <w:vAlign w:val="bottom"/>
            <w:hideMark/>
          </w:tcPr>
          <w:p w14:paraId="4E08A7FE" w14:textId="77777777" w:rsidR="00C4454D" w:rsidRPr="00A735B4" w:rsidRDefault="00C4454D" w:rsidP="00C4454D">
            <w:pPr>
              <w:rPr>
                <w:color w:val="1F497D" w:themeColor="text2"/>
                <w:sz w:val="18"/>
                <w:szCs w:val="18"/>
              </w:rPr>
            </w:pPr>
          </w:p>
        </w:tc>
        <w:tc>
          <w:tcPr>
            <w:tcW w:w="259" w:type="dxa"/>
            <w:tcBorders>
              <w:top w:val="nil"/>
              <w:left w:val="single" w:sz="8" w:space="0" w:color="365F91" w:themeColor="accent1" w:themeShade="BF"/>
              <w:bottom w:val="nil"/>
              <w:right w:val="nil"/>
            </w:tcBorders>
            <w:shd w:val="clear" w:color="auto" w:fill="auto"/>
            <w:noWrap/>
            <w:vAlign w:val="bottom"/>
            <w:hideMark/>
          </w:tcPr>
          <w:p w14:paraId="3D218886"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nil"/>
              <w:right w:val="single" w:sz="8" w:space="0" w:color="365F91" w:themeColor="accent1" w:themeShade="BF"/>
            </w:tcBorders>
            <w:shd w:val="clear" w:color="auto" w:fill="auto"/>
            <w:noWrap/>
            <w:vAlign w:val="bottom"/>
            <w:hideMark/>
          </w:tcPr>
          <w:p w14:paraId="4A7F60EF"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nil"/>
              <w:right w:val="nil"/>
            </w:tcBorders>
            <w:shd w:val="clear" w:color="auto" w:fill="auto"/>
            <w:noWrap/>
            <w:vAlign w:val="bottom"/>
            <w:hideMark/>
          </w:tcPr>
          <w:p w14:paraId="13B68C04" w14:textId="77777777" w:rsidR="00C4454D" w:rsidRPr="00A735B4" w:rsidRDefault="00C4454D" w:rsidP="00C4454D">
            <w:pPr>
              <w:rPr>
                <w:color w:val="1F497D" w:themeColor="text2"/>
                <w:sz w:val="18"/>
                <w:szCs w:val="18"/>
              </w:rPr>
            </w:pPr>
          </w:p>
        </w:tc>
        <w:tc>
          <w:tcPr>
            <w:tcW w:w="259" w:type="dxa"/>
            <w:tcBorders>
              <w:top w:val="nil"/>
              <w:left w:val="nil"/>
              <w:bottom w:val="nil"/>
              <w:right w:val="single" w:sz="8" w:space="0" w:color="365F91" w:themeColor="accent1" w:themeShade="BF"/>
            </w:tcBorders>
            <w:shd w:val="clear" w:color="auto" w:fill="auto"/>
            <w:noWrap/>
            <w:vAlign w:val="bottom"/>
            <w:hideMark/>
          </w:tcPr>
          <w:p w14:paraId="5D262B1A" w14:textId="77777777" w:rsidR="00C4454D" w:rsidRPr="00A735B4" w:rsidRDefault="00C4454D" w:rsidP="00C4454D">
            <w:pPr>
              <w:rPr>
                <w:color w:val="1F497D" w:themeColor="text2"/>
                <w:sz w:val="18"/>
                <w:szCs w:val="18"/>
              </w:rPr>
            </w:pPr>
          </w:p>
        </w:tc>
        <w:tc>
          <w:tcPr>
            <w:tcW w:w="259" w:type="dxa"/>
            <w:tcBorders>
              <w:top w:val="nil"/>
              <w:left w:val="single" w:sz="8" w:space="0" w:color="365F91" w:themeColor="accent1" w:themeShade="BF"/>
              <w:bottom w:val="nil"/>
              <w:right w:val="nil"/>
            </w:tcBorders>
            <w:shd w:val="clear" w:color="auto" w:fill="auto"/>
            <w:noWrap/>
            <w:vAlign w:val="bottom"/>
            <w:hideMark/>
          </w:tcPr>
          <w:p w14:paraId="1C506063"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nil"/>
              <w:right w:val="single" w:sz="8" w:space="0" w:color="365F91" w:themeColor="accent1" w:themeShade="BF"/>
            </w:tcBorders>
            <w:shd w:val="clear" w:color="auto" w:fill="auto"/>
            <w:noWrap/>
            <w:vAlign w:val="bottom"/>
            <w:hideMark/>
          </w:tcPr>
          <w:p w14:paraId="528E6492"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nil"/>
              <w:right w:val="nil"/>
            </w:tcBorders>
            <w:shd w:val="clear" w:color="auto" w:fill="auto"/>
            <w:noWrap/>
            <w:vAlign w:val="bottom"/>
            <w:hideMark/>
          </w:tcPr>
          <w:p w14:paraId="3BB50E21"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nil"/>
              <w:right w:val="single" w:sz="8" w:space="0" w:color="365F91" w:themeColor="accent1" w:themeShade="BF"/>
            </w:tcBorders>
            <w:shd w:val="clear" w:color="auto" w:fill="auto"/>
            <w:noWrap/>
            <w:vAlign w:val="bottom"/>
            <w:hideMark/>
          </w:tcPr>
          <w:p w14:paraId="2BEBE0B4"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nil"/>
              <w:right w:val="nil"/>
            </w:tcBorders>
            <w:shd w:val="clear" w:color="auto" w:fill="auto"/>
            <w:noWrap/>
            <w:vAlign w:val="bottom"/>
            <w:hideMark/>
          </w:tcPr>
          <w:p w14:paraId="131835A1"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nil"/>
              <w:right w:val="single" w:sz="8" w:space="0" w:color="365F91" w:themeColor="accent1" w:themeShade="BF"/>
            </w:tcBorders>
            <w:shd w:val="clear" w:color="auto" w:fill="auto"/>
            <w:noWrap/>
            <w:vAlign w:val="bottom"/>
            <w:hideMark/>
          </w:tcPr>
          <w:p w14:paraId="22CE2BF8"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nil"/>
              <w:right w:val="nil"/>
            </w:tcBorders>
            <w:shd w:val="clear" w:color="auto" w:fill="auto"/>
            <w:noWrap/>
            <w:vAlign w:val="bottom"/>
            <w:hideMark/>
          </w:tcPr>
          <w:p w14:paraId="5A7991B3"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nil"/>
              <w:right w:val="single" w:sz="8" w:space="0" w:color="365F91" w:themeColor="accent1" w:themeShade="BF"/>
            </w:tcBorders>
            <w:shd w:val="clear" w:color="auto" w:fill="auto"/>
            <w:noWrap/>
            <w:vAlign w:val="bottom"/>
            <w:hideMark/>
          </w:tcPr>
          <w:p w14:paraId="04D75A3F" w14:textId="77777777" w:rsidR="00C4454D" w:rsidRPr="00A735B4" w:rsidRDefault="00C4454D" w:rsidP="00C4454D">
            <w:pPr>
              <w:rPr>
                <w:color w:val="1F497D" w:themeColor="text2"/>
              </w:rPr>
            </w:pPr>
            <w:r w:rsidRPr="00A735B4">
              <w:rPr>
                <w:color w:val="1F497D" w:themeColor="text2"/>
              </w:rPr>
              <w:t> </w:t>
            </w:r>
          </w:p>
        </w:tc>
      </w:tr>
      <w:tr w:rsidR="00C4454D" w:rsidRPr="00A735B4" w14:paraId="35AE9EC8" w14:textId="77777777" w:rsidTr="00C4454D">
        <w:trPr>
          <w:trHeight w:val="205"/>
        </w:trPr>
        <w:tc>
          <w:tcPr>
            <w:tcW w:w="1415" w:type="dxa"/>
            <w:tcBorders>
              <w:top w:val="nil"/>
              <w:left w:val="single" w:sz="8" w:space="0" w:color="365F91" w:themeColor="accent1" w:themeShade="BF"/>
              <w:bottom w:val="nil"/>
              <w:right w:val="nil"/>
            </w:tcBorders>
            <w:shd w:val="clear" w:color="auto" w:fill="auto"/>
            <w:noWrap/>
            <w:vAlign w:val="bottom"/>
            <w:hideMark/>
          </w:tcPr>
          <w:p w14:paraId="2A4513A2" w14:textId="77777777" w:rsidR="00C4454D" w:rsidRPr="00A735B4" w:rsidRDefault="00C4454D" w:rsidP="00C4454D">
            <w:pPr>
              <w:rPr>
                <w:color w:val="1F497D" w:themeColor="text2"/>
                <w:sz w:val="18"/>
                <w:szCs w:val="18"/>
              </w:rPr>
            </w:pPr>
            <w:r w:rsidRPr="00A735B4">
              <w:rPr>
                <w:color w:val="1F497D" w:themeColor="text2"/>
                <w:sz w:val="18"/>
                <w:szCs w:val="18"/>
              </w:rPr>
              <w:t>Malawi</w:t>
            </w:r>
          </w:p>
        </w:tc>
        <w:tc>
          <w:tcPr>
            <w:tcW w:w="686" w:type="dxa"/>
            <w:tcBorders>
              <w:top w:val="nil"/>
              <w:left w:val="nil"/>
              <w:bottom w:val="nil"/>
              <w:right w:val="single" w:sz="8" w:space="0" w:color="365F91" w:themeColor="accent1" w:themeShade="BF"/>
            </w:tcBorders>
            <w:shd w:val="clear" w:color="auto" w:fill="auto"/>
            <w:noWrap/>
            <w:vAlign w:val="bottom"/>
            <w:hideMark/>
          </w:tcPr>
          <w:p w14:paraId="370EFDF3" w14:textId="77777777" w:rsidR="00C4454D" w:rsidRPr="00A735B4" w:rsidRDefault="00C4454D" w:rsidP="00C4454D">
            <w:pPr>
              <w:rPr>
                <w:color w:val="1F497D" w:themeColor="text2"/>
                <w:sz w:val="18"/>
                <w:szCs w:val="18"/>
              </w:rPr>
            </w:pPr>
          </w:p>
        </w:tc>
        <w:tc>
          <w:tcPr>
            <w:tcW w:w="316" w:type="dxa"/>
            <w:tcBorders>
              <w:top w:val="nil"/>
              <w:left w:val="single" w:sz="8" w:space="0" w:color="365F91" w:themeColor="accent1" w:themeShade="BF"/>
              <w:bottom w:val="nil"/>
              <w:right w:val="single" w:sz="8" w:space="0" w:color="365F91" w:themeColor="accent1" w:themeShade="BF"/>
            </w:tcBorders>
            <w:shd w:val="clear" w:color="auto" w:fill="auto"/>
            <w:noWrap/>
            <w:vAlign w:val="bottom"/>
            <w:hideMark/>
          </w:tcPr>
          <w:p w14:paraId="553133C9"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nil"/>
              <w:right w:val="nil"/>
            </w:tcBorders>
            <w:shd w:val="clear" w:color="auto" w:fill="auto"/>
            <w:noWrap/>
            <w:vAlign w:val="bottom"/>
            <w:hideMark/>
          </w:tcPr>
          <w:p w14:paraId="5B9C7E0F" w14:textId="77777777" w:rsidR="00C4454D" w:rsidRPr="00A735B4" w:rsidRDefault="00C4454D" w:rsidP="00C4454D">
            <w:pPr>
              <w:rPr>
                <w:color w:val="1F497D" w:themeColor="text2"/>
                <w:sz w:val="18"/>
                <w:szCs w:val="18"/>
              </w:rPr>
            </w:pPr>
          </w:p>
        </w:tc>
        <w:tc>
          <w:tcPr>
            <w:tcW w:w="259" w:type="dxa"/>
            <w:tcBorders>
              <w:top w:val="nil"/>
              <w:left w:val="nil"/>
              <w:bottom w:val="nil"/>
              <w:right w:val="single" w:sz="8" w:space="0" w:color="365F91" w:themeColor="accent1" w:themeShade="BF"/>
            </w:tcBorders>
            <w:shd w:val="clear" w:color="auto" w:fill="auto"/>
            <w:noWrap/>
            <w:vAlign w:val="bottom"/>
            <w:hideMark/>
          </w:tcPr>
          <w:p w14:paraId="1D9CEFB3"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nil"/>
              <w:right w:val="nil"/>
            </w:tcBorders>
            <w:shd w:val="clear" w:color="auto" w:fill="auto"/>
            <w:noWrap/>
            <w:vAlign w:val="bottom"/>
            <w:hideMark/>
          </w:tcPr>
          <w:p w14:paraId="28A46F3C"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nil"/>
              <w:right w:val="single" w:sz="8" w:space="0" w:color="365F91" w:themeColor="accent1" w:themeShade="BF"/>
            </w:tcBorders>
            <w:shd w:val="clear" w:color="auto" w:fill="auto"/>
            <w:noWrap/>
            <w:vAlign w:val="bottom"/>
            <w:hideMark/>
          </w:tcPr>
          <w:p w14:paraId="474C1608"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nil"/>
              <w:right w:val="nil"/>
            </w:tcBorders>
            <w:shd w:val="clear" w:color="auto" w:fill="365F91" w:themeFill="accent1" w:themeFillShade="BF"/>
            <w:noWrap/>
            <w:vAlign w:val="bottom"/>
            <w:hideMark/>
          </w:tcPr>
          <w:p w14:paraId="4CF60473"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nil"/>
              <w:right w:val="single" w:sz="8" w:space="0" w:color="365F91" w:themeColor="accent1" w:themeShade="BF"/>
            </w:tcBorders>
            <w:shd w:val="clear" w:color="auto" w:fill="365F91" w:themeFill="accent1" w:themeFillShade="BF"/>
            <w:noWrap/>
            <w:vAlign w:val="bottom"/>
            <w:hideMark/>
          </w:tcPr>
          <w:p w14:paraId="15159DED"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nil"/>
              <w:right w:val="nil"/>
            </w:tcBorders>
            <w:shd w:val="clear" w:color="auto" w:fill="365F91" w:themeFill="accent1" w:themeFillShade="BF"/>
            <w:noWrap/>
            <w:vAlign w:val="bottom"/>
            <w:hideMark/>
          </w:tcPr>
          <w:p w14:paraId="79584105"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nil"/>
              <w:right w:val="single" w:sz="8" w:space="0" w:color="365F91" w:themeColor="accent1" w:themeShade="BF"/>
            </w:tcBorders>
            <w:shd w:val="clear" w:color="auto" w:fill="365F91" w:themeFill="accent1" w:themeFillShade="BF"/>
            <w:noWrap/>
            <w:vAlign w:val="bottom"/>
            <w:hideMark/>
          </w:tcPr>
          <w:p w14:paraId="49C3584C"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nil"/>
              <w:right w:val="nil"/>
            </w:tcBorders>
            <w:shd w:val="clear" w:color="auto" w:fill="365F91" w:themeFill="accent1" w:themeFillShade="BF"/>
            <w:noWrap/>
            <w:vAlign w:val="bottom"/>
            <w:hideMark/>
          </w:tcPr>
          <w:p w14:paraId="661F42A2"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nil"/>
              <w:right w:val="single" w:sz="8" w:space="0" w:color="365F91" w:themeColor="accent1" w:themeShade="BF"/>
            </w:tcBorders>
            <w:shd w:val="clear" w:color="auto" w:fill="auto"/>
            <w:noWrap/>
            <w:vAlign w:val="bottom"/>
            <w:hideMark/>
          </w:tcPr>
          <w:p w14:paraId="584C37B0"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nil"/>
              <w:right w:val="nil"/>
            </w:tcBorders>
            <w:shd w:val="clear" w:color="auto" w:fill="auto"/>
            <w:noWrap/>
            <w:vAlign w:val="bottom"/>
            <w:hideMark/>
          </w:tcPr>
          <w:p w14:paraId="7F0137EC" w14:textId="77777777" w:rsidR="00C4454D" w:rsidRPr="00A735B4" w:rsidRDefault="00C4454D" w:rsidP="00C4454D">
            <w:pPr>
              <w:rPr>
                <w:color w:val="1F497D" w:themeColor="text2"/>
                <w:sz w:val="18"/>
                <w:szCs w:val="18"/>
              </w:rPr>
            </w:pPr>
          </w:p>
        </w:tc>
        <w:tc>
          <w:tcPr>
            <w:tcW w:w="259" w:type="dxa"/>
            <w:tcBorders>
              <w:top w:val="nil"/>
              <w:left w:val="nil"/>
              <w:bottom w:val="nil"/>
              <w:right w:val="single" w:sz="8" w:space="0" w:color="365F91" w:themeColor="accent1" w:themeShade="BF"/>
            </w:tcBorders>
            <w:shd w:val="clear" w:color="auto" w:fill="auto"/>
            <w:noWrap/>
            <w:vAlign w:val="bottom"/>
            <w:hideMark/>
          </w:tcPr>
          <w:p w14:paraId="6CCB4288" w14:textId="77777777" w:rsidR="00C4454D" w:rsidRPr="00A735B4" w:rsidRDefault="00C4454D" w:rsidP="00C4454D">
            <w:pPr>
              <w:rPr>
                <w:color w:val="1F497D" w:themeColor="text2"/>
                <w:sz w:val="18"/>
                <w:szCs w:val="18"/>
              </w:rPr>
            </w:pPr>
          </w:p>
        </w:tc>
        <w:tc>
          <w:tcPr>
            <w:tcW w:w="259" w:type="dxa"/>
            <w:tcBorders>
              <w:top w:val="nil"/>
              <w:left w:val="single" w:sz="8" w:space="0" w:color="365F91" w:themeColor="accent1" w:themeShade="BF"/>
              <w:bottom w:val="nil"/>
              <w:right w:val="nil"/>
            </w:tcBorders>
            <w:shd w:val="clear" w:color="auto" w:fill="auto"/>
            <w:noWrap/>
            <w:vAlign w:val="bottom"/>
            <w:hideMark/>
          </w:tcPr>
          <w:p w14:paraId="4CC44787"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nil"/>
              <w:right w:val="single" w:sz="8" w:space="0" w:color="365F91" w:themeColor="accent1" w:themeShade="BF"/>
            </w:tcBorders>
            <w:shd w:val="clear" w:color="auto" w:fill="auto"/>
            <w:noWrap/>
            <w:vAlign w:val="bottom"/>
            <w:hideMark/>
          </w:tcPr>
          <w:p w14:paraId="20F8E415"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nil"/>
              <w:right w:val="nil"/>
            </w:tcBorders>
            <w:shd w:val="clear" w:color="auto" w:fill="auto"/>
            <w:noWrap/>
            <w:vAlign w:val="bottom"/>
            <w:hideMark/>
          </w:tcPr>
          <w:p w14:paraId="0752AB89" w14:textId="77777777" w:rsidR="00C4454D" w:rsidRPr="00A735B4" w:rsidRDefault="00C4454D" w:rsidP="00C4454D">
            <w:pPr>
              <w:rPr>
                <w:color w:val="1F497D" w:themeColor="text2"/>
                <w:sz w:val="18"/>
                <w:szCs w:val="18"/>
              </w:rPr>
            </w:pPr>
          </w:p>
        </w:tc>
        <w:tc>
          <w:tcPr>
            <w:tcW w:w="259" w:type="dxa"/>
            <w:tcBorders>
              <w:top w:val="nil"/>
              <w:left w:val="nil"/>
              <w:bottom w:val="nil"/>
              <w:right w:val="single" w:sz="8" w:space="0" w:color="365F91" w:themeColor="accent1" w:themeShade="BF"/>
            </w:tcBorders>
            <w:shd w:val="clear" w:color="auto" w:fill="auto"/>
            <w:noWrap/>
            <w:vAlign w:val="bottom"/>
            <w:hideMark/>
          </w:tcPr>
          <w:p w14:paraId="098B5933" w14:textId="77777777" w:rsidR="00C4454D" w:rsidRPr="00A735B4" w:rsidRDefault="00C4454D" w:rsidP="00C4454D">
            <w:pPr>
              <w:rPr>
                <w:color w:val="1F497D" w:themeColor="text2"/>
                <w:sz w:val="18"/>
                <w:szCs w:val="18"/>
              </w:rPr>
            </w:pPr>
          </w:p>
        </w:tc>
        <w:tc>
          <w:tcPr>
            <w:tcW w:w="259" w:type="dxa"/>
            <w:tcBorders>
              <w:top w:val="nil"/>
              <w:left w:val="single" w:sz="8" w:space="0" w:color="365F91" w:themeColor="accent1" w:themeShade="BF"/>
              <w:bottom w:val="nil"/>
              <w:right w:val="nil"/>
            </w:tcBorders>
            <w:shd w:val="clear" w:color="auto" w:fill="auto"/>
            <w:noWrap/>
            <w:vAlign w:val="bottom"/>
            <w:hideMark/>
          </w:tcPr>
          <w:p w14:paraId="41E9B65F"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nil"/>
              <w:right w:val="single" w:sz="8" w:space="0" w:color="365F91" w:themeColor="accent1" w:themeShade="BF"/>
            </w:tcBorders>
            <w:shd w:val="clear" w:color="auto" w:fill="auto"/>
            <w:noWrap/>
            <w:vAlign w:val="bottom"/>
            <w:hideMark/>
          </w:tcPr>
          <w:p w14:paraId="3E0620DF"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nil"/>
              <w:right w:val="nil"/>
            </w:tcBorders>
            <w:shd w:val="clear" w:color="auto" w:fill="auto"/>
            <w:noWrap/>
            <w:vAlign w:val="bottom"/>
            <w:hideMark/>
          </w:tcPr>
          <w:p w14:paraId="0C27D3FF"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nil"/>
              <w:right w:val="single" w:sz="8" w:space="0" w:color="365F91" w:themeColor="accent1" w:themeShade="BF"/>
            </w:tcBorders>
            <w:shd w:val="clear" w:color="auto" w:fill="auto"/>
            <w:noWrap/>
            <w:vAlign w:val="bottom"/>
            <w:hideMark/>
          </w:tcPr>
          <w:p w14:paraId="6EFC8DF7"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nil"/>
              <w:right w:val="nil"/>
            </w:tcBorders>
            <w:shd w:val="clear" w:color="auto" w:fill="auto"/>
            <w:noWrap/>
            <w:vAlign w:val="bottom"/>
            <w:hideMark/>
          </w:tcPr>
          <w:p w14:paraId="69DF1CA3"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nil"/>
              <w:right w:val="single" w:sz="8" w:space="0" w:color="365F91" w:themeColor="accent1" w:themeShade="BF"/>
            </w:tcBorders>
            <w:shd w:val="clear" w:color="auto" w:fill="auto"/>
            <w:noWrap/>
            <w:vAlign w:val="bottom"/>
            <w:hideMark/>
          </w:tcPr>
          <w:p w14:paraId="2F5A863D"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nil"/>
              <w:right w:val="nil"/>
            </w:tcBorders>
            <w:shd w:val="clear" w:color="auto" w:fill="auto"/>
            <w:noWrap/>
            <w:vAlign w:val="bottom"/>
            <w:hideMark/>
          </w:tcPr>
          <w:p w14:paraId="3EDC90A7"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nil"/>
              <w:right w:val="single" w:sz="8" w:space="0" w:color="365F91" w:themeColor="accent1" w:themeShade="BF"/>
            </w:tcBorders>
            <w:shd w:val="clear" w:color="auto" w:fill="auto"/>
            <w:noWrap/>
            <w:vAlign w:val="bottom"/>
            <w:hideMark/>
          </w:tcPr>
          <w:p w14:paraId="2EA61CE1" w14:textId="77777777" w:rsidR="00C4454D" w:rsidRPr="00A735B4" w:rsidRDefault="00C4454D" w:rsidP="00C4454D">
            <w:pPr>
              <w:rPr>
                <w:color w:val="1F497D" w:themeColor="text2"/>
              </w:rPr>
            </w:pPr>
            <w:r w:rsidRPr="00A735B4">
              <w:rPr>
                <w:color w:val="1F497D" w:themeColor="text2"/>
              </w:rPr>
              <w:t> </w:t>
            </w:r>
          </w:p>
        </w:tc>
      </w:tr>
      <w:tr w:rsidR="00C4454D" w:rsidRPr="00A735B4" w14:paraId="1BFA08DA" w14:textId="77777777" w:rsidTr="00C4454D">
        <w:trPr>
          <w:trHeight w:val="205"/>
        </w:trPr>
        <w:tc>
          <w:tcPr>
            <w:tcW w:w="1415" w:type="dxa"/>
            <w:tcBorders>
              <w:top w:val="nil"/>
              <w:left w:val="single" w:sz="8" w:space="0" w:color="365F91" w:themeColor="accent1" w:themeShade="BF"/>
              <w:bottom w:val="single" w:sz="8" w:space="0" w:color="365F91" w:themeColor="accent1" w:themeShade="BF"/>
              <w:right w:val="nil"/>
            </w:tcBorders>
            <w:shd w:val="clear" w:color="auto" w:fill="auto"/>
            <w:noWrap/>
            <w:vAlign w:val="bottom"/>
            <w:hideMark/>
          </w:tcPr>
          <w:p w14:paraId="070E3D98" w14:textId="77777777" w:rsidR="00C4454D" w:rsidRPr="00A735B4" w:rsidRDefault="00C4454D" w:rsidP="00C4454D">
            <w:pPr>
              <w:rPr>
                <w:color w:val="1F497D" w:themeColor="text2"/>
                <w:sz w:val="18"/>
                <w:szCs w:val="18"/>
              </w:rPr>
            </w:pPr>
            <w:r w:rsidRPr="00A735B4">
              <w:rPr>
                <w:color w:val="1F497D" w:themeColor="text2"/>
                <w:sz w:val="18"/>
                <w:szCs w:val="18"/>
              </w:rPr>
              <w:t>Zambia</w:t>
            </w:r>
          </w:p>
        </w:tc>
        <w:tc>
          <w:tcPr>
            <w:tcW w:w="686" w:type="dxa"/>
            <w:tcBorders>
              <w:top w:val="nil"/>
              <w:left w:val="nil"/>
              <w:bottom w:val="single" w:sz="8" w:space="0" w:color="365F91" w:themeColor="accent1" w:themeShade="BF"/>
              <w:right w:val="single" w:sz="8" w:space="0" w:color="365F91" w:themeColor="accent1" w:themeShade="BF"/>
            </w:tcBorders>
            <w:shd w:val="clear" w:color="auto" w:fill="auto"/>
            <w:noWrap/>
            <w:vAlign w:val="bottom"/>
            <w:hideMark/>
          </w:tcPr>
          <w:p w14:paraId="485DA904"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316" w:type="dxa"/>
            <w:tcBorders>
              <w:top w:val="nil"/>
              <w:left w:val="single" w:sz="8" w:space="0" w:color="365F91" w:themeColor="accent1" w:themeShade="BF"/>
              <w:bottom w:val="single" w:sz="8" w:space="0" w:color="365F91" w:themeColor="accent1" w:themeShade="BF"/>
              <w:right w:val="single" w:sz="8" w:space="0" w:color="365F91" w:themeColor="accent1" w:themeShade="BF"/>
            </w:tcBorders>
            <w:shd w:val="clear" w:color="auto" w:fill="365F91" w:themeFill="accent1" w:themeFillShade="BF"/>
            <w:noWrap/>
            <w:vAlign w:val="bottom"/>
            <w:hideMark/>
          </w:tcPr>
          <w:p w14:paraId="4C29CC27"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single" w:sz="8" w:space="0" w:color="365F91" w:themeColor="accent1" w:themeShade="BF"/>
              <w:right w:val="nil"/>
            </w:tcBorders>
            <w:shd w:val="clear" w:color="auto" w:fill="365F91" w:themeFill="accent1" w:themeFillShade="BF"/>
            <w:noWrap/>
            <w:vAlign w:val="bottom"/>
            <w:hideMark/>
          </w:tcPr>
          <w:p w14:paraId="7A89DBDE"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single" w:sz="8" w:space="0" w:color="365F91" w:themeColor="accent1" w:themeShade="BF"/>
              <w:right w:val="single" w:sz="8" w:space="0" w:color="365F91" w:themeColor="accent1" w:themeShade="BF"/>
            </w:tcBorders>
            <w:shd w:val="clear" w:color="auto" w:fill="365F91" w:themeFill="accent1" w:themeFillShade="BF"/>
            <w:noWrap/>
            <w:vAlign w:val="bottom"/>
            <w:hideMark/>
          </w:tcPr>
          <w:p w14:paraId="15C4BC7A"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single" w:sz="8" w:space="0" w:color="365F91" w:themeColor="accent1" w:themeShade="BF"/>
              <w:right w:val="nil"/>
            </w:tcBorders>
            <w:shd w:val="clear" w:color="auto" w:fill="365F91" w:themeFill="accent1" w:themeFillShade="BF"/>
            <w:noWrap/>
            <w:vAlign w:val="bottom"/>
            <w:hideMark/>
          </w:tcPr>
          <w:p w14:paraId="377F4C4B"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single" w:sz="8" w:space="0" w:color="365F91" w:themeColor="accent1" w:themeShade="BF"/>
              <w:right w:val="single" w:sz="8" w:space="0" w:color="365F91" w:themeColor="accent1" w:themeShade="BF"/>
            </w:tcBorders>
            <w:shd w:val="clear" w:color="auto" w:fill="365F91" w:themeFill="accent1" w:themeFillShade="BF"/>
            <w:noWrap/>
            <w:vAlign w:val="bottom"/>
            <w:hideMark/>
          </w:tcPr>
          <w:p w14:paraId="299EA706"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single" w:sz="8" w:space="0" w:color="365F91" w:themeColor="accent1" w:themeShade="BF"/>
              <w:right w:val="nil"/>
            </w:tcBorders>
            <w:shd w:val="clear" w:color="auto" w:fill="365F91" w:themeFill="accent1" w:themeFillShade="BF"/>
            <w:noWrap/>
            <w:vAlign w:val="bottom"/>
            <w:hideMark/>
          </w:tcPr>
          <w:p w14:paraId="467A597C"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single" w:sz="8" w:space="0" w:color="365F91" w:themeColor="accent1" w:themeShade="BF"/>
              <w:right w:val="single" w:sz="8" w:space="0" w:color="365F91" w:themeColor="accent1" w:themeShade="BF"/>
            </w:tcBorders>
            <w:shd w:val="clear" w:color="auto" w:fill="365F91" w:themeFill="accent1" w:themeFillShade="BF"/>
            <w:noWrap/>
            <w:vAlign w:val="bottom"/>
            <w:hideMark/>
          </w:tcPr>
          <w:p w14:paraId="5EC7CEC0"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single" w:sz="8" w:space="0" w:color="365F91" w:themeColor="accent1" w:themeShade="BF"/>
              <w:right w:val="nil"/>
            </w:tcBorders>
            <w:shd w:val="clear" w:color="auto" w:fill="365F91" w:themeFill="accent1" w:themeFillShade="BF"/>
            <w:noWrap/>
            <w:vAlign w:val="bottom"/>
            <w:hideMark/>
          </w:tcPr>
          <w:p w14:paraId="32537A63"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single" w:sz="8" w:space="0" w:color="365F91" w:themeColor="accent1" w:themeShade="BF"/>
              <w:right w:val="single" w:sz="8" w:space="0" w:color="365F91" w:themeColor="accent1" w:themeShade="BF"/>
            </w:tcBorders>
            <w:shd w:val="clear" w:color="auto" w:fill="365F91" w:themeFill="accent1" w:themeFillShade="BF"/>
            <w:noWrap/>
            <w:vAlign w:val="bottom"/>
            <w:hideMark/>
          </w:tcPr>
          <w:p w14:paraId="478AEB40"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single" w:sz="8" w:space="0" w:color="365F91" w:themeColor="accent1" w:themeShade="BF"/>
              <w:right w:val="nil"/>
            </w:tcBorders>
            <w:shd w:val="clear" w:color="auto" w:fill="365F91" w:themeFill="accent1" w:themeFillShade="BF"/>
            <w:noWrap/>
            <w:vAlign w:val="bottom"/>
            <w:hideMark/>
          </w:tcPr>
          <w:p w14:paraId="376FD470"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single" w:sz="8" w:space="0" w:color="365F91" w:themeColor="accent1" w:themeShade="BF"/>
              <w:right w:val="single" w:sz="8" w:space="0" w:color="365F91" w:themeColor="accent1" w:themeShade="BF"/>
            </w:tcBorders>
            <w:shd w:val="clear" w:color="auto" w:fill="365F91" w:themeFill="accent1" w:themeFillShade="BF"/>
            <w:noWrap/>
            <w:vAlign w:val="bottom"/>
            <w:hideMark/>
          </w:tcPr>
          <w:p w14:paraId="58358C86"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single" w:sz="8" w:space="0" w:color="365F91" w:themeColor="accent1" w:themeShade="BF"/>
              <w:right w:val="nil"/>
            </w:tcBorders>
            <w:shd w:val="clear" w:color="auto" w:fill="365F91" w:themeFill="accent1" w:themeFillShade="BF"/>
            <w:noWrap/>
            <w:vAlign w:val="bottom"/>
            <w:hideMark/>
          </w:tcPr>
          <w:p w14:paraId="195CE798"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single" w:sz="8" w:space="0" w:color="365F91" w:themeColor="accent1" w:themeShade="BF"/>
              <w:right w:val="single" w:sz="8" w:space="0" w:color="365F91" w:themeColor="accent1" w:themeShade="BF"/>
            </w:tcBorders>
            <w:shd w:val="clear" w:color="auto" w:fill="365F91" w:themeFill="accent1" w:themeFillShade="BF"/>
            <w:noWrap/>
            <w:vAlign w:val="bottom"/>
            <w:hideMark/>
          </w:tcPr>
          <w:p w14:paraId="1C2D6FD0"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single" w:sz="8" w:space="0" w:color="365F91" w:themeColor="accent1" w:themeShade="BF"/>
              <w:right w:val="nil"/>
            </w:tcBorders>
            <w:shd w:val="clear" w:color="auto" w:fill="365F91" w:themeFill="accent1" w:themeFillShade="BF"/>
            <w:noWrap/>
            <w:vAlign w:val="bottom"/>
            <w:hideMark/>
          </w:tcPr>
          <w:p w14:paraId="16273DE1"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single" w:sz="8" w:space="0" w:color="365F91" w:themeColor="accent1" w:themeShade="BF"/>
              <w:right w:val="single" w:sz="8" w:space="0" w:color="365F91" w:themeColor="accent1" w:themeShade="BF"/>
            </w:tcBorders>
            <w:shd w:val="clear" w:color="auto" w:fill="365F91" w:themeFill="accent1" w:themeFillShade="BF"/>
            <w:noWrap/>
            <w:vAlign w:val="bottom"/>
            <w:hideMark/>
          </w:tcPr>
          <w:p w14:paraId="7A7DA6DE"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single" w:sz="8" w:space="0" w:color="365F91" w:themeColor="accent1" w:themeShade="BF"/>
              <w:right w:val="nil"/>
            </w:tcBorders>
            <w:shd w:val="clear" w:color="auto" w:fill="365F91" w:themeFill="accent1" w:themeFillShade="BF"/>
            <w:noWrap/>
            <w:vAlign w:val="bottom"/>
            <w:hideMark/>
          </w:tcPr>
          <w:p w14:paraId="41779373"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single" w:sz="8" w:space="0" w:color="365F91" w:themeColor="accent1" w:themeShade="BF"/>
              <w:right w:val="single" w:sz="8" w:space="0" w:color="365F91" w:themeColor="accent1" w:themeShade="BF"/>
            </w:tcBorders>
            <w:shd w:val="clear" w:color="auto" w:fill="365F91" w:themeFill="accent1" w:themeFillShade="BF"/>
            <w:noWrap/>
            <w:vAlign w:val="bottom"/>
            <w:hideMark/>
          </w:tcPr>
          <w:p w14:paraId="236085E9"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single" w:sz="8" w:space="0" w:color="365F91" w:themeColor="accent1" w:themeShade="BF"/>
              <w:right w:val="nil"/>
            </w:tcBorders>
            <w:shd w:val="clear" w:color="auto" w:fill="365F91" w:themeFill="accent1" w:themeFillShade="BF"/>
            <w:noWrap/>
            <w:vAlign w:val="bottom"/>
            <w:hideMark/>
          </w:tcPr>
          <w:p w14:paraId="48FDFB09"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single" w:sz="8" w:space="0" w:color="365F91" w:themeColor="accent1" w:themeShade="BF"/>
              <w:right w:val="single" w:sz="8" w:space="0" w:color="365F91" w:themeColor="accent1" w:themeShade="BF"/>
            </w:tcBorders>
            <w:shd w:val="clear" w:color="auto" w:fill="auto"/>
            <w:noWrap/>
            <w:vAlign w:val="bottom"/>
            <w:hideMark/>
          </w:tcPr>
          <w:p w14:paraId="5294555F"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single" w:sz="8" w:space="0" w:color="365F91" w:themeColor="accent1" w:themeShade="BF"/>
              <w:right w:val="nil"/>
            </w:tcBorders>
            <w:shd w:val="clear" w:color="auto" w:fill="auto"/>
            <w:noWrap/>
            <w:vAlign w:val="bottom"/>
            <w:hideMark/>
          </w:tcPr>
          <w:p w14:paraId="1F9BF3D5"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single" w:sz="8" w:space="0" w:color="365F91" w:themeColor="accent1" w:themeShade="BF"/>
              <w:right w:val="single" w:sz="8" w:space="0" w:color="365F91" w:themeColor="accent1" w:themeShade="BF"/>
            </w:tcBorders>
            <w:shd w:val="clear" w:color="auto" w:fill="auto"/>
            <w:noWrap/>
            <w:vAlign w:val="bottom"/>
            <w:hideMark/>
          </w:tcPr>
          <w:p w14:paraId="3CE5EF72"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single" w:sz="8" w:space="0" w:color="365F91" w:themeColor="accent1" w:themeShade="BF"/>
              <w:right w:val="nil"/>
            </w:tcBorders>
            <w:shd w:val="clear" w:color="auto" w:fill="auto"/>
            <w:noWrap/>
            <w:vAlign w:val="bottom"/>
            <w:hideMark/>
          </w:tcPr>
          <w:p w14:paraId="5C1FC3AD"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single" w:sz="8" w:space="0" w:color="365F91" w:themeColor="accent1" w:themeShade="BF"/>
              <w:right w:val="single" w:sz="8" w:space="0" w:color="365F91" w:themeColor="accent1" w:themeShade="BF"/>
            </w:tcBorders>
            <w:shd w:val="clear" w:color="auto" w:fill="auto"/>
            <w:noWrap/>
            <w:vAlign w:val="bottom"/>
            <w:hideMark/>
          </w:tcPr>
          <w:p w14:paraId="49A2A6D4"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single" w:sz="8" w:space="0" w:color="365F91" w:themeColor="accent1" w:themeShade="BF"/>
              <w:right w:val="nil"/>
            </w:tcBorders>
            <w:shd w:val="clear" w:color="auto" w:fill="auto"/>
            <w:noWrap/>
            <w:vAlign w:val="bottom"/>
            <w:hideMark/>
          </w:tcPr>
          <w:p w14:paraId="7FE6EAD4"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single" w:sz="8" w:space="0" w:color="365F91" w:themeColor="accent1" w:themeShade="BF"/>
              <w:right w:val="single" w:sz="8" w:space="0" w:color="365F91" w:themeColor="accent1" w:themeShade="BF"/>
            </w:tcBorders>
            <w:shd w:val="clear" w:color="auto" w:fill="auto"/>
            <w:noWrap/>
            <w:vAlign w:val="bottom"/>
            <w:hideMark/>
          </w:tcPr>
          <w:p w14:paraId="58CBC2B9" w14:textId="77777777" w:rsidR="00C4454D" w:rsidRPr="00A735B4" w:rsidRDefault="00C4454D" w:rsidP="00C4454D">
            <w:pPr>
              <w:rPr>
                <w:color w:val="1F497D" w:themeColor="text2"/>
              </w:rPr>
            </w:pPr>
            <w:r w:rsidRPr="00A735B4">
              <w:rPr>
                <w:color w:val="1F497D" w:themeColor="text2"/>
              </w:rPr>
              <w:t> </w:t>
            </w:r>
          </w:p>
        </w:tc>
      </w:tr>
      <w:tr w:rsidR="00C4454D" w:rsidRPr="00A735B4" w14:paraId="11494582" w14:textId="77777777" w:rsidTr="00C4454D">
        <w:trPr>
          <w:trHeight w:val="205"/>
        </w:trPr>
        <w:tc>
          <w:tcPr>
            <w:tcW w:w="2101" w:type="dxa"/>
            <w:gridSpan w:val="2"/>
            <w:tcBorders>
              <w:top w:val="single" w:sz="8" w:space="0" w:color="365F91" w:themeColor="accent1" w:themeShade="BF"/>
              <w:left w:val="single" w:sz="8" w:space="0" w:color="365F91" w:themeColor="accent1" w:themeShade="BF"/>
              <w:bottom w:val="nil"/>
              <w:right w:val="single" w:sz="8" w:space="0" w:color="365F91" w:themeColor="accent1" w:themeShade="BF"/>
            </w:tcBorders>
            <w:shd w:val="clear" w:color="auto" w:fill="auto"/>
            <w:noWrap/>
            <w:vAlign w:val="bottom"/>
            <w:hideMark/>
          </w:tcPr>
          <w:p w14:paraId="62325E46" w14:textId="77777777" w:rsidR="00C4454D" w:rsidRPr="00A735B4" w:rsidRDefault="00C4454D" w:rsidP="00C4454D">
            <w:pPr>
              <w:rPr>
                <w:b/>
                <w:bCs/>
                <w:color w:val="1F497D" w:themeColor="text2"/>
                <w:sz w:val="18"/>
                <w:szCs w:val="18"/>
              </w:rPr>
            </w:pPr>
            <w:r w:rsidRPr="00A735B4">
              <w:rPr>
                <w:b/>
                <w:bCs/>
                <w:color w:val="1F497D" w:themeColor="text2"/>
                <w:sz w:val="18"/>
                <w:szCs w:val="18"/>
              </w:rPr>
              <w:t>TRANSFER BY RTGS</w:t>
            </w:r>
          </w:p>
        </w:tc>
        <w:tc>
          <w:tcPr>
            <w:tcW w:w="316" w:type="dxa"/>
            <w:tcBorders>
              <w:top w:val="single" w:sz="8" w:space="0" w:color="365F91" w:themeColor="accent1" w:themeShade="BF"/>
              <w:left w:val="single" w:sz="8" w:space="0" w:color="365F91" w:themeColor="accent1" w:themeShade="BF"/>
              <w:bottom w:val="nil"/>
              <w:right w:val="single" w:sz="8" w:space="0" w:color="365F91" w:themeColor="accent1" w:themeShade="BF"/>
            </w:tcBorders>
            <w:shd w:val="clear" w:color="auto" w:fill="auto"/>
            <w:noWrap/>
            <w:vAlign w:val="bottom"/>
            <w:hideMark/>
          </w:tcPr>
          <w:p w14:paraId="41577D6B"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single" w:sz="8" w:space="0" w:color="365F91" w:themeColor="accent1" w:themeShade="BF"/>
              <w:left w:val="single" w:sz="8" w:space="0" w:color="365F91" w:themeColor="accent1" w:themeShade="BF"/>
              <w:bottom w:val="nil"/>
              <w:right w:val="nil"/>
            </w:tcBorders>
            <w:shd w:val="clear" w:color="auto" w:fill="auto"/>
            <w:noWrap/>
            <w:vAlign w:val="bottom"/>
            <w:hideMark/>
          </w:tcPr>
          <w:p w14:paraId="5473517B" w14:textId="77777777" w:rsidR="00C4454D" w:rsidRPr="00A735B4" w:rsidRDefault="00C4454D" w:rsidP="00C4454D">
            <w:pPr>
              <w:rPr>
                <w:color w:val="1F497D" w:themeColor="text2"/>
                <w:sz w:val="18"/>
                <w:szCs w:val="18"/>
              </w:rPr>
            </w:pPr>
          </w:p>
        </w:tc>
        <w:tc>
          <w:tcPr>
            <w:tcW w:w="259" w:type="dxa"/>
            <w:tcBorders>
              <w:top w:val="single" w:sz="8" w:space="0" w:color="365F91" w:themeColor="accent1" w:themeShade="BF"/>
              <w:left w:val="nil"/>
              <w:bottom w:val="nil"/>
              <w:right w:val="single" w:sz="8" w:space="0" w:color="365F91" w:themeColor="accent1" w:themeShade="BF"/>
            </w:tcBorders>
            <w:shd w:val="clear" w:color="auto" w:fill="auto"/>
            <w:noWrap/>
            <w:vAlign w:val="bottom"/>
            <w:hideMark/>
          </w:tcPr>
          <w:p w14:paraId="6709ACD4"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single" w:sz="8" w:space="0" w:color="365F91" w:themeColor="accent1" w:themeShade="BF"/>
              <w:left w:val="single" w:sz="8" w:space="0" w:color="365F91" w:themeColor="accent1" w:themeShade="BF"/>
              <w:bottom w:val="nil"/>
              <w:right w:val="nil"/>
            </w:tcBorders>
            <w:shd w:val="clear" w:color="auto" w:fill="auto"/>
            <w:noWrap/>
            <w:vAlign w:val="bottom"/>
            <w:hideMark/>
          </w:tcPr>
          <w:p w14:paraId="7938365A"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single" w:sz="8" w:space="0" w:color="365F91" w:themeColor="accent1" w:themeShade="BF"/>
              <w:left w:val="nil"/>
              <w:bottom w:val="nil"/>
              <w:right w:val="single" w:sz="8" w:space="0" w:color="365F91" w:themeColor="accent1" w:themeShade="BF"/>
            </w:tcBorders>
            <w:shd w:val="clear" w:color="auto" w:fill="auto"/>
            <w:noWrap/>
            <w:vAlign w:val="bottom"/>
            <w:hideMark/>
          </w:tcPr>
          <w:p w14:paraId="7C8A05C4"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single" w:sz="8" w:space="0" w:color="365F91" w:themeColor="accent1" w:themeShade="BF"/>
              <w:left w:val="single" w:sz="8" w:space="0" w:color="365F91" w:themeColor="accent1" w:themeShade="BF"/>
              <w:bottom w:val="nil"/>
              <w:right w:val="nil"/>
            </w:tcBorders>
            <w:shd w:val="clear" w:color="auto" w:fill="auto"/>
            <w:noWrap/>
            <w:vAlign w:val="bottom"/>
            <w:hideMark/>
          </w:tcPr>
          <w:p w14:paraId="560C1FC5" w14:textId="77777777" w:rsidR="00C4454D" w:rsidRPr="00A735B4" w:rsidRDefault="00C4454D" w:rsidP="00C4454D">
            <w:pPr>
              <w:rPr>
                <w:color w:val="1F497D" w:themeColor="text2"/>
                <w:sz w:val="18"/>
                <w:szCs w:val="18"/>
              </w:rPr>
            </w:pPr>
          </w:p>
        </w:tc>
        <w:tc>
          <w:tcPr>
            <w:tcW w:w="259" w:type="dxa"/>
            <w:tcBorders>
              <w:top w:val="single" w:sz="8" w:space="0" w:color="365F91" w:themeColor="accent1" w:themeShade="BF"/>
              <w:left w:val="nil"/>
              <w:bottom w:val="nil"/>
              <w:right w:val="single" w:sz="8" w:space="0" w:color="365F91" w:themeColor="accent1" w:themeShade="BF"/>
            </w:tcBorders>
            <w:shd w:val="clear" w:color="auto" w:fill="auto"/>
            <w:noWrap/>
            <w:vAlign w:val="bottom"/>
            <w:hideMark/>
          </w:tcPr>
          <w:p w14:paraId="2A2BB43D" w14:textId="77777777" w:rsidR="00C4454D" w:rsidRPr="00A735B4" w:rsidRDefault="00C4454D" w:rsidP="00C4454D">
            <w:pPr>
              <w:rPr>
                <w:color w:val="1F497D" w:themeColor="text2"/>
                <w:sz w:val="18"/>
                <w:szCs w:val="18"/>
              </w:rPr>
            </w:pPr>
          </w:p>
        </w:tc>
        <w:tc>
          <w:tcPr>
            <w:tcW w:w="259" w:type="dxa"/>
            <w:tcBorders>
              <w:top w:val="single" w:sz="8" w:space="0" w:color="365F91" w:themeColor="accent1" w:themeShade="BF"/>
              <w:left w:val="single" w:sz="8" w:space="0" w:color="365F91" w:themeColor="accent1" w:themeShade="BF"/>
              <w:bottom w:val="nil"/>
              <w:right w:val="nil"/>
            </w:tcBorders>
            <w:shd w:val="clear" w:color="auto" w:fill="auto"/>
            <w:noWrap/>
            <w:vAlign w:val="bottom"/>
            <w:hideMark/>
          </w:tcPr>
          <w:p w14:paraId="69AE62AC"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single" w:sz="8" w:space="0" w:color="365F91" w:themeColor="accent1" w:themeShade="BF"/>
              <w:left w:val="nil"/>
              <w:bottom w:val="nil"/>
              <w:right w:val="single" w:sz="8" w:space="0" w:color="365F91" w:themeColor="accent1" w:themeShade="BF"/>
            </w:tcBorders>
            <w:shd w:val="clear" w:color="auto" w:fill="auto"/>
            <w:noWrap/>
            <w:vAlign w:val="bottom"/>
            <w:hideMark/>
          </w:tcPr>
          <w:p w14:paraId="620C4A82"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single" w:sz="8" w:space="0" w:color="365F91" w:themeColor="accent1" w:themeShade="BF"/>
              <w:left w:val="single" w:sz="8" w:space="0" w:color="365F91" w:themeColor="accent1" w:themeShade="BF"/>
              <w:bottom w:val="nil"/>
              <w:right w:val="nil"/>
            </w:tcBorders>
            <w:shd w:val="clear" w:color="auto" w:fill="auto"/>
            <w:noWrap/>
            <w:vAlign w:val="bottom"/>
            <w:hideMark/>
          </w:tcPr>
          <w:p w14:paraId="0C9337E5"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single" w:sz="8" w:space="0" w:color="365F91" w:themeColor="accent1" w:themeShade="BF"/>
              <w:left w:val="nil"/>
              <w:bottom w:val="nil"/>
              <w:right w:val="single" w:sz="8" w:space="0" w:color="365F91" w:themeColor="accent1" w:themeShade="BF"/>
            </w:tcBorders>
            <w:shd w:val="clear" w:color="auto" w:fill="auto"/>
            <w:noWrap/>
            <w:vAlign w:val="bottom"/>
            <w:hideMark/>
          </w:tcPr>
          <w:p w14:paraId="06D3F76E"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single" w:sz="8" w:space="0" w:color="365F91" w:themeColor="accent1" w:themeShade="BF"/>
              <w:left w:val="single" w:sz="8" w:space="0" w:color="365F91" w:themeColor="accent1" w:themeShade="BF"/>
              <w:bottom w:val="nil"/>
              <w:right w:val="nil"/>
            </w:tcBorders>
            <w:shd w:val="clear" w:color="auto" w:fill="auto"/>
            <w:noWrap/>
            <w:vAlign w:val="bottom"/>
            <w:hideMark/>
          </w:tcPr>
          <w:p w14:paraId="0CC7E306" w14:textId="77777777" w:rsidR="00C4454D" w:rsidRPr="00A735B4" w:rsidRDefault="00C4454D" w:rsidP="00C4454D">
            <w:pPr>
              <w:rPr>
                <w:color w:val="1F497D" w:themeColor="text2"/>
                <w:sz w:val="18"/>
                <w:szCs w:val="18"/>
              </w:rPr>
            </w:pPr>
          </w:p>
        </w:tc>
        <w:tc>
          <w:tcPr>
            <w:tcW w:w="259" w:type="dxa"/>
            <w:tcBorders>
              <w:top w:val="single" w:sz="8" w:space="0" w:color="365F91" w:themeColor="accent1" w:themeShade="BF"/>
              <w:left w:val="nil"/>
              <w:bottom w:val="nil"/>
              <w:right w:val="single" w:sz="8" w:space="0" w:color="365F91" w:themeColor="accent1" w:themeShade="BF"/>
            </w:tcBorders>
            <w:shd w:val="clear" w:color="auto" w:fill="auto"/>
            <w:noWrap/>
            <w:vAlign w:val="bottom"/>
            <w:hideMark/>
          </w:tcPr>
          <w:p w14:paraId="6B5D0929" w14:textId="77777777" w:rsidR="00C4454D" w:rsidRPr="00A735B4" w:rsidRDefault="00C4454D" w:rsidP="00C4454D">
            <w:pPr>
              <w:rPr>
                <w:color w:val="1F497D" w:themeColor="text2"/>
                <w:sz w:val="18"/>
                <w:szCs w:val="18"/>
              </w:rPr>
            </w:pPr>
          </w:p>
        </w:tc>
        <w:tc>
          <w:tcPr>
            <w:tcW w:w="259" w:type="dxa"/>
            <w:tcBorders>
              <w:top w:val="single" w:sz="8" w:space="0" w:color="365F91" w:themeColor="accent1" w:themeShade="BF"/>
              <w:left w:val="single" w:sz="8" w:space="0" w:color="365F91" w:themeColor="accent1" w:themeShade="BF"/>
              <w:bottom w:val="nil"/>
              <w:right w:val="nil"/>
            </w:tcBorders>
            <w:shd w:val="clear" w:color="auto" w:fill="auto"/>
            <w:noWrap/>
            <w:vAlign w:val="bottom"/>
            <w:hideMark/>
          </w:tcPr>
          <w:p w14:paraId="6B355BA2"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single" w:sz="8" w:space="0" w:color="365F91" w:themeColor="accent1" w:themeShade="BF"/>
              <w:left w:val="nil"/>
              <w:bottom w:val="nil"/>
              <w:right w:val="single" w:sz="8" w:space="0" w:color="365F91" w:themeColor="accent1" w:themeShade="BF"/>
            </w:tcBorders>
            <w:shd w:val="clear" w:color="auto" w:fill="auto"/>
            <w:noWrap/>
            <w:vAlign w:val="bottom"/>
            <w:hideMark/>
          </w:tcPr>
          <w:p w14:paraId="79094BDC"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single" w:sz="8" w:space="0" w:color="365F91" w:themeColor="accent1" w:themeShade="BF"/>
              <w:left w:val="single" w:sz="8" w:space="0" w:color="365F91" w:themeColor="accent1" w:themeShade="BF"/>
              <w:bottom w:val="nil"/>
              <w:right w:val="nil"/>
            </w:tcBorders>
            <w:shd w:val="clear" w:color="auto" w:fill="auto"/>
            <w:noWrap/>
            <w:vAlign w:val="bottom"/>
            <w:hideMark/>
          </w:tcPr>
          <w:p w14:paraId="74B03A6B" w14:textId="77777777" w:rsidR="00C4454D" w:rsidRPr="00A735B4" w:rsidRDefault="00C4454D" w:rsidP="00C4454D">
            <w:pPr>
              <w:rPr>
                <w:color w:val="1F497D" w:themeColor="text2"/>
                <w:sz w:val="18"/>
                <w:szCs w:val="18"/>
              </w:rPr>
            </w:pPr>
          </w:p>
        </w:tc>
        <w:tc>
          <w:tcPr>
            <w:tcW w:w="259" w:type="dxa"/>
            <w:tcBorders>
              <w:top w:val="single" w:sz="8" w:space="0" w:color="365F91" w:themeColor="accent1" w:themeShade="BF"/>
              <w:left w:val="nil"/>
              <w:bottom w:val="nil"/>
              <w:right w:val="single" w:sz="8" w:space="0" w:color="365F91" w:themeColor="accent1" w:themeShade="BF"/>
            </w:tcBorders>
            <w:shd w:val="clear" w:color="auto" w:fill="auto"/>
            <w:noWrap/>
            <w:vAlign w:val="bottom"/>
            <w:hideMark/>
          </w:tcPr>
          <w:p w14:paraId="27BE12AF" w14:textId="77777777" w:rsidR="00C4454D" w:rsidRPr="00A735B4" w:rsidRDefault="00C4454D" w:rsidP="00C4454D">
            <w:pPr>
              <w:rPr>
                <w:color w:val="1F497D" w:themeColor="text2"/>
                <w:sz w:val="18"/>
                <w:szCs w:val="18"/>
              </w:rPr>
            </w:pPr>
          </w:p>
        </w:tc>
        <w:tc>
          <w:tcPr>
            <w:tcW w:w="259" w:type="dxa"/>
            <w:tcBorders>
              <w:top w:val="single" w:sz="8" w:space="0" w:color="365F91" w:themeColor="accent1" w:themeShade="BF"/>
              <w:left w:val="single" w:sz="8" w:space="0" w:color="365F91" w:themeColor="accent1" w:themeShade="BF"/>
              <w:bottom w:val="nil"/>
              <w:right w:val="nil"/>
            </w:tcBorders>
            <w:shd w:val="clear" w:color="auto" w:fill="auto"/>
            <w:noWrap/>
            <w:vAlign w:val="bottom"/>
            <w:hideMark/>
          </w:tcPr>
          <w:p w14:paraId="41DF8822"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single" w:sz="8" w:space="0" w:color="365F91" w:themeColor="accent1" w:themeShade="BF"/>
              <w:left w:val="nil"/>
              <w:bottom w:val="nil"/>
              <w:right w:val="single" w:sz="8" w:space="0" w:color="365F91" w:themeColor="accent1" w:themeShade="BF"/>
            </w:tcBorders>
            <w:shd w:val="clear" w:color="auto" w:fill="auto"/>
            <w:noWrap/>
            <w:vAlign w:val="bottom"/>
            <w:hideMark/>
          </w:tcPr>
          <w:p w14:paraId="377661E9"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single" w:sz="8" w:space="0" w:color="365F91" w:themeColor="accent1" w:themeShade="BF"/>
              <w:left w:val="single" w:sz="8" w:space="0" w:color="365F91" w:themeColor="accent1" w:themeShade="BF"/>
              <w:bottom w:val="nil"/>
              <w:right w:val="nil"/>
            </w:tcBorders>
            <w:shd w:val="clear" w:color="auto" w:fill="auto"/>
            <w:noWrap/>
            <w:vAlign w:val="bottom"/>
            <w:hideMark/>
          </w:tcPr>
          <w:p w14:paraId="5396EE27"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single" w:sz="8" w:space="0" w:color="365F91" w:themeColor="accent1" w:themeShade="BF"/>
              <w:left w:val="nil"/>
              <w:bottom w:val="nil"/>
              <w:right w:val="single" w:sz="8" w:space="0" w:color="365F91" w:themeColor="accent1" w:themeShade="BF"/>
            </w:tcBorders>
            <w:shd w:val="clear" w:color="auto" w:fill="auto"/>
            <w:noWrap/>
            <w:vAlign w:val="bottom"/>
            <w:hideMark/>
          </w:tcPr>
          <w:p w14:paraId="603B2515"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single" w:sz="8" w:space="0" w:color="365F91" w:themeColor="accent1" w:themeShade="BF"/>
              <w:left w:val="single" w:sz="8" w:space="0" w:color="365F91" w:themeColor="accent1" w:themeShade="BF"/>
              <w:bottom w:val="nil"/>
              <w:right w:val="nil"/>
            </w:tcBorders>
            <w:shd w:val="clear" w:color="auto" w:fill="auto"/>
            <w:noWrap/>
            <w:vAlign w:val="bottom"/>
            <w:hideMark/>
          </w:tcPr>
          <w:p w14:paraId="580A8B71"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single" w:sz="8" w:space="0" w:color="365F91" w:themeColor="accent1" w:themeShade="BF"/>
              <w:left w:val="nil"/>
              <w:bottom w:val="nil"/>
              <w:right w:val="single" w:sz="8" w:space="0" w:color="365F91" w:themeColor="accent1" w:themeShade="BF"/>
            </w:tcBorders>
            <w:shd w:val="clear" w:color="auto" w:fill="auto"/>
            <w:noWrap/>
            <w:vAlign w:val="bottom"/>
            <w:hideMark/>
          </w:tcPr>
          <w:p w14:paraId="27944EB6"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single" w:sz="8" w:space="0" w:color="365F91" w:themeColor="accent1" w:themeShade="BF"/>
              <w:left w:val="single" w:sz="8" w:space="0" w:color="365F91" w:themeColor="accent1" w:themeShade="BF"/>
              <w:bottom w:val="nil"/>
              <w:right w:val="nil"/>
            </w:tcBorders>
            <w:shd w:val="clear" w:color="auto" w:fill="auto"/>
            <w:noWrap/>
            <w:vAlign w:val="bottom"/>
            <w:hideMark/>
          </w:tcPr>
          <w:p w14:paraId="7F9C5BBA"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single" w:sz="8" w:space="0" w:color="365F91" w:themeColor="accent1" w:themeShade="BF"/>
              <w:left w:val="nil"/>
              <w:bottom w:val="nil"/>
              <w:right w:val="single" w:sz="8" w:space="0" w:color="365F91" w:themeColor="accent1" w:themeShade="BF"/>
            </w:tcBorders>
            <w:shd w:val="clear" w:color="auto" w:fill="auto"/>
            <w:noWrap/>
            <w:vAlign w:val="bottom"/>
            <w:hideMark/>
          </w:tcPr>
          <w:p w14:paraId="2C77F6F1" w14:textId="77777777" w:rsidR="00C4454D" w:rsidRPr="00A735B4" w:rsidRDefault="00C4454D" w:rsidP="00C4454D">
            <w:pPr>
              <w:rPr>
                <w:color w:val="1F497D" w:themeColor="text2"/>
              </w:rPr>
            </w:pPr>
            <w:r w:rsidRPr="00A735B4">
              <w:rPr>
                <w:color w:val="1F497D" w:themeColor="text2"/>
              </w:rPr>
              <w:t> </w:t>
            </w:r>
          </w:p>
        </w:tc>
      </w:tr>
      <w:tr w:rsidR="00C4454D" w:rsidRPr="00A735B4" w14:paraId="1BEA1E2A" w14:textId="77777777" w:rsidTr="00C4454D">
        <w:trPr>
          <w:trHeight w:val="205"/>
        </w:trPr>
        <w:tc>
          <w:tcPr>
            <w:tcW w:w="1415" w:type="dxa"/>
            <w:tcBorders>
              <w:top w:val="nil"/>
              <w:left w:val="single" w:sz="8" w:space="0" w:color="365F91" w:themeColor="accent1" w:themeShade="BF"/>
              <w:bottom w:val="nil"/>
              <w:right w:val="nil"/>
            </w:tcBorders>
            <w:shd w:val="clear" w:color="auto" w:fill="auto"/>
            <w:noWrap/>
            <w:vAlign w:val="bottom"/>
            <w:hideMark/>
          </w:tcPr>
          <w:p w14:paraId="42FC4A6B" w14:textId="77777777" w:rsidR="00C4454D" w:rsidRPr="00A735B4" w:rsidRDefault="00C4454D" w:rsidP="00C4454D">
            <w:pPr>
              <w:rPr>
                <w:color w:val="1F497D" w:themeColor="text2"/>
                <w:sz w:val="18"/>
                <w:szCs w:val="18"/>
              </w:rPr>
            </w:pPr>
            <w:r w:rsidRPr="00A735B4">
              <w:rPr>
                <w:color w:val="1F497D" w:themeColor="text2"/>
                <w:sz w:val="18"/>
                <w:szCs w:val="18"/>
              </w:rPr>
              <w:t>Kenya</w:t>
            </w:r>
          </w:p>
        </w:tc>
        <w:tc>
          <w:tcPr>
            <w:tcW w:w="686" w:type="dxa"/>
            <w:tcBorders>
              <w:top w:val="nil"/>
              <w:left w:val="nil"/>
              <w:bottom w:val="nil"/>
              <w:right w:val="single" w:sz="8" w:space="0" w:color="365F91" w:themeColor="accent1" w:themeShade="BF"/>
            </w:tcBorders>
            <w:shd w:val="clear" w:color="auto" w:fill="auto"/>
            <w:noWrap/>
            <w:vAlign w:val="bottom"/>
            <w:hideMark/>
          </w:tcPr>
          <w:p w14:paraId="63BFBB91" w14:textId="77777777" w:rsidR="00C4454D" w:rsidRPr="00A735B4" w:rsidRDefault="00C4454D" w:rsidP="00C4454D">
            <w:pPr>
              <w:rPr>
                <w:color w:val="1F497D" w:themeColor="text2"/>
                <w:sz w:val="18"/>
                <w:szCs w:val="18"/>
              </w:rPr>
            </w:pPr>
          </w:p>
        </w:tc>
        <w:tc>
          <w:tcPr>
            <w:tcW w:w="316" w:type="dxa"/>
            <w:tcBorders>
              <w:top w:val="nil"/>
              <w:left w:val="single" w:sz="8" w:space="0" w:color="365F91" w:themeColor="accent1" w:themeShade="BF"/>
              <w:bottom w:val="nil"/>
              <w:right w:val="single" w:sz="8" w:space="0" w:color="365F91" w:themeColor="accent1" w:themeShade="BF"/>
            </w:tcBorders>
            <w:shd w:val="clear" w:color="auto" w:fill="auto"/>
            <w:noWrap/>
            <w:vAlign w:val="bottom"/>
            <w:hideMark/>
          </w:tcPr>
          <w:p w14:paraId="4D8B9B91"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nil"/>
              <w:right w:val="nil"/>
            </w:tcBorders>
            <w:shd w:val="clear" w:color="auto" w:fill="auto"/>
            <w:noWrap/>
            <w:vAlign w:val="bottom"/>
            <w:hideMark/>
          </w:tcPr>
          <w:p w14:paraId="7FDBE71C" w14:textId="77777777" w:rsidR="00C4454D" w:rsidRPr="00A735B4" w:rsidRDefault="00C4454D" w:rsidP="00C4454D">
            <w:pPr>
              <w:rPr>
                <w:color w:val="1F497D" w:themeColor="text2"/>
                <w:sz w:val="18"/>
                <w:szCs w:val="18"/>
              </w:rPr>
            </w:pPr>
          </w:p>
        </w:tc>
        <w:tc>
          <w:tcPr>
            <w:tcW w:w="259" w:type="dxa"/>
            <w:tcBorders>
              <w:top w:val="nil"/>
              <w:left w:val="nil"/>
              <w:bottom w:val="nil"/>
              <w:right w:val="single" w:sz="8" w:space="0" w:color="365F91" w:themeColor="accent1" w:themeShade="BF"/>
            </w:tcBorders>
            <w:shd w:val="clear" w:color="auto" w:fill="auto"/>
            <w:noWrap/>
            <w:vAlign w:val="bottom"/>
            <w:hideMark/>
          </w:tcPr>
          <w:p w14:paraId="323E0A6B"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nil"/>
              <w:right w:val="nil"/>
            </w:tcBorders>
            <w:shd w:val="clear" w:color="auto" w:fill="auto"/>
            <w:noWrap/>
            <w:vAlign w:val="bottom"/>
            <w:hideMark/>
          </w:tcPr>
          <w:p w14:paraId="11227E6B"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nil"/>
              <w:right w:val="single" w:sz="8" w:space="0" w:color="365F91" w:themeColor="accent1" w:themeShade="BF"/>
            </w:tcBorders>
            <w:shd w:val="clear" w:color="auto" w:fill="auto"/>
            <w:noWrap/>
            <w:vAlign w:val="bottom"/>
            <w:hideMark/>
          </w:tcPr>
          <w:p w14:paraId="735896A6"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nil"/>
              <w:right w:val="nil"/>
            </w:tcBorders>
            <w:shd w:val="clear" w:color="auto" w:fill="auto"/>
            <w:noWrap/>
            <w:vAlign w:val="bottom"/>
            <w:hideMark/>
          </w:tcPr>
          <w:p w14:paraId="28985EF5" w14:textId="77777777" w:rsidR="00C4454D" w:rsidRPr="00A735B4" w:rsidRDefault="00C4454D" w:rsidP="00C4454D">
            <w:pPr>
              <w:rPr>
                <w:color w:val="1F497D" w:themeColor="text2"/>
                <w:sz w:val="18"/>
                <w:szCs w:val="18"/>
              </w:rPr>
            </w:pPr>
          </w:p>
        </w:tc>
        <w:tc>
          <w:tcPr>
            <w:tcW w:w="259" w:type="dxa"/>
            <w:tcBorders>
              <w:top w:val="nil"/>
              <w:left w:val="nil"/>
              <w:bottom w:val="nil"/>
              <w:right w:val="single" w:sz="8" w:space="0" w:color="365F91" w:themeColor="accent1" w:themeShade="BF"/>
            </w:tcBorders>
            <w:shd w:val="clear" w:color="auto" w:fill="auto"/>
            <w:noWrap/>
            <w:vAlign w:val="bottom"/>
            <w:hideMark/>
          </w:tcPr>
          <w:p w14:paraId="787FB232" w14:textId="77777777" w:rsidR="00C4454D" w:rsidRPr="00A735B4" w:rsidRDefault="00C4454D" w:rsidP="00C4454D">
            <w:pPr>
              <w:rPr>
                <w:color w:val="1F497D" w:themeColor="text2"/>
                <w:sz w:val="18"/>
                <w:szCs w:val="18"/>
              </w:rPr>
            </w:pPr>
          </w:p>
        </w:tc>
        <w:tc>
          <w:tcPr>
            <w:tcW w:w="259" w:type="dxa"/>
            <w:tcBorders>
              <w:top w:val="nil"/>
              <w:left w:val="single" w:sz="8" w:space="0" w:color="365F91" w:themeColor="accent1" w:themeShade="BF"/>
              <w:bottom w:val="nil"/>
              <w:right w:val="nil"/>
            </w:tcBorders>
            <w:shd w:val="clear" w:color="auto" w:fill="auto"/>
            <w:noWrap/>
            <w:vAlign w:val="bottom"/>
            <w:hideMark/>
          </w:tcPr>
          <w:p w14:paraId="55E41628"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nil"/>
              <w:right w:val="single" w:sz="8" w:space="0" w:color="365F91" w:themeColor="accent1" w:themeShade="BF"/>
            </w:tcBorders>
            <w:shd w:val="clear" w:color="auto" w:fill="auto"/>
            <w:noWrap/>
            <w:vAlign w:val="bottom"/>
            <w:hideMark/>
          </w:tcPr>
          <w:p w14:paraId="2A32EF40"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nil"/>
              <w:right w:val="nil"/>
            </w:tcBorders>
            <w:shd w:val="clear" w:color="auto" w:fill="auto"/>
            <w:noWrap/>
            <w:vAlign w:val="bottom"/>
            <w:hideMark/>
          </w:tcPr>
          <w:p w14:paraId="7F11213E"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nil"/>
              <w:right w:val="single" w:sz="8" w:space="0" w:color="365F91" w:themeColor="accent1" w:themeShade="BF"/>
            </w:tcBorders>
            <w:shd w:val="clear" w:color="auto" w:fill="auto"/>
            <w:noWrap/>
            <w:vAlign w:val="bottom"/>
            <w:hideMark/>
          </w:tcPr>
          <w:p w14:paraId="4F35542A"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nil"/>
              <w:right w:val="nil"/>
            </w:tcBorders>
            <w:shd w:val="clear" w:color="auto" w:fill="auto"/>
            <w:noWrap/>
            <w:vAlign w:val="bottom"/>
            <w:hideMark/>
          </w:tcPr>
          <w:p w14:paraId="4BEAA6D9" w14:textId="77777777" w:rsidR="00C4454D" w:rsidRPr="00A735B4" w:rsidRDefault="00C4454D" w:rsidP="00C4454D">
            <w:pPr>
              <w:rPr>
                <w:color w:val="1F497D" w:themeColor="text2"/>
                <w:sz w:val="18"/>
                <w:szCs w:val="18"/>
              </w:rPr>
            </w:pPr>
          </w:p>
        </w:tc>
        <w:tc>
          <w:tcPr>
            <w:tcW w:w="259" w:type="dxa"/>
            <w:tcBorders>
              <w:top w:val="nil"/>
              <w:left w:val="nil"/>
              <w:bottom w:val="nil"/>
              <w:right w:val="single" w:sz="8" w:space="0" w:color="365F91" w:themeColor="accent1" w:themeShade="BF"/>
            </w:tcBorders>
            <w:shd w:val="clear" w:color="auto" w:fill="365F91" w:themeFill="accent1" w:themeFillShade="BF"/>
            <w:noWrap/>
            <w:vAlign w:val="bottom"/>
            <w:hideMark/>
          </w:tcPr>
          <w:p w14:paraId="040FB9A3"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nil"/>
              <w:right w:val="nil"/>
            </w:tcBorders>
            <w:shd w:val="clear" w:color="auto" w:fill="365F91" w:themeFill="accent1" w:themeFillShade="BF"/>
            <w:noWrap/>
            <w:vAlign w:val="bottom"/>
            <w:hideMark/>
          </w:tcPr>
          <w:p w14:paraId="6A515DC8"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nil"/>
              <w:right w:val="single" w:sz="8" w:space="0" w:color="365F91" w:themeColor="accent1" w:themeShade="BF"/>
            </w:tcBorders>
            <w:shd w:val="clear" w:color="auto" w:fill="auto"/>
            <w:noWrap/>
            <w:vAlign w:val="bottom"/>
            <w:hideMark/>
          </w:tcPr>
          <w:p w14:paraId="4E87AB01"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nil"/>
              <w:right w:val="nil"/>
            </w:tcBorders>
            <w:shd w:val="clear" w:color="auto" w:fill="auto"/>
            <w:noWrap/>
            <w:vAlign w:val="bottom"/>
            <w:hideMark/>
          </w:tcPr>
          <w:p w14:paraId="45B82E0A" w14:textId="77777777" w:rsidR="00C4454D" w:rsidRPr="00A735B4" w:rsidRDefault="00C4454D" w:rsidP="00C4454D">
            <w:pPr>
              <w:rPr>
                <w:color w:val="1F497D" w:themeColor="text2"/>
                <w:sz w:val="18"/>
                <w:szCs w:val="18"/>
              </w:rPr>
            </w:pPr>
          </w:p>
        </w:tc>
        <w:tc>
          <w:tcPr>
            <w:tcW w:w="259" w:type="dxa"/>
            <w:tcBorders>
              <w:top w:val="nil"/>
              <w:left w:val="nil"/>
              <w:bottom w:val="nil"/>
              <w:right w:val="single" w:sz="8" w:space="0" w:color="365F91" w:themeColor="accent1" w:themeShade="BF"/>
            </w:tcBorders>
            <w:shd w:val="clear" w:color="auto" w:fill="auto"/>
            <w:noWrap/>
            <w:vAlign w:val="bottom"/>
            <w:hideMark/>
          </w:tcPr>
          <w:p w14:paraId="45CB05F5" w14:textId="77777777" w:rsidR="00C4454D" w:rsidRPr="00A735B4" w:rsidRDefault="00C4454D" w:rsidP="00C4454D">
            <w:pPr>
              <w:rPr>
                <w:color w:val="1F497D" w:themeColor="text2"/>
                <w:sz w:val="18"/>
                <w:szCs w:val="18"/>
              </w:rPr>
            </w:pPr>
          </w:p>
        </w:tc>
        <w:tc>
          <w:tcPr>
            <w:tcW w:w="259" w:type="dxa"/>
            <w:tcBorders>
              <w:top w:val="nil"/>
              <w:left w:val="single" w:sz="8" w:space="0" w:color="365F91" w:themeColor="accent1" w:themeShade="BF"/>
              <w:bottom w:val="nil"/>
              <w:right w:val="nil"/>
            </w:tcBorders>
            <w:shd w:val="clear" w:color="auto" w:fill="auto"/>
            <w:noWrap/>
            <w:vAlign w:val="bottom"/>
            <w:hideMark/>
          </w:tcPr>
          <w:p w14:paraId="18B0570E"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nil"/>
              <w:right w:val="single" w:sz="8" w:space="0" w:color="365F91" w:themeColor="accent1" w:themeShade="BF"/>
            </w:tcBorders>
            <w:shd w:val="clear" w:color="auto" w:fill="auto"/>
            <w:noWrap/>
            <w:vAlign w:val="bottom"/>
            <w:hideMark/>
          </w:tcPr>
          <w:p w14:paraId="40087FC4"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nil"/>
              <w:right w:val="nil"/>
            </w:tcBorders>
            <w:shd w:val="clear" w:color="auto" w:fill="auto"/>
            <w:noWrap/>
            <w:vAlign w:val="bottom"/>
            <w:hideMark/>
          </w:tcPr>
          <w:p w14:paraId="211A4737"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nil"/>
              <w:right w:val="single" w:sz="8" w:space="0" w:color="365F91" w:themeColor="accent1" w:themeShade="BF"/>
            </w:tcBorders>
            <w:shd w:val="clear" w:color="auto" w:fill="auto"/>
            <w:noWrap/>
            <w:vAlign w:val="bottom"/>
            <w:hideMark/>
          </w:tcPr>
          <w:p w14:paraId="082AC7A0"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nil"/>
              <w:right w:val="nil"/>
            </w:tcBorders>
            <w:shd w:val="clear" w:color="auto" w:fill="auto"/>
            <w:noWrap/>
            <w:vAlign w:val="bottom"/>
            <w:hideMark/>
          </w:tcPr>
          <w:p w14:paraId="6C38F2E7"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nil"/>
              <w:right w:val="single" w:sz="8" w:space="0" w:color="365F91" w:themeColor="accent1" w:themeShade="BF"/>
            </w:tcBorders>
            <w:shd w:val="clear" w:color="auto" w:fill="auto"/>
            <w:noWrap/>
            <w:vAlign w:val="bottom"/>
            <w:hideMark/>
          </w:tcPr>
          <w:p w14:paraId="5FCB8772"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nil"/>
              <w:right w:val="nil"/>
            </w:tcBorders>
            <w:shd w:val="clear" w:color="auto" w:fill="auto"/>
            <w:noWrap/>
            <w:vAlign w:val="bottom"/>
            <w:hideMark/>
          </w:tcPr>
          <w:p w14:paraId="1E180040"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nil"/>
              <w:right w:val="single" w:sz="8" w:space="0" w:color="365F91" w:themeColor="accent1" w:themeShade="BF"/>
            </w:tcBorders>
            <w:shd w:val="clear" w:color="auto" w:fill="auto"/>
            <w:noWrap/>
            <w:vAlign w:val="bottom"/>
            <w:hideMark/>
          </w:tcPr>
          <w:p w14:paraId="19CE56F1" w14:textId="77777777" w:rsidR="00C4454D" w:rsidRPr="00A735B4" w:rsidRDefault="00C4454D" w:rsidP="00C4454D">
            <w:pPr>
              <w:rPr>
                <w:color w:val="1F497D" w:themeColor="text2"/>
              </w:rPr>
            </w:pPr>
            <w:r w:rsidRPr="00A735B4">
              <w:rPr>
                <w:color w:val="1F497D" w:themeColor="text2"/>
              </w:rPr>
              <w:t> </w:t>
            </w:r>
          </w:p>
        </w:tc>
      </w:tr>
      <w:tr w:rsidR="00C4454D" w:rsidRPr="00A735B4" w14:paraId="7DBE4357" w14:textId="77777777" w:rsidTr="00C4454D">
        <w:trPr>
          <w:trHeight w:val="205"/>
        </w:trPr>
        <w:tc>
          <w:tcPr>
            <w:tcW w:w="1415" w:type="dxa"/>
            <w:tcBorders>
              <w:top w:val="nil"/>
              <w:left w:val="single" w:sz="8" w:space="0" w:color="365F91" w:themeColor="accent1" w:themeShade="BF"/>
              <w:bottom w:val="nil"/>
              <w:right w:val="nil"/>
            </w:tcBorders>
            <w:shd w:val="clear" w:color="auto" w:fill="auto"/>
            <w:noWrap/>
            <w:vAlign w:val="bottom"/>
            <w:hideMark/>
          </w:tcPr>
          <w:p w14:paraId="7F93F716" w14:textId="77777777" w:rsidR="00C4454D" w:rsidRPr="00A735B4" w:rsidRDefault="00C4454D" w:rsidP="00C4454D">
            <w:pPr>
              <w:rPr>
                <w:color w:val="1F497D" w:themeColor="text2"/>
                <w:sz w:val="18"/>
                <w:szCs w:val="18"/>
              </w:rPr>
            </w:pPr>
            <w:r w:rsidRPr="00A735B4">
              <w:rPr>
                <w:color w:val="1F497D" w:themeColor="text2"/>
                <w:sz w:val="18"/>
                <w:szCs w:val="18"/>
              </w:rPr>
              <w:t>Tanzania</w:t>
            </w:r>
          </w:p>
        </w:tc>
        <w:tc>
          <w:tcPr>
            <w:tcW w:w="686" w:type="dxa"/>
            <w:tcBorders>
              <w:top w:val="nil"/>
              <w:left w:val="nil"/>
              <w:bottom w:val="nil"/>
              <w:right w:val="single" w:sz="8" w:space="0" w:color="365F91" w:themeColor="accent1" w:themeShade="BF"/>
            </w:tcBorders>
            <w:shd w:val="clear" w:color="auto" w:fill="auto"/>
            <w:noWrap/>
            <w:vAlign w:val="bottom"/>
            <w:hideMark/>
          </w:tcPr>
          <w:p w14:paraId="6A7B1248" w14:textId="77777777" w:rsidR="00C4454D" w:rsidRPr="00A735B4" w:rsidRDefault="00C4454D" w:rsidP="00C4454D">
            <w:pPr>
              <w:rPr>
                <w:color w:val="1F497D" w:themeColor="text2"/>
                <w:sz w:val="18"/>
                <w:szCs w:val="18"/>
              </w:rPr>
            </w:pPr>
          </w:p>
        </w:tc>
        <w:tc>
          <w:tcPr>
            <w:tcW w:w="316" w:type="dxa"/>
            <w:tcBorders>
              <w:top w:val="nil"/>
              <w:left w:val="single" w:sz="8" w:space="0" w:color="365F91" w:themeColor="accent1" w:themeShade="BF"/>
              <w:bottom w:val="nil"/>
              <w:right w:val="single" w:sz="8" w:space="0" w:color="365F91" w:themeColor="accent1" w:themeShade="BF"/>
            </w:tcBorders>
            <w:shd w:val="clear" w:color="auto" w:fill="auto"/>
            <w:noWrap/>
            <w:vAlign w:val="bottom"/>
            <w:hideMark/>
          </w:tcPr>
          <w:p w14:paraId="0E7947C6"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nil"/>
              <w:right w:val="nil"/>
            </w:tcBorders>
            <w:shd w:val="clear" w:color="auto" w:fill="auto"/>
            <w:noWrap/>
            <w:vAlign w:val="bottom"/>
            <w:hideMark/>
          </w:tcPr>
          <w:p w14:paraId="5DC334D2" w14:textId="77777777" w:rsidR="00C4454D" w:rsidRPr="00A735B4" w:rsidRDefault="00C4454D" w:rsidP="00C4454D">
            <w:pPr>
              <w:rPr>
                <w:color w:val="1F497D" w:themeColor="text2"/>
                <w:sz w:val="18"/>
                <w:szCs w:val="18"/>
              </w:rPr>
            </w:pPr>
          </w:p>
        </w:tc>
        <w:tc>
          <w:tcPr>
            <w:tcW w:w="259" w:type="dxa"/>
            <w:tcBorders>
              <w:top w:val="nil"/>
              <w:left w:val="nil"/>
              <w:bottom w:val="nil"/>
              <w:right w:val="single" w:sz="8" w:space="0" w:color="365F91" w:themeColor="accent1" w:themeShade="BF"/>
            </w:tcBorders>
            <w:shd w:val="clear" w:color="auto" w:fill="auto"/>
            <w:noWrap/>
            <w:vAlign w:val="bottom"/>
            <w:hideMark/>
          </w:tcPr>
          <w:p w14:paraId="24CE377B"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nil"/>
              <w:right w:val="nil"/>
            </w:tcBorders>
            <w:shd w:val="clear" w:color="auto" w:fill="auto"/>
            <w:noWrap/>
            <w:vAlign w:val="bottom"/>
            <w:hideMark/>
          </w:tcPr>
          <w:p w14:paraId="16331F56"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nil"/>
              <w:right w:val="single" w:sz="8" w:space="0" w:color="365F91" w:themeColor="accent1" w:themeShade="BF"/>
            </w:tcBorders>
            <w:shd w:val="clear" w:color="auto" w:fill="auto"/>
            <w:noWrap/>
            <w:vAlign w:val="bottom"/>
            <w:hideMark/>
          </w:tcPr>
          <w:p w14:paraId="4245DBD1"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nil"/>
              <w:right w:val="nil"/>
            </w:tcBorders>
            <w:shd w:val="clear" w:color="auto" w:fill="auto"/>
            <w:noWrap/>
            <w:vAlign w:val="bottom"/>
            <w:hideMark/>
          </w:tcPr>
          <w:p w14:paraId="0D0EB5E6" w14:textId="77777777" w:rsidR="00C4454D" w:rsidRPr="00A735B4" w:rsidRDefault="00C4454D" w:rsidP="00C4454D">
            <w:pPr>
              <w:rPr>
                <w:color w:val="1F497D" w:themeColor="text2"/>
                <w:sz w:val="18"/>
                <w:szCs w:val="18"/>
              </w:rPr>
            </w:pPr>
          </w:p>
        </w:tc>
        <w:tc>
          <w:tcPr>
            <w:tcW w:w="259" w:type="dxa"/>
            <w:tcBorders>
              <w:top w:val="nil"/>
              <w:left w:val="nil"/>
              <w:bottom w:val="nil"/>
              <w:right w:val="single" w:sz="8" w:space="0" w:color="365F91" w:themeColor="accent1" w:themeShade="BF"/>
            </w:tcBorders>
            <w:shd w:val="clear" w:color="auto" w:fill="auto"/>
            <w:noWrap/>
            <w:vAlign w:val="bottom"/>
            <w:hideMark/>
          </w:tcPr>
          <w:p w14:paraId="0864EB49" w14:textId="77777777" w:rsidR="00C4454D" w:rsidRPr="00A735B4" w:rsidRDefault="00C4454D" w:rsidP="00C4454D">
            <w:pPr>
              <w:rPr>
                <w:color w:val="1F497D" w:themeColor="text2"/>
                <w:sz w:val="18"/>
                <w:szCs w:val="18"/>
              </w:rPr>
            </w:pPr>
          </w:p>
        </w:tc>
        <w:tc>
          <w:tcPr>
            <w:tcW w:w="259" w:type="dxa"/>
            <w:tcBorders>
              <w:top w:val="nil"/>
              <w:left w:val="single" w:sz="8" w:space="0" w:color="365F91" w:themeColor="accent1" w:themeShade="BF"/>
              <w:bottom w:val="nil"/>
              <w:right w:val="nil"/>
            </w:tcBorders>
            <w:shd w:val="clear" w:color="auto" w:fill="auto"/>
            <w:noWrap/>
            <w:vAlign w:val="bottom"/>
            <w:hideMark/>
          </w:tcPr>
          <w:p w14:paraId="22A301E0"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nil"/>
              <w:right w:val="single" w:sz="8" w:space="0" w:color="365F91" w:themeColor="accent1" w:themeShade="BF"/>
            </w:tcBorders>
            <w:shd w:val="clear" w:color="auto" w:fill="auto"/>
            <w:noWrap/>
            <w:vAlign w:val="bottom"/>
            <w:hideMark/>
          </w:tcPr>
          <w:p w14:paraId="628BA43F"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nil"/>
              <w:right w:val="nil"/>
            </w:tcBorders>
            <w:shd w:val="clear" w:color="auto" w:fill="auto"/>
            <w:noWrap/>
            <w:vAlign w:val="bottom"/>
            <w:hideMark/>
          </w:tcPr>
          <w:p w14:paraId="2228F5BB"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nil"/>
              <w:right w:val="single" w:sz="8" w:space="0" w:color="365F91" w:themeColor="accent1" w:themeShade="BF"/>
            </w:tcBorders>
            <w:shd w:val="clear" w:color="auto" w:fill="auto"/>
            <w:noWrap/>
            <w:vAlign w:val="bottom"/>
            <w:hideMark/>
          </w:tcPr>
          <w:p w14:paraId="1867CF8B"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nil"/>
              <w:right w:val="nil"/>
            </w:tcBorders>
            <w:shd w:val="clear" w:color="auto" w:fill="auto"/>
            <w:noWrap/>
            <w:vAlign w:val="bottom"/>
            <w:hideMark/>
          </w:tcPr>
          <w:p w14:paraId="6191BB58" w14:textId="77777777" w:rsidR="00C4454D" w:rsidRPr="00A735B4" w:rsidRDefault="00C4454D" w:rsidP="00C4454D">
            <w:pPr>
              <w:rPr>
                <w:color w:val="1F497D" w:themeColor="text2"/>
                <w:sz w:val="18"/>
                <w:szCs w:val="18"/>
              </w:rPr>
            </w:pPr>
          </w:p>
        </w:tc>
        <w:tc>
          <w:tcPr>
            <w:tcW w:w="259" w:type="dxa"/>
            <w:tcBorders>
              <w:top w:val="nil"/>
              <w:left w:val="nil"/>
              <w:bottom w:val="nil"/>
              <w:right w:val="single" w:sz="8" w:space="0" w:color="365F91" w:themeColor="accent1" w:themeShade="BF"/>
            </w:tcBorders>
            <w:shd w:val="clear" w:color="auto" w:fill="365F91" w:themeFill="accent1" w:themeFillShade="BF"/>
            <w:noWrap/>
            <w:vAlign w:val="bottom"/>
            <w:hideMark/>
          </w:tcPr>
          <w:p w14:paraId="2ECD137C"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nil"/>
              <w:right w:val="nil"/>
            </w:tcBorders>
            <w:shd w:val="clear" w:color="auto" w:fill="auto"/>
            <w:noWrap/>
            <w:vAlign w:val="bottom"/>
            <w:hideMark/>
          </w:tcPr>
          <w:p w14:paraId="0C7140D6"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nil"/>
              <w:right w:val="single" w:sz="8" w:space="0" w:color="365F91" w:themeColor="accent1" w:themeShade="BF"/>
            </w:tcBorders>
            <w:shd w:val="clear" w:color="auto" w:fill="auto"/>
            <w:noWrap/>
            <w:vAlign w:val="bottom"/>
            <w:hideMark/>
          </w:tcPr>
          <w:p w14:paraId="6FD0FB7A"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nil"/>
              <w:right w:val="nil"/>
            </w:tcBorders>
            <w:shd w:val="clear" w:color="auto" w:fill="auto"/>
            <w:noWrap/>
            <w:vAlign w:val="bottom"/>
            <w:hideMark/>
          </w:tcPr>
          <w:p w14:paraId="3F4C57D4" w14:textId="77777777" w:rsidR="00C4454D" w:rsidRPr="00A735B4" w:rsidRDefault="00C4454D" w:rsidP="00C4454D">
            <w:pPr>
              <w:rPr>
                <w:color w:val="1F497D" w:themeColor="text2"/>
                <w:sz w:val="18"/>
                <w:szCs w:val="18"/>
              </w:rPr>
            </w:pPr>
          </w:p>
        </w:tc>
        <w:tc>
          <w:tcPr>
            <w:tcW w:w="259" w:type="dxa"/>
            <w:tcBorders>
              <w:top w:val="nil"/>
              <w:left w:val="nil"/>
              <w:bottom w:val="nil"/>
              <w:right w:val="single" w:sz="8" w:space="0" w:color="365F91" w:themeColor="accent1" w:themeShade="BF"/>
            </w:tcBorders>
            <w:shd w:val="clear" w:color="auto" w:fill="auto"/>
            <w:noWrap/>
            <w:vAlign w:val="bottom"/>
            <w:hideMark/>
          </w:tcPr>
          <w:p w14:paraId="6ED2380E" w14:textId="77777777" w:rsidR="00C4454D" w:rsidRPr="00A735B4" w:rsidRDefault="00C4454D" w:rsidP="00C4454D">
            <w:pPr>
              <w:rPr>
                <w:color w:val="1F497D" w:themeColor="text2"/>
                <w:sz w:val="18"/>
                <w:szCs w:val="18"/>
              </w:rPr>
            </w:pPr>
          </w:p>
        </w:tc>
        <w:tc>
          <w:tcPr>
            <w:tcW w:w="259" w:type="dxa"/>
            <w:tcBorders>
              <w:top w:val="nil"/>
              <w:left w:val="single" w:sz="8" w:space="0" w:color="365F91" w:themeColor="accent1" w:themeShade="BF"/>
              <w:bottom w:val="nil"/>
              <w:right w:val="nil"/>
            </w:tcBorders>
            <w:shd w:val="clear" w:color="auto" w:fill="auto"/>
            <w:noWrap/>
            <w:vAlign w:val="bottom"/>
            <w:hideMark/>
          </w:tcPr>
          <w:p w14:paraId="11BD5B56"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nil"/>
              <w:right w:val="single" w:sz="8" w:space="0" w:color="365F91" w:themeColor="accent1" w:themeShade="BF"/>
            </w:tcBorders>
            <w:shd w:val="clear" w:color="auto" w:fill="auto"/>
            <w:noWrap/>
            <w:vAlign w:val="bottom"/>
            <w:hideMark/>
          </w:tcPr>
          <w:p w14:paraId="2865BB99"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nil"/>
              <w:right w:val="nil"/>
            </w:tcBorders>
            <w:shd w:val="clear" w:color="auto" w:fill="auto"/>
            <w:noWrap/>
            <w:vAlign w:val="bottom"/>
            <w:hideMark/>
          </w:tcPr>
          <w:p w14:paraId="61DAAFC0"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nil"/>
              <w:right w:val="single" w:sz="8" w:space="0" w:color="365F91" w:themeColor="accent1" w:themeShade="BF"/>
            </w:tcBorders>
            <w:shd w:val="clear" w:color="auto" w:fill="auto"/>
            <w:noWrap/>
            <w:vAlign w:val="bottom"/>
            <w:hideMark/>
          </w:tcPr>
          <w:p w14:paraId="1D954A6B"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nil"/>
              <w:right w:val="nil"/>
            </w:tcBorders>
            <w:shd w:val="clear" w:color="auto" w:fill="auto"/>
            <w:noWrap/>
            <w:vAlign w:val="bottom"/>
            <w:hideMark/>
          </w:tcPr>
          <w:p w14:paraId="0354B368"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nil"/>
              <w:right w:val="single" w:sz="8" w:space="0" w:color="365F91" w:themeColor="accent1" w:themeShade="BF"/>
            </w:tcBorders>
            <w:shd w:val="clear" w:color="auto" w:fill="auto"/>
            <w:noWrap/>
            <w:vAlign w:val="bottom"/>
            <w:hideMark/>
          </w:tcPr>
          <w:p w14:paraId="637349A9"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nil"/>
              <w:right w:val="nil"/>
            </w:tcBorders>
            <w:shd w:val="clear" w:color="auto" w:fill="auto"/>
            <w:noWrap/>
            <w:vAlign w:val="bottom"/>
            <w:hideMark/>
          </w:tcPr>
          <w:p w14:paraId="58DDD108"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nil"/>
              <w:right w:val="single" w:sz="8" w:space="0" w:color="365F91" w:themeColor="accent1" w:themeShade="BF"/>
            </w:tcBorders>
            <w:shd w:val="clear" w:color="auto" w:fill="auto"/>
            <w:noWrap/>
            <w:vAlign w:val="bottom"/>
            <w:hideMark/>
          </w:tcPr>
          <w:p w14:paraId="50A8FB51" w14:textId="77777777" w:rsidR="00C4454D" w:rsidRPr="00A735B4" w:rsidRDefault="00C4454D" w:rsidP="00C4454D">
            <w:pPr>
              <w:rPr>
                <w:color w:val="1F497D" w:themeColor="text2"/>
              </w:rPr>
            </w:pPr>
            <w:r w:rsidRPr="00A735B4">
              <w:rPr>
                <w:color w:val="1F497D" w:themeColor="text2"/>
              </w:rPr>
              <w:t> </w:t>
            </w:r>
          </w:p>
        </w:tc>
      </w:tr>
      <w:tr w:rsidR="00C4454D" w:rsidRPr="00A735B4" w14:paraId="5C7667E7" w14:textId="77777777" w:rsidTr="00C4454D">
        <w:trPr>
          <w:trHeight w:val="205"/>
        </w:trPr>
        <w:tc>
          <w:tcPr>
            <w:tcW w:w="1415" w:type="dxa"/>
            <w:tcBorders>
              <w:top w:val="nil"/>
              <w:left w:val="single" w:sz="8" w:space="0" w:color="365F91" w:themeColor="accent1" w:themeShade="BF"/>
              <w:bottom w:val="nil"/>
              <w:right w:val="nil"/>
            </w:tcBorders>
            <w:shd w:val="clear" w:color="auto" w:fill="auto"/>
            <w:noWrap/>
            <w:vAlign w:val="bottom"/>
            <w:hideMark/>
          </w:tcPr>
          <w:p w14:paraId="072A568C" w14:textId="77777777" w:rsidR="00C4454D" w:rsidRPr="00A735B4" w:rsidRDefault="00C4454D" w:rsidP="00C4454D">
            <w:pPr>
              <w:rPr>
                <w:color w:val="1F497D" w:themeColor="text2"/>
                <w:sz w:val="18"/>
                <w:szCs w:val="18"/>
              </w:rPr>
            </w:pPr>
            <w:r w:rsidRPr="00A735B4">
              <w:rPr>
                <w:color w:val="1F497D" w:themeColor="text2"/>
                <w:sz w:val="18"/>
                <w:szCs w:val="18"/>
              </w:rPr>
              <w:t>Uganda</w:t>
            </w:r>
          </w:p>
        </w:tc>
        <w:tc>
          <w:tcPr>
            <w:tcW w:w="686" w:type="dxa"/>
            <w:tcBorders>
              <w:top w:val="nil"/>
              <w:left w:val="nil"/>
              <w:bottom w:val="nil"/>
              <w:right w:val="single" w:sz="8" w:space="0" w:color="365F91" w:themeColor="accent1" w:themeShade="BF"/>
            </w:tcBorders>
            <w:shd w:val="clear" w:color="auto" w:fill="auto"/>
            <w:noWrap/>
            <w:vAlign w:val="bottom"/>
            <w:hideMark/>
          </w:tcPr>
          <w:p w14:paraId="7E46E8BC" w14:textId="77777777" w:rsidR="00C4454D" w:rsidRPr="00A735B4" w:rsidRDefault="00C4454D" w:rsidP="00C4454D">
            <w:pPr>
              <w:rPr>
                <w:color w:val="1F497D" w:themeColor="text2"/>
                <w:sz w:val="18"/>
                <w:szCs w:val="18"/>
              </w:rPr>
            </w:pPr>
          </w:p>
        </w:tc>
        <w:tc>
          <w:tcPr>
            <w:tcW w:w="316" w:type="dxa"/>
            <w:tcBorders>
              <w:top w:val="nil"/>
              <w:left w:val="single" w:sz="8" w:space="0" w:color="365F91" w:themeColor="accent1" w:themeShade="BF"/>
              <w:bottom w:val="nil"/>
              <w:right w:val="single" w:sz="8" w:space="0" w:color="365F91" w:themeColor="accent1" w:themeShade="BF"/>
            </w:tcBorders>
            <w:shd w:val="clear" w:color="auto" w:fill="auto"/>
            <w:noWrap/>
            <w:vAlign w:val="bottom"/>
            <w:hideMark/>
          </w:tcPr>
          <w:p w14:paraId="015B7720"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nil"/>
              <w:right w:val="nil"/>
            </w:tcBorders>
            <w:shd w:val="clear" w:color="auto" w:fill="auto"/>
            <w:noWrap/>
            <w:vAlign w:val="bottom"/>
            <w:hideMark/>
          </w:tcPr>
          <w:p w14:paraId="2CF5BFCC" w14:textId="77777777" w:rsidR="00C4454D" w:rsidRPr="00A735B4" w:rsidRDefault="00C4454D" w:rsidP="00C4454D">
            <w:pPr>
              <w:rPr>
                <w:color w:val="1F497D" w:themeColor="text2"/>
                <w:sz w:val="18"/>
                <w:szCs w:val="18"/>
              </w:rPr>
            </w:pPr>
          </w:p>
        </w:tc>
        <w:tc>
          <w:tcPr>
            <w:tcW w:w="259" w:type="dxa"/>
            <w:tcBorders>
              <w:top w:val="nil"/>
              <w:left w:val="nil"/>
              <w:bottom w:val="nil"/>
              <w:right w:val="single" w:sz="8" w:space="0" w:color="365F91" w:themeColor="accent1" w:themeShade="BF"/>
            </w:tcBorders>
            <w:shd w:val="clear" w:color="auto" w:fill="auto"/>
            <w:noWrap/>
            <w:vAlign w:val="bottom"/>
            <w:hideMark/>
          </w:tcPr>
          <w:p w14:paraId="6ACBBF4A"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nil"/>
              <w:right w:val="nil"/>
            </w:tcBorders>
            <w:shd w:val="clear" w:color="auto" w:fill="auto"/>
            <w:noWrap/>
            <w:vAlign w:val="bottom"/>
            <w:hideMark/>
          </w:tcPr>
          <w:p w14:paraId="2576587B"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nil"/>
              <w:right w:val="single" w:sz="8" w:space="0" w:color="365F91" w:themeColor="accent1" w:themeShade="BF"/>
            </w:tcBorders>
            <w:shd w:val="clear" w:color="auto" w:fill="auto"/>
            <w:noWrap/>
            <w:vAlign w:val="bottom"/>
            <w:hideMark/>
          </w:tcPr>
          <w:p w14:paraId="482D39C7"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nil"/>
              <w:right w:val="nil"/>
            </w:tcBorders>
            <w:shd w:val="clear" w:color="auto" w:fill="auto"/>
            <w:noWrap/>
            <w:vAlign w:val="bottom"/>
            <w:hideMark/>
          </w:tcPr>
          <w:p w14:paraId="0A0E71FF" w14:textId="77777777" w:rsidR="00C4454D" w:rsidRPr="00A735B4" w:rsidRDefault="00C4454D" w:rsidP="00C4454D">
            <w:pPr>
              <w:rPr>
                <w:color w:val="1F497D" w:themeColor="text2"/>
                <w:sz w:val="18"/>
                <w:szCs w:val="18"/>
              </w:rPr>
            </w:pPr>
          </w:p>
        </w:tc>
        <w:tc>
          <w:tcPr>
            <w:tcW w:w="259" w:type="dxa"/>
            <w:tcBorders>
              <w:top w:val="nil"/>
              <w:left w:val="nil"/>
              <w:bottom w:val="nil"/>
              <w:right w:val="single" w:sz="8" w:space="0" w:color="365F91" w:themeColor="accent1" w:themeShade="BF"/>
            </w:tcBorders>
            <w:shd w:val="clear" w:color="auto" w:fill="auto"/>
            <w:noWrap/>
            <w:vAlign w:val="bottom"/>
            <w:hideMark/>
          </w:tcPr>
          <w:p w14:paraId="6737E9EC" w14:textId="77777777" w:rsidR="00C4454D" w:rsidRPr="00A735B4" w:rsidRDefault="00C4454D" w:rsidP="00C4454D">
            <w:pPr>
              <w:rPr>
                <w:color w:val="1F497D" w:themeColor="text2"/>
                <w:sz w:val="18"/>
                <w:szCs w:val="18"/>
              </w:rPr>
            </w:pPr>
          </w:p>
        </w:tc>
        <w:tc>
          <w:tcPr>
            <w:tcW w:w="259" w:type="dxa"/>
            <w:tcBorders>
              <w:top w:val="nil"/>
              <w:left w:val="single" w:sz="8" w:space="0" w:color="365F91" w:themeColor="accent1" w:themeShade="BF"/>
              <w:bottom w:val="nil"/>
              <w:right w:val="nil"/>
            </w:tcBorders>
            <w:shd w:val="clear" w:color="auto" w:fill="auto"/>
            <w:noWrap/>
            <w:vAlign w:val="bottom"/>
            <w:hideMark/>
          </w:tcPr>
          <w:p w14:paraId="6715FBF7"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nil"/>
              <w:right w:val="single" w:sz="8" w:space="0" w:color="365F91" w:themeColor="accent1" w:themeShade="BF"/>
            </w:tcBorders>
            <w:shd w:val="clear" w:color="auto" w:fill="365F91" w:themeFill="accent1" w:themeFillShade="BF"/>
            <w:noWrap/>
            <w:vAlign w:val="bottom"/>
            <w:hideMark/>
          </w:tcPr>
          <w:p w14:paraId="51702EE3"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nil"/>
              <w:right w:val="nil"/>
            </w:tcBorders>
            <w:shd w:val="clear" w:color="auto" w:fill="365F91" w:themeFill="accent1" w:themeFillShade="BF"/>
            <w:noWrap/>
            <w:vAlign w:val="bottom"/>
            <w:hideMark/>
          </w:tcPr>
          <w:p w14:paraId="57C3937B"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nil"/>
              <w:right w:val="single" w:sz="8" w:space="0" w:color="365F91" w:themeColor="accent1" w:themeShade="BF"/>
            </w:tcBorders>
            <w:shd w:val="clear" w:color="auto" w:fill="365F91" w:themeFill="accent1" w:themeFillShade="BF"/>
            <w:noWrap/>
            <w:vAlign w:val="bottom"/>
            <w:hideMark/>
          </w:tcPr>
          <w:p w14:paraId="04FDA76F"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nil"/>
              <w:right w:val="nil"/>
            </w:tcBorders>
            <w:shd w:val="clear" w:color="auto" w:fill="365F91" w:themeFill="accent1" w:themeFillShade="BF"/>
            <w:noWrap/>
            <w:vAlign w:val="bottom"/>
            <w:hideMark/>
          </w:tcPr>
          <w:p w14:paraId="120D0752"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nil"/>
              <w:right w:val="single" w:sz="8" w:space="0" w:color="365F91" w:themeColor="accent1" w:themeShade="BF"/>
            </w:tcBorders>
            <w:shd w:val="clear" w:color="auto" w:fill="365F91" w:themeFill="accent1" w:themeFillShade="BF"/>
            <w:noWrap/>
            <w:vAlign w:val="bottom"/>
            <w:hideMark/>
          </w:tcPr>
          <w:p w14:paraId="18DE9EE5"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nil"/>
              <w:right w:val="nil"/>
            </w:tcBorders>
            <w:shd w:val="clear" w:color="auto" w:fill="365F91" w:themeFill="accent1" w:themeFillShade="BF"/>
            <w:noWrap/>
            <w:vAlign w:val="bottom"/>
            <w:hideMark/>
          </w:tcPr>
          <w:p w14:paraId="2F828352"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nil"/>
              <w:right w:val="single" w:sz="8" w:space="0" w:color="365F91" w:themeColor="accent1" w:themeShade="BF"/>
            </w:tcBorders>
            <w:shd w:val="clear" w:color="auto" w:fill="365F91" w:themeFill="accent1" w:themeFillShade="BF"/>
            <w:noWrap/>
            <w:vAlign w:val="bottom"/>
            <w:hideMark/>
          </w:tcPr>
          <w:p w14:paraId="3CF4A93F"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nil"/>
              <w:right w:val="nil"/>
            </w:tcBorders>
            <w:shd w:val="clear" w:color="auto" w:fill="365F91" w:themeFill="accent1" w:themeFillShade="BF"/>
            <w:noWrap/>
            <w:vAlign w:val="bottom"/>
            <w:hideMark/>
          </w:tcPr>
          <w:p w14:paraId="110DA22B"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nil"/>
              <w:right w:val="single" w:sz="8" w:space="0" w:color="365F91" w:themeColor="accent1" w:themeShade="BF"/>
            </w:tcBorders>
            <w:shd w:val="clear" w:color="auto" w:fill="auto"/>
            <w:noWrap/>
            <w:vAlign w:val="bottom"/>
            <w:hideMark/>
          </w:tcPr>
          <w:p w14:paraId="5312FBA6" w14:textId="77777777" w:rsidR="00C4454D" w:rsidRPr="00A735B4" w:rsidRDefault="00C4454D" w:rsidP="00C4454D">
            <w:pPr>
              <w:rPr>
                <w:color w:val="1F497D" w:themeColor="text2"/>
                <w:sz w:val="18"/>
                <w:szCs w:val="18"/>
              </w:rPr>
            </w:pPr>
          </w:p>
        </w:tc>
        <w:tc>
          <w:tcPr>
            <w:tcW w:w="259" w:type="dxa"/>
            <w:tcBorders>
              <w:top w:val="nil"/>
              <w:left w:val="single" w:sz="8" w:space="0" w:color="365F91" w:themeColor="accent1" w:themeShade="BF"/>
              <w:bottom w:val="nil"/>
              <w:right w:val="nil"/>
            </w:tcBorders>
            <w:shd w:val="clear" w:color="auto" w:fill="auto"/>
            <w:noWrap/>
            <w:vAlign w:val="bottom"/>
            <w:hideMark/>
          </w:tcPr>
          <w:p w14:paraId="1A4CF9B5"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nil"/>
              <w:right w:val="single" w:sz="8" w:space="0" w:color="365F91" w:themeColor="accent1" w:themeShade="BF"/>
            </w:tcBorders>
            <w:shd w:val="clear" w:color="auto" w:fill="auto"/>
            <w:noWrap/>
            <w:vAlign w:val="bottom"/>
            <w:hideMark/>
          </w:tcPr>
          <w:p w14:paraId="16144589"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nil"/>
              <w:right w:val="nil"/>
            </w:tcBorders>
            <w:shd w:val="clear" w:color="auto" w:fill="auto"/>
            <w:noWrap/>
            <w:vAlign w:val="bottom"/>
            <w:hideMark/>
          </w:tcPr>
          <w:p w14:paraId="22BC55C3"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nil"/>
              <w:right w:val="single" w:sz="8" w:space="0" w:color="365F91" w:themeColor="accent1" w:themeShade="BF"/>
            </w:tcBorders>
            <w:shd w:val="clear" w:color="auto" w:fill="auto"/>
            <w:noWrap/>
            <w:vAlign w:val="bottom"/>
            <w:hideMark/>
          </w:tcPr>
          <w:p w14:paraId="2E32EE23"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nil"/>
              <w:right w:val="nil"/>
            </w:tcBorders>
            <w:shd w:val="clear" w:color="auto" w:fill="auto"/>
            <w:noWrap/>
            <w:vAlign w:val="bottom"/>
            <w:hideMark/>
          </w:tcPr>
          <w:p w14:paraId="72E67573"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nil"/>
              <w:right w:val="single" w:sz="8" w:space="0" w:color="365F91" w:themeColor="accent1" w:themeShade="BF"/>
            </w:tcBorders>
            <w:shd w:val="clear" w:color="auto" w:fill="auto"/>
            <w:noWrap/>
            <w:vAlign w:val="bottom"/>
            <w:hideMark/>
          </w:tcPr>
          <w:p w14:paraId="0E34BA96"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nil"/>
              <w:right w:val="nil"/>
            </w:tcBorders>
            <w:shd w:val="clear" w:color="auto" w:fill="auto"/>
            <w:noWrap/>
            <w:vAlign w:val="bottom"/>
            <w:hideMark/>
          </w:tcPr>
          <w:p w14:paraId="17E6BF12"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nil"/>
              <w:right w:val="single" w:sz="8" w:space="0" w:color="365F91" w:themeColor="accent1" w:themeShade="BF"/>
            </w:tcBorders>
            <w:shd w:val="clear" w:color="auto" w:fill="auto"/>
            <w:noWrap/>
            <w:vAlign w:val="bottom"/>
            <w:hideMark/>
          </w:tcPr>
          <w:p w14:paraId="0A3CE052" w14:textId="77777777" w:rsidR="00C4454D" w:rsidRPr="00A735B4" w:rsidRDefault="00C4454D" w:rsidP="00C4454D">
            <w:pPr>
              <w:rPr>
                <w:color w:val="1F497D" w:themeColor="text2"/>
              </w:rPr>
            </w:pPr>
            <w:r w:rsidRPr="00A735B4">
              <w:rPr>
                <w:color w:val="1F497D" w:themeColor="text2"/>
              </w:rPr>
              <w:t> </w:t>
            </w:r>
          </w:p>
        </w:tc>
      </w:tr>
      <w:tr w:rsidR="00C4454D" w:rsidRPr="00A735B4" w14:paraId="7382F177" w14:textId="77777777" w:rsidTr="00C4454D">
        <w:trPr>
          <w:trHeight w:val="205"/>
        </w:trPr>
        <w:tc>
          <w:tcPr>
            <w:tcW w:w="1415" w:type="dxa"/>
            <w:tcBorders>
              <w:top w:val="nil"/>
              <w:left w:val="single" w:sz="8" w:space="0" w:color="365F91" w:themeColor="accent1" w:themeShade="BF"/>
              <w:bottom w:val="nil"/>
              <w:right w:val="nil"/>
            </w:tcBorders>
            <w:shd w:val="clear" w:color="auto" w:fill="auto"/>
            <w:noWrap/>
            <w:vAlign w:val="bottom"/>
            <w:hideMark/>
          </w:tcPr>
          <w:p w14:paraId="457CF903" w14:textId="77777777" w:rsidR="00C4454D" w:rsidRPr="00A735B4" w:rsidRDefault="00C4454D" w:rsidP="00C4454D">
            <w:pPr>
              <w:rPr>
                <w:color w:val="1F497D" w:themeColor="text2"/>
                <w:sz w:val="18"/>
                <w:szCs w:val="18"/>
              </w:rPr>
            </w:pPr>
            <w:r w:rsidRPr="00A735B4">
              <w:rPr>
                <w:color w:val="1F497D" w:themeColor="text2"/>
                <w:sz w:val="18"/>
                <w:szCs w:val="18"/>
              </w:rPr>
              <w:t>Rwanda</w:t>
            </w:r>
          </w:p>
        </w:tc>
        <w:tc>
          <w:tcPr>
            <w:tcW w:w="686" w:type="dxa"/>
            <w:tcBorders>
              <w:top w:val="nil"/>
              <w:left w:val="nil"/>
              <w:bottom w:val="nil"/>
              <w:right w:val="single" w:sz="8" w:space="0" w:color="365F91" w:themeColor="accent1" w:themeShade="BF"/>
            </w:tcBorders>
            <w:shd w:val="clear" w:color="auto" w:fill="auto"/>
            <w:noWrap/>
            <w:vAlign w:val="bottom"/>
            <w:hideMark/>
          </w:tcPr>
          <w:p w14:paraId="6669B7BD" w14:textId="77777777" w:rsidR="00C4454D" w:rsidRPr="00A735B4" w:rsidRDefault="00C4454D" w:rsidP="00C4454D">
            <w:pPr>
              <w:rPr>
                <w:color w:val="1F497D" w:themeColor="text2"/>
                <w:sz w:val="18"/>
                <w:szCs w:val="18"/>
              </w:rPr>
            </w:pPr>
          </w:p>
        </w:tc>
        <w:tc>
          <w:tcPr>
            <w:tcW w:w="316" w:type="dxa"/>
            <w:tcBorders>
              <w:top w:val="nil"/>
              <w:left w:val="single" w:sz="8" w:space="0" w:color="365F91" w:themeColor="accent1" w:themeShade="BF"/>
              <w:bottom w:val="nil"/>
              <w:right w:val="single" w:sz="8" w:space="0" w:color="365F91" w:themeColor="accent1" w:themeShade="BF"/>
            </w:tcBorders>
            <w:shd w:val="clear" w:color="auto" w:fill="365F91" w:themeFill="accent1" w:themeFillShade="BF"/>
            <w:noWrap/>
            <w:vAlign w:val="bottom"/>
            <w:hideMark/>
          </w:tcPr>
          <w:p w14:paraId="00BAAABA"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nil"/>
              <w:right w:val="nil"/>
            </w:tcBorders>
            <w:shd w:val="clear" w:color="auto" w:fill="365F91" w:themeFill="accent1" w:themeFillShade="BF"/>
            <w:noWrap/>
            <w:vAlign w:val="bottom"/>
            <w:hideMark/>
          </w:tcPr>
          <w:p w14:paraId="1434459D"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nil"/>
              <w:right w:val="single" w:sz="8" w:space="0" w:color="365F91" w:themeColor="accent1" w:themeShade="BF"/>
            </w:tcBorders>
            <w:shd w:val="clear" w:color="auto" w:fill="365F91" w:themeFill="accent1" w:themeFillShade="BF"/>
            <w:noWrap/>
            <w:vAlign w:val="bottom"/>
            <w:hideMark/>
          </w:tcPr>
          <w:p w14:paraId="345F59AD"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nil"/>
              <w:right w:val="nil"/>
            </w:tcBorders>
            <w:shd w:val="clear" w:color="auto" w:fill="auto"/>
            <w:noWrap/>
            <w:vAlign w:val="bottom"/>
            <w:hideMark/>
          </w:tcPr>
          <w:p w14:paraId="49000552"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nil"/>
              <w:right w:val="single" w:sz="8" w:space="0" w:color="365F91" w:themeColor="accent1" w:themeShade="BF"/>
            </w:tcBorders>
            <w:shd w:val="clear" w:color="auto" w:fill="auto"/>
            <w:noWrap/>
            <w:vAlign w:val="bottom"/>
            <w:hideMark/>
          </w:tcPr>
          <w:p w14:paraId="20D8F737"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nil"/>
              <w:right w:val="nil"/>
            </w:tcBorders>
            <w:shd w:val="clear" w:color="auto" w:fill="auto"/>
            <w:noWrap/>
            <w:vAlign w:val="bottom"/>
            <w:hideMark/>
          </w:tcPr>
          <w:p w14:paraId="3E90C1A9" w14:textId="77777777" w:rsidR="00C4454D" w:rsidRPr="00A735B4" w:rsidRDefault="00C4454D" w:rsidP="00C4454D">
            <w:pPr>
              <w:rPr>
                <w:color w:val="1F497D" w:themeColor="text2"/>
                <w:sz w:val="18"/>
                <w:szCs w:val="18"/>
              </w:rPr>
            </w:pPr>
          </w:p>
        </w:tc>
        <w:tc>
          <w:tcPr>
            <w:tcW w:w="259" w:type="dxa"/>
            <w:tcBorders>
              <w:top w:val="nil"/>
              <w:left w:val="nil"/>
              <w:bottom w:val="nil"/>
              <w:right w:val="single" w:sz="8" w:space="0" w:color="365F91" w:themeColor="accent1" w:themeShade="BF"/>
            </w:tcBorders>
            <w:shd w:val="clear" w:color="auto" w:fill="auto"/>
            <w:noWrap/>
            <w:vAlign w:val="bottom"/>
            <w:hideMark/>
          </w:tcPr>
          <w:p w14:paraId="52625193" w14:textId="77777777" w:rsidR="00C4454D" w:rsidRPr="00A735B4" w:rsidRDefault="00C4454D" w:rsidP="00C4454D">
            <w:pPr>
              <w:rPr>
                <w:color w:val="1F497D" w:themeColor="text2"/>
                <w:sz w:val="18"/>
                <w:szCs w:val="18"/>
              </w:rPr>
            </w:pPr>
          </w:p>
        </w:tc>
        <w:tc>
          <w:tcPr>
            <w:tcW w:w="259" w:type="dxa"/>
            <w:tcBorders>
              <w:top w:val="nil"/>
              <w:left w:val="single" w:sz="8" w:space="0" w:color="365F91" w:themeColor="accent1" w:themeShade="BF"/>
              <w:bottom w:val="nil"/>
              <w:right w:val="nil"/>
            </w:tcBorders>
            <w:shd w:val="clear" w:color="auto" w:fill="auto"/>
            <w:noWrap/>
            <w:vAlign w:val="bottom"/>
            <w:hideMark/>
          </w:tcPr>
          <w:p w14:paraId="20E064CC"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nil"/>
              <w:right w:val="single" w:sz="8" w:space="0" w:color="365F91" w:themeColor="accent1" w:themeShade="BF"/>
            </w:tcBorders>
            <w:shd w:val="clear" w:color="auto" w:fill="auto"/>
            <w:noWrap/>
            <w:vAlign w:val="bottom"/>
            <w:hideMark/>
          </w:tcPr>
          <w:p w14:paraId="5B87AB44"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nil"/>
              <w:right w:val="nil"/>
            </w:tcBorders>
            <w:shd w:val="clear" w:color="auto" w:fill="auto"/>
            <w:noWrap/>
            <w:vAlign w:val="bottom"/>
            <w:hideMark/>
          </w:tcPr>
          <w:p w14:paraId="7EC242A4"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nil"/>
              <w:right w:val="single" w:sz="8" w:space="0" w:color="365F91" w:themeColor="accent1" w:themeShade="BF"/>
            </w:tcBorders>
            <w:shd w:val="clear" w:color="auto" w:fill="auto"/>
            <w:noWrap/>
            <w:vAlign w:val="bottom"/>
            <w:hideMark/>
          </w:tcPr>
          <w:p w14:paraId="7D837FD7"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nil"/>
              <w:right w:val="nil"/>
            </w:tcBorders>
            <w:shd w:val="clear" w:color="auto" w:fill="auto"/>
            <w:noWrap/>
            <w:vAlign w:val="bottom"/>
            <w:hideMark/>
          </w:tcPr>
          <w:p w14:paraId="38CC5B75" w14:textId="77777777" w:rsidR="00C4454D" w:rsidRPr="00A735B4" w:rsidRDefault="00C4454D" w:rsidP="00C4454D">
            <w:pPr>
              <w:rPr>
                <w:color w:val="1F497D" w:themeColor="text2"/>
                <w:sz w:val="18"/>
                <w:szCs w:val="18"/>
              </w:rPr>
            </w:pPr>
          </w:p>
        </w:tc>
        <w:tc>
          <w:tcPr>
            <w:tcW w:w="259" w:type="dxa"/>
            <w:tcBorders>
              <w:top w:val="nil"/>
              <w:left w:val="nil"/>
              <w:bottom w:val="nil"/>
              <w:right w:val="single" w:sz="8" w:space="0" w:color="365F91" w:themeColor="accent1" w:themeShade="BF"/>
            </w:tcBorders>
            <w:shd w:val="clear" w:color="auto" w:fill="auto"/>
            <w:noWrap/>
            <w:vAlign w:val="bottom"/>
            <w:hideMark/>
          </w:tcPr>
          <w:p w14:paraId="12DD7731" w14:textId="77777777" w:rsidR="00C4454D" w:rsidRPr="00A735B4" w:rsidRDefault="00C4454D" w:rsidP="00C4454D">
            <w:pPr>
              <w:rPr>
                <w:color w:val="1F497D" w:themeColor="text2"/>
                <w:sz w:val="18"/>
                <w:szCs w:val="18"/>
              </w:rPr>
            </w:pPr>
          </w:p>
        </w:tc>
        <w:tc>
          <w:tcPr>
            <w:tcW w:w="259" w:type="dxa"/>
            <w:tcBorders>
              <w:top w:val="nil"/>
              <w:left w:val="single" w:sz="8" w:space="0" w:color="365F91" w:themeColor="accent1" w:themeShade="BF"/>
              <w:bottom w:val="nil"/>
              <w:right w:val="nil"/>
            </w:tcBorders>
            <w:shd w:val="clear" w:color="auto" w:fill="auto"/>
            <w:noWrap/>
            <w:vAlign w:val="bottom"/>
            <w:hideMark/>
          </w:tcPr>
          <w:p w14:paraId="5532448D"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nil"/>
              <w:right w:val="single" w:sz="8" w:space="0" w:color="365F91" w:themeColor="accent1" w:themeShade="BF"/>
            </w:tcBorders>
            <w:shd w:val="clear" w:color="auto" w:fill="auto"/>
            <w:noWrap/>
            <w:vAlign w:val="bottom"/>
            <w:hideMark/>
          </w:tcPr>
          <w:p w14:paraId="047CC671"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nil"/>
              <w:right w:val="nil"/>
            </w:tcBorders>
            <w:shd w:val="clear" w:color="auto" w:fill="auto"/>
            <w:noWrap/>
            <w:vAlign w:val="bottom"/>
            <w:hideMark/>
          </w:tcPr>
          <w:p w14:paraId="41D5A223" w14:textId="77777777" w:rsidR="00C4454D" w:rsidRPr="00A735B4" w:rsidRDefault="00C4454D" w:rsidP="00C4454D">
            <w:pPr>
              <w:rPr>
                <w:color w:val="1F497D" w:themeColor="text2"/>
                <w:sz w:val="18"/>
                <w:szCs w:val="18"/>
              </w:rPr>
            </w:pPr>
          </w:p>
        </w:tc>
        <w:tc>
          <w:tcPr>
            <w:tcW w:w="259" w:type="dxa"/>
            <w:tcBorders>
              <w:top w:val="nil"/>
              <w:left w:val="nil"/>
              <w:bottom w:val="nil"/>
              <w:right w:val="single" w:sz="8" w:space="0" w:color="365F91" w:themeColor="accent1" w:themeShade="BF"/>
            </w:tcBorders>
            <w:shd w:val="clear" w:color="auto" w:fill="auto"/>
            <w:noWrap/>
            <w:vAlign w:val="bottom"/>
            <w:hideMark/>
          </w:tcPr>
          <w:p w14:paraId="3BB9DE53" w14:textId="77777777" w:rsidR="00C4454D" w:rsidRPr="00A735B4" w:rsidRDefault="00C4454D" w:rsidP="00C4454D">
            <w:pPr>
              <w:rPr>
                <w:color w:val="1F497D" w:themeColor="text2"/>
                <w:sz w:val="18"/>
                <w:szCs w:val="18"/>
              </w:rPr>
            </w:pPr>
          </w:p>
        </w:tc>
        <w:tc>
          <w:tcPr>
            <w:tcW w:w="259" w:type="dxa"/>
            <w:tcBorders>
              <w:top w:val="nil"/>
              <w:left w:val="single" w:sz="8" w:space="0" w:color="365F91" w:themeColor="accent1" w:themeShade="BF"/>
              <w:bottom w:val="nil"/>
              <w:right w:val="nil"/>
            </w:tcBorders>
            <w:shd w:val="clear" w:color="auto" w:fill="auto"/>
            <w:noWrap/>
            <w:vAlign w:val="bottom"/>
            <w:hideMark/>
          </w:tcPr>
          <w:p w14:paraId="6492E62D"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nil"/>
              <w:right w:val="single" w:sz="8" w:space="0" w:color="365F91" w:themeColor="accent1" w:themeShade="BF"/>
            </w:tcBorders>
            <w:shd w:val="clear" w:color="auto" w:fill="auto"/>
            <w:noWrap/>
            <w:vAlign w:val="bottom"/>
            <w:hideMark/>
          </w:tcPr>
          <w:p w14:paraId="729525E2"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nil"/>
              <w:right w:val="nil"/>
            </w:tcBorders>
            <w:shd w:val="clear" w:color="auto" w:fill="auto"/>
            <w:noWrap/>
            <w:vAlign w:val="bottom"/>
            <w:hideMark/>
          </w:tcPr>
          <w:p w14:paraId="5EDB51A0"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nil"/>
              <w:right w:val="single" w:sz="8" w:space="0" w:color="365F91" w:themeColor="accent1" w:themeShade="BF"/>
            </w:tcBorders>
            <w:shd w:val="clear" w:color="auto" w:fill="auto"/>
            <w:noWrap/>
            <w:vAlign w:val="bottom"/>
            <w:hideMark/>
          </w:tcPr>
          <w:p w14:paraId="1ED75127"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nil"/>
              <w:right w:val="nil"/>
            </w:tcBorders>
            <w:shd w:val="clear" w:color="auto" w:fill="auto"/>
            <w:noWrap/>
            <w:vAlign w:val="bottom"/>
            <w:hideMark/>
          </w:tcPr>
          <w:p w14:paraId="4550F978"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nil"/>
              <w:right w:val="single" w:sz="8" w:space="0" w:color="365F91" w:themeColor="accent1" w:themeShade="BF"/>
            </w:tcBorders>
            <w:shd w:val="clear" w:color="auto" w:fill="auto"/>
            <w:noWrap/>
            <w:vAlign w:val="bottom"/>
            <w:hideMark/>
          </w:tcPr>
          <w:p w14:paraId="4E7F4231"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nil"/>
              <w:right w:val="nil"/>
            </w:tcBorders>
            <w:shd w:val="clear" w:color="auto" w:fill="auto"/>
            <w:noWrap/>
            <w:vAlign w:val="bottom"/>
            <w:hideMark/>
          </w:tcPr>
          <w:p w14:paraId="031B243A"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nil"/>
              <w:right w:val="single" w:sz="8" w:space="0" w:color="365F91" w:themeColor="accent1" w:themeShade="BF"/>
            </w:tcBorders>
            <w:shd w:val="clear" w:color="auto" w:fill="auto"/>
            <w:noWrap/>
            <w:vAlign w:val="bottom"/>
            <w:hideMark/>
          </w:tcPr>
          <w:p w14:paraId="4349710E" w14:textId="77777777" w:rsidR="00C4454D" w:rsidRPr="00A735B4" w:rsidRDefault="00C4454D" w:rsidP="00C4454D">
            <w:pPr>
              <w:rPr>
                <w:color w:val="1F497D" w:themeColor="text2"/>
              </w:rPr>
            </w:pPr>
            <w:r w:rsidRPr="00A735B4">
              <w:rPr>
                <w:color w:val="1F497D" w:themeColor="text2"/>
              </w:rPr>
              <w:t> </w:t>
            </w:r>
          </w:p>
        </w:tc>
      </w:tr>
      <w:tr w:rsidR="00C4454D" w:rsidRPr="00A735B4" w14:paraId="0D5C8AB8" w14:textId="77777777" w:rsidTr="00C4454D">
        <w:trPr>
          <w:trHeight w:val="205"/>
        </w:trPr>
        <w:tc>
          <w:tcPr>
            <w:tcW w:w="1415" w:type="dxa"/>
            <w:tcBorders>
              <w:top w:val="nil"/>
              <w:left w:val="single" w:sz="8" w:space="0" w:color="365F91" w:themeColor="accent1" w:themeShade="BF"/>
              <w:bottom w:val="nil"/>
              <w:right w:val="nil"/>
            </w:tcBorders>
            <w:shd w:val="clear" w:color="auto" w:fill="auto"/>
            <w:noWrap/>
            <w:vAlign w:val="bottom"/>
            <w:hideMark/>
          </w:tcPr>
          <w:p w14:paraId="017648BD" w14:textId="77777777" w:rsidR="00C4454D" w:rsidRPr="00A735B4" w:rsidRDefault="00C4454D" w:rsidP="00C4454D">
            <w:pPr>
              <w:rPr>
                <w:color w:val="1F497D" w:themeColor="text2"/>
                <w:sz w:val="18"/>
                <w:szCs w:val="18"/>
              </w:rPr>
            </w:pPr>
            <w:r w:rsidRPr="00A735B4">
              <w:rPr>
                <w:color w:val="1F497D" w:themeColor="text2"/>
                <w:sz w:val="18"/>
                <w:szCs w:val="18"/>
              </w:rPr>
              <w:t>Malawi</w:t>
            </w:r>
          </w:p>
        </w:tc>
        <w:tc>
          <w:tcPr>
            <w:tcW w:w="686" w:type="dxa"/>
            <w:tcBorders>
              <w:top w:val="nil"/>
              <w:left w:val="nil"/>
              <w:bottom w:val="nil"/>
              <w:right w:val="single" w:sz="8" w:space="0" w:color="365F91" w:themeColor="accent1" w:themeShade="BF"/>
            </w:tcBorders>
            <w:shd w:val="clear" w:color="auto" w:fill="auto"/>
            <w:noWrap/>
            <w:vAlign w:val="bottom"/>
            <w:hideMark/>
          </w:tcPr>
          <w:p w14:paraId="31D11A5B" w14:textId="77777777" w:rsidR="00C4454D" w:rsidRPr="00A735B4" w:rsidRDefault="00C4454D" w:rsidP="00C4454D">
            <w:pPr>
              <w:rPr>
                <w:color w:val="1F497D" w:themeColor="text2"/>
                <w:sz w:val="18"/>
                <w:szCs w:val="18"/>
              </w:rPr>
            </w:pPr>
          </w:p>
        </w:tc>
        <w:tc>
          <w:tcPr>
            <w:tcW w:w="316" w:type="dxa"/>
            <w:tcBorders>
              <w:top w:val="nil"/>
              <w:left w:val="single" w:sz="8" w:space="0" w:color="365F91" w:themeColor="accent1" w:themeShade="BF"/>
              <w:bottom w:val="nil"/>
              <w:right w:val="single" w:sz="8" w:space="0" w:color="365F91" w:themeColor="accent1" w:themeShade="BF"/>
            </w:tcBorders>
            <w:shd w:val="clear" w:color="auto" w:fill="auto"/>
            <w:noWrap/>
            <w:vAlign w:val="bottom"/>
            <w:hideMark/>
          </w:tcPr>
          <w:p w14:paraId="3DECE888"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nil"/>
              <w:right w:val="nil"/>
            </w:tcBorders>
            <w:shd w:val="clear" w:color="auto" w:fill="auto"/>
            <w:noWrap/>
            <w:vAlign w:val="bottom"/>
            <w:hideMark/>
          </w:tcPr>
          <w:p w14:paraId="44A175B9" w14:textId="77777777" w:rsidR="00C4454D" w:rsidRPr="00A735B4" w:rsidRDefault="00C4454D" w:rsidP="00C4454D">
            <w:pPr>
              <w:rPr>
                <w:color w:val="1F497D" w:themeColor="text2"/>
                <w:sz w:val="18"/>
                <w:szCs w:val="18"/>
              </w:rPr>
            </w:pPr>
          </w:p>
        </w:tc>
        <w:tc>
          <w:tcPr>
            <w:tcW w:w="259" w:type="dxa"/>
            <w:tcBorders>
              <w:top w:val="nil"/>
              <w:left w:val="nil"/>
              <w:bottom w:val="nil"/>
              <w:right w:val="single" w:sz="8" w:space="0" w:color="365F91" w:themeColor="accent1" w:themeShade="BF"/>
            </w:tcBorders>
            <w:shd w:val="clear" w:color="auto" w:fill="auto"/>
            <w:noWrap/>
            <w:vAlign w:val="bottom"/>
            <w:hideMark/>
          </w:tcPr>
          <w:p w14:paraId="012E00F2"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nil"/>
              <w:right w:val="nil"/>
            </w:tcBorders>
            <w:shd w:val="clear" w:color="auto" w:fill="auto"/>
            <w:noWrap/>
            <w:vAlign w:val="bottom"/>
            <w:hideMark/>
          </w:tcPr>
          <w:p w14:paraId="5CE6E302"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nil"/>
              <w:right w:val="single" w:sz="8" w:space="0" w:color="365F91" w:themeColor="accent1" w:themeShade="BF"/>
            </w:tcBorders>
            <w:shd w:val="clear" w:color="auto" w:fill="auto"/>
            <w:noWrap/>
            <w:vAlign w:val="bottom"/>
            <w:hideMark/>
          </w:tcPr>
          <w:p w14:paraId="209FAC2E"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nil"/>
              <w:right w:val="nil"/>
            </w:tcBorders>
            <w:shd w:val="clear" w:color="auto" w:fill="auto"/>
            <w:noWrap/>
            <w:vAlign w:val="bottom"/>
            <w:hideMark/>
          </w:tcPr>
          <w:p w14:paraId="289D2798" w14:textId="77777777" w:rsidR="00C4454D" w:rsidRPr="00A735B4" w:rsidRDefault="00C4454D" w:rsidP="00C4454D">
            <w:pPr>
              <w:rPr>
                <w:color w:val="1F497D" w:themeColor="text2"/>
                <w:sz w:val="18"/>
                <w:szCs w:val="18"/>
              </w:rPr>
            </w:pPr>
          </w:p>
        </w:tc>
        <w:tc>
          <w:tcPr>
            <w:tcW w:w="259" w:type="dxa"/>
            <w:tcBorders>
              <w:top w:val="nil"/>
              <w:left w:val="nil"/>
              <w:bottom w:val="nil"/>
              <w:right w:val="single" w:sz="8" w:space="0" w:color="365F91" w:themeColor="accent1" w:themeShade="BF"/>
            </w:tcBorders>
            <w:shd w:val="clear" w:color="auto" w:fill="auto"/>
            <w:noWrap/>
            <w:vAlign w:val="bottom"/>
            <w:hideMark/>
          </w:tcPr>
          <w:p w14:paraId="3004C59E" w14:textId="77777777" w:rsidR="00C4454D" w:rsidRPr="00A735B4" w:rsidRDefault="00C4454D" w:rsidP="00C4454D">
            <w:pPr>
              <w:rPr>
                <w:color w:val="1F497D" w:themeColor="text2"/>
                <w:sz w:val="18"/>
                <w:szCs w:val="18"/>
              </w:rPr>
            </w:pPr>
          </w:p>
        </w:tc>
        <w:tc>
          <w:tcPr>
            <w:tcW w:w="259" w:type="dxa"/>
            <w:tcBorders>
              <w:top w:val="nil"/>
              <w:left w:val="single" w:sz="8" w:space="0" w:color="365F91" w:themeColor="accent1" w:themeShade="BF"/>
              <w:bottom w:val="nil"/>
              <w:right w:val="nil"/>
            </w:tcBorders>
            <w:shd w:val="clear" w:color="auto" w:fill="auto"/>
            <w:noWrap/>
            <w:vAlign w:val="bottom"/>
            <w:hideMark/>
          </w:tcPr>
          <w:p w14:paraId="421DF83E"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nil"/>
              <w:right w:val="single" w:sz="8" w:space="0" w:color="365F91" w:themeColor="accent1" w:themeShade="BF"/>
            </w:tcBorders>
            <w:shd w:val="clear" w:color="auto" w:fill="auto"/>
            <w:noWrap/>
            <w:vAlign w:val="bottom"/>
            <w:hideMark/>
          </w:tcPr>
          <w:p w14:paraId="12C9450F"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nil"/>
              <w:right w:val="nil"/>
            </w:tcBorders>
            <w:shd w:val="clear" w:color="auto" w:fill="auto"/>
            <w:noWrap/>
            <w:vAlign w:val="bottom"/>
            <w:hideMark/>
          </w:tcPr>
          <w:p w14:paraId="4E6AFE74"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nil"/>
              <w:right w:val="single" w:sz="8" w:space="0" w:color="365F91" w:themeColor="accent1" w:themeShade="BF"/>
            </w:tcBorders>
            <w:shd w:val="clear" w:color="auto" w:fill="auto"/>
            <w:noWrap/>
            <w:vAlign w:val="bottom"/>
            <w:hideMark/>
          </w:tcPr>
          <w:p w14:paraId="79B09635"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nil"/>
              <w:right w:val="nil"/>
            </w:tcBorders>
            <w:shd w:val="clear" w:color="auto" w:fill="auto"/>
            <w:noWrap/>
            <w:vAlign w:val="bottom"/>
            <w:hideMark/>
          </w:tcPr>
          <w:p w14:paraId="067F68F1" w14:textId="77777777" w:rsidR="00C4454D" w:rsidRPr="00A735B4" w:rsidRDefault="00C4454D" w:rsidP="00C4454D">
            <w:pPr>
              <w:rPr>
                <w:color w:val="1F497D" w:themeColor="text2"/>
                <w:sz w:val="18"/>
                <w:szCs w:val="18"/>
              </w:rPr>
            </w:pPr>
          </w:p>
        </w:tc>
        <w:tc>
          <w:tcPr>
            <w:tcW w:w="259" w:type="dxa"/>
            <w:tcBorders>
              <w:top w:val="nil"/>
              <w:left w:val="nil"/>
              <w:bottom w:val="nil"/>
              <w:right w:val="single" w:sz="8" w:space="0" w:color="365F91" w:themeColor="accent1" w:themeShade="BF"/>
            </w:tcBorders>
            <w:shd w:val="clear" w:color="auto" w:fill="auto"/>
            <w:noWrap/>
            <w:vAlign w:val="bottom"/>
            <w:hideMark/>
          </w:tcPr>
          <w:p w14:paraId="60E9986D" w14:textId="77777777" w:rsidR="00C4454D" w:rsidRPr="00A735B4" w:rsidRDefault="00C4454D" w:rsidP="00C4454D">
            <w:pPr>
              <w:rPr>
                <w:color w:val="1F497D" w:themeColor="text2"/>
                <w:sz w:val="18"/>
                <w:szCs w:val="18"/>
              </w:rPr>
            </w:pPr>
          </w:p>
        </w:tc>
        <w:tc>
          <w:tcPr>
            <w:tcW w:w="259" w:type="dxa"/>
            <w:tcBorders>
              <w:top w:val="nil"/>
              <w:left w:val="single" w:sz="8" w:space="0" w:color="365F91" w:themeColor="accent1" w:themeShade="BF"/>
              <w:bottom w:val="nil"/>
              <w:right w:val="nil"/>
            </w:tcBorders>
            <w:shd w:val="clear" w:color="auto" w:fill="auto"/>
            <w:noWrap/>
            <w:vAlign w:val="bottom"/>
            <w:hideMark/>
          </w:tcPr>
          <w:p w14:paraId="7C89743F"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nil"/>
              <w:right w:val="single" w:sz="8" w:space="0" w:color="365F91" w:themeColor="accent1" w:themeShade="BF"/>
            </w:tcBorders>
            <w:shd w:val="clear" w:color="auto" w:fill="auto"/>
            <w:noWrap/>
            <w:vAlign w:val="bottom"/>
            <w:hideMark/>
          </w:tcPr>
          <w:p w14:paraId="403D8F3F"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nil"/>
              <w:right w:val="nil"/>
            </w:tcBorders>
            <w:shd w:val="clear" w:color="auto" w:fill="auto"/>
            <w:noWrap/>
            <w:vAlign w:val="bottom"/>
            <w:hideMark/>
          </w:tcPr>
          <w:p w14:paraId="14AD2F31" w14:textId="77777777" w:rsidR="00C4454D" w:rsidRPr="00A735B4" w:rsidRDefault="00C4454D" w:rsidP="00C4454D">
            <w:pPr>
              <w:rPr>
                <w:color w:val="1F497D" w:themeColor="text2"/>
                <w:sz w:val="18"/>
                <w:szCs w:val="18"/>
              </w:rPr>
            </w:pPr>
          </w:p>
        </w:tc>
        <w:tc>
          <w:tcPr>
            <w:tcW w:w="259" w:type="dxa"/>
            <w:tcBorders>
              <w:top w:val="nil"/>
              <w:left w:val="nil"/>
              <w:bottom w:val="nil"/>
              <w:right w:val="single" w:sz="8" w:space="0" w:color="365F91" w:themeColor="accent1" w:themeShade="BF"/>
            </w:tcBorders>
            <w:shd w:val="clear" w:color="auto" w:fill="auto"/>
            <w:noWrap/>
            <w:vAlign w:val="bottom"/>
            <w:hideMark/>
          </w:tcPr>
          <w:p w14:paraId="52F83355" w14:textId="77777777" w:rsidR="00C4454D" w:rsidRPr="00A735B4" w:rsidRDefault="00C4454D" w:rsidP="00C4454D">
            <w:pPr>
              <w:rPr>
                <w:color w:val="1F497D" w:themeColor="text2"/>
                <w:sz w:val="18"/>
                <w:szCs w:val="18"/>
              </w:rPr>
            </w:pPr>
          </w:p>
        </w:tc>
        <w:tc>
          <w:tcPr>
            <w:tcW w:w="259" w:type="dxa"/>
            <w:tcBorders>
              <w:top w:val="nil"/>
              <w:left w:val="single" w:sz="8" w:space="0" w:color="365F91" w:themeColor="accent1" w:themeShade="BF"/>
              <w:bottom w:val="nil"/>
              <w:right w:val="nil"/>
            </w:tcBorders>
            <w:shd w:val="clear" w:color="auto" w:fill="auto"/>
            <w:noWrap/>
            <w:vAlign w:val="bottom"/>
            <w:hideMark/>
          </w:tcPr>
          <w:p w14:paraId="16D61721"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nil"/>
              <w:right w:val="single" w:sz="8" w:space="0" w:color="365F91" w:themeColor="accent1" w:themeShade="BF"/>
            </w:tcBorders>
            <w:shd w:val="clear" w:color="auto" w:fill="365F91" w:themeFill="accent1" w:themeFillShade="BF"/>
            <w:noWrap/>
            <w:vAlign w:val="bottom"/>
            <w:hideMark/>
          </w:tcPr>
          <w:p w14:paraId="2E41F8E6"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nil"/>
              <w:right w:val="nil"/>
            </w:tcBorders>
            <w:shd w:val="clear" w:color="auto" w:fill="365F91" w:themeFill="accent1" w:themeFillShade="BF"/>
            <w:noWrap/>
            <w:vAlign w:val="bottom"/>
            <w:hideMark/>
          </w:tcPr>
          <w:p w14:paraId="33F653F7"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nil"/>
              <w:right w:val="single" w:sz="8" w:space="0" w:color="365F91" w:themeColor="accent1" w:themeShade="BF"/>
            </w:tcBorders>
            <w:shd w:val="clear" w:color="auto" w:fill="365F91" w:themeFill="accent1" w:themeFillShade="BF"/>
            <w:noWrap/>
            <w:vAlign w:val="bottom"/>
            <w:hideMark/>
          </w:tcPr>
          <w:p w14:paraId="0BFFFE5B"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nil"/>
              <w:right w:val="nil"/>
            </w:tcBorders>
            <w:shd w:val="clear" w:color="auto" w:fill="365F91" w:themeFill="accent1" w:themeFillShade="BF"/>
            <w:noWrap/>
            <w:vAlign w:val="bottom"/>
            <w:hideMark/>
          </w:tcPr>
          <w:p w14:paraId="76CD9171"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nil"/>
              <w:right w:val="single" w:sz="8" w:space="0" w:color="365F91" w:themeColor="accent1" w:themeShade="BF"/>
            </w:tcBorders>
            <w:shd w:val="clear" w:color="auto" w:fill="365F91" w:themeFill="accent1" w:themeFillShade="BF"/>
            <w:noWrap/>
            <w:vAlign w:val="bottom"/>
            <w:hideMark/>
          </w:tcPr>
          <w:p w14:paraId="47519895"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nil"/>
              <w:right w:val="nil"/>
            </w:tcBorders>
            <w:shd w:val="clear" w:color="auto" w:fill="365F91" w:themeFill="accent1" w:themeFillShade="BF"/>
            <w:noWrap/>
            <w:vAlign w:val="bottom"/>
            <w:hideMark/>
          </w:tcPr>
          <w:p w14:paraId="205761C6"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nil"/>
              <w:right w:val="single" w:sz="8" w:space="0" w:color="365F91" w:themeColor="accent1" w:themeShade="BF"/>
            </w:tcBorders>
            <w:shd w:val="clear" w:color="auto" w:fill="365F91" w:themeFill="accent1" w:themeFillShade="BF"/>
            <w:noWrap/>
            <w:vAlign w:val="bottom"/>
            <w:hideMark/>
          </w:tcPr>
          <w:p w14:paraId="534EB402" w14:textId="77777777" w:rsidR="00C4454D" w:rsidRPr="00A735B4" w:rsidRDefault="00C4454D" w:rsidP="00C4454D">
            <w:pPr>
              <w:rPr>
                <w:color w:val="1F497D" w:themeColor="text2"/>
              </w:rPr>
            </w:pPr>
            <w:r w:rsidRPr="00A735B4">
              <w:rPr>
                <w:color w:val="1F497D" w:themeColor="text2"/>
              </w:rPr>
              <w:t> </w:t>
            </w:r>
          </w:p>
        </w:tc>
      </w:tr>
      <w:tr w:rsidR="00C4454D" w:rsidRPr="00A735B4" w14:paraId="3BCFF4DB" w14:textId="77777777" w:rsidTr="00C4454D">
        <w:trPr>
          <w:trHeight w:val="205"/>
        </w:trPr>
        <w:tc>
          <w:tcPr>
            <w:tcW w:w="1415" w:type="dxa"/>
            <w:tcBorders>
              <w:top w:val="nil"/>
              <w:left w:val="single" w:sz="8" w:space="0" w:color="365F91" w:themeColor="accent1" w:themeShade="BF"/>
              <w:bottom w:val="single" w:sz="8" w:space="0" w:color="365F91" w:themeColor="accent1" w:themeShade="BF"/>
              <w:right w:val="nil"/>
            </w:tcBorders>
            <w:shd w:val="clear" w:color="auto" w:fill="auto"/>
            <w:noWrap/>
            <w:vAlign w:val="bottom"/>
            <w:hideMark/>
          </w:tcPr>
          <w:p w14:paraId="32426E17" w14:textId="77777777" w:rsidR="00C4454D" w:rsidRPr="00A735B4" w:rsidRDefault="00C4454D" w:rsidP="00C4454D">
            <w:pPr>
              <w:rPr>
                <w:color w:val="1F497D" w:themeColor="text2"/>
                <w:sz w:val="18"/>
                <w:szCs w:val="18"/>
              </w:rPr>
            </w:pPr>
            <w:r w:rsidRPr="00A735B4">
              <w:rPr>
                <w:color w:val="1F497D" w:themeColor="text2"/>
                <w:sz w:val="18"/>
                <w:szCs w:val="18"/>
              </w:rPr>
              <w:t>Zambia</w:t>
            </w:r>
          </w:p>
        </w:tc>
        <w:tc>
          <w:tcPr>
            <w:tcW w:w="686" w:type="dxa"/>
            <w:tcBorders>
              <w:top w:val="nil"/>
              <w:left w:val="nil"/>
              <w:bottom w:val="single" w:sz="8" w:space="0" w:color="365F91" w:themeColor="accent1" w:themeShade="BF"/>
              <w:right w:val="single" w:sz="8" w:space="0" w:color="365F91" w:themeColor="accent1" w:themeShade="BF"/>
            </w:tcBorders>
            <w:shd w:val="clear" w:color="auto" w:fill="auto"/>
            <w:noWrap/>
            <w:vAlign w:val="bottom"/>
            <w:hideMark/>
          </w:tcPr>
          <w:p w14:paraId="39863981"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316" w:type="dxa"/>
            <w:tcBorders>
              <w:top w:val="nil"/>
              <w:left w:val="single" w:sz="8" w:space="0" w:color="365F91" w:themeColor="accent1" w:themeShade="BF"/>
              <w:bottom w:val="single" w:sz="8" w:space="0" w:color="365F91" w:themeColor="accent1" w:themeShade="BF"/>
              <w:right w:val="single" w:sz="8" w:space="0" w:color="365F91" w:themeColor="accent1" w:themeShade="BF"/>
            </w:tcBorders>
            <w:shd w:val="clear" w:color="auto" w:fill="auto"/>
            <w:noWrap/>
            <w:vAlign w:val="bottom"/>
            <w:hideMark/>
          </w:tcPr>
          <w:p w14:paraId="6D58D8D6"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single" w:sz="8" w:space="0" w:color="365F91" w:themeColor="accent1" w:themeShade="BF"/>
              <w:right w:val="nil"/>
            </w:tcBorders>
            <w:shd w:val="clear" w:color="auto" w:fill="auto"/>
            <w:noWrap/>
            <w:vAlign w:val="bottom"/>
            <w:hideMark/>
          </w:tcPr>
          <w:p w14:paraId="048374D2"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single" w:sz="8" w:space="0" w:color="365F91" w:themeColor="accent1" w:themeShade="BF"/>
              <w:right w:val="single" w:sz="8" w:space="0" w:color="365F91" w:themeColor="accent1" w:themeShade="BF"/>
            </w:tcBorders>
            <w:shd w:val="clear" w:color="auto" w:fill="auto"/>
            <w:noWrap/>
            <w:vAlign w:val="bottom"/>
            <w:hideMark/>
          </w:tcPr>
          <w:p w14:paraId="42253F22"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single" w:sz="8" w:space="0" w:color="365F91" w:themeColor="accent1" w:themeShade="BF"/>
              <w:right w:val="nil"/>
            </w:tcBorders>
            <w:shd w:val="clear" w:color="auto" w:fill="auto"/>
            <w:noWrap/>
            <w:vAlign w:val="bottom"/>
            <w:hideMark/>
          </w:tcPr>
          <w:p w14:paraId="29F3C096"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single" w:sz="8" w:space="0" w:color="365F91" w:themeColor="accent1" w:themeShade="BF"/>
              <w:right w:val="single" w:sz="8" w:space="0" w:color="365F91" w:themeColor="accent1" w:themeShade="BF"/>
            </w:tcBorders>
            <w:shd w:val="clear" w:color="auto" w:fill="auto"/>
            <w:noWrap/>
            <w:vAlign w:val="bottom"/>
            <w:hideMark/>
          </w:tcPr>
          <w:p w14:paraId="07300E0B"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single" w:sz="8" w:space="0" w:color="365F91" w:themeColor="accent1" w:themeShade="BF"/>
              <w:right w:val="nil"/>
            </w:tcBorders>
            <w:shd w:val="clear" w:color="auto" w:fill="auto"/>
            <w:noWrap/>
            <w:vAlign w:val="bottom"/>
            <w:hideMark/>
          </w:tcPr>
          <w:p w14:paraId="59975D6A"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single" w:sz="8" w:space="0" w:color="365F91" w:themeColor="accent1" w:themeShade="BF"/>
              <w:right w:val="single" w:sz="8" w:space="0" w:color="365F91" w:themeColor="accent1" w:themeShade="BF"/>
            </w:tcBorders>
            <w:shd w:val="clear" w:color="auto" w:fill="auto"/>
            <w:noWrap/>
            <w:vAlign w:val="bottom"/>
            <w:hideMark/>
          </w:tcPr>
          <w:p w14:paraId="1EE785CC"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single" w:sz="8" w:space="0" w:color="365F91" w:themeColor="accent1" w:themeShade="BF"/>
              <w:right w:val="nil"/>
            </w:tcBorders>
            <w:shd w:val="clear" w:color="auto" w:fill="auto"/>
            <w:noWrap/>
            <w:vAlign w:val="bottom"/>
            <w:hideMark/>
          </w:tcPr>
          <w:p w14:paraId="3304B83B"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single" w:sz="8" w:space="0" w:color="365F91" w:themeColor="accent1" w:themeShade="BF"/>
              <w:right w:val="single" w:sz="8" w:space="0" w:color="365F91" w:themeColor="accent1" w:themeShade="BF"/>
            </w:tcBorders>
            <w:shd w:val="clear" w:color="auto" w:fill="auto"/>
            <w:noWrap/>
            <w:vAlign w:val="bottom"/>
            <w:hideMark/>
          </w:tcPr>
          <w:p w14:paraId="571C7018"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single" w:sz="8" w:space="0" w:color="365F91" w:themeColor="accent1" w:themeShade="BF"/>
              <w:right w:val="nil"/>
            </w:tcBorders>
            <w:shd w:val="clear" w:color="auto" w:fill="auto"/>
            <w:noWrap/>
            <w:vAlign w:val="bottom"/>
            <w:hideMark/>
          </w:tcPr>
          <w:p w14:paraId="79053F8D"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single" w:sz="8" w:space="0" w:color="365F91" w:themeColor="accent1" w:themeShade="BF"/>
              <w:right w:val="single" w:sz="8" w:space="0" w:color="365F91" w:themeColor="accent1" w:themeShade="BF"/>
            </w:tcBorders>
            <w:shd w:val="clear" w:color="auto" w:fill="auto"/>
            <w:noWrap/>
            <w:vAlign w:val="bottom"/>
            <w:hideMark/>
          </w:tcPr>
          <w:p w14:paraId="59640792"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single" w:sz="8" w:space="0" w:color="365F91" w:themeColor="accent1" w:themeShade="BF"/>
              <w:right w:val="nil"/>
            </w:tcBorders>
            <w:shd w:val="clear" w:color="auto" w:fill="auto"/>
            <w:noWrap/>
            <w:vAlign w:val="bottom"/>
            <w:hideMark/>
          </w:tcPr>
          <w:p w14:paraId="6D8355E9"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single" w:sz="8" w:space="0" w:color="365F91" w:themeColor="accent1" w:themeShade="BF"/>
              <w:right w:val="single" w:sz="8" w:space="0" w:color="365F91" w:themeColor="accent1" w:themeShade="BF"/>
            </w:tcBorders>
            <w:shd w:val="clear" w:color="auto" w:fill="auto"/>
            <w:noWrap/>
            <w:vAlign w:val="bottom"/>
            <w:hideMark/>
          </w:tcPr>
          <w:p w14:paraId="6283BEBC"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single" w:sz="8" w:space="0" w:color="365F91" w:themeColor="accent1" w:themeShade="BF"/>
              <w:right w:val="nil"/>
            </w:tcBorders>
            <w:shd w:val="clear" w:color="auto" w:fill="auto"/>
            <w:noWrap/>
            <w:vAlign w:val="bottom"/>
            <w:hideMark/>
          </w:tcPr>
          <w:p w14:paraId="73390C22"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single" w:sz="8" w:space="0" w:color="365F91" w:themeColor="accent1" w:themeShade="BF"/>
              <w:right w:val="single" w:sz="8" w:space="0" w:color="365F91" w:themeColor="accent1" w:themeShade="BF"/>
            </w:tcBorders>
            <w:shd w:val="clear" w:color="auto" w:fill="365F91" w:themeFill="accent1" w:themeFillShade="BF"/>
            <w:noWrap/>
            <w:vAlign w:val="bottom"/>
            <w:hideMark/>
          </w:tcPr>
          <w:p w14:paraId="6E936C62"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single" w:sz="8" w:space="0" w:color="365F91" w:themeColor="accent1" w:themeShade="BF"/>
              <w:right w:val="nil"/>
            </w:tcBorders>
            <w:shd w:val="clear" w:color="auto" w:fill="365F91" w:themeFill="accent1" w:themeFillShade="BF"/>
            <w:noWrap/>
            <w:vAlign w:val="bottom"/>
            <w:hideMark/>
          </w:tcPr>
          <w:p w14:paraId="28B1EB82"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single" w:sz="8" w:space="0" w:color="365F91" w:themeColor="accent1" w:themeShade="BF"/>
              <w:right w:val="single" w:sz="8" w:space="0" w:color="365F91" w:themeColor="accent1" w:themeShade="BF"/>
            </w:tcBorders>
            <w:shd w:val="clear" w:color="auto" w:fill="365F91" w:themeFill="accent1" w:themeFillShade="BF"/>
            <w:noWrap/>
            <w:vAlign w:val="bottom"/>
            <w:hideMark/>
          </w:tcPr>
          <w:p w14:paraId="4CA49019"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single" w:sz="8" w:space="0" w:color="365F91" w:themeColor="accent1" w:themeShade="BF"/>
              <w:right w:val="nil"/>
            </w:tcBorders>
            <w:shd w:val="clear" w:color="auto" w:fill="365F91" w:themeFill="accent1" w:themeFillShade="BF"/>
            <w:noWrap/>
            <w:vAlign w:val="bottom"/>
            <w:hideMark/>
          </w:tcPr>
          <w:p w14:paraId="6038FFEC"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single" w:sz="8" w:space="0" w:color="365F91" w:themeColor="accent1" w:themeShade="BF"/>
              <w:right w:val="single" w:sz="8" w:space="0" w:color="365F91" w:themeColor="accent1" w:themeShade="BF"/>
            </w:tcBorders>
            <w:shd w:val="clear" w:color="auto" w:fill="365F91" w:themeFill="accent1" w:themeFillShade="BF"/>
            <w:noWrap/>
            <w:vAlign w:val="bottom"/>
            <w:hideMark/>
          </w:tcPr>
          <w:p w14:paraId="05BEEFB5"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single" w:sz="8" w:space="0" w:color="365F91" w:themeColor="accent1" w:themeShade="BF"/>
              <w:right w:val="nil"/>
            </w:tcBorders>
            <w:shd w:val="clear" w:color="auto" w:fill="365F91" w:themeFill="accent1" w:themeFillShade="BF"/>
            <w:noWrap/>
            <w:vAlign w:val="bottom"/>
            <w:hideMark/>
          </w:tcPr>
          <w:p w14:paraId="08FEA69C"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single" w:sz="8" w:space="0" w:color="365F91" w:themeColor="accent1" w:themeShade="BF"/>
              <w:right w:val="single" w:sz="8" w:space="0" w:color="365F91" w:themeColor="accent1" w:themeShade="BF"/>
            </w:tcBorders>
            <w:shd w:val="clear" w:color="auto" w:fill="365F91" w:themeFill="accent1" w:themeFillShade="BF"/>
            <w:noWrap/>
            <w:vAlign w:val="bottom"/>
            <w:hideMark/>
          </w:tcPr>
          <w:p w14:paraId="2C4A5676"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single" w:sz="8" w:space="0" w:color="365F91" w:themeColor="accent1" w:themeShade="BF"/>
              <w:right w:val="nil"/>
            </w:tcBorders>
            <w:shd w:val="clear" w:color="auto" w:fill="365F91" w:themeFill="accent1" w:themeFillShade="BF"/>
            <w:noWrap/>
            <w:vAlign w:val="bottom"/>
            <w:hideMark/>
          </w:tcPr>
          <w:p w14:paraId="3AE3B1A7"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single" w:sz="8" w:space="0" w:color="365F91" w:themeColor="accent1" w:themeShade="BF"/>
              <w:right w:val="single" w:sz="8" w:space="0" w:color="365F91" w:themeColor="accent1" w:themeShade="BF"/>
            </w:tcBorders>
            <w:shd w:val="clear" w:color="auto" w:fill="365F91" w:themeFill="accent1" w:themeFillShade="BF"/>
            <w:noWrap/>
            <w:vAlign w:val="bottom"/>
            <w:hideMark/>
          </w:tcPr>
          <w:p w14:paraId="4C2323C4"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single" w:sz="8" w:space="0" w:color="365F91" w:themeColor="accent1" w:themeShade="BF"/>
              <w:right w:val="nil"/>
            </w:tcBorders>
            <w:shd w:val="clear" w:color="auto" w:fill="365F91" w:themeFill="accent1" w:themeFillShade="BF"/>
            <w:noWrap/>
            <w:vAlign w:val="bottom"/>
            <w:hideMark/>
          </w:tcPr>
          <w:p w14:paraId="7B1FF6B5"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single" w:sz="8" w:space="0" w:color="365F91" w:themeColor="accent1" w:themeShade="BF"/>
              <w:right w:val="single" w:sz="8" w:space="0" w:color="365F91" w:themeColor="accent1" w:themeShade="BF"/>
            </w:tcBorders>
            <w:shd w:val="clear" w:color="auto" w:fill="365F91" w:themeFill="accent1" w:themeFillShade="BF"/>
            <w:noWrap/>
            <w:vAlign w:val="bottom"/>
            <w:hideMark/>
          </w:tcPr>
          <w:p w14:paraId="14487C29" w14:textId="77777777" w:rsidR="00C4454D" w:rsidRPr="00A735B4" w:rsidRDefault="00C4454D" w:rsidP="00C4454D">
            <w:pPr>
              <w:rPr>
                <w:color w:val="1F497D" w:themeColor="text2"/>
              </w:rPr>
            </w:pPr>
            <w:r w:rsidRPr="00A735B4">
              <w:rPr>
                <w:color w:val="1F497D" w:themeColor="text2"/>
              </w:rPr>
              <w:t> </w:t>
            </w:r>
          </w:p>
        </w:tc>
      </w:tr>
      <w:tr w:rsidR="00C4454D" w:rsidRPr="00A735B4" w14:paraId="351A6A34" w14:textId="77777777" w:rsidTr="00C4454D">
        <w:trPr>
          <w:trHeight w:val="205"/>
        </w:trPr>
        <w:tc>
          <w:tcPr>
            <w:tcW w:w="2101" w:type="dxa"/>
            <w:gridSpan w:val="2"/>
            <w:tcBorders>
              <w:top w:val="single" w:sz="8" w:space="0" w:color="365F91" w:themeColor="accent1" w:themeShade="BF"/>
              <w:left w:val="single" w:sz="8" w:space="0" w:color="365F91" w:themeColor="accent1" w:themeShade="BF"/>
              <w:bottom w:val="nil"/>
              <w:right w:val="single" w:sz="8" w:space="0" w:color="365F91" w:themeColor="accent1" w:themeShade="BF"/>
            </w:tcBorders>
            <w:shd w:val="clear" w:color="auto" w:fill="auto"/>
            <w:noWrap/>
            <w:vAlign w:val="bottom"/>
            <w:hideMark/>
          </w:tcPr>
          <w:p w14:paraId="33F145BC" w14:textId="77777777" w:rsidR="00C4454D" w:rsidRPr="00A735B4" w:rsidRDefault="00C4454D" w:rsidP="00C4454D">
            <w:pPr>
              <w:rPr>
                <w:b/>
                <w:bCs/>
                <w:color w:val="1F497D" w:themeColor="text2"/>
                <w:sz w:val="18"/>
                <w:szCs w:val="18"/>
              </w:rPr>
            </w:pPr>
            <w:r w:rsidRPr="00A735B4">
              <w:rPr>
                <w:b/>
                <w:bCs/>
                <w:color w:val="1F497D" w:themeColor="text2"/>
                <w:sz w:val="18"/>
                <w:szCs w:val="18"/>
              </w:rPr>
              <w:t>TRANSFER outwards - RTGS</w:t>
            </w:r>
          </w:p>
        </w:tc>
        <w:tc>
          <w:tcPr>
            <w:tcW w:w="316" w:type="dxa"/>
            <w:tcBorders>
              <w:top w:val="single" w:sz="8" w:space="0" w:color="365F91" w:themeColor="accent1" w:themeShade="BF"/>
              <w:left w:val="single" w:sz="8" w:space="0" w:color="365F91" w:themeColor="accent1" w:themeShade="BF"/>
              <w:bottom w:val="nil"/>
              <w:right w:val="single" w:sz="8" w:space="0" w:color="365F91" w:themeColor="accent1" w:themeShade="BF"/>
            </w:tcBorders>
            <w:shd w:val="clear" w:color="auto" w:fill="auto"/>
            <w:noWrap/>
            <w:vAlign w:val="bottom"/>
            <w:hideMark/>
          </w:tcPr>
          <w:p w14:paraId="4A0CFE69"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single" w:sz="8" w:space="0" w:color="365F91" w:themeColor="accent1" w:themeShade="BF"/>
              <w:left w:val="single" w:sz="8" w:space="0" w:color="365F91" w:themeColor="accent1" w:themeShade="BF"/>
              <w:bottom w:val="nil"/>
              <w:right w:val="nil"/>
            </w:tcBorders>
            <w:shd w:val="clear" w:color="auto" w:fill="auto"/>
            <w:noWrap/>
            <w:vAlign w:val="bottom"/>
            <w:hideMark/>
          </w:tcPr>
          <w:p w14:paraId="6F88D610" w14:textId="77777777" w:rsidR="00C4454D" w:rsidRPr="00A735B4" w:rsidRDefault="00C4454D" w:rsidP="00C4454D">
            <w:pPr>
              <w:rPr>
                <w:color w:val="1F497D" w:themeColor="text2"/>
                <w:sz w:val="18"/>
                <w:szCs w:val="18"/>
              </w:rPr>
            </w:pPr>
          </w:p>
        </w:tc>
        <w:tc>
          <w:tcPr>
            <w:tcW w:w="259" w:type="dxa"/>
            <w:tcBorders>
              <w:top w:val="single" w:sz="8" w:space="0" w:color="365F91" w:themeColor="accent1" w:themeShade="BF"/>
              <w:left w:val="nil"/>
              <w:bottom w:val="nil"/>
              <w:right w:val="single" w:sz="8" w:space="0" w:color="365F91" w:themeColor="accent1" w:themeShade="BF"/>
            </w:tcBorders>
            <w:shd w:val="clear" w:color="auto" w:fill="auto"/>
            <w:noWrap/>
            <w:vAlign w:val="bottom"/>
            <w:hideMark/>
          </w:tcPr>
          <w:p w14:paraId="6F890E6F"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single" w:sz="8" w:space="0" w:color="365F91" w:themeColor="accent1" w:themeShade="BF"/>
              <w:left w:val="single" w:sz="8" w:space="0" w:color="365F91" w:themeColor="accent1" w:themeShade="BF"/>
              <w:bottom w:val="nil"/>
              <w:right w:val="nil"/>
            </w:tcBorders>
            <w:shd w:val="clear" w:color="auto" w:fill="auto"/>
            <w:noWrap/>
            <w:vAlign w:val="bottom"/>
            <w:hideMark/>
          </w:tcPr>
          <w:p w14:paraId="77FBA471"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single" w:sz="8" w:space="0" w:color="365F91" w:themeColor="accent1" w:themeShade="BF"/>
              <w:left w:val="nil"/>
              <w:bottom w:val="nil"/>
              <w:right w:val="single" w:sz="8" w:space="0" w:color="365F91" w:themeColor="accent1" w:themeShade="BF"/>
            </w:tcBorders>
            <w:shd w:val="clear" w:color="auto" w:fill="auto"/>
            <w:noWrap/>
            <w:vAlign w:val="bottom"/>
            <w:hideMark/>
          </w:tcPr>
          <w:p w14:paraId="0BE08774"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single" w:sz="8" w:space="0" w:color="365F91" w:themeColor="accent1" w:themeShade="BF"/>
              <w:left w:val="single" w:sz="8" w:space="0" w:color="365F91" w:themeColor="accent1" w:themeShade="BF"/>
              <w:bottom w:val="nil"/>
              <w:right w:val="nil"/>
            </w:tcBorders>
            <w:shd w:val="clear" w:color="auto" w:fill="auto"/>
            <w:noWrap/>
            <w:vAlign w:val="bottom"/>
            <w:hideMark/>
          </w:tcPr>
          <w:p w14:paraId="3FB91F1E" w14:textId="77777777" w:rsidR="00C4454D" w:rsidRPr="00A735B4" w:rsidRDefault="00C4454D" w:rsidP="00C4454D">
            <w:pPr>
              <w:rPr>
                <w:color w:val="1F497D" w:themeColor="text2"/>
                <w:sz w:val="18"/>
                <w:szCs w:val="18"/>
              </w:rPr>
            </w:pPr>
          </w:p>
        </w:tc>
        <w:tc>
          <w:tcPr>
            <w:tcW w:w="259" w:type="dxa"/>
            <w:tcBorders>
              <w:top w:val="single" w:sz="8" w:space="0" w:color="365F91" w:themeColor="accent1" w:themeShade="BF"/>
              <w:left w:val="nil"/>
              <w:bottom w:val="nil"/>
              <w:right w:val="single" w:sz="8" w:space="0" w:color="365F91" w:themeColor="accent1" w:themeShade="BF"/>
            </w:tcBorders>
            <w:shd w:val="clear" w:color="auto" w:fill="auto"/>
            <w:noWrap/>
            <w:vAlign w:val="bottom"/>
            <w:hideMark/>
          </w:tcPr>
          <w:p w14:paraId="3BEBA1A8" w14:textId="77777777" w:rsidR="00C4454D" w:rsidRPr="00A735B4" w:rsidRDefault="00C4454D" w:rsidP="00C4454D">
            <w:pPr>
              <w:rPr>
                <w:color w:val="1F497D" w:themeColor="text2"/>
                <w:sz w:val="18"/>
                <w:szCs w:val="18"/>
              </w:rPr>
            </w:pPr>
          </w:p>
        </w:tc>
        <w:tc>
          <w:tcPr>
            <w:tcW w:w="259" w:type="dxa"/>
            <w:tcBorders>
              <w:top w:val="single" w:sz="8" w:space="0" w:color="365F91" w:themeColor="accent1" w:themeShade="BF"/>
              <w:left w:val="single" w:sz="8" w:space="0" w:color="365F91" w:themeColor="accent1" w:themeShade="BF"/>
              <w:bottom w:val="nil"/>
              <w:right w:val="nil"/>
            </w:tcBorders>
            <w:shd w:val="clear" w:color="auto" w:fill="auto"/>
            <w:noWrap/>
            <w:vAlign w:val="bottom"/>
            <w:hideMark/>
          </w:tcPr>
          <w:p w14:paraId="59A5891D"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single" w:sz="8" w:space="0" w:color="365F91" w:themeColor="accent1" w:themeShade="BF"/>
              <w:left w:val="nil"/>
              <w:bottom w:val="nil"/>
              <w:right w:val="single" w:sz="8" w:space="0" w:color="365F91" w:themeColor="accent1" w:themeShade="BF"/>
            </w:tcBorders>
            <w:shd w:val="clear" w:color="auto" w:fill="auto"/>
            <w:noWrap/>
            <w:vAlign w:val="bottom"/>
            <w:hideMark/>
          </w:tcPr>
          <w:p w14:paraId="3E8A0AA2"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single" w:sz="8" w:space="0" w:color="365F91" w:themeColor="accent1" w:themeShade="BF"/>
              <w:left w:val="single" w:sz="8" w:space="0" w:color="365F91" w:themeColor="accent1" w:themeShade="BF"/>
              <w:bottom w:val="nil"/>
              <w:right w:val="nil"/>
            </w:tcBorders>
            <w:shd w:val="clear" w:color="auto" w:fill="auto"/>
            <w:noWrap/>
            <w:vAlign w:val="bottom"/>
            <w:hideMark/>
          </w:tcPr>
          <w:p w14:paraId="50C6AE4F"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single" w:sz="8" w:space="0" w:color="365F91" w:themeColor="accent1" w:themeShade="BF"/>
              <w:left w:val="nil"/>
              <w:bottom w:val="nil"/>
              <w:right w:val="single" w:sz="8" w:space="0" w:color="365F91" w:themeColor="accent1" w:themeShade="BF"/>
            </w:tcBorders>
            <w:shd w:val="clear" w:color="auto" w:fill="auto"/>
            <w:noWrap/>
            <w:vAlign w:val="bottom"/>
            <w:hideMark/>
          </w:tcPr>
          <w:p w14:paraId="7119F526"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single" w:sz="8" w:space="0" w:color="365F91" w:themeColor="accent1" w:themeShade="BF"/>
              <w:left w:val="single" w:sz="8" w:space="0" w:color="365F91" w:themeColor="accent1" w:themeShade="BF"/>
              <w:bottom w:val="nil"/>
              <w:right w:val="nil"/>
            </w:tcBorders>
            <w:shd w:val="clear" w:color="auto" w:fill="auto"/>
            <w:noWrap/>
            <w:vAlign w:val="bottom"/>
            <w:hideMark/>
          </w:tcPr>
          <w:p w14:paraId="0BDE9497" w14:textId="77777777" w:rsidR="00C4454D" w:rsidRPr="00A735B4" w:rsidRDefault="00C4454D" w:rsidP="00C4454D">
            <w:pPr>
              <w:rPr>
                <w:color w:val="1F497D" w:themeColor="text2"/>
                <w:sz w:val="18"/>
                <w:szCs w:val="18"/>
              </w:rPr>
            </w:pPr>
          </w:p>
        </w:tc>
        <w:tc>
          <w:tcPr>
            <w:tcW w:w="259" w:type="dxa"/>
            <w:tcBorders>
              <w:top w:val="single" w:sz="8" w:space="0" w:color="365F91" w:themeColor="accent1" w:themeShade="BF"/>
              <w:left w:val="nil"/>
              <w:bottom w:val="nil"/>
              <w:right w:val="single" w:sz="8" w:space="0" w:color="365F91" w:themeColor="accent1" w:themeShade="BF"/>
            </w:tcBorders>
            <w:shd w:val="clear" w:color="auto" w:fill="auto"/>
            <w:noWrap/>
            <w:vAlign w:val="bottom"/>
            <w:hideMark/>
          </w:tcPr>
          <w:p w14:paraId="74F719FA" w14:textId="77777777" w:rsidR="00C4454D" w:rsidRPr="00A735B4" w:rsidRDefault="00C4454D" w:rsidP="00C4454D">
            <w:pPr>
              <w:rPr>
                <w:color w:val="1F497D" w:themeColor="text2"/>
                <w:sz w:val="18"/>
                <w:szCs w:val="18"/>
              </w:rPr>
            </w:pPr>
          </w:p>
        </w:tc>
        <w:tc>
          <w:tcPr>
            <w:tcW w:w="259" w:type="dxa"/>
            <w:tcBorders>
              <w:top w:val="single" w:sz="8" w:space="0" w:color="365F91" w:themeColor="accent1" w:themeShade="BF"/>
              <w:left w:val="single" w:sz="8" w:space="0" w:color="365F91" w:themeColor="accent1" w:themeShade="BF"/>
              <w:bottom w:val="nil"/>
              <w:right w:val="nil"/>
            </w:tcBorders>
            <w:shd w:val="clear" w:color="auto" w:fill="auto"/>
            <w:noWrap/>
            <w:vAlign w:val="bottom"/>
            <w:hideMark/>
          </w:tcPr>
          <w:p w14:paraId="46AC83B5"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single" w:sz="8" w:space="0" w:color="365F91" w:themeColor="accent1" w:themeShade="BF"/>
              <w:left w:val="nil"/>
              <w:bottom w:val="nil"/>
              <w:right w:val="single" w:sz="8" w:space="0" w:color="365F91" w:themeColor="accent1" w:themeShade="BF"/>
            </w:tcBorders>
            <w:shd w:val="clear" w:color="auto" w:fill="auto"/>
            <w:noWrap/>
            <w:vAlign w:val="bottom"/>
            <w:hideMark/>
          </w:tcPr>
          <w:p w14:paraId="63458234"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single" w:sz="8" w:space="0" w:color="365F91" w:themeColor="accent1" w:themeShade="BF"/>
              <w:left w:val="single" w:sz="8" w:space="0" w:color="365F91" w:themeColor="accent1" w:themeShade="BF"/>
              <w:bottom w:val="nil"/>
              <w:right w:val="nil"/>
            </w:tcBorders>
            <w:shd w:val="clear" w:color="auto" w:fill="auto"/>
            <w:noWrap/>
            <w:vAlign w:val="bottom"/>
            <w:hideMark/>
          </w:tcPr>
          <w:p w14:paraId="7CA101B8" w14:textId="77777777" w:rsidR="00C4454D" w:rsidRPr="00A735B4" w:rsidRDefault="00C4454D" w:rsidP="00C4454D">
            <w:pPr>
              <w:rPr>
                <w:color w:val="1F497D" w:themeColor="text2"/>
                <w:sz w:val="18"/>
                <w:szCs w:val="18"/>
              </w:rPr>
            </w:pPr>
          </w:p>
        </w:tc>
        <w:tc>
          <w:tcPr>
            <w:tcW w:w="259" w:type="dxa"/>
            <w:tcBorders>
              <w:top w:val="single" w:sz="8" w:space="0" w:color="365F91" w:themeColor="accent1" w:themeShade="BF"/>
              <w:left w:val="nil"/>
              <w:bottom w:val="nil"/>
              <w:right w:val="single" w:sz="8" w:space="0" w:color="365F91" w:themeColor="accent1" w:themeShade="BF"/>
            </w:tcBorders>
            <w:shd w:val="clear" w:color="auto" w:fill="auto"/>
            <w:noWrap/>
            <w:vAlign w:val="bottom"/>
            <w:hideMark/>
          </w:tcPr>
          <w:p w14:paraId="47CBE136" w14:textId="77777777" w:rsidR="00C4454D" w:rsidRPr="00A735B4" w:rsidRDefault="00C4454D" w:rsidP="00C4454D">
            <w:pPr>
              <w:rPr>
                <w:color w:val="1F497D" w:themeColor="text2"/>
                <w:sz w:val="18"/>
                <w:szCs w:val="18"/>
              </w:rPr>
            </w:pPr>
          </w:p>
        </w:tc>
        <w:tc>
          <w:tcPr>
            <w:tcW w:w="259" w:type="dxa"/>
            <w:tcBorders>
              <w:top w:val="single" w:sz="8" w:space="0" w:color="365F91" w:themeColor="accent1" w:themeShade="BF"/>
              <w:left w:val="single" w:sz="8" w:space="0" w:color="365F91" w:themeColor="accent1" w:themeShade="BF"/>
              <w:bottom w:val="nil"/>
              <w:right w:val="nil"/>
            </w:tcBorders>
            <w:shd w:val="clear" w:color="auto" w:fill="auto"/>
            <w:noWrap/>
            <w:vAlign w:val="bottom"/>
            <w:hideMark/>
          </w:tcPr>
          <w:p w14:paraId="738BA7B6"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single" w:sz="8" w:space="0" w:color="365F91" w:themeColor="accent1" w:themeShade="BF"/>
              <w:left w:val="nil"/>
              <w:bottom w:val="nil"/>
              <w:right w:val="single" w:sz="8" w:space="0" w:color="365F91" w:themeColor="accent1" w:themeShade="BF"/>
            </w:tcBorders>
            <w:shd w:val="clear" w:color="auto" w:fill="auto"/>
            <w:noWrap/>
            <w:vAlign w:val="bottom"/>
            <w:hideMark/>
          </w:tcPr>
          <w:p w14:paraId="4FADDBD0"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single" w:sz="8" w:space="0" w:color="365F91" w:themeColor="accent1" w:themeShade="BF"/>
              <w:left w:val="single" w:sz="8" w:space="0" w:color="365F91" w:themeColor="accent1" w:themeShade="BF"/>
              <w:bottom w:val="nil"/>
              <w:right w:val="nil"/>
            </w:tcBorders>
            <w:shd w:val="clear" w:color="auto" w:fill="auto"/>
            <w:noWrap/>
            <w:vAlign w:val="bottom"/>
            <w:hideMark/>
          </w:tcPr>
          <w:p w14:paraId="5BD6AD93"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single" w:sz="8" w:space="0" w:color="365F91" w:themeColor="accent1" w:themeShade="BF"/>
              <w:left w:val="nil"/>
              <w:bottom w:val="nil"/>
              <w:right w:val="single" w:sz="8" w:space="0" w:color="365F91" w:themeColor="accent1" w:themeShade="BF"/>
            </w:tcBorders>
            <w:shd w:val="clear" w:color="auto" w:fill="auto"/>
            <w:noWrap/>
            <w:vAlign w:val="bottom"/>
            <w:hideMark/>
          </w:tcPr>
          <w:p w14:paraId="55CDD9A3"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single" w:sz="8" w:space="0" w:color="365F91" w:themeColor="accent1" w:themeShade="BF"/>
              <w:left w:val="single" w:sz="8" w:space="0" w:color="365F91" w:themeColor="accent1" w:themeShade="BF"/>
              <w:bottom w:val="nil"/>
              <w:right w:val="nil"/>
            </w:tcBorders>
            <w:shd w:val="clear" w:color="auto" w:fill="auto"/>
            <w:noWrap/>
            <w:vAlign w:val="bottom"/>
            <w:hideMark/>
          </w:tcPr>
          <w:p w14:paraId="55231802"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single" w:sz="8" w:space="0" w:color="365F91" w:themeColor="accent1" w:themeShade="BF"/>
              <w:left w:val="nil"/>
              <w:bottom w:val="nil"/>
              <w:right w:val="single" w:sz="8" w:space="0" w:color="365F91" w:themeColor="accent1" w:themeShade="BF"/>
            </w:tcBorders>
            <w:shd w:val="clear" w:color="auto" w:fill="auto"/>
            <w:noWrap/>
            <w:vAlign w:val="bottom"/>
            <w:hideMark/>
          </w:tcPr>
          <w:p w14:paraId="3E5CDDBE"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single" w:sz="8" w:space="0" w:color="365F91" w:themeColor="accent1" w:themeShade="BF"/>
              <w:left w:val="single" w:sz="8" w:space="0" w:color="365F91" w:themeColor="accent1" w:themeShade="BF"/>
              <w:bottom w:val="nil"/>
              <w:right w:val="nil"/>
            </w:tcBorders>
            <w:shd w:val="clear" w:color="auto" w:fill="auto"/>
            <w:noWrap/>
            <w:vAlign w:val="bottom"/>
            <w:hideMark/>
          </w:tcPr>
          <w:p w14:paraId="0BB393C6"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single" w:sz="8" w:space="0" w:color="365F91" w:themeColor="accent1" w:themeShade="BF"/>
              <w:left w:val="nil"/>
              <w:bottom w:val="nil"/>
              <w:right w:val="single" w:sz="8" w:space="0" w:color="365F91" w:themeColor="accent1" w:themeShade="BF"/>
            </w:tcBorders>
            <w:shd w:val="clear" w:color="auto" w:fill="auto"/>
            <w:noWrap/>
            <w:vAlign w:val="bottom"/>
            <w:hideMark/>
          </w:tcPr>
          <w:p w14:paraId="0338CCEE" w14:textId="77777777" w:rsidR="00C4454D" w:rsidRPr="00A735B4" w:rsidRDefault="00C4454D" w:rsidP="00C4454D">
            <w:pPr>
              <w:rPr>
                <w:color w:val="1F497D" w:themeColor="text2"/>
              </w:rPr>
            </w:pPr>
            <w:r w:rsidRPr="00A735B4">
              <w:rPr>
                <w:color w:val="1F497D" w:themeColor="text2"/>
              </w:rPr>
              <w:t> </w:t>
            </w:r>
          </w:p>
        </w:tc>
      </w:tr>
      <w:tr w:rsidR="00C4454D" w:rsidRPr="00A735B4" w14:paraId="4F473D98" w14:textId="77777777" w:rsidTr="00C4454D">
        <w:trPr>
          <w:trHeight w:val="205"/>
        </w:trPr>
        <w:tc>
          <w:tcPr>
            <w:tcW w:w="1415" w:type="dxa"/>
            <w:tcBorders>
              <w:top w:val="nil"/>
              <w:left w:val="single" w:sz="8" w:space="0" w:color="365F91" w:themeColor="accent1" w:themeShade="BF"/>
              <w:bottom w:val="nil"/>
              <w:right w:val="nil"/>
            </w:tcBorders>
            <w:shd w:val="clear" w:color="auto" w:fill="auto"/>
            <w:noWrap/>
            <w:vAlign w:val="bottom"/>
            <w:hideMark/>
          </w:tcPr>
          <w:p w14:paraId="51691905" w14:textId="77777777" w:rsidR="00C4454D" w:rsidRPr="00A735B4" w:rsidRDefault="00C4454D" w:rsidP="00C4454D">
            <w:pPr>
              <w:rPr>
                <w:color w:val="1F497D" w:themeColor="text2"/>
                <w:sz w:val="18"/>
                <w:szCs w:val="18"/>
              </w:rPr>
            </w:pPr>
            <w:r w:rsidRPr="00A735B4">
              <w:rPr>
                <w:color w:val="1F497D" w:themeColor="text2"/>
                <w:sz w:val="18"/>
                <w:szCs w:val="18"/>
              </w:rPr>
              <w:t>Kenya</w:t>
            </w:r>
          </w:p>
        </w:tc>
        <w:tc>
          <w:tcPr>
            <w:tcW w:w="686" w:type="dxa"/>
            <w:tcBorders>
              <w:top w:val="nil"/>
              <w:left w:val="nil"/>
              <w:bottom w:val="nil"/>
              <w:right w:val="single" w:sz="8" w:space="0" w:color="365F91" w:themeColor="accent1" w:themeShade="BF"/>
            </w:tcBorders>
            <w:shd w:val="clear" w:color="auto" w:fill="auto"/>
            <w:noWrap/>
            <w:vAlign w:val="bottom"/>
            <w:hideMark/>
          </w:tcPr>
          <w:p w14:paraId="47F1B446" w14:textId="77777777" w:rsidR="00C4454D" w:rsidRPr="00A735B4" w:rsidRDefault="00C4454D" w:rsidP="00C4454D">
            <w:pPr>
              <w:rPr>
                <w:color w:val="1F497D" w:themeColor="text2"/>
                <w:sz w:val="18"/>
                <w:szCs w:val="18"/>
              </w:rPr>
            </w:pPr>
          </w:p>
        </w:tc>
        <w:tc>
          <w:tcPr>
            <w:tcW w:w="316" w:type="dxa"/>
            <w:tcBorders>
              <w:top w:val="nil"/>
              <w:left w:val="single" w:sz="8" w:space="0" w:color="365F91" w:themeColor="accent1" w:themeShade="BF"/>
              <w:bottom w:val="nil"/>
              <w:right w:val="single" w:sz="8" w:space="0" w:color="365F91" w:themeColor="accent1" w:themeShade="BF"/>
            </w:tcBorders>
            <w:shd w:val="clear" w:color="auto" w:fill="365F91" w:themeFill="accent1" w:themeFillShade="BF"/>
            <w:noWrap/>
            <w:vAlign w:val="bottom"/>
            <w:hideMark/>
          </w:tcPr>
          <w:p w14:paraId="1E9DCB02"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nil"/>
              <w:right w:val="nil"/>
            </w:tcBorders>
            <w:shd w:val="clear" w:color="auto" w:fill="365F91" w:themeFill="accent1" w:themeFillShade="BF"/>
            <w:noWrap/>
            <w:vAlign w:val="bottom"/>
            <w:hideMark/>
          </w:tcPr>
          <w:p w14:paraId="2681BC95"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nil"/>
              <w:right w:val="single" w:sz="8" w:space="0" w:color="365F91" w:themeColor="accent1" w:themeShade="BF"/>
            </w:tcBorders>
            <w:shd w:val="clear" w:color="auto" w:fill="365F91" w:themeFill="accent1" w:themeFillShade="BF"/>
            <w:noWrap/>
            <w:vAlign w:val="bottom"/>
            <w:hideMark/>
          </w:tcPr>
          <w:p w14:paraId="5A2C6416"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nil"/>
              <w:right w:val="nil"/>
            </w:tcBorders>
            <w:shd w:val="clear" w:color="auto" w:fill="auto"/>
            <w:noWrap/>
            <w:vAlign w:val="bottom"/>
            <w:hideMark/>
          </w:tcPr>
          <w:p w14:paraId="74089687"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nil"/>
              <w:right w:val="single" w:sz="8" w:space="0" w:color="365F91" w:themeColor="accent1" w:themeShade="BF"/>
            </w:tcBorders>
            <w:shd w:val="clear" w:color="auto" w:fill="auto"/>
            <w:noWrap/>
            <w:vAlign w:val="bottom"/>
            <w:hideMark/>
          </w:tcPr>
          <w:p w14:paraId="0883A086"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nil"/>
              <w:right w:val="nil"/>
            </w:tcBorders>
            <w:shd w:val="clear" w:color="auto" w:fill="auto"/>
            <w:noWrap/>
            <w:vAlign w:val="bottom"/>
            <w:hideMark/>
          </w:tcPr>
          <w:p w14:paraId="3CB1E250" w14:textId="77777777" w:rsidR="00C4454D" w:rsidRPr="00A735B4" w:rsidRDefault="00C4454D" w:rsidP="00C4454D">
            <w:pPr>
              <w:rPr>
                <w:color w:val="1F497D" w:themeColor="text2"/>
                <w:sz w:val="18"/>
                <w:szCs w:val="18"/>
              </w:rPr>
            </w:pPr>
          </w:p>
        </w:tc>
        <w:tc>
          <w:tcPr>
            <w:tcW w:w="259" w:type="dxa"/>
            <w:tcBorders>
              <w:top w:val="nil"/>
              <w:left w:val="nil"/>
              <w:bottom w:val="nil"/>
              <w:right w:val="single" w:sz="8" w:space="0" w:color="365F91" w:themeColor="accent1" w:themeShade="BF"/>
            </w:tcBorders>
            <w:shd w:val="clear" w:color="auto" w:fill="auto"/>
            <w:noWrap/>
            <w:vAlign w:val="bottom"/>
            <w:hideMark/>
          </w:tcPr>
          <w:p w14:paraId="0F43E24B" w14:textId="77777777" w:rsidR="00C4454D" w:rsidRPr="00A735B4" w:rsidRDefault="00C4454D" w:rsidP="00C4454D">
            <w:pPr>
              <w:rPr>
                <w:color w:val="1F497D" w:themeColor="text2"/>
                <w:sz w:val="18"/>
                <w:szCs w:val="18"/>
              </w:rPr>
            </w:pPr>
          </w:p>
        </w:tc>
        <w:tc>
          <w:tcPr>
            <w:tcW w:w="259" w:type="dxa"/>
            <w:tcBorders>
              <w:top w:val="nil"/>
              <w:left w:val="single" w:sz="8" w:space="0" w:color="365F91" w:themeColor="accent1" w:themeShade="BF"/>
              <w:bottom w:val="nil"/>
              <w:right w:val="nil"/>
            </w:tcBorders>
            <w:shd w:val="clear" w:color="auto" w:fill="auto"/>
            <w:noWrap/>
            <w:vAlign w:val="bottom"/>
            <w:hideMark/>
          </w:tcPr>
          <w:p w14:paraId="3A4D18CF"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nil"/>
              <w:right w:val="single" w:sz="8" w:space="0" w:color="365F91" w:themeColor="accent1" w:themeShade="BF"/>
            </w:tcBorders>
            <w:shd w:val="clear" w:color="auto" w:fill="auto"/>
            <w:noWrap/>
            <w:vAlign w:val="bottom"/>
            <w:hideMark/>
          </w:tcPr>
          <w:p w14:paraId="3ABD9491"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nil"/>
              <w:right w:val="nil"/>
            </w:tcBorders>
            <w:shd w:val="clear" w:color="auto" w:fill="auto"/>
            <w:noWrap/>
            <w:vAlign w:val="bottom"/>
            <w:hideMark/>
          </w:tcPr>
          <w:p w14:paraId="15F95093"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nil"/>
              <w:right w:val="single" w:sz="8" w:space="0" w:color="365F91" w:themeColor="accent1" w:themeShade="BF"/>
            </w:tcBorders>
            <w:shd w:val="clear" w:color="auto" w:fill="auto"/>
            <w:noWrap/>
            <w:vAlign w:val="bottom"/>
            <w:hideMark/>
          </w:tcPr>
          <w:p w14:paraId="1894DF56"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nil"/>
              <w:right w:val="nil"/>
            </w:tcBorders>
            <w:shd w:val="clear" w:color="auto" w:fill="auto"/>
            <w:noWrap/>
            <w:vAlign w:val="bottom"/>
            <w:hideMark/>
          </w:tcPr>
          <w:p w14:paraId="2248A81B" w14:textId="77777777" w:rsidR="00C4454D" w:rsidRPr="00A735B4" w:rsidRDefault="00C4454D" w:rsidP="00C4454D">
            <w:pPr>
              <w:rPr>
                <w:color w:val="1F497D" w:themeColor="text2"/>
                <w:sz w:val="18"/>
                <w:szCs w:val="18"/>
              </w:rPr>
            </w:pPr>
          </w:p>
        </w:tc>
        <w:tc>
          <w:tcPr>
            <w:tcW w:w="259" w:type="dxa"/>
            <w:tcBorders>
              <w:top w:val="nil"/>
              <w:left w:val="nil"/>
              <w:bottom w:val="nil"/>
              <w:right w:val="single" w:sz="8" w:space="0" w:color="365F91" w:themeColor="accent1" w:themeShade="BF"/>
            </w:tcBorders>
            <w:shd w:val="clear" w:color="auto" w:fill="auto"/>
            <w:noWrap/>
            <w:vAlign w:val="bottom"/>
            <w:hideMark/>
          </w:tcPr>
          <w:p w14:paraId="5865E0AF" w14:textId="77777777" w:rsidR="00C4454D" w:rsidRPr="00A735B4" w:rsidRDefault="00C4454D" w:rsidP="00C4454D">
            <w:pPr>
              <w:rPr>
                <w:color w:val="1F497D" w:themeColor="text2"/>
                <w:sz w:val="18"/>
                <w:szCs w:val="18"/>
              </w:rPr>
            </w:pPr>
          </w:p>
        </w:tc>
        <w:tc>
          <w:tcPr>
            <w:tcW w:w="259" w:type="dxa"/>
            <w:tcBorders>
              <w:top w:val="nil"/>
              <w:left w:val="single" w:sz="8" w:space="0" w:color="365F91" w:themeColor="accent1" w:themeShade="BF"/>
              <w:bottom w:val="nil"/>
              <w:right w:val="nil"/>
            </w:tcBorders>
            <w:shd w:val="clear" w:color="auto" w:fill="auto"/>
            <w:noWrap/>
            <w:vAlign w:val="bottom"/>
            <w:hideMark/>
          </w:tcPr>
          <w:p w14:paraId="57698159"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nil"/>
              <w:right w:val="single" w:sz="8" w:space="0" w:color="365F91" w:themeColor="accent1" w:themeShade="BF"/>
            </w:tcBorders>
            <w:shd w:val="clear" w:color="auto" w:fill="auto"/>
            <w:noWrap/>
            <w:vAlign w:val="bottom"/>
            <w:hideMark/>
          </w:tcPr>
          <w:p w14:paraId="05942321"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nil"/>
              <w:right w:val="nil"/>
            </w:tcBorders>
            <w:shd w:val="clear" w:color="auto" w:fill="auto"/>
            <w:noWrap/>
            <w:vAlign w:val="bottom"/>
            <w:hideMark/>
          </w:tcPr>
          <w:p w14:paraId="1F145CC4" w14:textId="77777777" w:rsidR="00C4454D" w:rsidRPr="00A735B4" w:rsidRDefault="00C4454D" w:rsidP="00C4454D">
            <w:pPr>
              <w:rPr>
                <w:color w:val="1F497D" w:themeColor="text2"/>
                <w:sz w:val="18"/>
                <w:szCs w:val="18"/>
              </w:rPr>
            </w:pPr>
          </w:p>
        </w:tc>
        <w:tc>
          <w:tcPr>
            <w:tcW w:w="259" w:type="dxa"/>
            <w:tcBorders>
              <w:top w:val="nil"/>
              <w:left w:val="nil"/>
              <w:bottom w:val="nil"/>
              <w:right w:val="single" w:sz="8" w:space="0" w:color="365F91" w:themeColor="accent1" w:themeShade="BF"/>
            </w:tcBorders>
            <w:shd w:val="clear" w:color="auto" w:fill="auto"/>
            <w:noWrap/>
            <w:vAlign w:val="bottom"/>
            <w:hideMark/>
          </w:tcPr>
          <w:p w14:paraId="6B379262" w14:textId="77777777" w:rsidR="00C4454D" w:rsidRPr="00A735B4" w:rsidRDefault="00C4454D" w:rsidP="00C4454D">
            <w:pPr>
              <w:rPr>
                <w:color w:val="1F497D" w:themeColor="text2"/>
                <w:sz w:val="18"/>
                <w:szCs w:val="18"/>
              </w:rPr>
            </w:pPr>
          </w:p>
        </w:tc>
        <w:tc>
          <w:tcPr>
            <w:tcW w:w="259" w:type="dxa"/>
            <w:tcBorders>
              <w:top w:val="nil"/>
              <w:left w:val="single" w:sz="8" w:space="0" w:color="365F91" w:themeColor="accent1" w:themeShade="BF"/>
              <w:bottom w:val="nil"/>
              <w:right w:val="nil"/>
            </w:tcBorders>
            <w:shd w:val="clear" w:color="auto" w:fill="auto"/>
            <w:noWrap/>
            <w:vAlign w:val="bottom"/>
            <w:hideMark/>
          </w:tcPr>
          <w:p w14:paraId="4DF7A8DF"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nil"/>
              <w:right w:val="single" w:sz="8" w:space="0" w:color="365F91" w:themeColor="accent1" w:themeShade="BF"/>
            </w:tcBorders>
            <w:shd w:val="clear" w:color="auto" w:fill="auto"/>
            <w:noWrap/>
            <w:vAlign w:val="bottom"/>
            <w:hideMark/>
          </w:tcPr>
          <w:p w14:paraId="311642D0"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nil"/>
              <w:right w:val="nil"/>
            </w:tcBorders>
            <w:shd w:val="clear" w:color="auto" w:fill="auto"/>
            <w:noWrap/>
            <w:vAlign w:val="bottom"/>
            <w:hideMark/>
          </w:tcPr>
          <w:p w14:paraId="3E0DEA32"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nil"/>
              <w:right w:val="single" w:sz="8" w:space="0" w:color="365F91" w:themeColor="accent1" w:themeShade="BF"/>
            </w:tcBorders>
            <w:shd w:val="clear" w:color="auto" w:fill="auto"/>
            <w:noWrap/>
            <w:vAlign w:val="bottom"/>
            <w:hideMark/>
          </w:tcPr>
          <w:p w14:paraId="36DE68B1"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nil"/>
              <w:right w:val="nil"/>
            </w:tcBorders>
            <w:shd w:val="clear" w:color="auto" w:fill="auto"/>
            <w:noWrap/>
            <w:vAlign w:val="bottom"/>
            <w:hideMark/>
          </w:tcPr>
          <w:p w14:paraId="0D6310B1"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nil"/>
              <w:right w:val="single" w:sz="8" w:space="0" w:color="365F91" w:themeColor="accent1" w:themeShade="BF"/>
            </w:tcBorders>
            <w:shd w:val="clear" w:color="auto" w:fill="auto"/>
            <w:noWrap/>
            <w:vAlign w:val="bottom"/>
            <w:hideMark/>
          </w:tcPr>
          <w:p w14:paraId="2C84073B"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nil"/>
              <w:right w:val="nil"/>
            </w:tcBorders>
            <w:shd w:val="clear" w:color="auto" w:fill="auto"/>
            <w:noWrap/>
            <w:vAlign w:val="bottom"/>
            <w:hideMark/>
          </w:tcPr>
          <w:p w14:paraId="60162D5C"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nil"/>
              <w:right w:val="single" w:sz="8" w:space="0" w:color="365F91" w:themeColor="accent1" w:themeShade="BF"/>
            </w:tcBorders>
            <w:shd w:val="clear" w:color="auto" w:fill="auto"/>
            <w:noWrap/>
            <w:vAlign w:val="bottom"/>
            <w:hideMark/>
          </w:tcPr>
          <w:p w14:paraId="4DD714D6" w14:textId="77777777" w:rsidR="00C4454D" w:rsidRPr="00A735B4" w:rsidRDefault="00C4454D" w:rsidP="00C4454D">
            <w:pPr>
              <w:rPr>
                <w:color w:val="1F497D" w:themeColor="text2"/>
              </w:rPr>
            </w:pPr>
            <w:r w:rsidRPr="00A735B4">
              <w:rPr>
                <w:color w:val="1F497D" w:themeColor="text2"/>
              </w:rPr>
              <w:t> </w:t>
            </w:r>
          </w:p>
        </w:tc>
      </w:tr>
      <w:tr w:rsidR="00C4454D" w:rsidRPr="00A735B4" w14:paraId="48972B09" w14:textId="77777777" w:rsidTr="00C4454D">
        <w:trPr>
          <w:trHeight w:val="205"/>
        </w:trPr>
        <w:tc>
          <w:tcPr>
            <w:tcW w:w="1415" w:type="dxa"/>
            <w:tcBorders>
              <w:top w:val="nil"/>
              <w:left w:val="single" w:sz="8" w:space="0" w:color="365F91" w:themeColor="accent1" w:themeShade="BF"/>
              <w:bottom w:val="nil"/>
              <w:right w:val="nil"/>
            </w:tcBorders>
            <w:shd w:val="clear" w:color="auto" w:fill="auto"/>
            <w:noWrap/>
            <w:vAlign w:val="bottom"/>
            <w:hideMark/>
          </w:tcPr>
          <w:p w14:paraId="7B12C09D" w14:textId="77777777" w:rsidR="00C4454D" w:rsidRPr="00A735B4" w:rsidRDefault="00C4454D" w:rsidP="00C4454D">
            <w:pPr>
              <w:rPr>
                <w:color w:val="1F497D" w:themeColor="text2"/>
                <w:sz w:val="18"/>
                <w:szCs w:val="18"/>
              </w:rPr>
            </w:pPr>
            <w:r w:rsidRPr="00A735B4">
              <w:rPr>
                <w:color w:val="1F497D" w:themeColor="text2"/>
                <w:sz w:val="18"/>
                <w:szCs w:val="18"/>
              </w:rPr>
              <w:t>Tanzania</w:t>
            </w:r>
          </w:p>
        </w:tc>
        <w:tc>
          <w:tcPr>
            <w:tcW w:w="686" w:type="dxa"/>
            <w:tcBorders>
              <w:top w:val="nil"/>
              <w:left w:val="nil"/>
              <w:bottom w:val="nil"/>
              <w:right w:val="single" w:sz="8" w:space="0" w:color="365F91" w:themeColor="accent1" w:themeShade="BF"/>
            </w:tcBorders>
            <w:shd w:val="clear" w:color="auto" w:fill="auto"/>
            <w:noWrap/>
            <w:vAlign w:val="bottom"/>
            <w:hideMark/>
          </w:tcPr>
          <w:p w14:paraId="1974436B" w14:textId="77777777" w:rsidR="00C4454D" w:rsidRPr="00A735B4" w:rsidRDefault="00C4454D" w:rsidP="00C4454D">
            <w:pPr>
              <w:rPr>
                <w:color w:val="1F497D" w:themeColor="text2"/>
                <w:sz w:val="18"/>
                <w:szCs w:val="18"/>
              </w:rPr>
            </w:pPr>
          </w:p>
        </w:tc>
        <w:tc>
          <w:tcPr>
            <w:tcW w:w="316" w:type="dxa"/>
            <w:tcBorders>
              <w:top w:val="nil"/>
              <w:left w:val="single" w:sz="8" w:space="0" w:color="365F91" w:themeColor="accent1" w:themeShade="BF"/>
              <w:bottom w:val="nil"/>
              <w:right w:val="single" w:sz="8" w:space="0" w:color="365F91" w:themeColor="accent1" w:themeShade="BF"/>
            </w:tcBorders>
            <w:shd w:val="clear" w:color="auto" w:fill="auto"/>
            <w:noWrap/>
            <w:vAlign w:val="bottom"/>
            <w:hideMark/>
          </w:tcPr>
          <w:p w14:paraId="1C4B276E"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nil"/>
              <w:right w:val="nil"/>
            </w:tcBorders>
            <w:shd w:val="clear" w:color="auto" w:fill="365F91" w:themeFill="accent1" w:themeFillShade="BF"/>
            <w:noWrap/>
            <w:vAlign w:val="bottom"/>
            <w:hideMark/>
          </w:tcPr>
          <w:p w14:paraId="0A346C59"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nil"/>
              <w:right w:val="single" w:sz="8" w:space="0" w:color="365F91" w:themeColor="accent1" w:themeShade="BF"/>
            </w:tcBorders>
            <w:shd w:val="clear" w:color="auto" w:fill="365F91" w:themeFill="accent1" w:themeFillShade="BF"/>
            <w:noWrap/>
            <w:vAlign w:val="bottom"/>
            <w:hideMark/>
          </w:tcPr>
          <w:p w14:paraId="182D4D74"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nil"/>
              <w:right w:val="nil"/>
            </w:tcBorders>
            <w:shd w:val="clear" w:color="auto" w:fill="auto"/>
            <w:noWrap/>
            <w:vAlign w:val="bottom"/>
            <w:hideMark/>
          </w:tcPr>
          <w:p w14:paraId="1D011AAF"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nil"/>
              <w:right w:val="single" w:sz="8" w:space="0" w:color="365F91" w:themeColor="accent1" w:themeShade="BF"/>
            </w:tcBorders>
            <w:shd w:val="clear" w:color="auto" w:fill="auto"/>
            <w:noWrap/>
            <w:vAlign w:val="bottom"/>
            <w:hideMark/>
          </w:tcPr>
          <w:p w14:paraId="4E696040"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nil"/>
              <w:right w:val="nil"/>
            </w:tcBorders>
            <w:shd w:val="clear" w:color="auto" w:fill="auto"/>
            <w:noWrap/>
            <w:vAlign w:val="bottom"/>
            <w:hideMark/>
          </w:tcPr>
          <w:p w14:paraId="3B9E4553" w14:textId="77777777" w:rsidR="00C4454D" w:rsidRPr="00A735B4" w:rsidRDefault="00C4454D" w:rsidP="00C4454D">
            <w:pPr>
              <w:rPr>
                <w:color w:val="1F497D" w:themeColor="text2"/>
                <w:sz w:val="18"/>
                <w:szCs w:val="18"/>
              </w:rPr>
            </w:pPr>
          </w:p>
        </w:tc>
        <w:tc>
          <w:tcPr>
            <w:tcW w:w="259" w:type="dxa"/>
            <w:tcBorders>
              <w:top w:val="nil"/>
              <w:left w:val="nil"/>
              <w:bottom w:val="nil"/>
              <w:right w:val="single" w:sz="8" w:space="0" w:color="365F91" w:themeColor="accent1" w:themeShade="BF"/>
            </w:tcBorders>
            <w:shd w:val="clear" w:color="auto" w:fill="auto"/>
            <w:noWrap/>
            <w:vAlign w:val="bottom"/>
            <w:hideMark/>
          </w:tcPr>
          <w:p w14:paraId="41D66555" w14:textId="77777777" w:rsidR="00C4454D" w:rsidRPr="00A735B4" w:rsidRDefault="00C4454D" w:rsidP="00C4454D">
            <w:pPr>
              <w:rPr>
                <w:color w:val="1F497D" w:themeColor="text2"/>
                <w:sz w:val="18"/>
                <w:szCs w:val="18"/>
              </w:rPr>
            </w:pPr>
          </w:p>
        </w:tc>
        <w:tc>
          <w:tcPr>
            <w:tcW w:w="259" w:type="dxa"/>
            <w:tcBorders>
              <w:top w:val="nil"/>
              <w:left w:val="single" w:sz="8" w:space="0" w:color="365F91" w:themeColor="accent1" w:themeShade="BF"/>
              <w:bottom w:val="nil"/>
              <w:right w:val="nil"/>
            </w:tcBorders>
            <w:shd w:val="clear" w:color="auto" w:fill="auto"/>
            <w:noWrap/>
            <w:vAlign w:val="bottom"/>
            <w:hideMark/>
          </w:tcPr>
          <w:p w14:paraId="58FA4219"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nil"/>
              <w:right w:val="single" w:sz="8" w:space="0" w:color="365F91" w:themeColor="accent1" w:themeShade="BF"/>
            </w:tcBorders>
            <w:shd w:val="clear" w:color="auto" w:fill="auto"/>
            <w:noWrap/>
            <w:vAlign w:val="bottom"/>
            <w:hideMark/>
          </w:tcPr>
          <w:p w14:paraId="13C69938"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nil"/>
              <w:right w:val="nil"/>
            </w:tcBorders>
            <w:shd w:val="clear" w:color="auto" w:fill="auto"/>
            <w:noWrap/>
            <w:vAlign w:val="bottom"/>
            <w:hideMark/>
          </w:tcPr>
          <w:p w14:paraId="44F0AE8B"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nil"/>
              <w:right w:val="single" w:sz="8" w:space="0" w:color="365F91" w:themeColor="accent1" w:themeShade="BF"/>
            </w:tcBorders>
            <w:shd w:val="clear" w:color="auto" w:fill="auto"/>
            <w:noWrap/>
            <w:vAlign w:val="bottom"/>
            <w:hideMark/>
          </w:tcPr>
          <w:p w14:paraId="6064E2FC"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nil"/>
              <w:right w:val="nil"/>
            </w:tcBorders>
            <w:shd w:val="clear" w:color="auto" w:fill="auto"/>
            <w:noWrap/>
            <w:vAlign w:val="bottom"/>
            <w:hideMark/>
          </w:tcPr>
          <w:p w14:paraId="1964CB3F" w14:textId="77777777" w:rsidR="00C4454D" w:rsidRPr="00A735B4" w:rsidRDefault="00C4454D" w:rsidP="00C4454D">
            <w:pPr>
              <w:rPr>
                <w:color w:val="1F497D" w:themeColor="text2"/>
                <w:sz w:val="18"/>
                <w:szCs w:val="18"/>
              </w:rPr>
            </w:pPr>
          </w:p>
        </w:tc>
        <w:tc>
          <w:tcPr>
            <w:tcW w:w="259" w:type="dxa"/>
            <w:tcBorders>
              <w:top w:val="nil"/>
              <w:left w:val="nil"/>
              <w:bottom w:val="nil"/>
              <w:right w:val="single" w:sz="8" w:space="0" w:color="365F91" w:themeColor="accent1" w:themeShade="BF"/>
            </w:tcBorders>
            <w:shd w:val="clear" w:color="auto" w:fill="auto"/>
            <w:noWrap/>
            <w:vAlign w:val="bottom"/>
            <w:hideMark/>
          </w:tcPr>
          <w:p w14:paraId="4AD5E05D" w14:textId="77777777" w:rsidR="00C4454D" w:rsidRPr="00A735B4" w:rsidRDefault="00C4454D" w:rsidP="00C4454D">
            <w:pPr>
              <w:rPr>
                <w:color w:val="1F497D" w:themeColor="text2"/>
                <w:sz w:val="18"/>
                <w:szCs w:val="18"/>
              </w:rPr>
            </w:pPr>
          </w:p>
        </w:tc>
        <w:tc>
          <w:tcPr>
            <w:tcW w:w="259" w:type="dxa"/>
            <w:tcBorders>
              <w:top w:val="nil"/>
              <w:left w:val="single" w:sz="8" w:space="0" w:color="365F91" w:themeColor="accent1" w:themeShade="BF"/>
              <w:bottom w:val="nil"/>
              <w:right w:val="nil"/>
            </w:tcBorders>
            <w:shd w:val="clear" w:color="auto" w:fill="auto"/>
            <w:noWrap/>
            <w:vAlign w:val="bottom"/>
            <w:hideMark/>
          </w:tcPr>
          <w:p w14:paraId="0A0D3DA2"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nil"/>
              <w:right w:val="single" w:sz="8" w:space="0" w:color="365F91" w:themeColor="accent1" w:themeShade="BF"/>
            </w:tcBorders>
            <w:shd w:val="clear" w:color="auto" w:fill="auto"/>
            <w:noWrap/>
            <w:vAlign w:val="bottom"/>
            <w:hideMark/>
          </w:tcPr>
          <w:p w14:paraId="39022E45"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nil"/>
              <w:right w:val="nil"/>
            </w:tcBorders>
            <w:shd w:val="clear" w:color="auto" w:fill="auto"/>
            <w:noWrap/>
            <w:vAlign w:val="bottom"/>
            <w:hideMark/>
          </w:tcPr>
          <w:p w14:paraId="23B5CC4F" w14:textId="77777777" w:rsidR="00C4454D" w:rsidRPr="00A735B4" w:rsidRDefault="00C4454D" w:rsidP="00C4454D">
            <w:pPr>
              <w:rPr>
                <w:color w:val="1F497D" w:themeColor="text2"/>
                <w:sz w:val="18"/>
                <w:szCs w:val="18"/>
              </w:rPr>
            </w:pPr>
          </w:p>
        </w:tc>
        <w:tc>
          <w:tcPr>
            <w:tcW w:w="259" w:type="dxa"/>
            <w:tcBorders>
              <w:top w:val="nil"/>
              <w:left w:val="nil"/>
              <w:bottom w:val="nil"/>
              <w:right w:val="single" w:sz="8" w:space="0" w:color="365F91" w:themeColor="accent1" w:themeShade="BF"/>
            </w:tcBorders>
            <w:shd w:val="clear" w:color="auto" w:fill="auto"/>
            <w:noWrap/>
            <w:vAlign w:val="bottom"/>
            <w:hideMark/>
          </w:tcPr>
          <w:p w14:paraId="106BB1DE" w14:textId="77777777" w:rsidR="00C4454D" w:rsidRPr="00A735B4" w:rsidRDefault="00C4454D" w:rsidP="00C4454D">
            <w:pPr>
              <w:rPr>
                <w:color w:val="1F497D" w:themeColor="text2"/>
                <w:sz w:val="18"/>
                <w:szCs w:val="18"/>
              </w:rPr>
            </w:pPr>
          </w:p>
        </w:tc>
        <w:tc>
          <w:tcPr>
            <w:tcW w:w="259" w:type="dxa"/>
            <w:tcBorders>
              <w:top w:val="nil"/>
              <w:left w:val="single" w:sz="8" w:space="0" w:color="365F91" w:themeColor="accent1" w:themeShade="BF"/>
              <w:bottom w:val="nil"/>
              <w:right w:val="nil"/>
            </w:tcBorders>
            <w:shd w:val="clear" w:color="auto" w:fill="auto"/>
            <w:noWrap/>
            <w:vAlign w:val="bottom"/>
            <w:hideMark/>
          </w:tcPr>
          <w:p w14:paraId="0E9349D9"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nil"/>
              <w:right w:val="single" w:sz="8" w:space="0" w:color="365F91" w:themeColor="accent1" w:themeShade="BF"/>
            </w:tcBorders>
            <w:shd w:val="clear" w:color="auto" w:fill="auto"/>
            <w:noWrap/>
            <w:vAlign w:val="bottom"/>
            <w:hideMark/>
          </w:tcPr>
          <w:p w14:paraId="4384C626"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nil"/>
              <w:right w:val="nil"/>
            </w:tcBorders>
            <w:shd w:val="clear" w:color="auto" w:fill="auto"/>
            <w:noWrap/>
            <w:vAlign w:val="bottom"/>
            <w:hideMark/>
          </w:tcPr>
          <w:p w14:paraId="57B2821C"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nil"/>
              <w:right w:val="single" w:sz="8" w:space="0" w:color="365F91" w:themeColor="accent1" w:themeShade="BF"/>
            </w:tcBorders>
            <w:shd w:val="clear" w:color="auto" w:fill="auto"/>
            <w:noWrap/>
            <w:vAlign w:val="bottom"/>
            <w:hideMark/>
          </w:tcPr>
          <w:p w14:paraId="763651FF"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nil"/>
              <w:right w:val="nil"/>
            </w:tcBorders>
            <w:shd w:val="clear" w:color="auto" w:fill="auto"/>
            <w:noWrap/>
            <w:vAlign w:val="bottom"/>
            <w:hideMark/>
          </w:tcPr>
          <w:p w14:paraId="1CF49E12"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nil"/>
              <w:right w:val="single" w:sz="8" w:space="0" w:color="365F91" w:themeColor="accent1" w:themeShade="BF"/>
            </w:tcBorders>
            <w:shd w:val="clear" w:color="auto" w:fill="auto"/>
            <w:noWrap/>
            <w:vAlign w:val="bottom"/>
            <w:hideMark/>
          </w:tcPr>
          <w:p w14:paraId="6F60EAE2"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nil"/>
              <w:right w:val="nil"/>
            </w:tcBorders>
            <w:shd w:val="clear" w:color="auto" w:fill="auto"/>
            <w:noWrap/>
            <w:vAlign w:val="bottom"/>
            <w:hideMark/>
          </w:tcPr>
          <w:p w14:paraId="741FD1D7"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nil"/>
              <w:right w:val="single" w:sz="8" w:space="0" w:color="365F91" w:themeColor="accent1" w:themeShade="BF"/>
            </w:tcBorders>
            <w:shd w:val="clear" w:color="auto" w:fill="auto"/>
            <w:noWrap/>
            <w:vAlign w:val="bottom"/>
            <w:hideMark/>
          </w:tcPr>
          <w:p w14:paraId="03C21B1F" w14:textId="77777777" w:rsidR="00C4454D" w:rsidRPr="00A735B4" w:rsidRDefault="00C4454D" w:rsidP="00C4454D">
            <w:pPr>
              <w:rPr>
                <w:color w:val="1F497D" w:themeColor="text2"/>
              </w:rPr>
            </w:pPr>
            <w:r w:rsidRPr="00A735B4">
              <w:rPr>
                <w:color w:val="1F497D" w:themeColor="text2"/>
              </w:rPr>
              <w:t> </w:t>
            </w:r>
          </w:p>
        </w:tc>
      </w:tr>
      <w:tr w:rsidR="00C4454D" w:rsidRPr="00A735B4" w14:paraId="6AF212FC" w14:textId="77777777" w:rsidTr="00C4454D">
        <w:trPr>
          <w:trHeight w:val="205"/>
        </w:trPr>
        <w:tc>
          <w:tcPr>
            <w:tcW w:w="1415" w:type="dxa"/>
            <w:tcBorders>
              <w:top w:val="nil"/>
              <w:left w:val="single" w:sz="8" w:space="0" w:color="365F91" w:themeColor="accent1" w:themeShade="BF"/>
              <w:bottom w:val="nil"/>
              <w:right w:val="nil"/>
            </w:tcBorders>
            <w:shd w:val="clear" w:color="auto" w:fill="auto"/>
            <w:noWrap/>
            <w:vAlign w:val="bottom"/>
            <w:hideMark/>
          </w:tcPr>
          <w:p w14:paraId="6A5AC9A4" w14:textId="77777777" w:rsidR="00C4454D" w:rsidRPr="00A735B4" w:rsidRDefault="00C4454D" w:rsidP="00C4454D">
            <w:pPr>
              <w:rPr>
                <w:color w:val="1F497D" w:themeColor="text2"/>
                <w:sz w:val="18"/>
                <w:szCs w:val="18"/>
              </w:rPr>
            </w:pPr>
            <w:r w:rsidRPr="00A735B4">
              <w:rPr>
                <w:color w:val="1F497D" w:themeColor="text2"/>
                <w:sz w:val="18"/>
                <w:szCs w:val="18"/>
              </w:rPr>
              <w:t>Uganda</w:t>
            </w:r>
          </w:p>
        </w:tc>
        <w:tc>
          <w:tcPr>
            <w:tcW w:w="686" w:type="dxa"/>
            <w:tcBorders>
              <w:top w:val="nil"/>
              <w:left w:val="nil"/>
              <w:bottom w:val="nil"/>
              <w:right w:val="single" w:sz="8" w:space="0" w:color="365F91" w:themeColor="accent1" w:themeShade="BF"/>
            </w:tcBorders>
            <w:shd w:val="clear" w:color="auto" w:fill="auto"/>
            <w:noWrap/>
            <w:vAlign w:val="bottom"/>
            <w:hideMark/>
          </w:tcPr>
          <w:p w14:paraId="37F67C75" w14:textId="77777777" w:rsidR="00C4454D" w:rsidRPr="00A735B4" w:rsidRDefault="00C4454D" w:rsidP="00C4454D">
            <w:pPr>
              <w:rPr>
                <w:color w:val="1F497D" w:themeColor="text2"/>
                <w:sz w:val="18"/>
                <w:szCs w:val="18"/>
              </w:rPr>
            </w:pPr>
          </w:p>
        </w:tc>
        <w:tc>
          <w:tcPr>
            <w:tcW w:w="316" w:type="dxa"/>
            <w:tcBorders>
              <w:top w:val="nil"/>
              <w:left w:val="single" w:sz="8" w:space="0" w:color="365F91" w:themeColor="accent1" w:themeShade="BF"/>
              <w:bottom w:val="nil"/>
              <w:right w:val="single" w:sz="8" w:space="0" w:color="365F91" w:themeColor="accent1" w:themeShade="BF"/>
            </w:tcBorders>
            <w:shd w:val="clear" w:color="auto" w:fill="365F91" w:themeFill="accent1" w:themeFillShade="BF"/>
            <w:noWrap/>
            <w:vAlign w:val="bottom"/>
            <w:hideMark/>
          </w:tcPr>
          <w:p w14:paraId="06117338"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nil"/>
              <w:right w:val="nil"/>
            </w:tcBorders>
            <w:shd w:val="clear" w:color="auto" w:fill="365F91" w:themeFill="accent1" w:themeFillShade="BF"/>
            <w:noWrap/>
            <w:vAlign w:val="bottom"/>
            <w:hideMark/>
          </w:tcPr>
          <w:p w14:paraId="667DCF3B"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nil"/>
              <w:right w:val="single" w:sz="8" w:space="0" w:color="365F91" w:themeColor="accent1" w:themeShade="BF"/>
            </w:tcBorders>
            <w:shd w:val="clear" w:color="auto" w:fill="365F91" w:themeFill="accent1" w:themeFillShade="BF"/>
            <w:noWrap/>
            <w:vAlign w:val="bottom"/>
            <w:hideMark/>
          </w:tcPr>
          <w:p w14:paraId="03840ADD"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nil"/>
              <w:right w:val="nil"/>
            </w:tcBorders>
            <w:shd w:val="clear" w:color="auto" w:fill="365F91" w:themeFill="accent1" w:themeFillShade="BF"/>
            <w:noWrap/>
            <w:vAlign w:val="bottom"/>
            <w:hideMark/>
          </w:tcPr>
          <w:p w14:paraId="7BA1807F"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nil"/>
              <w:right w:val="single" w:sz="8" w:space="0" w:color="365F91" w:themeColor="accent1" w:themeShade="BF"/>
            </w:tcBorders>
            <w:shd w:val="clear" w:color="auto" w:fill="365F91" w:themeFill="accent1" w:themeFillShade="BF"/>
            <w:noWrap/>
            <w:vAlign w:val="bottom"/>
            <w:hideMark/>
          </w:tcPr>
          <w:p w14:paraId="7DCB7B86"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nil"/>
              <w:right w:val="nil"/>
            </w:tcBorders>
            <w:shd w:val="clear" w:color="auto" w:fill="365F91" w:themeFill="accent1" w:themeFillShade="BF"/>
            <w:noWrap/>
            <w:vAlign w:val="bottom"/>
            <w:hideMark/>
          </w:tcPr>
          <w:p w14:paraId="024EB965"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nil"/>
              <w:right w:val="single" w:sz="8" w:space="0" w:color="365F91" w:themeColor="accent1" w:themeShade="BF"/>
            </w:tcBorders>
            <w:shd w:val="clear" w:color="auto" w:fill="365F91" w:themeFill="accent1" w:themeFillShade="BF"/>
            <w:noWrap/>
            <w:vAlign w:val="bottom"/>
            <w:hideMark/>
          </w:tcPr>
          <w:p w14:paraId="212B18F5"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nil"/>
              <w:right w:val="nil"/>
            </w:tcBorders>
            <w:shd w:val="clear" w:color="auto" w:fill="365F91" w:themeFill="accent1" w:themeFillShade="BF"/>
            <w:noWrap/>
            <w:vAlign w:val="bottom"/>
            <w:hideMark/>
          </w:tcPr>
          <w:p w14:paraId="0D692A81"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nil"/>
              <w:right w:val="single" w:sz="8" w:space="0" w:color="365F91" w:themeColor="accent1" w:themeShade="BF"/>
            </w:tcBorders>
            <w:shd w:val="clear" w:color="auto" w:fill="365F91" w:themeFill="accent1" w:themeFillShade="BF"/>
            <w:noWrap/>
            <w:vAlign w:val="bottom"/>
            <w:hideMark/>
          </w:tcPr>
          <w:p w14:paraId="16904386"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nil"/>
              <w:right w:val="nil"/>
            </w:tcBorders>
            <w:shd w:val="clear" w:color="auto" w:fill="365F91" w:themeFill="accent1" w:themeFillShade="BF"/>
            <w:noWrap/>
            <w:vAlign w:val="bottom"/>
            <w:hideMark/>
          </w:tcPr>
          <w:p w14:paraId="377B290C"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nil"/>
              <w:right w:val="single" w:sz="8" w:space="0" w:color="365F91" w:themeColor="accent1" w:themeShade="BF"/>
            </w:tcBorders>
            <w:shd w:val="clear" w:color="auto" w:fill="365F91" w:themeFill="accent1" w:themeFillShade="BF"/>
            <w:noWrap/>
            <w:vAlign w:val="bottom"/>
            <w:hideMark/>
          </w:tcPr>
          <w:p w14:paraId="0AE28223"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nil"/>
              <w:right w:val="nil"/>
            </w:tcBorders>
            <w:shd w:val="clear" w:color="auto" w:fill="365F91" w:themeFill="accent1" w:themeFillShade="BF"/>
            <w:noWrap/>
            <w:vAlign w:val="bottom"/>
            <w:hideMark/>
          </w:tcPr>
          <w:p w14:paraId="2EA724D9"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nil"/>
              <w:right w:val="single" w:sz="8" w:space="0" w:color="365F91" w:themeColor="accent1" w:themeShade="BF"/>
            </w:tcBorders>
            <w:shd w:val="clear" w:color="auto" w:fill="auto"/>
            <w:noWrap/>
            <w:vAlign w:val="bottom"/>
            <w:hideMark/>
          </w:tcPr>
          <w:p w14:paraId="5D3D7225" w14:textId="77777777" w:rsidR="00C4454D" w:rsidRPr="00A735B4" w:rsidRDefault="00C4454D" w:rsidP="00C4454D">
            <w:pPr>
              <w:rPr>
                <w:color w:val="1F497D" w:themeColor="text2"/>
                <w:sz w:val="18"/>
                <w:szCs w:val="18"/>
              </w:rPr>
            </w:pPr>
          </w:p>
        </w:tc>
        <w:tc>
          <w:tcPr>
            <w:tcW w:w="259" w:type="dxa"/>
            <w:tcBorders>
              <w:top w:val="nil"/>
              <w:left w:val="single" w:sz="8" w:space="0" w:color="365F91" w:themeColor="accent1" w:themeShade="BF"/>
              <w:bottom w:val="nil"/>
              <w:right w:val="nil"/>
            </w:tcBorders>
            <w:shd w:val="clear" w:color="auto" w:fill="auto"/>
            <w:noWrap/>
            <w:vAlign w:val="bottom"/>
            <w:hideMark/>
          </w:tcPr>
          <w:p w14:paraId="1950E310"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nil"/>
              <w:right w:val="single" w:sz="8" w:space="0" w:color="365F91" w:themeColor="accent1" w:themeShade="BF"/>
            </w:tcBorders>
            <w:shd w:val="clear" w:color="auto" w:fill="auto"/>
            <w:noWrap/>
            <w:vAlign w:val="bottom"/>
            <w:hideMark/>
          </w:tcPr>
          <w:p w14:paraId="4F23ACAF"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nil"/>
              <w:right w:val="nil"/>
            </w:tcBorders>
            <w:shd w:val="clear" w:color="auto" w:fill="auto"/>
            <w:noWrap/>
            <w:vAlign w:val="bottom"/>
            <w:hideMark/>
          </w:tcPr>
          <w:p w14:paraId="26A4A78B" w14:textId="77777777" w:rsidR="00C4454D" w:rsidRPr="00A735B4" w:rsidRDefault="00C4454D" w:rsidP="00C4454D">
            <w:pPr>
              <w:rPr>
                <w:color w:val="1F497D" w:themeColor="text2"/>
                <w:sz w:val="18"/>
                <w:szCs w:val="18"/>
              </w:rPr>
            </w:pPr>
          </w:p>
        </w:tc>
        <w:tc>
          <w:tcPr>
            <w:tcW w:w="259" w:type="dxa"/>
            <w:tcBorders>
              <w:top w:val="nil"/>
              <w:left w:val="nil"/>
              <w:bottom w:val="nil"/>
              <w:right w:val="single" w:sz="8" w:space="0" w:color="365F91" w:themeColor="accent1" w:themeShade="BF"/>
            </w:tcBorders>
            <w:shd w:val="clear" w:color="auto" w:fill="auto"/>
            <w:noWrap/>
            <w:vAlign w:val="bottom"/>
            <w:hideMark/>
          </w:tcPr>
          <w:p w14:paraId="15BC3D8A" w14:textId="77777777" w:rsidR="00C4454D" w:rsidRPr="00A735B4" w:rsidRDefault="00C4454D" w:rsidP="00C4454D">
            <w:pPr>
              <w:rPr>
                <w:color w:val="1F497D" w:themeColor="text2"/>
                <w:sz w:val="18"/>
                <w:szCs w:val="18"/>
              </w:rPr>
            </w:pPr>
          </w:p>
        </w:tc>
        <w:tc>
          <w:tcPr>
            <w:tcW w:w="259" w:type="dxa"/>
            <w:tcBorders>
              <w:top w:val="nil"/>
              <w:left w:val="single" w:sz="8" w:space="0" w:color="365F91" w:themeColor="accent1" w:themeShade="BF"/>
              <w:bottom w:val="nil"/>
              <w:right w:val="nil"/>
            </w:tcBorders>
            <w:shd w:val="clear" w:color="auto" w:fill="auto"/>
            <w:noWrap/>
            <w:vAlign w:val="bottom"/>
            <w:hideMark/>
          </w:tcPr>
          <w:p w14:paraId="719199E4"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nil"/>
              <w:right w:val="single" w:sz="8" w:space="0" w:color="365F91" w:themeColor="accent1" w:themeShade="BF"/>
            </w:tcBorders>
            <w:shd w:val="clear" w:color="auto" w:fill="auto"/>
            <w:noWrap/>
            <w:vAlign w:val="bottom"/>
            <w:hideMark/>
          </w:tcPr>
          <w:p w14:paraId="79C9B9F5"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nil"/>
              <w:right w:val="nil"/>
            </w:tcBorders>
            <w:shd w:val="clear" w:color="auto" w:fill="auto"/>
            <w:noWrap/>
            <w:vAlign w:val="bottom"/>
            <w:hideMark/>
          </w:tcPr>
          <w:p w14:paraId="4AEFEF34"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nil"/>
              <w:right w:val="single" w:sz="8" w:space="0" w:color="365F91" w:themeColor="accent1" w:themeShade="BF"/>
            </w:tcBorders>
            <w:shd w:val="clear" w:color="auto" w:fill="auto"/>
            <w:noWrap/>
            <w:vAlign w:val="bottom"/>
            <w:hideMark/>
          </w:tcPr>
          <w:p w14:paraId="71B879D3"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nil"/>
              <w:right w:val="nil"/>
            </w:tcBorders>
            <w:shd w:val="clear" w:color="auto" w:fill="auto"/>
            <w:noWrap/>
            <w:vAlign w:val="bottom"/>
            <w:hideMark/>
          </w:tcPr>
          <w:p w14:paraId="4D268EFC"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nil"/>
              <w:right w:val="single" w:sz="8" w:space="0" w:color="365F91" w:themeColor="accent1" w:themeShade="BF"/>
            </w:tcBorders>
            <w:shd w:val="clear" w:color="auto" w:fill="auto"/>
            <w:noWrap/>
            <w:vAlign w:val="bottom"/>
            <w:hideMark/>
          </w:tcPr>
          <w:p w14:paraId="5B4832C9"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nil"/>
              <w:right w:val="nil"/>
            </w:tcBorders>
            <w:shd w:val="clear" w:color="auto" w:fill="auto"/>
            <w:noWrap/>
            <w:vAlign w:val="bottom"/>
            <w:hideMark/>
          </w:tcPr>
          <w:p w14:paraId="7BD12FAB"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nil"/>
              <w:right w:val="single" w:sz="8" w:space="0" w:color="365F91" w:themeColor="accent1" w:themeShade="BF"/>
            </w:tcBorders>
            <w:shd w:val="clear" w:color="auto" w:fill="auto"/>
            <w:noWrap/>
            <w:vAlign w:val="bottom"/>
            <w:hideMark/>
          </w:tcPr>
          <w:p w14:paraId="231EAD7B" w14:textId="77777777" w:rsidR="00C4454D" w:rsidRPr="00A735B4" w:rsidRDefault="00C4454D" w:rsidP="00C4454D">
            <w:pPr>
              <w:rPr>
                <w:color w:val="1F497D" w:themeColor="text2"/>
              </w:rPr>
            </w:pPr>
            <w:r w:rsidRPr="00A735B4">
              <w:rPr>
                <w:color w:val="1F497D" w:themeColor="text2"/>
              </w:rPr>
              <w:t> </w:t>
            </w:r>
          </w:p>
        </w:tc>
      </w:tr>
      <w:tr w:rsidR="00C4454D" w:rsidRPr="00A735B4" w14:paraId="48267725" w14:textId="77777777" w:rsidTr="00C4454D">
        <w:trPr>
          <w:trHeight w:val="205"/>
        </w:trPr>
        <w:tc>
          <w:tcPr>
            <w:tcW w:w="1415" w:type="dxa"/>
            <w:tcBorders>
              <w:top w:val="nil"/>
              <w:left w:val="single" w:sz="8" w:space="0" w:color="365F91" w:themeColor="accent1" w:themeShade="BF"/>
              <w:bottom w:val="nil"/>
              <w:right w:val="nil"/>
            </w:tcBorders>
            <w:shd w:val="clear" w:color="auto" w:fill="auto"/>
            <w:noWrap/>
            <w:vAlign w:val="bottom"/>
            <w:hideMark/>
          </w:tcPr>
          <w:p w14:paraId="63CF3C70" w14:textId="77777777" w:rsidR="00C4454D" w:rsidRPr="00A735B4" w:rsidRDefault="00C4454D" w:rsidP="00C4454D">
            <w:pPr>
              <w:rPr>
                <w:color w:val="1F497D" w:themeColor="text2"/>
                <w:sz w:val="18"/>
                <w:szCs w:val="18"/>
              </w:rPr>
            </w:pPr>
            <w:r w:rsidRPr="00A735B4">
              <w:rPr>
                <w:color w:val="1F497D" w:themeColor="text2"/>
                <w:sz w:val="18"/>
                <w:szCs w:val="18"/>
              </w:rPr>
              <w:t>Rwanda</w:t>
            </w:r>
          </w:p>
        </w:tc>
        <w:tc>
          <w:tcPr>
            <w:tcW w:w="686" w:type="dxa"/>
            <w:tcBorders>
              <w:top w:val="nil"/>
              <w:left w:val="nil"/>
              <w:bottom w:val="nil"/>
              <w:right w:val="single" w:sz="8" w:space="0" w:color="365F91" w:themeColor="accent1" w:themeShade="BF"/>
            </w:tcBorders>
            <w:shd w:val="clear" w:color="auto" w:fill="auto"/>
            <w:noWrap/>
            <w:vAlign w:val="bottom"/>
            <w:hideMark/>
          </w:tcPr>
          <w:p w14:paraId="204E8E4C" w14:textId="77777777" w:rsidR="00C4454D" w:rsidRPr="00A735B4" w:rsidRDefault="00C4454D" w:rsidP="00C4454D">
            <w:pPr>
              <w:rPr>
                <w:color w:val="1F497D" w:themeColor="text2"/>
                <w:sz w:val="18"/>
                <w:szCs w:val="18"/>
              </w:rPr>
            </w:pPr>
          </w:p>
        </w:tc>
        <w:tc>
          <w:tcPr>
            <w:tcW w:w="316" w:type="dxa"/>
            <w:tcBorders>
              <w:top w:val="nil"/>
              <w:left w:val="single" w:sz="8" w:space="0" w:color="365F91" w:themeColor="accent1" w:themeShade="BF"/>
              <w:bottom w:val="nil"/>
              <w:right w:val="single" w:sz="8" w:space="0" w:color="365F91" w:themeColor="accent1" w:themeShade="BF"/>
            </w:tcBorders>
            <w:shd w:val="clear" w:color="auto" w:fill="auto"/>
            <w:noWrap/>
            <w:vAlign w:val="bottom"/>
            <w:hideMark/>
          </w:tcPr>
          <w:p w14:paraId="00B5CBE3"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nil"/>
              <w:right w:val="nil"/>
            </w:tcBorders>
            <w:shd w:val="clear" w:color="auto" w:fill="auto"/>
            <w:noWrap/>
            <w:vAlign w:val="bottom"/>
            <w:hideMark/>
          </w:tcPr>
          <w:p w14:paraId="595B6183" w14:textId="77777777" w:rsidR="00C4454D" w:rsidRPr="00A735B4" w:rsidRDefault="00C4454D" w:rsidP="00C4454D">
            <w:pPr>
              <w:rPr>
                <w:color w:val="1F497D" w:themeColor="text2"/>
                <w:sz w:val="18"/>
                <w:szCs w:val="18"/>
              </w:rPr>
            </w:pPr>
          </w:p>
        </w:tc>
        <w:tc>
          <w:tcPr>
            <w:tcW w:w="259" w:type="dxa"/>
            <w:tcBorders>
              <w:top w:val="nil"/>
              <w:left w:val="nil"/>
              <w:bottom w:val="nil"/>
              <w:right w:val="single" w:sz="8" w:space="0" w:color="365F91" w:themeColor="accent1" w:themeShade="BF"/>
            </w:tcBorders>
            <w:shd w:val="clear" w:color="auto" w:fill="auto"/>
            <w:noWrap/>
            <w:vAlign w:val="bottom"/>
            <w:hideMark/>
          </w:tcPr>
          <w:p w14:paraId="21B8B237"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nil"/>
              <w:right w:val="nil"/>
            </w:tcBorders>
            <w:shd w:val="clear" w:color="auto" w:fill="auto"/>
            <w:noWrap/>
            <w:vAlign w:val="bottom"/>
            <w:hideMark/>
          </w:tcPr>
          <w:p w14:paraId="45999BD5"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nil"/>
              <w:right w:val="single" w:sz="8" w:space="0" w:color="365F91" w:themeColor="accent1" w:themeShade="BF"/>
            </w:tcBorders>
            <w:shd w:val="clear" w:color="auto" w:fill="auto"/>
            <w:noWrap/>
            <w:vAlign w:val="bottom"/>
            <w:hideMark/>
          </w:tcPr>
          <w:p w14:paraId="30FC0888"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nil"/>
              <w:right w:val="nil"/>
            </w:tcBorders>
            <w:shd w:val="clear" w:color="auto" w:fill="auto"/>
            <w:noWrap/>
            <w:vAlign w:val="bottom"/>
            <w:hideMark/>
          </w:tcPr>
          <w:p w14:paraId="4FE00E31" w14:textId="77777777" w:rsidR="00C4454D" w:rsidRPr="00A735B4" w:rsidRDefault="00C4454D" w:rsidP="00C4454D">
            <w:pPr>
              <w:rPr>
                <w:color w:val="1F497D" w:themeColor="text2"/>
                <w:sz w:val="18"/>
                <w:szCs w:val="18"/>
              </w:rPr>
            </w:pPr>
          </w:p>
        </w:tc>
        <w:tc>
          <w:tcPr>
            <w:tcW w:w="259" w:type="dxa"/>
            <w:tcBorders>
              <w:top w:val="nil"/>
              <w:left w:val="nil"/>
              <w:bottom w:val="nil"/>
              <w:right w:val="single" w:sz="8" w:space="0" w:color="365F91" w:themeColor="accent1" w:themeShade="BF"/>
            </w:tcBorders>
            <w:shd w:val="clear" w:color="auto" w:fill="auto"/>
            <w:noWrap/>
            <w:vAlign w:val="bottom"/>
            <w:hideMark/>
          </w:tcPr>
          <w:p w14:paraId="618D3DE6" w14:textId="77777777" w:rsidR="00C4454D" w:rsidRPr="00A735B4" w:rsidRDefault="00C4454D" w:rsidP="00C4454D">
            <w:pPr>
              <w:rPr>
                <w:color w:val="1F497D" w:themeColor="text2"/>
                <w:sz w:val="18"/>
                <w:szCs w:val="18"/>
              </w:rPr>
            </w:pPr>
          </w:p>
        </w:tc>
        <w:tc>
          <w:tcPr>
            <w:tcW w:w="259" w:type="dxa"/>
            <w:tcBorders>
              <w:top w:val="nil"/>
              <w:left w:val="single" w:sz="8" w:space="0" w:color="365F91" w:themeColor="accent1" w:themeShade="BF"/>
              <w:bottom w:val="nil"/>
              <w:right w:val="nil"/>
            </w:tcBorders>
            <w:shd w:val="clear" w:color="auto" w:fill="auto"/>
            <w:noWrap/>
            <w:vAlign w:val="bottom"/>
            <w:hideMark/>
          </w:tcPr>
          <w:p w14:paraId="028C8111"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nil"/>
              <w:right w:val="single" w:sz="8" w:space="0" w:color="365F91" w:themeColor="accent1" w:themeShade="BF"/>
            </w:tcBorders>
            <w:shd w:val="clear" w:color="auto" w:fill="auto"/>
            <w:noWrap/>
            <w:vAlign w:val="bottom"/>
            <w:hideMark/>
          </w:tcPr>
          <w:p w14:paraId="63401ADA"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nil"/>
              <w:right w:val="nil"/>
            </w:tcBorders>
            <w:shd w:val="clear" w:color="auto" w:fill="365F91" w:themeFill="accent1" w:themeFillShade="BF"/>
            <w:noWrap/>
            <w:vAlign w:val="bottom"/>
            <w:hideMark/>
          </w:tcPr>
          <w:p w14:paraId="2D530773"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nil"/>
              <w:right w:val="single" w:sz="8" w:space="0" w:color="365F91" w:themeColor="accent1" w:themeShade="BF"/>
            </w:tcBorders>
            <w:shd w:val="clear" w:color="auto" w:fill="auto"/>
            <w:noWrap/>
            <w:vAlign w:val="bottom"/>
            <w:hideMark/>
          </w:tcPr>
          <w:p w14:paraId="6551809F"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nil"/>
              <w:right w:val="nil"/>
            </w:tcBorders>
            <w:shd w:val="clear" w:color="auto" w:fill="auto"/>
            <w:noWrap/>
            <w:vAlign w:val="bottom"/>
            <w:hideMark/>
          </w:tcPr>
          <w:p w14:paraId="02C0364C" w14:textId="77777777" w:rsidR="00C4454D" w:rsidRPr="00A735B4" w:rsidRDefault="00C4454D" w:rsidP="00C4454D">
            <w:pPr>
              <w:rPr>
                <w:color w:val="1F497D" w:themeColor="text2"/>
                <w:sz w:val="18"/>
                <w:szCs w:val="18"/>
              </w:rPr>
            </w:pPr>
          </w:p>
        </w:tc>
        <w:tc>
          <w:tcPr>
            <w:tcW w:w="259" w:type="dxa"/>
            <w:tcBorders>
              <w:top w:val="nil"/>
              <w:left w:val="nil"/>
              <w:bottom w:val="nil"/>
              <w:right w:val="single" w:sz="8" w:space="0" w:color="365F91" w:themeColor="accent1" w:themeShade="BF"/>
            </w:tcBorders>
            <w:shd w:val="clear" w:color="auto" w:fill="auto"/>
            <w:noWrap/>
            <w:vAlign w:val="bottom"/>
            <w:hideMark/>
          </w:tcPr>
          <w:p w14:paraId="22EFAF9E" w14:textId="77777777" w:rsidR="00C4454D" w:rsidRPr="00A735B4" w:rsidRDefault="00C4454D" w:rsidP="00C4454D">
            <w:pPr>
              <w:rPr>
                <w:color w:val="1F497D" w:themeColor="text2"/>
                <w:sz w:val="18"/>
                <w:szCs w:val="18"/>
              </w:rPr>
            </w:pPr>
          </w:p>
        </w:tc>
        <w:tc>
          <w:tcPr>
            <w:tcW w:w="259" w:type="dxa"/>
            <w:tcBorders>
              <w:top w:val="nil"/>
              <w:left w:val="single" w:sz="8" w:space="0" w:color="365F91" w:themeColor="accent1" w:themeShade="BF"/>
              <w:bottom w:val="nil"/>
              <w:right w:val="nil"/>
            </w:tcBorders>
            <w:shd w:val="clear" w:color="auto" w:fill="auto"/>
            <w:noWrap/>
            <w:vAlign w:val="bottom"/>
            <w:hideMark/>
          </w:tcPr>
          <w:p w14:paraId="6031081B"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nil"/>
              <w:right w:val="single" w:sz="8" w:space="0" w:color="365F91" w:themeColor="accent1" w:themeShade="BF"/>
            </w:tcBorders>
            <w:shd w:val="clear" w:color="auto" w:fill="auto"/>
            <w:noWrap/>
            <w:vAlign w:val="bottom"/>
            <w:hideMark/>
          </w:tcPr>
          <w:p w14:paraId="5410DE22"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nil"/>
              <w:right w:val="nil"/>
            </w:tcBorders>
            <w:shd w:val="clear" w:color="auto" w:fill="auto"/>
            <w:noWrap/>
            <w:vAlign w:val="bottom"/>
            <w:hideMark/>
          </w:tcPr>
          <w:p w14:paraId="26268E87" w14:textId="77777777" w:rsidR="00C4454D" w:rsidRPr="00A735B4" w:rsidRDefault="00C4454D" w:rsidP="00C4454D">
            <w:pPr>
              <w:rPr>
                <w:color w:val="1F497D" w:themeColor="text2"/>
                <w:sz w:val="18"/>
                <w:szCs w:val="18"/>
              </w:rPr>
            </w:pPr>
          </w:p>
        </w:tc>
        <w:tc>
          <w:tcPr>
            <w:tcW w:w="259" w:type="dxa"/>
            <w:tcBorders>
              <w:top w:val="nil"/>
              <w:left w:val="nil"/>
              <w:bottom w:val="nil"/>
              <w:right w:val="single" w:sz="8" w:space="0" w:color="365F91" w:themeColor="accent1" w:themeShade="BF"/>
            </w:tcBorders>
            <w:shd w:val="clear" w:color="auto" w:fill="auto"/>
            <w:noWrap/>
            <w:vAlign w:val="bottom"/>
            <w:hideMark/>
          </w:tcPr>
          <w:p w14:paraId="30369228" w14:textId="77777777" w:rsidR="00C4454D" w:rsidRPr="00A735B4" w:rsidRDefault="00C4454D" w:rsidP="00C4454D">
            <w:pPr>
              <w:rPr>
                <w:color w:val="1F497D" w:themeColor="text2"/>
                <w:sz w:val="18"/>
                <w:szCs w:val="18"/>
              </w:rPr>
            </w:pPr>
          </w:p>
        </w:tc>
        <w:tc>
          <w:tcPr>
            <w:tcW w:w="259" w:type="dxa"/>
            <w:tcBorders>
              <w:top w:val="nil"/>
              <w:left w:val="single" w:sz="8" w:space="0" w:color="365F91" w:themeColor="accent1" w:themeShade="BF"/>
              <w:bottom w:val="nil"/>
              <w:right w:val="nil"/>
            </w:tcBorders>
            <w:shd w:val="clear" w:color="auto" w:fill="auto"/>
            <w:noWrap/>
            <w:vAlign w:val="bottom"/>
            <w:hideMark/>
          </w:tcPr>
          <w:p w14:paraId="3891DC74"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nil"/>
              <w:right w:val="single" w:sz="8" w:space="0" w:color="365F91" w:themeColor="accent1" w:themeShade="BF"/>
            </w:tcBorders>
            <w:shd w:val="clear" w:color="auto" w:fill="auto"/>
            <w:noWrap/>
            <w:vAlign w:val="bottom"/>
            <w:hideMark/>
          </w:tcPr>
          <w:p w14:paraId="4EC31266"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nil"/>
              <w:right w:val="nil"/>
            </w:tcBorders>
            <w:shd w:val="clear" w:color="auto" w:fill="auto"/>
            <w:noWrap/>
            <w:vAlign w:val="bottom"/>
            <w:hideMark/>
          </w:tcPr>
          <w:p w14:paraId="2CA5BF1A"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nil"/>
              <w:right w:val="single" w:sz="8" w:space="0" w:color="365F91" w:themeColor="accent1" w:themeShade="BF"/>
            </w:tcBorders>
            <w:shd w:val="clear" w:color="auto" w:fill="auto"/>
            <w:noWrap/>
            <w:vAlign w:val="bottom"/>
            <w:hideMark/>
          </w:tcPr>
          <w:p w14:paraId="6DA11F6F"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nil"/>
              <w:right w:val="nil"/>
            </w:tcBorders>
            <w:shd w:val="clear" w:color="auto" w:fill="auto"/>
            <w:noWrap/>
            <w:vAlign w:val="bottom"/>
            <w:hideMark/>
          </w:tcPr>
          <w:p w14:paraId="593FE11B"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nil"/>
              <w:right w:val="single" w:sz="8" w:space="0" w:color="365F91" w:themeColor="accent1" w:themeShade="BF"/>
            </w:tcBorders>
            <w:shd w:val="clear" w:color="auto" w:fill="auto"/>
            <w:noWrap/>
            <w:vAlign w:val="bottom"/>
            <w:hideMark/>
          </w:tcPr>
          <w:p w14:paraId="02ABA559"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nil"/>
              <w:right w:val="nil"/>
            </w:tcBorders>
            <w:shd w:val="clear" w:color="auto" w:fill="auto"/>
            <w:noWrap/>
            <w:vAlign w:val="bottom"/>
            <w:hideMark/>
          </w:tcPr>
          <w:p w14:paraId="0DF30753"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nil"/>
              <w:right w:val="single" w:sz="8" w:space="0" w:color="365F91" w:themeColor="accent1" w:themeShade="BF"/>
            </w:tcBorders>
            <w:shd w:val="clear" w:color="auto" w:fill="auto"/>
            <w:noWrap/>
            <w:vAlign w:val="bottom"/>
            <w:hideMark/>
          </w:tcPr>
          <w:p w14:paraId="3F6CB347" w14:textId="77777777" w:rsidR="00C4454D" w:rsidRPr="00A735B4" w:rsidRDefault="00C4454D" w:rsidP="00C4454D">
            <w:pPr>
              <w:rPr>
                <w:color w:val="1F497D" w:themeColor="text2"/>
              </w:rPr>
            </w:pPr>
            <w:r w:rsidRPr="00A735B4">
              <w:rPr>
                <w:color w:val="1F497D" w:themeColor="text2"/>
              </w:rPr>
              <w:t> </w:t>
            </w:r>
          </w:p>
        </w:tc>
      </w:tr>
      <w:tr w:rsidR="00C4454D" w:rsidRPr="00A735B4" w14:paraId="1ECB7F06" w14:textId="77777777" w:rsidTr="00C4454D">
        <w:trPr>
          <w:trHeight w:val="205"/>
        </w:trPr>
        <w:tc>
          <w:tcPr>
            <w:tcW w:w="1415" w:type="dxa"/>
            <w:tcBorders>
              <w:top w:val="nil"/>
              <w:left w:val="single" w:sz="8" w:space="0" w:color="365F91" w:themeColor="accent1" w:themeShade="BF"/>
              <w:bottom w:val="nil"/>
              <w:right w:val="nil"/>
            </w:tcBorders>
            <w:shd w:val="clear" w:color="auto" w:fill="auto"/>
            <w:noWrap/>
            <w:vAlign w:val="bottom"/>
            <w:hideMark/>
          </w:tcPr>
          <w:p w14:paraId="06B5A3CE" w14:textId="77777777" w:rsidR="00C4454D" w:rsidRPr="00A735B4" w:rsidRDefault="00C4454D" w:rsidP="00C4454D">
            <w:pPr>
              <w:rPr>
                <w:color w:val="1F497D" w:themeColor="text2"/>
                <w:sz w:val="18"/>
                <w:szCs w:val="18"/>
              </w:rPr>
            </w:pPr>
            <w:r w:rsidRPr="00A735B4">
              <w:rPr>
                <w:color w:val="1F497D" w:themeColor="text2"/>
                <w:sz w:val="18"/>
                <w:szCs w:val="18"/>
              </w:rPr>
              <w:t>Malawi</w:t>
            </w:r>
          </w:p>
        </w:tc>
        <w:tc>
          <w:tcPr>
            <w:tcW w:w="686" w:type="dxa"/>
            <w:tcBorders>
              <w:top w:val="nil"/>
              <w:left w:val="nil"/>
              <w:bottom w:val="nil"/>
              <w:right w:val="single" w:sz="8" w:space="0" w:color="365F91" w:themeColor="accent1" w:themeShade="BF"/>
            </w:tcBorders>
            <w:shd w:val="clear" w:color="auto" w:fill="auto"/>
            <w:noWrap/>
            <w:vAlign w:val="bottom"/>
            <w:hideMark/>
          </w:tcPr>
          <w:p w14:paraId="0159D5C1" w14:textId="77777777" w:rsidR="00C4454D" w:rsidRPr="00A735B4" w:rsidRDefault="00C4454D" w:rsidP="00C4454D">
            <w:pPr>
              <w:rPr>
                <w:color w:val="1F497D" w:themeColor="text2"/>
                <w:sz w:val="18"/>
                <w:szCs w:val="18"/>
              </w:rPr>
            </w:pPr>
          </w:p>
        </w:tc>
        <w:tc>
          <w:tcPr>
            <w:tcW w:w="316" w:type="dxa"/>
            <w:tcBorders>
              <w:top w:val="nil"/>
              <w:left w:val="single" w:sz="8" w:space="0" w:color="365F91" w:themeColor="accent1" w:themeShade="BF"/>
              <w:bottom w:val="nil"/>
              <w:right w:val="single" w:sz="8" w:space="0" w:color="365F91" w:themeColor="accent1" w:themeShade="BF"/>
            </w:tcBorders>
            <w:shd w:val="clear" w:color="auto" w:fill="auto"/>
            <w:noWrap/>
            <w:vAlign w:val="bottom"/>
            <w:hideMark/>
          </w:tcPr>
          <w:p w14:paraId="6E69FE44"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nil"/>
              <w:right w:val="nil"/>
            </w:tcBorders>
            <w:shd w:val="clear" w:color="auto" w:fill="auto"/>
            <w:noWrap/>
            <w:vAlign w:val="bottom"/>
            <w:hideMark/>
          </w:tcPr>
          <w:p w14:paraId="734C5689" w14:textId="77777777" w:rsidR="00C4454D" w:rsidRPr="00A735B4" w:rsidRDefault="00C4454D" w:rsidP="00C4454D">
            <w:pPr>
              <w:rPr>
                <w:color w:val="1F497D" w:themeColor="text2"/>
                <w:sz w:val="18"/>
                <w:szCs w:val="18"/>
              </w:rPr>
            </w:pPr>
          </w:p>
        </w:tc>
        <w:tc>
          <w:tcPr>
            <w:tcW w:w="259" w:type="dxa"/>
            <w:tcBorders>
              <w:top w:val="nil"/>
              <w:left w:val="nil"/>
              <w:bottom w:val="nil"/>
              <w:right w:val="single" w:sz="8" w:space="0" w:color="365F91" w:themeColor="accent1" w:themeShade="BF"/>
            </w:tcBorders>
            <w:shd w:val="clear" w:color="auto" w:fill="365F91" w:themeFill="accent1" w:themeFillShade="BF"/>
            <w:noWrap/>
            <w:vAlign w:val="bottom"/>
            <w:hideMark/>
          </w:tcPr>
          <w:p w14:paraId="52A0B76F"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nil"/>
              <w:right w:val="nil"/>
            </w:tcBorders>
            <w:shd w:val="clear" w:color="auto" w:fill="365F91" w:themeFill="accent1" w:themeFillShade="BF"/>
            <w:noWrap/>
            <w:vAlign w:val="bottom"/>
            <w:hideMark/>
          </w:tcPr>
          <w:p w14:paraId="7AAA0C4A"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nil"/>
              <w:right w:val="single" w:sz="8" w:space="0" w:color="365F91" w:themeColor="accent1" w:themeShade="BF"/>
            </w:tcBorders>
            <w:shd w:val="clear" w:color="auto" w:fill="365F91" w:themeFill="accent1" w:themeFillShade="BF"/>
            <w:noWrap/>
            <w:vAlign w:val="bottom"/>
            <w:hideMark/>
          </w:tcPr>
          <w:p w14:paraId="68A67375"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nil"/>
              <w:right w:val="nil"/>
            </w:tcBorders>
            <w:shd w:val="clear" w:color="auto" w:fill="365F91" w:themeFill="accent1" w:themeFillShade="BF"/>
            <w:noWrap/>
            <w:vAlign w:val="bottom"/>
            <w:hideMark/>
          </w:tcPr>
          <w:p w14:paraId="54A84404"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nil"/>
              <w:right w:val="single" w:sz="8" w:space="0" w:color="365F91" w:themeColor="accent1" w:themeShade="BF"/>
            </w:tcBorders>
            <w:shd w:val="clear" w:color="auto" w:fill="365F91" w:themeFill="accent1" w:themeFillShade="BF"/>
            <w:noWrap/>
            <w:vAlign w:val="bottom"/>
            <w:hideMark/>
          </w:tcPr>
          <w:p w14:paraId="56463899"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nil"/>
              <w:right w:val="nil"/>
            </w:tcBorders>
            <w:shd w:val="clear" w:color="auto" w:fill="auto"/>
            <w:noWrap/>
            <w:vAlign w:val="bottom"/>
            <w:hideMark/>
          </w:tcPr>
          <w:p w14:paraId="5EF63C0B"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nil"/>
              <w:right w:val="single" w:sz="8" w:space="0" w:color="365F91" w:themeColor="accent1" w:themeShade="BF"/>
            </w:tcBorders>
            <w:shd w:val="clear" w:color="auto" w:fill="auto"/>
            <w:noWrap/>
            <w:vAlign w:val="bottom"/>
            <w:hideMark/>
          </w:tcPr>
          <w:p w14:paraId="276A5281"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nil"/>
              <w:right w:val="nil"/>
            </w:tcBorders>
            <w:shd w:val="clear" w:color="auto" w:fill="auto"/>
            <w:noWrap/>
            <w:vAlign w:val="bottom"/>
            <w:hideMark/>
          </w:tcPr>
          <w:p w14:paraId="34EBF6E8"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nil"/>
              <w:right w:val="single" w:sz="8" w:space="0" w:color="365F91" w:themeColor="accent1" w:themeShade="BF"/>
            </w:tcBorders>
            <w:shd w:val="clear" w:color="auto" w:fill="auto"/>
            <w:noWrap/>
            <w:vAlign w:val="bottom"/>
            <w:hideMark/>
          </w:tcPr>
          <w:p w14:paraId="5B6BE62A"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nil"/>
              <w:right w:val="nil"/>
            </w:tcBorders>
            <w:shd w:val="clear" w:color="auto" w:fill="auto"/>
            <w:noWrap/>
            <w:vAlign w:val="bottom"/>
            <w:hideMark/>
          </w:tcPr>
          <w:p w14:paraId="5569C8D3" w14:textId="77777777" w:rsidR="00C4454D" w:rsidRPr="00A735B4" w:rsidRDefault="00C4454D" w:rsidP="00C4454D">
            <w:pPr>
              <w:rPr>
                <w:color w:val="1F497D" w:themeColor="text2"/>
                <w:sz w:val="18"/>
                <w:szCs w:val="18"/>
              </w:rPr>
            </w:pPr>
          </w:p>
        </w:tc>
        <w:tc>
          <w:tcPr>
            <w:tcW w:w="259" w:type="dxa"/>
            <w:tcBorders>
              <w:top w:val="nil"/>
              <w:left w:val="nil"/>
              <w:bottom w:val="nil"/>
              <w:right w:val="single" w:sz="8" w:space="0" w:color="365F91" w:themeColor="accent1" w:themeShade="BF"/>
            </w:tcBorders>
            <w:shd w:val="clear" w:color="auto" w:fill="auto"/>
            <w:noWrap/>
            <w:vAlign w:val="bottom"/>
            <w:hideMark/>
          </w:tcPr>
          <w:p w14:paraId="564A3240" w14:textId="77777777" w:rsidR="00C4454D" w:rsidRPr="00A735B4" w:rsidRDefault="00C4454D" w:rsidP="00C4454D">
            <w:pPr>
              <w:rPr>
                <w:color w:val="1F497D" w:themeColor="text2"/>
                <w:sz w:val="18"/>
                <w:szCs w:val="18"/>
              </w:rPr>
            </w:pPr>
          </w:p>
        </w:tc>
        <w:tc>
          <w:tcPr>
            <w:tcW w:w="259" w:type="dxa"/>
            <w:tcBorders>
              <w:top w:val="nil"/>
              <w:left w:val="single" w:sz="8" w:space="0" w:color="365F91" w:themeColor="accent1" w:themeShade="BF"/>
              <w:bottom w:val="nil"/>
              <w:right w:val="nil"/>
            </w:tcBorders>
            <w:shd w:val="clear" w:color="auto" w:fill="auto"/>
            <w:noWrap/>
            <w:vAlign w:val="bottom"/>
            <w:hideMark/>
          </w:tcPr>
          <w:p w14:paraId="777694CB"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nil"/>
              <w:right w:val="single" w:sz="8" w:space="0" w:color="365F91" w:themeColor="accent1" w:themeShade="BF"/>
            </w:tcBorders>
            <w:shd w:val="clear" w:color="auto" w:fill="auto"/>
            <w:noWrap/>
            <w:vAlign w:val="bottom"/>
            <w:hideMark/>
          </w:tcPr>
          <w:p w14:paraId="1B371DE5"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nil"/>
              <w:right w:val="nil"/>
            </w:tcBorders>
            <w:shd w:val="clear" w:color="auto" w:fill="auto"/>
            <w:noWrap/>
            <w:vAlign w:val="bottom"/>
            <w:hideMark/>
          </w:tcPr>
          <w:p w14:paraId="2C828E45" w14:textId="77777777" w:rsidR="00C4454D" w:rsidRPr="00A735B4" w:rsidRDefault="00C4454D" w:rsidP="00C4454D">
            <w:pPr>
              <w:rPr>
                <w:color w:val="1F497D" w:themeColor="text2"/>
                <w:sz w:val="18"/>
                <w:szCs w:val="18"/>
              </w:rPr>
            </w:pPr>
          </w:p>
        </w:tc>
        <w:tc>
          <w:tcPr>
            <w:tcW w:w="259" w:type="dxa"/>
            <w:tcBorders>
              <w:top w:val="nil"/>
              <w:left w:val="nil"/>
              <w:bottom w:val="nil"/>
              <w:right w:val="single" w:sz="8" w:space="0" w:color="365F91" w:themeColor="accent1" w:themeShade="BF"/>
            </w:tcBorders>
            <w:shd w:val="clear" w:color="auto" w:fill="auto"/>
            <w:noWrap/>
            <w:vAlign w:val="bottom"/>
            <w:hideMark/>
          </w:tcPr>
          <w:p w14:paraId="2798A9C3" w14:textId="77777777" w:rsidR="00C4454D" w:rsidRPr="00A735B4" w:rsidRDefault="00C4454D" w:rsidP="00C4454D">
            <w:pPr>
              <w:rPr>
                <w:color w:val="1F497D" w:themeColor="text2"/>
                <w:sz w:val="18"/>
                <w:szCs w:val="18"/>
              </w:rPr>
            </w:pPr>
          </w:p>
        </w:tc>
        <w:tc>
          <w:tcPr>
            <w:tcW w:w="259" w:type="dxa"/>
            <w:tcBorders>
              <w:top w:val="nil"/>
              <w:left w:val="single" w:sz="8" w:space="0" w:color="365F91" w:themeColor="accent1" w:themeShade="BF"/>
              <w:bottom w:val="nil"/>
              <w:right w:val="nil"/>
            </w:tcBorders>
            <w:shd w:val="clear" w:color="auto" w:fill="auto"/>
            <w:noWrap/>
            <w:vAlign w:val="bottom"/>
            <w:hideMark/>
          </w:tcPr>
          <w:p w14:paraId="26B55643"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nil"/>
              <w:right w:val="single" w:sz="8" w:space="0" w:color="365F91" w:themeColor="accent1" w:themeShade="BF"/>
            </w:tcBorders>
            <w:shd w:val="clear" w:color="auto" w:fill="auto"/>
            <w:noWrap/>
            <w:vAlign w:val="bottom"/>
            <w:hideMark/>
          </w:tcPr>
          <w:p w14:paraId="15BB1991"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nil"/>
              <w:right w:val="nil"/>
            </w:tcBorders>
            <w:shd w:val="clear" w:color="auto" w:fill="auto"/>
            <w:noWrap/>
            <w:vAlign w:val="bottom"/>
            <w:hideMark/>
          </w:tcPr>
          <w:p w14:paraId="45D07F41"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nil"/>
              <w:right w:val="single" w:sz="8" w:space="0" w:color="365F91" w:themeColor="accent1" w:themeShade="BF"/>
            </w:tcBorders>
            <w:shd w:val="clear" w:color="auto" w:fill="auto"/>
            <w:noWrap/>
            <w:vAlign w:val="bottom"/>
            <w:hideMark/>
          </w:tcPr>
          <w:p w14:paraId="6AAEC790"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nil"/>
              <w:right w:val="nil"/>
            </w:tcBorders>
            <w:shd w:val="clear" w:color="auto" w:fill="auto"/>
            <w:noWrap/>
            <w:vAlign w:val="bottom"/>
            <w:hideMark/>
          </w:tcPr>
          <w:p w14:paraId="4E2ACF2E"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nil"/>
              <w:right w:val="single" w:sz="8" w:space="0" w:color="365F91" w:themeColor="accent1" w:themeShade="BF"/>
            </w:tcBorders>
            <w:shd w:val="clear" w:color="auto" w:fill="auto"/>
            <w:noWrap/>
            <w:vAlign w:val="bottom"/>
            <w:hideMark/>
          </w:tcPr>
          <w:p w14:paraId="5B5AF8D1"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nil"/>
              <w:right w:val="nil"/>
            </w:tcBorders>
            <w:shd w:val="clear" w:color="auto" w:fill="auto"/>
            <w:noWrap/>
            <w:vAlign w:val="bottom"/>
            <w:hideMark/>
          </w:tcPr>
          <w:p w14:paraId="4C085359"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nil"/>
              <w:right w:val="single" w:sz="8" w:space="0" w:color="365F91" w:themeColor="accent1" w:themeShade="BF"/>
            </w:tcBorders>
            <w:shd w:val="clear" w:color="auto" w:fill="auto"/>
            <w:noWrap/>
            <w:vAlign w:val="bottom"/>
            <w:hideMark/>
          </w:tcPr>
          <w:p w14:paraId="76726CF9" w14:textId="77777777" w:rsidR="00C4454D" w:rsidRPr="00A735B4" w:rsidRDefault="00C4454D" w:rsidP="00C4454D">
            <w:pPr>
              <w:rPr>
                <w:color w:val="1F497D" w:themeColor="text2"/>
              </w:rPr>
            </w:pPr>
            <w:r w:rsidRPr="00A735B4">
              <w:rPr>
                <w:color w:val="1F497D" w:themeColor="text2"/>
              </w:rPr>
              <w:t> </w:t>
            </w:r>
          </w:p>
        </w:tc>
      </w:tr>
      <w:tr w:rsidR="00C4454D" w:rsidRPr="00A735B4" w14:paraId="3A1127CA" w14:textId="77777777" w:rsidTr="00C4454D">
        <w:trPr>
          <w:trHeight w:val="205"/>
        </w:trPr>
        <w:tc>
          <w:tcPr>
            <w:tcW w:w="1415" w:type="dxa"/>
            <w:tcBorders>
              <w:top w:val="nil"/>
              <w:left w:val="single" w:sz="8" w:space="0" w:color="365F91" w:themeColor="accent1" w:themeShade="BF"/>
              <w:bottom w:val="single" w:sz="8" w:space="0" w:color="365F91" w:themeColor="accent1" w:themeShade="BF"/>
              <w:right w:val="nil"/>
            </w:tcBorders>
            <w:shd w:val="clear" w:color="auto" w:fill="auto"/>
            <w:noWrap/>
            <w:vAlign w:val="bottom"/>
            <w:hideMark/>
          </w:tcPr>
          <w:p w14:paraId="7FD4D8AD" w14:textId="77777777" w:rsidR="00C4454D" w:rsidRPr="00A735B4" w:rsidRDefault="00C4454D" w:rsidP="00C4454D">
            <w:pPr>
              <w:rPr>
                <w:color w:val="1F497D" w:themeColor="text2"/>
                <w:sz w:val="18"/>
                <w:szCs w:val="18"/>
              </w:rPr>
            </w:pPr>
            <w:r w:rsidRPr="00A735B4">
              <w:rPr>
                <w:color w:val="1F497D" w:themeColor="text2"/>
                <w:sz w:val="18"/>
                <w:szCs w:val="18"/>
              </w:rPr>
              <w:t>Zambia</w:t>
            </w:r>
          </w:p>
        </w:tc>
        <w:tc>
          <w:tcPr>
            <w:tcW w:w="686" w:type="dxa"/>
            <w:tcBorders>
              <w:top w:val="nil"/>
              <w:left w:val="nil"/>
              <w:bottom w:val="single" w:sz="8" w:space="0" w:color="365F91" w:themeColor="accent1" w:themeShade="BF"/>
              <w:right w:val="single" w:sz="8" w:space="0" w:color="365F91" w:themeColor="accent1" w:themeShade="BF"/>
            </w:tcBorders>
            <w:shd w:val="clear" w:color="auto" w:fill="auto"/>
            <w:noWrap/>
            <w:vAlign w:val="bottom"/>
            <w:hideMark/>
          </w:tcPr>
          <w:p w14:paraId="23895A56"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316" w:type="dxa"/>
            <w:tcBorders>
              <w:top w:val="nil"/>
              <w:left w:val="single" w:sz="8" w:space="0" w:color="365F91" w:themeColor="accent1" w:themeShade="BF"/>
              <w:bottom w:val="single" w:sz="8" w:space="0" w:color="365F91" w:themeColor="accent1" w:themeShade="BF"/>
              <w:right w:val="single" w:sz="8" w:space="0" w:color="365F91" w:themeColor="accent1" w:themeShade="BF"/>
            </w:tcBorders>
            <w:shd w:val="clear" w:color="auto" w:fill="365F91" w:themeFill="accent1" w:themeFillShade="BF"/>
            <w:noWrap/>
            <w:vAlign w:val="bottom"/>
            <w:hideMark/>
          </w:tcPr>
          <w:p w14:paraId="675B67E3"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single" w:sz="8" w:space="0" w:color="365F91" w:themeColor="accent1" w:themeShade="BF"/>
              <w:right w:val="nil"/>
            </w:tcBorders>
            <w:shd w:val="clear" w:color="auto" w:fill="365F91" w:themeFill="accent1" w:themeFillShade="BF"/>
            <w:noWrap/>
            <w:vAlign w:val="bottom"/>
            <w:hideMark/>
          </w:tcPr>
          <w:p w14:paraId="38AD56B8"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single" w:sz="8" w:space="0" w:color="365F91" w:themeColor="accent1" w:themeShade="BF"/>
              <w:right w:val="single" w:sz="8" w:space="0" w:color="365F91" w:themeColor="accent1" w:themeShade="BF"/>
            </w:tcBorders>
            <w:shd w:val="clear" w:color="auto" w:fill="365F91" w:themeFill="accent1" w:themeFillShade="BF"/>
            <w:noWrap/>
            <w:vAlign w:val="bottom"/>
            <w:hideMark/>
          </w:tcPr>
          <w:p w14:paraId="6CE48FDB"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single" w:sz="8" w:space="0" w:color="365F91" w:themeColor="accent1" w:themeShade="BF"/>
              <w:right w:val="nil"/>
            </w:tcBorders>
            <w:shd w:val="clear" w:color="auto" w:fill="365F91" w:themeFill="accent1" w:themeFillShade="BF"/>
            <w:noWrap/>
            <w:vAlign w:val="bottom"/>
            <w:hideMark/>
          </w:tcPr>
          <w:p w14:paraId="176FBB8C"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single" w:sz="8" w:space="0" w:color="365F91" w:themeColor="accent1" w:themeShade="BF"/>
              <w:right w:val="single" w:sz="8" w:space="0" w:color="365F91" w:themeColor="accent1" w:themeShade="BF"/>
            </w:tcBorders>
            <w:shd w:val="clear" w:color="auto" w:fill="365F91" w:themeFill="accent1" w:themeFillShade="BF"/>
            <w:noWrap/>
            <w:vAlign w:val="bottom"/>
            <w:hideMark/>
          </w:tcPr>
          <w:p w14:paraId="347AAE6B"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single" w:sz="8" w:space="0" w:color="365F91" w:themeColor="accent1" w:themeShade="BF"/>
              <w:right w:val="nil"/>
            </w:tcBorders>
            <w:shd w:val="clear" w:color="auto" w:fill="365F91" w:themeFill="accent1" w:themeFillShade="BF"/>
            <w:noWrap/>
            <w:vAlign w:val="bottom"/>
            <w:hideMark/>
          </w:tcPr>
          <w:p w14:paraId="6182206D"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single" w:sz="8" w:space="0" w:color="365F91" w:themeColor="accent1" w:themeShade="BF"/>
              <w:right w:val="single" w:sz="8" w:space="0" w:color="365F91" w:themeColor="accent1" w:themeShade="BF"/>
            </w:tcBorders>
            <w:shd w:val="clear" w:color="auto" w:fill="365F91" w:themeFill="accent1" w:themeFillShade="BF"/>
            <w:noWrap/>
            <w:vAlign w:val="bottom"/>
            <w:hideMark/>
          </w:tcPr>
          <w:p w14:paraId="5822E278"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single" w:sz="8" w:space="0" w:color="365F91" w:themeColor="accent1" w:themeShade="BF"/>
              <w:right w:val="nil"/>
            </w:tcBorders>
            <w:shd w:val="clear" w:color="auto" w:fill="365F91" w:themeFill="accent1" w:themeFillShade="BF"/>
            <w:noWrap/>
            <w:vAlign w:val="bottom"/>
            <w:hideMark/>
          </w:tcPr>
          <w:p w14:paraId="4D56EC83"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single" w:sz="8" w:space="0" w:color="365F91" w:themeColor="accent1" w:themeShade="BF"/>
              <w:right w:val="single" w:sz="8" w:space="0" w:color="365F91" w:themeColor="accent1" w:themeShade="BF"/>
            </w:tcBorders>
            <w:shd w:val="clear" w:color="auto" w:fill="365F91" w:themeFill="accent1" w:themeFillShade="BF"/>
            <w:noWrap/>
            <w:vAlign w:val="bottom"/>
            <w:hideMark/>
          </w:tcPr>
          <w:p w14:paraId="1ABC2C0B"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single" w:sz="8" w:space="0" w:color="365F91" w:themeColor="accent1" w:themeShade="BF"/>
              <w:right w:val="nil"/>
            </w:tcBorders>
            <w:shd w:val="clear" w:color="auto" w:fill="365F91" w:themeFill="accent1" w:themeFillShade="BF"/>
            <w:noWrap/>
            <w:vAlign w:val="bottom"/>
            <w:hideMark/>
          </w:tcPr>
          <w:p w14:paraId="3FF25C4A"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single" w:sz="8" w:space="0" w:color="365F91" w:themeColor="accent1" w:themeShade="BF"/>
              <w:right w:val="single" w:sz="8" w:space="0" w:color="365F91" w:themeColor="accent1" w:themeShade="BF"/>
            </w:tcBorders>
            <w:shd w:val="clear" w:color="auto" w:fill="365F91" w:themeFill="accent1" w:themeFillShade="BF"/>
            <w:noWrap/>
            <w:vAlign w:val="bottom"/>
            <w:hideMark/>
          </w:tcPr>
          <w:p w14:paraId="4FCB68DC"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single" w:sz="8" w:space="0" w:color="365F91" w:themeColor="accent1" w:themeShade="BF"/>
              <w:right w:val="nil"/>
            </w:tcBorders>
            <w:shd w:val="clear" w:color="auto" w:fill="365F91" w:themeFill="accent1" w:themeFillShade="BF"/>
            <w:noWrap/>
            <w:vAlign w:val="bottom"/>
            <w:hideMark/>
          </w:tcPr>
          <w:p w14:paraId="4982A1EE"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single" w:sz="8" w:space="0" w:color="365F91" w:themeColor="accent1" w:themeShade="BF"/>
              <w:right w:val="single" w:sz="8" w:space="0" w:color="365F91" w:themeColor="accent1" w:themeShade="BF"/>
            </w:tcBorders>
            <w:shd w:val="clear" w:color="auto" w:fill="365F91" w:themeFill="accent1" w:themeFillShade="BF"/>
            <w:noWrap/>
            <w:vAlign w:val="bottom"/>
            <w:hideMark/>
          </w:tcPr>
          <w:p w14:paraId="338AF16B"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single" w:sz="8" w:space="0" w:color="365F91" w:themeColor="accent1" w:themeShade="BF"/>
              <w:right w:val="nil"/>
            </w:tcBorders>
            <w:shd w:val="clear" w:color="auto" w:fill="365F91" w:themeFill="accent1" w:themeFillShade="BF"/>
            <w:noWrap/>
            <w:vAlign w:val="bottom"/>
            <w:hideMark/>
          </w:tcPr>
          <w:p w14:paraId="745C540F"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single" w:sz="8" w:space="0" w:color="365F91" w:themeColor="accent1" w:themeShade="BF"/>
              <w:right w:val="single" w:sz="8" w:space="0" w:color="365F91" w:themeColor="accent1" w:themeShade="BF"/>
            </w:tcBorders>
            <w:shd w:val="clear" w:color="auto" w:fill="365F91" w:themeFill="accent1" w:themeFillShade="BF"/>
            <w:noWrap/>
            <w:vAlign w:val="bottom"/>
            <w:hideMark/>
          </w:tcPr>
          <w:p w14:paraId="1511BA83"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single" w:sz="8" w:space="0" w:color="365F91" w:themeColor="accent1" w:themeShade="BF"/>
              <w:right w:val="nil"/>
            </w:tcBorders>
            <w:shd w:val="clear" w:color="auto" w:fill="365F91" w:themeFill="accent1" w:themeFillShade="BF"/>
            <w:noWrap/>
            <w:vAlign w:val="bottom"/>
            <w:hideMark/>
          </w:tcPr>
          <w:p w14:paraId="642CFF31"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single" w:sz="8" w:space="0" w:color="365F91" w:themeColor="accent1" w:themeShade="BF"/>
              <w:right w:val="single" w:sz="8" w:space="0" w:color="365F91" w:themeColor="accent1" w:themeShade="BF"/>
            </w:tcBorders>
            <w:shd w:val="clear" w:color="auto" w:fill="365F91" w:themeFill="accent1" w:themeFillShade="BF"/>
            <w:noWrap/>
            <w:vAlign w:val="bottom"/>
            <w:hideMark/>
          </w:tcPr>
          <w:p w14:paraId="2D46DF35"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single" w:sz="8" w:space="0" w:color="365F91" w:themeColor="accent1" w:themeShade="BF"/>
              <w:right w:val="nil"/>
            </w:tcBorders>
            <w:shd w:val="clear" w:color="auto" w:fill="365F91" w:themeFill="accent1" w:themeFillShade="BF"/>
            <w:noWrap/>
            <w:vAlign w:val="bottom"/>
            <w:hideMark/>
          </w:tcPr>
          <w:p w14:paraId="12EDB705"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single" w:sz="8" w:space="0" w:color="365F91" w:themeColor="accent1" w:themeShade="BF"/>
              <w:right w:val="single" w:sz="8" w:space="0" w:color="365F91" w:themeColor="accent1" w:themeShade="BF"/>
            </w:tcBorders>
            <w:shd w:val="clear" w:color="auto" w:fill="auto"/>
            <w:noWrap/>
            <w:vAlign w:val="bottom"/>
            <w:hideMark/>
          </w:tcPr>
          <w:p w14:paraId="4492E839"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single" w:sz="8" w:space="0" w:color="365F91" w:themeColor="accent1" w:themeShade="BF"/>
              <w:right w:val="nil"/>
            </w:tcBorders>
            <w:shd w:val="clear" w:color="auto" w:fill="auto"/>
            <w:noWrap/>
            <w:vAlign w:val="bottom"/>
            <w:hideMark/>
          </w:tcPr>
          <w:p w14:paraId="52E3AF64"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single" w:sz="8" w:space="0" w:color="365F91" w:themeColor="accent1" w:themeShade="BF"/>
              <w:right w:val="single" w:sz="8" w:space="0" w:color="365F91" w:themeColor="accent1" w:themeShade="BF"/>
            </w:tcBorders>
            <w:shd w:val="clear" w:color="auto" w:fill="auto"/>
            <w:noWrap/>
            <w:vAlign w:val="bottom"/>
            <w:hideMark/>
          </w:tcPr>
          <w:p w14:paraId="03CC839F"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single" w:sz="8" w:space="0" w:color="365F91" w:themeColor="accent1" w:themeShade="BF"/>
              <w:right w:val="nil"/>
            </w:tcBorders>
            <w:shd w:val="clear" w:color="auto" w:fill="auto"/>
            <w:noWrap/>
            <w:vAlign w:val="bottom"/>
            <w:hideMark/>
          </w:tcPr>
          <w:p w14:paraId="57E21AA4"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single" w:sz="8" w:space="0" w:color="365F91" w:themeColor="accent1" w:themeShade="BF"/>
              <w:right w:val="single" w:sz="8" w:space="0" w:color="365F91" w:themeColor="accent1" w:themeShade="BF"/>
            </w:tcBorders>
            <w:shd w:val="clear" w:color="auto" w:fill="auto"/>
            <w:noWrap/>
            <w:vAlign w:val="bottom"/>
            <w:hideMark/>
          </w:tcPr>
          <w:p w14:paraId="1824E20B"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single" w:sz="8" w:space="0" w:color="365F91" w:themeColor="accent1" w:themeShade="BF"/>
              <w:right w:val="nil"/>
            </w:tcBorders>
            <w:shd w:val="clear" w:color="auto" w:fill="auto"/>
            <w:noWrap/>
            <w:vAlign w:val="bottom"/>
            <w:hideMark/>
          </w:tcPr>
          <w:p w14:paraId="5A007904"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single" w:sz="8" w:space="0" w:color="365F91" w:themeColor="accent1" w:themeShade="BF"/>
              <w:right w:val="single" w:sz="8" w:space="0" w:color="365F91" w:themeColor="accent1" w:themeShade="BF"/>
            </w:tcBorders>
            <w:shd w:val="clear" w:color="auto" w:fill="auto"/>
            <w:noWrap/>
            <w:vAlign w:val="bottom"/>
            <w:hideMark/>
          </w:tcPr>
          <w:p w14:paraId="5F2F710F" w14:textId="77777777" w:rsidR="00C4454D" w:rsidRPr="00A735B4" w:rsidRDefault="00C4454D" w:rsidP="00C4454D">
            <w:pPr>
              <w:rPr>
                <w:color w:val="1F497D" w:themeColor="text2"/>
              </w:rPr>
            </w:pPr>
            <w:r w:rsidRPr="00A735B4">
              <w:rPr>
                <w:color w:val="1F497D" w:themeColor="text2"/>
              </w:rPr>
              <w:t> </w:t>
            </w:r>
          </w:p>
        </w:tc>
      </w:tr>
      <w:tr w:rsidR="00C4454D" w:rsidRPr="00A735B4" w14:paraId="0F462F31" w14:textId="77777777" w:rsidTr="00C4454D">
        <w:trPr>
          <w:trHeight w:val="205"/>
        </w:trPr>
        <w:tc>
          <w:tcPr>
            <w:tcW w:w="2101" w:type="dxa"/>
            <w:gridSpan w:val="2"/>
            <w:tcBorders>
              <w:top w:val="single" w:sz="8" w:space="0" w:color="365F91" w:themeColor="accent1" w:themeShade="BF"/>
              <w:left w:val="single" w:sz="8" w:space="0" w:color="365F91" w:themeColor="accent1" w:themeShade="BF"/>
              <w:bottom w:val="nil"/>
              <w:right w:val="single" w:sz="8" w:space="0" w:color="365F91" w:themeColor="accent1" w:themeShade="BF"/>
            </w:tcBorders>
            <w:shd w:val="clear" w:color="auto" w:fill="auto"/>
            <w:noWrap/>
            <w:vAlign w:val="bottom"/>
            <w:hideMark/>
          </w:tcPr>
          <w:p w14:paraId="3F3033F8" w14:textId="77777777" w:rsidR="00C4454D" w:rsidRPr="00A735B4" w:rsidRDefault="00C4454D" w:rsidP="00C4454D">
            <w:pPr>
              <w:rPr>
                <w:b/>
                <w:bCs/>
                <w:color w:val="1F497D" w:themeColor="text2"/>
                <w:sz w:val="18"/>
                <w:szCs w:val="18"/>
              </w:rPr>
            </w:pPr>
            <w:r w:rsidRPr="00A735B4">
              <w:rPr>
                <w:b/>
                <w:bCs/>
                <w:color w:val="1F497D" w:themeColor="text2"/>
                <w:sz w:val="18"/>
                <w:szCs w:val="18"/>
              </w:rPr>
              <w:t>TRANSFER inwards - RTGS</w:t>
            </w:r>
          </w:p>
        </w:tc>
        <w:tc>
          <w:tcPr>
            <w:tcW w:w="316" w:type="dxa"/>
            <w:tcBorders>
              <w:top w:val="single" w:sz="8" w:space="0" w:color="365F91" w:themeColor="accent1" w:themeShade="BF"/>
              <w:left w:val="single" w:sz="8" w:space="0" w:color="365F91" w:themeColor="accent1" w:themeShade="BF"/>
              <w:bottom w:val="nil"/>
              <w:right w:val="single" w:sz="8" w:space="0" w:color="365F91" w:themeColor="accent1" w:themeShade="BF"/>
            </w:tcBorders>
            <w:shd w:val="clear" w:color="auto" w:fill="auto"/>
            <w:noWrap/>
            <w:vAlign w:val="bottom"/>
            <w:hideMark/>
          </w:tcPr>
          <w:p w14:paraId="374684CA"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single" w:sz="8" w:space="0" w:color="365F91" w:themeColor="accent1" w:themeShade="BF"/>
              <w:left w:val="single" w:sz="8" w:space="0" w:color="365F91" w:themeColor="accent1" w:themeShade="BF"/>
              <w:bottom w:val="nil"/>
              <w:right w:val="nil"/>
            </w:tcBorders>
            <w:shd w:val="clear" w:color="auto" w:fill="auto"/>
            <w:noWrap/>
            <w:vAlign w:val="bottom"/>
            <w:hideMark/>
          </w:tcPr>
          <w:p w14:paraId="27610F1A" w14:textId="77777777" w:rsidR="00C4454D" w:rsidRPr="00A735B4" w:rsidRDefault="00C4454D" w:rsidP="00C4454D">
            <w:pPr>
              <w:rPr>
                <w:color w:val="1F497D" w:themeColor="text2"/>
                <w:sz w:val="18"/>
                <w:szCs w:val="18"/>
              </w:rPr>
            </w:pPr>
          </w:p>
        </w:tc>
        <w:tc>
          <w:tcPr>
            <w:tcW w:w="259" w:type="dxa"/>
            <w:tcBorders>
              <w:top w:val="single" w:sz="8" w:space="0" w:color="365F91" w:themeColor="accent1" w:themeShade="BF"/>
              <w:left w:val="nil"/>
              <w:bottom w:val="nil"/>
              <w:right w:val="single" w:sz="8" w:space="0" w:color="365F91" w:themeColor="accent1" w:themeShade="BF"/>
            </w:tcBorders>
            <w:shd w:val="clear" w:color="auto" w:fill="auto"/>
            <w:noWrap/>
            <w:vAlign w:val="bottom"/>
            <w:hideMark/>
          </w:tcPr>
          <w:p w14:paraId="518D2A7E"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single" w:sz="8" w:space="0" w:color="365F91" w:themeColor="accent1" w:themeShade="BF"/>
              <w:left w:val="single" w:sz="8" w:space="0" w:color="365F91" w:themeColor="accent1" w:themeShade="BF"/>
              <w:bottom w:val="nil"/>
              <w:right w:val="nil"/>
            </w:tcBorders>
            <w:shd w:val="clear" w:color="auto" w:fill="auto"/>
            <w:noWrap/>
            <w:vAlign w:val="bottom"/>
            <w:hideMark/>
          </w:tcPr>
          <w:p w14:paraId="2FA3F9A5"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single" w:sz="8" w:space="0" w:color="365F91" w:themeColor="accent1" w:themeShade="BF"/>
              <w:left w:val="nil"/>
              <w:bottom w:val="nil"/>
              <w:right w:val="single" w:sz="8" w:space="0" w:color="365F91" w:themeColor="accent1" w:themeShade="BF"/>
            </w:tcBorders>
            <w:shd w:val="clear" w:color="auto" w:fill="auto"/>
            <w:noWrap/>
            <w:vAlign w:val="bottom"/>
            <w:hideMark/>
          </w:tcPr>
          <w:p w14:paraId="40ACE890"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single" w:sz="8" w:space="0" w:color="365F91" w:themeColor="accent1" w:themeShade="BF"/>
              <w:left w:val="single" w:sz="8" w:space="0" w:color="365F91" w:themeColor="accent1" w:themeShade="BF"/>
              <w:bottom w:val="nil"/>
              <w:right w:val="nil"/>
            </w:tcBorders>
            <w:shd w:val="clear" w:color="auto" w:fill="auto"/>
            <w:noWrap/>
            <w:vAlign w:val="bottom"/>
            <w:hideMark/>
          </w:tcPr>
          <w:p w14:paraId="4462A9F0" w14:textId="77777777" w:rsidR="00C4454D" w:rsidRPr="00A735B4" w:rsidRDefault="00C4454D" w:rsidP="00C4454D">
            <w:pPr>
              <w:rPr>
                <w:color w:val="1F497D" w:themeColor="text2"/>
                <w:sz w:val="18"/>
                <w:szCs w:val="18"/>
              </w:rPr>
            </w:pPr>
          </w:p>
        </w:tc>
        <w:tc>
          <w:tcPr>
            <w:tcW w:w="259" w:type="dxa"/>
            <w:tcBorders>
              <w:top w:val="single" w:sz="8" w:space="0" w:color="365F91" w:themeColor="accent1" w:themeShade="BF"/>
              <w:left w:val="nil"/>
              <w:bottom w:val="nil"/>
              <w:right w:val="single" w:sz="8" w:space="0" w:color="365F91" w:themeColor="accent1" w:themeShade="BF"/>
            </w:tcBorders>
            <w:shd w:val="clear" w:color="auto" w:fill="auto"/>
            <w:noWrap/>
            <w:vAlign w:val="bottom"/>
            <w:hideMark/>
          </w:tcPr>
          <w:p w14:paraId="181E3CEC" w14:textId="77777777" w:rsidR="00C4454D" w:rsidRPr="00A735B4" w:rsidRDefault="00C4454D" w:rsidP="00C4454D">
            <w:pPr>
              <w:rPr>
                <w:color w:val="1F497D" w:themeColor="text2"/>
                <w:sz w:val="18"/>
                <w:szCs w:val="18"/>
              </w:rPr>
            </w:pPr>
          </w:p>
        </w:tc>
        <w:tc>
          <w:tcPr>
            <w:tcW w:w="259" w:type="dxa"/>
            <w:tcBorders>
              <w:top w:val="single" w:sz="8" w:space="0" w:color="365F91" w:themeColor="accent1" w:themeShade="BF"/>
              <w:left w:val="single" w:sz="8" w:space="0" w:color="365F91" w:themeColor="accent1" w:themeShade="BF"/>
              <w:bottom w:val="nil"/>
              <w:right w:val="nil"/>
            </w:tcBorders>
            <w:shd w:val="clear" w:color="auto" w:fill="auto"/>
            <w:noWrap/>
            <w:vAlign w:val="bottom"/>
            <w:hideMark/>
          </w:tcPr>
          <w:p w14:paraId="5B13F051"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single" w:sz="8" w:space="0" w:color="365F91" w:themeColor="accent1" w:themeShade="BF"/>
              <w:left w:val="nil"/>
              <w:bottom w:val="nil"/>
              <w:right w:val="single" w:sz="8" w:space="0" w:color="365F91" w:themeColor="accent1" w:themeShade="BF"/>
            </w:tcBorders>
            <w:shd w:val="clear" w:color="auto" w:fill="auto"/>
            <w:noWrap/>
            <w:vAlign w:val="bottom"/>
            <w:hideMark/>
          </w:tcPr>
          <w:p w14:paraId="26F73150"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single" w:sz="8" w:space="0" w:color="365F91" w:themeColor="accent1" w:themeShade="BF"/>
              <w:left w:val="single" w:sz="8" w:space="0" w:color="365F91" w:themeColor="accent1" w:themeShade="BF"/>
              <w:bottom w:val="nil"/>
              <w:right w:val="nil"/>
            </w:tcBorders>
            <w:shd w:val="clear" w:color="auto" w:fill="auto"/>
            <w:noWrap/>
            <w:vAlign w:val="bottom"/>
            <w:hideMark/>
          </w:tcPr>
          <w:p w14:paraId="742B9463"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single" w:sz="8" w:space="0" w:color="365F91" w:themeColor="accent1" w:themeShade="BF"/>
              <w:left w:val="nil"/>
              <w:bottom w:val="nil"/>
              <w:right w:val="single" w:sz="8" w:space="0" w:color="365F91" w:themeColor="accent1" w:themeShade="BF"/>
            </w:tcBorders>
            <w:shd w:val="clear" w:color="auto" w:fill="auto"/>
            <w:noWrap/>
            <w:vAlign w:val="bottom"/>
            <w:hideMark/>
          </w:tcPr>
          <w:p w14:paraId="46E8A15C"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single" w:sz="8" w:space="0" w:color="365F91" w:themeColor="accent1" w:themeShade="BF"/>
              <w:left w:val="single" w:sz="8" w:space="0" w:color="365F91" w:themeColor="accent1" w:themeShade="BF"/>
              <w:bottom w:val="nil"/>
              <w:right w:val="nil"/>
            </w:tcBorders>
            <w:shd w:val="clear" w:color="auto" w:fill="auto"/>
            <w:noWrap/>
            <w:vAlign w:val="bottom"/>
            <w:hideMark/>
          </w:tcPr>
          <w:p w14:paraId="658328F3" w14:textId="77777777" w:rsidR="00C4454D" w:rsidRPr="00A735B4" w:rsidRDefault="00C4454D" w:rsidP="00C4454D">
            <w:pPr>
              <w:rPr>
                <w:color w:val="1F497D" w:themeColor="text2"/>
                <w:sz w:val="18"/>
                <w:szCs w:val="18"/>
              </w:rPr>
            </w:pPr>
          </w:p>
        </w:tc>
        <w:tc>
          <w:tcPr>
            <w:tcW w:w="259" w:type="dxa"/>
            <w:tcBorders>
              <w:top w:val="single" w:sz="8" w:space="0" w:color="365F91" w:themeColor="accent1" w:themeShade="BF"/>
              <w:left w:val="nil"/>
              <w:bottom w:val="nil"/>
              <w:right w:val="single" w:sz="8" w:space="0" w:color="365F91" w:themeColor="accent1" w:themeShade="BF"/>
            </w:tcBorders>
            <w:shd w:val="clear" w:color="auto" w:fill="auto"/>
            <w:noWrap/>
            <w:vAlign w:val="bottom"/>
            <w:hideMark/>
          </w:tcPr>
          <w:p w14:paraId="73C6ED02" w14:textId="77777777" w:rsidR="00C4454D" w:rsidRPr="00A735B4" w:rsidRDefault="00C4454D" w:rsidP="00C4454D">
            <w:pPr>
              <w:rPr>
                <w:color w:val="1F497D" w:themeColor="text2"/>
                <w:sz w:val="18"/>
                <w:szCs w:val="18"/>
              </w:rPr>
            </w:pPr>
          </w:p>
        </w:tc>
        <w:tc>
          <w:tcPr>
            <w:tcW w:w="259" w:type="dxa"/>
            <w:tcBorders>
              <w:top w:val="single" w:sz="8" w:space="0" w:color="365F91" w:themeColor="accent1" w:themeShade="BF"/>
              <w:left w:val="single" w:sz="8" w:space="0" w:color="365F91" w:themeColor="accent1" w:themeShade="BF"/>
              <w:bottom w:val="nil"/>
              <w:right w:val="nil"/>
            </w:tcBorders>
            <w:shd w:val="clear" w:color="auto" w:fill="auto"/>
            <w:noWrap/>
            <w:vAlign w:val="bottom"/>
            <w:hideMark/>
          </w:tcPr>
          <w:p w14:paraId="317F53CC"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single" w:sz="8" w:space="0" w:color="365F91" w:themeColor="accent1" w:themeShade="BF"/>
              <w:left w:val="nil"/>
              <w:bottom w:val="nil"/>
              <w:right w:val="single" w:sz="8" w:space="0" w:color="365F91" w:themeColor="accent1" w:themeShade="BF"/>
            </w:tcBorders>
            <w:shd w:val="clear" w:color="auto" w:fill="auto"/>
            <w:noWrap/>
            <w:vAlign w:val="bottom"/>
            <w:hideMark/>
          </w:tcPr>
          <w:p w14:paraId="7CBE8C80"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single" w:sz="8" w:space="0" w:color="365F91" w:themeColor="accent1" w:themeShade="BF"/>
              <w:left w:val="single" w:sz="8" w:space="0" w:color="365F91" w:themeColor="accent1" w:themeShade="BF"/>
              <w:bottom w:val="nil"/>
              <w:right w:val="nil"/>
            </w:tcBorders>
            <w:shd w:val="clear" w:color="auto" w:fill="auto"/>
            <w:noWrap/>
            <w:vAlign w:val="bottom"/>
            <w:hideMark/>
          </w:tcPr>
          <w:p w14:paraId="35211112" w14:textId="77777777" w:rsidR="00C4454D" w:rsidRPr="00A735B4" w:rsidRDefault="00C4454D" w:rsidP="00C4454D">
            <w:pPr>
              <w:rPr>
                <w:color w:val="1F497D" w:themeColor="text2"/>
                <w:sz w:val="18"/>
                <w:szCs w:val="18"/>
              </w:rPr>
            </w:pPr>
          </w:p>
        </w:tc>
        <w:tc>
          <w:tcPr>
            <w:tcW w:w="259" w:type="dxa"/>
            <w:tcBorders>
              <w:top w:val="single" w:sz="8" w:space="0" w:color="365F91" w:themeColor="accent1" w:themeShade="BF"/>
              <w:left w:val="nil"/>
              <w:bottom w:val="nil"/>
              <w:right w:val="single" w:sz="8" w:space="0" w:color="365F91" w:themeColor="accent1" w:themeShade="BF"/>
            </w:tcBorders>
            <w:shd w:val="clear" w:color="auto" w:fill="auto"/>
            <w:noWrap/>
            <w:vAlign w:val="bottom"/>
            <w:hideMark/>
          </w:tcPr>
          <w:p w14:paraId="5098C212" w14:textId="77777777" w:rsidR="00C4454D" w:rsidRPr="00A735B4" w:rsidRDefault="00C4454D" w:rsidP="00C4454D">
            <w:pPr>
              <w:rPr>
                <w:color w:val="1F497D" w:themeColor="text2"/>
                <w:sz w:val="18"/>
                <w:szCs w:val="18"/>
              </w:rPr>
            </w:pPr>
          </w:p>
        </w:tc>
        <w:tc>
          <w:tcPr>
            <w:tcW w:w="259" w:type="dxa"/>
            <w:tcBorders>
              <w:top w:val="single" w:sz="8" w:space="0" w:color="365F91" w:themeColor="accent1" w:themeShade="BF"/>
              <w:left w:val="single" w:sz="8" w:space="0" w:color="365F91" w:themeColor="accent1" w:themeShade="BF"/>
              <w:bottom w:val="nil"/>
              <w:right w:val="nil"/>
            </w:tcBorders>
            <w:shd w:val="clear" w:color="auto" w:fill="auto"/>
            <w:noWrap/>
            <w:vAlign w:val="bottom"/>
            <w:hideMark/>
          </w:tcPr>
          <w:p w14:paraId="0F5A00E9"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single" w:sz="8" w:space="0" w:color="365F91" w:themeColor="accent1" w:themeShade="BF"/>
              <w:left w:val="nil"/>
              <w:bottom w:val="nil"/>
              <w:right w:val="single" w:sz="8" w:space="0" w:color="365F91" w:themeColor="accent1" w:themeShade="BF"/>
            </w:tcBorders>
            <w:shd w:val="clear" w:color="auto" w:fill="auto"/>
            <w:noWrap/>
            <w:vAlign w:val="bottom"/>
            <w:hideMark/>
          </w:tcPr>
          <w:p w14:paraId="0AE1B25B"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single" w:sz="8" w:space="0" w:color="365F91" w:themeColor="accent1" w:themeShade="BF"/>
              <w:left w:val="single" w:sz="8" w:space="0" w:color="365F91" w:themeColor="accent1" w:themeShade="BF"/>
              <w:bottom w:val="nil"/>
              <w:right w:val="nil"/>
            </w:tcBorders>
            <w:shd w:val="clear" w:color="auto" w:fill="auto"/>
            <w:noWrap/>
            <w:vAlign w:val="bottom"/>
            <w:hideMark/>
          </w:tcPr>
          <w:p w14:paraId="0F83FA05"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single" w:sz="8" w:space="0" w:color="365F91" w:themeColor="accent1" w:themeShade="BF"/>
              <w:left w:val="nil"/>
              <w:bottom w:val="nil"/>
              <w:right w:val="single" w:sz="8" w:space="0" w:color="365F91" w:themeColor="accent1" w:themeShade="BF"/>
            </w:tcBorders>
            <w:shd w:val="clear" w:color="auto" w:fill="auto"/>
            <w:noWrap/>
            <w:vAlign w:val="bottom"/>
            <w:hideMark/>
          </w:tcPr>
          <w:p w14:paraId="551B44B1"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single" w:sz="8" w:space="0" w:color="365F91" w:themeColor="accent1" w:themeShade="BF"/>
              <w:left w:val="single" w:sz="8" w:space="0" w:color="365F91" w:themeColor="accent1" w:themeShade="BF"/>
              <w:bottom w:val="nil"/>
              <w:right w:val="nil"/>
            </w:tcBorders>
            <w:shd w:val="clear" w:color="auto" w:fill="auto"/>
            <w:noWrap/>
            <w:vAlign w:val="bottom"/>
            <w:hideMark/>
          </w:tcPr>
          <w:p w14:paraId="122720F5"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single" w:sz="8" w:space="0" w:color="365F91" w:themeColor="accent1" w:themeShade="BF"/>
              <w:left w:val="nil"/>
              <w:bottom w:val="nil"/>
              <w:right w:val="single" w:sz="8" w:space="0" w:color="365F91" w:themeColor="accent1" w:themeShade="BF"/>
            </w:tcBorders>
            <w:shd w:val="clear" w:color="auto" w:fill="auto"/>
            <w:noWrap/>
            <w:vAlign w:val="bottom"/>
            <w:hideMark/>
          </w:tcPr>
          <w:p w14:paraId="022804A4"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single" w:sz="8" w:space="0" w:color="365F91" w:themeColor="accent1" w:themeShade="BF"/>
              <w:left w:val="single" w:sz="8" w:space="0" w:color="365F91" w:themeColor="accent1" w:themeShade="BF"/>
              <w:bottom w:val="nil"/>
              <w:right w:val="nil"/>
            </w:tcBorders>
            <w:shd w:val="clear" w:color="auto" w:fill="auto"/>
            <w:noWrap/>
            <w:vAlign w:val="bottom"/>
            <w:hideMark/>
          </w:tcPr>
          <w:p w14:paraId="5446AC71"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single" w:sz="8" w:space="0" w:color="365F91" w:themeColor="accent1" w:themeShade="BF"/>
              <w:left w:val="nil"/>
              <w:bottom w:val="nil"/>
              <w:right w:val="single" w:sz="8" w:space="0" w:color="365F91" w:themeColor="accent1" w:themeShade="BF"/>
            </w:tcBorders>
            <w:shd w:val="clear" w:color="auto" w:fill="auto"/>
            <w:noWrap/>
            <w:vAlign w:val="bottom"/>
            <w:hideMark/>
          </w:tcPr>
          <w:p w14:paraId="365252FB" w14:textId="77777777" w:rsidR="00C4454D" w:rsidRPr="00A735B4" w:rsidRDefault="00C4454D" w:rsidP="00C4454D">
            <w:pPr>
              <w:rPr>
                <w:color w:val="1F497D" w:themeColor="text2"/>
              </w:rPr>
            </w:pPr>
            <w:r w:rsidRPr="00A735B4">
              <w:rPr>
                <w:color w:val="1F497D" w:themeColor="text2"/>
              </w:rPr>
              <w:t> </w:t>
            </w:r>
          </w:p>
        </w:tc>
      </w:tr>
      <w:tr w:rsidR="00C4454D" w:rsidRPr="00A735B4" w14:paraId="57E369C5" w14:textId="77777777" w:rsidTr="00C4454D">
        <w:trPr>
          <w:trHeight w:val="205"/>
        </w:trPr>
        <w:tc>
          <w:tcPr>
            <w:tcW w:w="1415" w:type="dxa"/>
            <w:tcBorders>
              <w:top w:val="nil"/>
              <w:left w:val="single" w:sz="8" w:space="0" w:color="365F91" w:themeColor="accent1" w:themeShade="BF"/>
              <w:bottom w:val="nil"/>
              <w:right w:val="nil"/>
            </w:tcBorders>
            <w:shd w:val="clear" w:color="auto" w:fill="auto"/>
            <w:noWrap/>
            <w:vAlign w:val="bottom"/>
            <w:hideMark/>
          </w:tcPr>
          <w:p w14:paraId="128D33A2" w14:textId="77777777" w:rsidR="00C4454D" w:rsidRPr="00A735B4" w:rsidRDefault="00C4454D" w:rsidP="00C4454D">
            <w:pPr>
              <w:rPr>
                <w:color w:val="1F497D" w:themeColor="text2"/>
                <w:sz w:val="18"/>
                <w:szCs w:val="18"/>
              </w:rPr>
            </w:pPr>
            <w:r w:rsidRPr="00A735B4">
              <w:rPr>
                <w:color w:val="1F497D" w:themeColor="text2"/>
                <w:sz w:val="18"/>
                <w:szCs w:val="18"/>
              </w:rPr>
              <w:t>Kenya</w:t>
            </w:r>
          </w:p>
        </w:tc>
        <w:tc>
          <w:tcPr>
            <w:tcW w:w="686" w:type="dxa"/>
            <w:tcBorders>
              <w:top w:val="nil"/>
              <w:left w:val="nil"/>
              <w:bottom w:val="nil"/>
              <w:right w:val="single" w:sz="8" w:space="0" w:color="365F91" w:themeColor="accent1" w:themeShade="BF"/>
            </w:tcBorders>
            <w:shd w:val="clear" w:color="auto" w:fill="auto"/>
            <w:noWrap/>
            <w:vAlign w:val="bottom"/>
            <w:hideMark/>
          </w:tcPr>
          <w:p w14:paraId="4E02969B" w14:textId="77777777" w:rsidR="00C4454D" w:rsidRPr="00A735B4" w:rsidRDefault="00C4454D" w:rsidP="00C4454D">
            <w:pPr>
              <w:rPr>
                <w:color w:val="1F497D" w:themeColor="text2"/>
                <w:sz w:val="18"/>
                <w:szCs w:val="18"/>
              </w:rPr>
            </w:pPr>
          </w:p>
        </w:tc>
        <w:tc>
          <w:tcPr>
            <w:tcW w:w="316" w:type="dxa"/>
            <w:tcBorders>
              <w:top w:val="nil"/>
              <w:left w:val="single" w:sz="8" w:space="0" w:color="365F91" w:themeColor="accent1" w:themeShade="BF"/>
              <w:bottom w:val="nil"/>
              <w:right w:val="single" w:sz="8" w:space="0" w:color="365F91" w:themeColor="accent1" w:themeShade="BF"/>
            </w:tcBorders>
            <w:shd w:val="clear" w:color="auto" w:fill="auto"/>
            <w:noWrap/>
            <w:vAlign w:val="bottom"/>
            <w:hideMark/>
          </w:tcPr>
          <w:p w14:paraId="5458A075"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nil"/>
              <w:right w:val="nil"/>
            </w:tcBorders>
            <w:shd w:val="clear" w:color="auto" w:fill="365F91" w:themeFill="accent1" w:themeFillShade="BF"/>
            <w:noWrap/>
            <w:vAlign w:val="bottom"/>
            <w:hideMark/>
          </w:tcPr>
          <w:p w14:paraId="671094C6"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nil"/>
              <w:right w:val="single" w:sz="8" w:space="0" w:color="365F91" w:themeColor="accent1" w:themeShade="BF"/>
            </w:tcBorders>
            <w:shd w:val="clear" w:color="auto" w:fill="365F91" w:themeFill="accent1" w:themeFillShade="BF"/>
            <w:noWrap/>
            <w:vAlign w:val="bottom"/>
            <w:hideMark/>
          </w:tcPr>
          <w:p w14:paraId="02285BD5"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nil"/>
              <w:right w:val="nil"/>
            </w:tcBorders>
            <w:shd w:val="clear" w:color="auto" w:fill="auto"/>
            <w:noWrap/>
            <w:vAlign w:val="bottom"/>
            <w:hideMark/>
          </w:tcPr>
          <w:p w14:paraId="61579D12"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nil"/>
              <w:right w:val="single" w:sz="8" w:space="0" w:color="365F91" w:themeColor="accent1" w:themeShade="BF"/>
            </w:tcBorders>
            <w:shd w:val="clear" w:color="auto" w:fill="auto"/>
            <w:noWrap/>
            <w:vAlign w:val="bottom"/>
            <w:hideMark/>
          </w:tcPr>
          <w:p w14:paraId="79319933"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nil"/>
              <w:right w:val="nil"/>
            </w:tcBorders>
            <w:shd w:val="clear" w:color="auto" w:fill="auto"/>
            <w:noWrap/>
            <w:vAlign w:val="bottom"/>
            <w:hideMark/>
          </w:tcPr>
          <w:p w14:paraId="7ECF2C50" w14:textId="77777777" w:rsidR="00C4454D" w:rsidRPr="00A735B4" w:rsidRDefault="00C4454D" w:rsidP="00C4454D">
            <w:pPr>
              <w:rPr>
                <w:color w:val="1F497D" w:themeColor="text2"/>
                <w:sz w:val="18"/>
                <w:szCs w:val="18"/>
              </w:rPr>
            </w:pPr>
          </w:p>
        </w:tc>
        <w:tc>
          <w:tcPr>
            <w:tcW w:w="259" w:type="dxa"/>
            <w:tcBorders>
              <w:top w:val="nil"/>
              <w:left w:val="nil"/>
              <w:bottom w:val="nil"/>
              <w:right w:val="single" w:sz="8" w:space="0" w:color="365F91" w:themeColor="accent1" w:themeShade="BF"/>
            </w:tcBorders>
            <w:shd w:val="clear" w:color="auto" w:fill="auto"/>
            <w:noWrap/>
            <w:vAlign w:val="bottom"/>
            <w:hideMark/>
          </w:tcPr>
          <w:p w14:paraId="6CE403C1" w14:textId="77777777" w:rsidR="00C4454D" w:rsidRPr="00A735B4" w:rsidRDefault="00C4454D" w:rsidP="00C4454D">
            <w:pPr>
              <w:rPr>
                <w:color w:val="1F497D" w:themeColor="text2"/>
                <w:sz w:val="18"/>
                <w:szCs w:val="18"/>
              </w:rPr>
            </w:pPr>
          </w:p>
        </w:tc>
        <w:tc>
          <w:tcPr>
            <w:tcW w:w="259" w:type="dxa"/>
            <w:tcBorders>
              <w:top w:val="nil"/>
              <w:left w:val="single" w:sz="8" w:space="0" w:color="365F91" w:themeColor="accent1" w:themeShade="BF"/>
              <w:bottom w:val="nil"/>
              <w:right w:val="nil"/>
            </w:tcBorders>
            <w:shd w:val="clear" w:color="auto" w:fill="auto"/>
            <w:noWrap/>
            <w:vAlign w:val="bottom"/>
            <w:hideMark/>
          </w:tcPr>
          <w:p w14:paraId="0270E559"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nil"/>
              <w:right w:val="single" w:sz="8" w:space="0" w:color="365F91" w:themeColor="accent1" w:themeShade="BF"/>
            </w:tcBorders>
            <w:shd w:val="clear" w:color="auto" w:fill="auto"/>
            <w:noWrap/>
            <w:vAlign w:val="bottom"/>
            <w:hideMark/>
          </w:tcPr>
          <w:p w14:paraId="401B3FE7"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nil"/>
              <w:right w:val="nil"/>
            </w:tcBorders>
            <w:shd w:val="clear" w:color="auto" w:fill="auto"/>
            <w:noWrap/>
            <w:vAlign w:val="bottom"/>
            <w:hideMark/>
          </w:tcPr>
          <w:p w14:paraId="706F6014"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nil"/>
              <w:right w:val="single" w:sz="8" w:space="0" w:color="365F91" w:themeColor="accent1" w:themeShade="BF"/>
            </w:tcBorders>
            <w:shd w:val="clear" w:color="auto" w:fill="auto"/>
            <w:noWrap/>
            <w:vAlign w:val="bottom"/>
            <w:hideMark/>
          </w:tcPr>
          <w:p w14:paraId="7BC5C3F7"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nil"/>
              <w:right w:val="nil"/>
            </w:tcBorders>
            <w:shd w:val="clear" w:color="auto" w:fill="auto"/>
            <w:noWrap/>
            <w:vAlign w:val="bottom"/>
            <w:hideMark/>
          </w:tcPr>
          <w:p w14:paraId="6CFBDFBA" w14:textId="77777777" w:rsidR="00C4454D" w:rsidRPr="00A735B4" w:rsidRDefault="00C4454D" w:rsidP="00C4454D">
            <w:pPr>
              <w:rPr>
                <w:color w:val="1F497D" w:themeColor="text2"/>
                <w:sz w:val="18"/>
                <w:szCs w:val="18"/>
              </w:rPr>
            </w:pPr>
          </w:p>
        </w:tc>
        <w:tc>
          <w:tcPr>
            <w:tcW w:w="259" w:type="dxa"/>
            <w:tcBorders>
              <w:top w:val="nil"/>
              <w:left w:val="nil"/>
              <w:bottom w:val="nil"/>
              <w:right w:val="single" w:sz="8" w:space="0" w:color="365F91" w:themeColor="accent1" w:themeShade="BF"/>
            </w:tcBorders>
            <w:shd w:val="clear" w:color="auto" w:fill="auto"/>
            <w:noWrap/>
            <w:vAlign w:val="bottom"/>
            <w:hideMark/>
          </w:tcPr>
          <w:p w14:paraId="15C2CC4C" w14:textId="77777777" w:rsidR="00C4454D" w:rsidRPr="00A735B4" w:rsidRDefault="00C4454D" w:rsidP="00C4454D">
            <w:pPr>
              <w:rPr>
                <w:color w:val="1F497D" w:themeColor="text2"/>
                <w:sz w:val="18"/>
                <w:szCs w:val="18"/>
              </w:rPr>
            </w:pPr>
          </w:p>
        </w:tc>
        <w:tc>
          <w:tcPr>
            <w:tcW w:w="259" w:type="dxa"/>
            <w:tcBorders>
              <w:top w:val="nil"/>
              <w:left w:val="single" w:sz="8" w:space="0" w:color="365F91" w:themeColor="accent1" w:themeShade="BF"/>
              <w:bottom w:val="nil"/>
              <w:right w:val="nil"/>
            </w:tcBorders>
            <w:shd w:val="clear" w:color="auto" w:fill="auto"/>
            <w:noWrap/>
            <w:vAlign w:val="bottom"/>
            <w:hideMark/>
          </w:tcPr>
          <w:p w14:paraId="6D243E79"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nil"/>
              <w:right w:val="single" w:sz="8" w:space="0" w:color="365F91" w:themeColor="accent1" w:themeShade="BF"/>
            </w:tcBorders>
            <w:shd w:val="clear" w:color="auto" w:fill="auto"/>
            <w:noWrap/>
            <w:vAlign w:val="bottom"/>
            <w:hideMark/>
          </w:tcPr>
          <w:p w14:paraId="227D9102"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nil"/>
              <w:right w:val="nil"/>
            </w:tcBorders>
            <w:shd w:val="clear" w:color="auto" w:fill="auto"/>
            <w:noWrap/>
            <w:vAlign w:val="bottom"/>
            <w:hideMark/>
          </w:tcPr>
          <w:p w14:paraId="4630C6AE" w14:textId="77777777" w:rsidR="00C4454D" w:rsidRPr="00A735B4" w:rsidRDefault="00C4454D" w:rsidP="00C4454D">
            <w:pPr>
              <w:rPr>
                <w:color w:val="1F497D" w:themeColor="text2"/>
                <w:sz w:val="18"/>
                <w:szCs w:val="18"/>
              </w:rPr>
            </w:pPr>
          </w:p>
        </w:tc>
        <w:tc>
          <w:tcPr>
            <w:tcW w:w="259" w:type="dxa"/>
            <w:tcBorders>
              <w:top w:val="nil"/>
              <w:left w:val="nil"/>
              <w:bottom w:val="nil"/>
              <w:right w:val="single" w:sz="8" w:space="0" w:color="365F91" w:themeColor="accent1" w:themeShade="BF"/>
            </w:tcBorders>
            <w:shd w:val="clear" w:color="auto" w:fill="auto"/>
            <w:noWrap/>
            <w:vAlign w:val="bottom"/>
            <w:hideMark/>
          </w:tcPr>
          <w:p w14:paraId="5842C997" w14:textId="77777777" w:rsidR="00C4454D" w:rsidRPr="00A735B4" w:rsidRDefault="00C4454D" w:rsidP="00C4454D">
            <w:pPr>
              <w:rPr>
                <w:color w:val="1F497D" w:themeColor="text2"/>
                <w:sz w:val="18"/>
                <w:szCs w:val="18"/>
              </w:rPr>
            </w:pPr>
          </w:p>
        </w:tc>
        <w:tc>
          <w:tcPr>
            <w:tcW w:w="259" w:type="dxa"/>
            <w:tcBorders>
              <w:top w:val="nil"/>
              <w:left w:val="single" w:sz="8" w:space="0" w:color="365F91" w:themeColor="accent1" w:themeShade="BF"/>
              <w:bottom w:val="nil"/>
              <w:right w:val="nil"/>
            </w:tcBorders>
            <w:shd w:val="clear" w:color="auto" w:fill="auto"/>
            <w:noWrap/>
            <w:vAlign w:val="bottom"/>
            <w:hideMark/>
          </w:tcPr>
          <w:p w14:paraId="153C9188"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nil"/>
              <w:right w:val="single" w:sz="8" w:space="0" w:color="365F91" w:themeColor="accent1" w:themeShade="BF"/>
            </w:tcBorders>
            <w:shd w:val="clear" w:color="auto" w:fill="auto"/>
            <w:noWrap/>
            <w:vAlign w:val="bottom"/>
            <w:hideMark/>
          </w:tcPr>
          <w:p w14:paraId="4FA7C28E"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nil"/>
              <w:right w:val="nil"/>
            </w:tcBorders>
            <w:shd w:val="clear" w:color="auto" w:fill="auto"/>
            <w:noWrap/>
            <w:vAlign w:val="bottom"/>
            <w:hideMark/>
          </w:tcPr>
          <w:p w14:paraId="71DFAB9B"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nil"/>
              <w:right w:val="single" w:sz="8" w:space="0" w:color="365F91" w:themeColor="accent1" w:themeShade="BF"/>
            </w:tcBorders>
            <w:shd w:val="clear" w:color="auto" w:fill="auto"/>
            <w:noWrap/>
            <w:vAlign w:val="bottom"/>
            <w:hideMark/>
          </w:tcPr>
          <w:p w14:paraId="2CC75A56"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nil"/>
              <w:right w:val="nil"/>
            </w:tcBorders>
            <w:shd w:val="clear" w:color="auto" w:fill="auto"/>
            <w:noWrap/>
            <w:vAlign w:val="bottom"/>
            <w:hideMark/>
          </w:tcPr>
          <w:p w14:paraId="76E166FC"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nil"/>
              <w:right w:val="single" w:sz="8" w:space="0" w:color="365F91" w:themeColor="accent1" w:themeShade="BF"/>
            </w:tcBorders>
            <w:shd w:val="clear" w:color="auto" w:fill="auto"/>
            <w:noWrap/>
            <w:vAlign w:val="bottom"/>
            <w:hideMark/>
          </w:tcPr>
          <w:p w14:paraId="4038D845"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nil"/>
              <w:right w:val="nil"/>
            </w:tcBorders>
            <w:shd w:val="clear" w:color="auto" w:fill="auto"/>
            <w:noWrap/>
            <w:vAlign w:val="bottom"/>
            <w:hideMark/>
          </w:tcPr>
          <w:p w14:paraId="5FCD9952"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nil"/>
              <w:right w:val="single" w:sz="8" w:space="0" w:color="365F91" w:themeColor="accent1" w:themeShade="BF"/>
            </w:tcBorders>
            <w:shd w:val="clear" w:color="auto" w:fill="auto"/>
            <w:noWrap/>
            <w:vAlign w:val="bottom"/>
            <w:hideMark/>
          </w:tcPr>
          <w:p w14:paraId="6D7FB8DA" w14:textId="77777777" w:rsidR="00C4454D" w:rsidRPr="00A735B4" w:rsidRDefault="00C4454D" w:rsidP="00C4454D">
            <w:pPr>
              <w:rPr>
                <w:color w:val="1F497D" w:themeColor="text2"/>
              </w:rPr>
            </w:pPr>
            <w:r w:rsidRPr="00A735B4">
              <w:rPr>
                <w:color w:val="1F497D" w:themeColor="text2"/>
              </w:rPr>
              <w:t> </w:t>
            </w:r>
          </w:p>
        </w:tc>
      </w:tr>
      <w:tr w:rsidR="00C4454D" w:rsidRPr="00A735B4" w14:paraId="7CFC2699" w14:textId="77777777" w:rsidTr="00C4454D">
        <w:trPr>
          <w:trHeight w:val="205"/>
        </w:trPr>
        <w:tc>
          <w:tcPr>
            <w:tcW w:w="1415" w:type="dxa"/>
            <w:tcBorders>
              <w:top w:val="nil"/>
              <w:left w:val="single" w:sz="8" w:space="0" w:color="365F91" w:themeColor="accent1" w:themeShade="BF"/>
              <w:bottom w:val="nil"/>
              <w:right w:val="nil"/>
            </w:tcBorders>
            <w:shd w:val="clear" w:color="auto" w:fill="auto"/>
            <w:noWrap/>
            <w:vAlign w:val="bottom"/>
            <w:hideMark/>
          </w:tcPr>
          <w:p w14:paraId="4A5D9E08" w14:textId="77777777" w:rsidR="00C4454D" w:rsidRPr="00A735B4" w:rsidRDefault="00C4454D" w:rsidP="00C4454D">
            <w:pPr>
              <w:rPr>
                <w:color w:val="1F497D" w:themeColor="text2"/>
                <w:sz w:val="18"/>
                <w:szCs w:val="18"/>
              </w:rPr>
            </w:pPr>
            <w:r w:rsidRPr="00A735B4">
              <w:rPr>
                <w:color w:val="1F497D" w:themeColor="text2"/>
                <w:sz w:val="18"/>
                <w:szCs w:val="18"/>
              </w:rPr>
              <w:lastRenderedPageBreak/>
              <w:t>Tanzania</w:t>
            </w:r>
          </w:p>
        </w:tc>
        <w:tc>
          <w:tcPr>
            <w:tcW w:w="686" w:type="dxa"/>
            <w:tcBorders>
              <w:top w:val="nil"/>
              <w:left w:val="nil"/>
              <w:bottom w:val="nil"/>
              <w:right w:val="single" w:sz="8" w:space="0" w:color="365F91" w:themeColor="accent1" w:themeShade="BF"/>
            </w:tcBorders>
            <w:shd w:val="clear" w:color="auto" w:fill="auto"/>
            <w:noWrap/>
            <w:vAlign w:val="bottom"/>
            <w:hideMark/>
          </w:tcPr>
          <w:p w14:paraId="04846F3A" w14:textId="77777777" w:rsidR="00C4454D" w:rsidRPr="00A735B4" w:rsidRDefault="00C4454D" w:rsidP="00C4454D">
            <w:pPr>
              <w:rPr>
                <w:color w:val="1F497D" w:themeColor="text2"/>
                <w:sz w:val="18"/>
                <w:szCs w:val="18"/>
              </w:rPr>
            </w:pPr>
          </w:p>
        </w:tc>
        <w:tc>
          <w:tcPr>
            <w:tcW w:w="316" w:type="dxa"/>
            <w:tcBorders>
              <w:top w:val="nil"/>
              <w:left w:val="single" w:sz="8" w:space="0" w:color="365F91" w:themeColor="accent1" w:themeShade="BF"/>
              <w:bottom w:val="nil"/>
              <w:right w:val="single" w:sz="8" w:space="0" w:color="365F91" w:themeColor="accent1" w:themeShade="BF"/>
            </w:tcBorders>
            <w:shd w:val="clear" w:color="auto" w:fill="auto"/>
            <w:noWrap/>
            <w:vAlign w:val="bottom"/>
            <w:hideMark/>
          </w:tcPr>
          <w:p w14:paraId="67ABC123"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nil"/>
              <w:right w:val="nil"/>
            </w:tcBorders>
            <w:shd w:val="clear" w:color="auto" w:fill="auto"/>
            <w:noWrap/>
            <w:vAlign w:val="bottom"/>
            <w:hideMark/>
          </w:tcPr>
          <w:p w14:paraId="431D36FA" w14:textId="77777777" w:rsidR="00C4454D" w:rsidRPr="00A735B4" w:rsidRDefault="00C4454D" w:rsidP="00C4454D">
            <w:pPr>
              <w:rPr>
                <w:color w:val="1F497D" w:themeColor="text2"/>
                <w:sz w:val="18"/>
                <w:szCs w:val="18"/>
              </w:rPr>
            </w:pPr>
          </w:p>
        </w:tc>
        <w:tc>
          <w:tcPr>
            <w:tcW w:w="259" w:type="dxa"/>
            <w:tcBorders>
              <w:top w:val="nil"/>
              <w:left w:val="nil"/>
              <w:bottom w:val="nil"/>
              <w:right w:val="single" w:sz="8" w:space="0" w:color="365F91" w:themeColor="accent1" w:themeShade="BF"/>
            </w:tcBorders>
            <w:shd w:val="clear" w:color="auto" w:fill="365F91" w:themeFill="accent1" w:themeFillShade="BF"/>
            <w:noWrap/>
            <w:vAlign w:val="bottom"/>
            <w:hideMark/>
          </w:tcPr>
          <w:p w14:paraId="52D2F7CD"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nil"/>
              <w:right w:val="nil"/>
            </w:tcBorders>
            <w:shd w:val="clear" w:color="auto" w:fill="auto"/>
            <w:noWrap/>
            <w:vAlign w:val="bottom"/>
            <w:hideMark/>
          </w:tcPr>
          <w:p w14:paraId="02794B4B"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nil"/>
              <w:right w:val="single" w:sz="8" w:space="0" w:color="365F91" w:themeColor="accent1" w:themeShade="BF"/>
            </w:tcBorders>
            <w:shd w:val="clear" w:color="auto" w:fill="auto"/>
            <w:noWrap/>
            <w:vAlign w:val="bottom"/>
            <w:hideMark/>
          </w:tcPr>
          <w:p w14:paraId="024A2B3B"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nil"/>
              <w:right w:val="nil"/>
            </w:tcBorders>
            <w:shd w:val="clear" w:color="auto" w:fill="auto"/>
            <w:noWrap/>
            <w:vAlign w:val="bottom"/>
            <w:hideMark/>
          </w:tcPr>
          <w:p w14:paraId="726925A3" w14:textId="77777777" w:rsidR="00C4454D" w:rsidRPr="00A735B4" w:rsidRDefault="00C4454D" w:rsidP="00C4454D">
            <w:pPr>
              <w:rPr>
                <w:color w:val="1F497D" w:themeColor="text2"/>
                <w:sz w:val="18"/>
                <w:szCs w:val="18"/>
              </w:rPr>
            </w:pPr>
          </w:p>
        </w:tc>
        <w:tc>
          <w:tcPr>
            <w:tcW w:w="259" w:type="dxa"/>
            <w:tcBorders>
              <w:top w:val="nil"/>
              <w:left w:val="nil"/>
              <w:bottom w:val="nil"/>
              <w:right w:val="single" w:sz="8" w:space="0" w:color="365F91" w:themeColor="accent1" w:themeShade="BF"/>
            </w:tcBorders>
            <w:shd w:val="clear" w:color="auto" w:fill="auto"/>
            <w:noWrap/>
            <w:vAlign w:val="bottom"/>
            <w:hideMark/>
          </w:tcPr>
          <w:p w14:paraId="46D5DFB0" w14:textId="77777777" w:rsidR="00C4454D" w:rsidRPr="00A735B4" w:rsidRDefault="00C4454D" w:rsidP="00C4454D">
            <w:pPr>
              <w:rPr>
                <w:color w:val="1F497D" w:themeColor="text2"/>
                <w:sz w:val="18"/>
                <w:szCs w:val="18"/>
              </w:rPr>
            </w:pPr>
          </w:p>
        </w:tc>
        <w:tc>
          <w:tcPr>
            <w:tcW w:w="259" w:type="dxa"/>
            <w:tcBorders>
              <w:top w:val="nil"/>
              <w:left w:val="single" w:sz="8" w:space="0" w:color="365F91" w:themeColor="accent1" w:themeShade="BF"/>
              <w:bottom w:val="nil"/>
              <w:right w:val="nil"/>
            </w:tcBorders>
            <w:shd w:val="clear" w:color="auto" w:fill="auto"/>
            <w:noWrap/>
            <w:vAlign w:val="bottom"/>
            <w:hideMark/>
          </w:tcPr>
          <w:p w14:paraId="15F3307E"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nil"/>
              <w:right w:val="single" w:sz="8" w:space="0" w:color="365F91" w:themeColor="accent1" w:themeShade="BF"/>
            </w:tcBorders>
            <w:shd w:val="clear" w:color="auto" w:fill="auto"/>
            <w:noWrap/>
            <w:vAlign w:val="bottom"/>
            <w:hideMark/>
          </w:tcPr>
          <w:p w14:paraId="2D98052D"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nil"/>
              <w:right w:val="nil"/>
            </w:tcBorders>
            <w:shd w:val="clear" w:color="auto" w:fill="auto"/>
            <w:noWrap/>
            <w:vAlign w:val="bottom"/>
            <w:hideMark/>
          </w:tcPr>
          <w:p w14:paraId="3C0B5A0D"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nil"/>
              <w:right w:val="single" w:sz="8" w:space="0" w:color="365F91" w:themeColor="accent1" w:themeShade="BF"/>
            </w:tcBorders>
            <w:shd w:val="clear" w:color="auto" w:fill="auto"/>
            <w:noWrap/>
            <w:vAlign w:val="bottom"/>
            <w:hideMark/>
          </w:tcPr>
          <w:p w14:paraId="1A8A823C"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nil"/>
              <w:right w:val="nil"/>
            </w:tcBorders>
            <w:shd w:val="clear" w:color="auto" w:fill="auto"/>
            <w:noWrap/>
            <w:vAlign w:val="bottom"/>
            <w:hideMark/>
          </w:tcPr>
          <w:p w14:paraId="4EB305A6" w14:textId="77777777" w:rsidR="00C4454D" w:rsidRPr="00A735B4" w:rsidRDefault="00C4454D" w:rsidP="00C4454D">
            <w:pPr>
              <w:rPr>
                <w:color w:val="1F497D" w:themeColor="text2"/>
                <w:sz w:val="18"/>
                <w:szCs w:val="18"/>
              </w:rPr>
            </w:pPr>
          </w:p>
        </w:tc>
        <w:tc>
          <w:tcPr>
            <w:tcW w:w="259" w:type="dxa"/>
            <w:tcBorders>
              <w:top w:val="nil"/>
              <w:left w:val="nil"/>
              <w:bottom w:val="nil"/>
              <w:right w:val="single" w:sz="8" w:space="0" w:color="365F91" w:themeColor="accent1" w:themeShade="BF"/>
            </w:tcBorders>
            <w:shd w:val="clear" w:color="auto" w:fill="auto"/>
            <w:noWrap/>
            <w:vAlign w:val="bottom"/>
            <w:hideMark/>
          </w:tcPr>
          <w:p w14:paraId="44EC8094" w14:textId="77777777" w:rsidR="00C4454D" w:rsidRPr="00A735B4" w:rsidRDefault="00C4454D" w:rsidP="00C4454D">
            <w:pPr>
              <w:rPr>
                <w:color w:val="1F497D" w:themeColor="text2"/>
                <w:sz w:val="18"/>
                <w:szCs w:val="18"/>
              </w:rPr>
            </w:pPr>
          </w:p>
        </w:tc>
        <w:tc>
          <w:tcPr>
            <w:tcW w:w="259" w:type="dxa"/>
            <w:tcBorders>
              <w:top w:val="nil"/>
              <w:left w:val="single" w:sz="8" w:space="0" w:color="365F91" w:themeColor="accent1" w:themeShade="BF"/>
              <w:bottom w:val="nil"/>
              <w:right w:val="nil"/>
            </w:tcBorders>
            <w:shd w:val="clear" w:color="auto" w:fill="auto"/>
            <w:noWrap/>
            <w:vAlign w:val="bottom"/>
            <w:hideMark/>
          </w:tcPr>
          <w:p w14:paraId="400D8E59"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nil"/>
              <w:right w:val="single" w:sz="8" w:space="0" w:color="365F91" w:themeColor="accent1" w:themeShade="BF"/>
            </w:tcBorders>
            <w:shd w:val="clear" w:color="auto" w:fill="auto"/>
            <w:noWrap/>
            <w:vAlign w:val="bottom"/>
            <w:hideMark/>
          </w:tcPr>
          <w:p w14:paraId="631ACB57"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nil"/>
              <w:right w:val="nil"/>
            </w:tcBorders>
            <w:shd w:val="clear" w:color="auto" w:fill="auto"/>
            <w:noWrap/>
            <w:vAlign w:val="bottom"/>
            <w:hideMark/>
          </w:tcPr>
          <w:p w14:paraId="15F7AEBC" w14:textId="77777777" w:rsidR="00C4454D" w:rsidRPr="00A735B4" w:rsidRDefault="00C4454D" w:rsidP="00C4454D">
            <w:pPr>
              <w:rPr>
                <w:color w:val="1F497D" w:themeColor="text2"/>
                <w:sz w:val="18"/>
                <w:szCs w:val="18"/>
              </w:rPr>
            </w:pPr>
          </w:p>
        </w:tc>
        <w:tc>
          <w:tcPr>
            <w:tcW w:w="259" w:type="dxa"/>
            <w:tcBorders>
              <w:top w:val="nil"/>
              <w:left w:val="nil"/>
              <w:bottom w:val="nil"/>
              <w:right w:val="single" w:sz="8" w:space="0" w:color="365F91" w:themeColor="accent1" w:themeShade="BF"/>
            </w:tcBorders>
            <w:shd w:val="clear" w:color="auto" w:fill="auto"/>
            <w:noWrap/>
            <w:vAlign w:val="bottom"/>
            <w:hideMark/>
          </w:tcPr>
          <w:p w14:paraId="59F72BE0" w14:textId="77777777" w:rsidR="00C4454D" w:rsidRPr="00A735B4" w:rsidRDefault="00C4454D" w:rsidP="00C4454D">
            <w:pPr>
              <w:rPr>
                <w:color w:val="1F497D" w:themeColor="text2"/>
                <w:sz w:val="18"/>
                <w:szCs w:val="18"/>
              </w:rPr>
            </w:pPr>
          </w:p>
        </w:tc>
        <w:tc>
          <w:tcPr>
            <w:tcW w:w="259" w:type="dxa"/>
            <w:tcBorders>
              <w:top w:val="nil"/>
              <w:left w:val="single" w:sz="8" w:space="0" w:color="365F91" w:themeColor="accent1" w:themeShade="BF"/>
              <w:bottom w:val="nil"/>
              <w:right w:val="nil"/>
            </w:tcBorders>
            <w:shd w:val="clear" w:color="auto" w:fill="auto"/>
            <w:noWrap/>
            <w:vAlign w:val="bottom"/>
            <w:hideMark/>
          </w:tcPr>
          <w:p w14:paraId="7A5B1872"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nil"/>
              <w:right w:val="single" w:sz="8" w:space="0" w:color="365F91" w:themeColor="accent1" w:themeShade="BF"/>
            </w:tcBorders>
            <w:shd w:val="clear" w:color="auto" w:fill="auto"/>
            <w:noWrap/>
            <w:vAlign w:val="bottom"/>
            <w:hideMark/>
          </w:tcPr>
          <w:p w14:paraId="13C5D915"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nil"/>
              <w:right w:val="nil"/>
            </w:tcBorders>
            <w:shd w:val="clear" w:color="auto" w:fill="auto"/>
            <w:noWrap/>
            <w:vAlign w:val="bottom"/>
            <w:hideMark/>
          </w:tcPr>
          <w:p w14:paraId="2825C449"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nil"/>
              <w:right w:val="single" w:sz="8" w:space="0" w:color="365F91" w:themeColor="accent1" w:themeShade="BF"/>
            </w:tcBorders>
            <w:shd w:val="clear" w:color="auto" w:fill="auto"/>
            <w:noWrap/>
            <w:vAlign w:val="bottom"/>
            <w:hideMark/>
          </w:tcPr>
          <w:p w14:paraId="4BE7ED33"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nil"/>
              <w:right w:val="nil"/>
            </w:tcBorders>
            <w:shd w:val="clear" w:color="auto" w:fill="auto"/>
            <w:noWrap/>
            <w:vAlign w:val="bottom"/>
            <w:hideMark/>
          </w:tcPr>
          <w:p w14:paraId="1B839EB6"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nil"/>
              <w:right w:val="single" w:sz="8" w:space="0" w:color="365F91" w:themeColor="accent1" w:themeShade="BF"/>
            </w:tcBorders>
            <w:shd w:val="clear" w:color="auto" w:fill="auto"/>
            <w:noWrap/>
            <w:vAlign w:val="bottom"/>
            <w:hideMark/>
          </w:tcPr>
          <w:p w14:paraId="236C7626"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nil"/>
              <w:right w:val="nil"/>
            </w:tcBorders>
            <w:shd w:val="clear" w:color="auto" w:fill="auto"/>
            <w:noWrap/>
            <w:vAlign w:val="bottom"/>
            <w:hideMark/>
          </w:tcPr>
          <w:p w14:paraId="12FD54F7"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nil"/>
              <w:right w:val="single" w:sz="8" w:space="0" w:color="365F91" w:themeColor="accent1" w:themeShade="BF"/>
            </w:tcBorders>
            <w:shd w:val="clear" w:color="auto" w:fill="auto"/>
            <w:noWrap/>
            <w:vAlign w:val="bottom"/>
            <w:hideMark/>
          </w:tcPr>
          <w:p w14:paraId="1BB1544F" w14:textId="77777777" w:rsidR="00C4454D" w:rsidRPr="00A735B4" w:rsidRDefault="00C4454D" w:rsidP="00C4454D">
            <w:pPr>
              <w:rPr>
                <w:color w:val="1F497D" w:themeColor="text2"/>
              </w:rPr>
            </w:pPr>
            <w:r w:rsidRPr="00A735B4">
              <w:rPr>
                <w:color w:val="1F497D" w:themeColor="text2"/>
              </w:rPr>
              <w:t> </w:t>
            </w:r>
          </w:p>
        </w:tc>
      </w:tr>
      <w:tr w:rsidR="00C4454D" w:rsidRPr="00A735B4" w14:paraId="70F01E9A" w14:textId="77777777" w:rsidTr="00C4454D">
        <w:trPr>
          <w:trHeight w:val="205"/>
        </w:trPr>
        <w:tc>
          <w:tcPr>
            <w:tcW w:w="1415" w:type="dxa"/>
            <w:tcBorders>
              <w:top w:val="nil"/>
              <w:left w:val="single" w:sz="8" w:space="0" w:color="365F91" w:themeColor="accent1" w:themeShade="BF"/>
              <w:bottom w:val="nil"/>
              <w:right w:val="nil"/>
            </w:tcBorders>
            <w:shd w:val="clear" w:color="auto" w:fill="auto"/>
            <w:noWrap/>
            <w:vAlign w:val="bottom"/>
            <w:hideMark/>
          </w:tcPr>
          <w:p w14:paraId="7061BBDB" w14:textId="77777777" w:rsidR="00C4454D" w:rsidRPr="00A735B4" w:rsidRDefault="00C4454D" w:rsidP="00C4454D">
            <w:pPr>
              <w:rPr>
                <w:color w:val="1F497D" w:themeColor="text2"/>
                <w:sz w:val="18"/>
                <w:szCs w:val="18"/>
              </w:rPr>
            </w:pPr>
            <w:r w:rsidRPr="00A735B4">
              <w:rPr>
                <w:color w:val="1F497D" w:themeColor="text2"/>
                <w:sz w:val="18"/>
                <w:szCs w:val="18"/>
              </w:rPr>
              <w:t>Uganda</w:t>
            </w:r>
          </w:p>
        </w:tc>
        <w:tc>
          <w:tcPr>
            <w:tcW w:w="686" w:type="dxa"/>
            <w:tcBorders>
              <w:top w:val="nil"/>
              <w:left w:val="nil"/>
              <w:bottom w:val="nil"/>
              <w:right w:val="single" w:sz="8" w:space="0" w:color="365F91" w:themeColor="accent1" w:themeShade="BF"/>
            </w:tcBorders>
            <w:shd w:val="clear" w:color="auto" w:fill="auto"/>
            <w:noWrap/>
            <w:vAlign w:val="bottom"/>
            <w:hideMark/>
          </w:tcPr>
          <w:p w14:paraId="7070BF8F" w14:textId="77777777" w:rsidR="00C4454D" w:rsidRPr="00A735B4" w:rsidRDefault="00C4454D" w:rsidP="00C4454D">
            <w:pPr>
              <w:rPr>
                <w:color w:val="1F497D" w:themeColor="text2"/>
                <w:sz w:val="18"/>
                <w:szCs w:val="18"/>
              </w:rPr>
            </w:pPr>
          </w:p>
        </w:tc>
        <w:tc>
          <w:tcPr>
            <w:tcW w:w="316" w:type="dxa"/>
            <w:tcBorders>
              <w:top w:val="nil"/>
              <w:left w:val="single" w:sz="8" w:space="0" w:color="365F91" w:themeColor="accent1" w:themeShade="BF"/>
              <w:bottom w:val="nil"/>
              <w:right w:val="single" w:sz="8" w:space="0" w:color="365F91" w:themeColor="accent1" w:themeShade="BF"/>
            </w:tcBorders>
            <w:shd w:val="clear" w:color="auto" w:fill="365F91" w:themeFill="accent1" w:themeFillShade="BF"/>
            <w:noWrap/>
            <w:vAlign w:val="bottom"/>
            <w:hideMark/>
          </w:tcPr>
          <w:p w14:paraId="3071CCA8"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nil"/>
              <w:right w:val="nil"/>
            </w:tcBorders>
            <w:shd w:val="clear" w:color="auto" w:fill="365F91" w:themeFill="accent1" w:themeFillShade="BF"/>
            <w:noWrap/>
            <w:vAlign w:val="bottom"/>
            <w:hideMark/>
          </w:tcPr>
          <w:p w14:paraId="18C51EAD"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nil"/>
              <w:right w:val="single" w:sz="8" w:space="0" w:color="365F91" w:themeColor="accent1" w:themeShade="BF"/>
            </w:tcBorders>
            <w:shd w:val="clear" w:color="auto" w:fill="365F91" w:themeFill="accent1" w:themeFillShade="BF"/>
            <w:noWrap/>
            <w:vAlign w:val="bottom"/>
            <w:hideMark/>
          </w:tcPr>
          <w:p w14:paraId="5D369DED"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nil"/>
              <w:right w:val="nil"/>
            </w:tcBorders>
            <w:shd w:val="clear" w:color="auto" w:fill="365F91" w:themeFill="accent1" w:themeFillShade="BF"/>
            <w:noWrap/>
            <w:vAlign w:val="bottom"/>
            <w:hideMark/>
          </w:tcPr>
          <w:p w14:paraId="13556717"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nil"/>
              <w:right w:val="single" w:sz="8" w:space="0" w:color="365F91" w:themeColor="accent1" w:themeShade="BF"/>
            </w:tcBorders>
            <w:shd w:val="clear" w:color="auto" w:fill="365F91" w:themeFill="accent1" w:themeFillShade="BF"/>
            <w:noWrap/>
            <w:vAlign w:val="bottom"/>
            <w:hideMark/>
          </w:tcPr>
          <w:p w14:paraId="4E60969A"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nil"/>
              <w:right w:val="nil"/>
            </w:tcBorders>
            <w:shd w:val="clear" w:color="auto" w:fill="365F91" w:themeFill="accent1" w:themeFillShade="BF"/>
            <w:noWrap/>
            <w:vAlign w:val="bottom"/>
            <w:hideMark/>
          </w:tcPr>
          <w:p w14:paraId="6A7E6317"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nil"/>
              <w:right w:val="single" w:sz="8" w:space="0" w:color="365F91" w:themeColor="accent1" w:themeShade="BF"/>
            </w:tcBorders>
            <w:shd w:val="clear" w:color="auto" w:fill="365F91" w:themeFill="accent1" w:themeFillShade="BF"/>
            <w:noWrap/>
            <w:vAlign w:val="bottom"/>
            <w:hideMark/>
          </w:tcPr>
          <w:p w14:paraId="0DAC5EB2"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nil"/>
              <w:right w:val="nil"/>
            </w:tcBorders>
            <w:shd w:val="clear" w:color="auto" w:fill="365F91" w:themeFill="accent1" w:themeFillShade="BF"/>
            <w:noWrap/>
            <w:vAlign w:val="bottom"/>
            <w:hideMark/>
          </w:tcPr>
          <w:p w14:paraId="28B99760"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nil"/>
              <w:right w:val="single" w:sz="8" w:space="0" w:color="365F91" w:themeColor="accent1" w:themeShade="BF"/>
            </w:tcBorders>
            <w:shd w:val="clear" w:color="auto" w:fill="365F91" w:themeFill="accent1" w:themeFillShade="BF"/>
            <w:noWrap/>
            <w:vAlign w:val="bottom"/>
            <w:hideMark/>
          </w:tcPr>
          <w:p w14:paraId="72F10701"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nil"/>
              <w:right w:val="nil"/>
            </w:tcBorders>
            <w:shd w:val="clear" w:color="auto" w:fill="365F91" w:themeFill="accent1" w:themeFillShade="BF"/>
            <w:noWrap/>
            <w:vAlign w:val="bottom"/>
            <w:hideMark/>
          </w:tcPr>
          <w:p w14:paraId="23A695FE"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nil"/>
              <w:right w:val="single" w:sz="8" w:space="0" w:color="365F91" w:themeColor="accent1" w:themeShade="BF"/>
            </w:tcBorders>
            <w:shd w:val="clear" w:color="auto" w:fill="365F91" w:themeFill="accent1" w:themeFillShade="BF"/>
            <w:noWrap/>
            <w:vAlign w:val="bottom"/>
            <w:hideMark/>
          </w:tcPr>
          <w:p w14:paraId="48D50904"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nil"/>
              <w:right w:val="nil"/>
            </w:tcBorders>
            <w:shd w:val="clear" w:color="auto" w:fill="365F91" w:themeFill="accent1" w:themeFillShade="BF"/>
            <w:noWrap/>
            <w:vAlign w:val="bottom"/>
            <w:hideMark/>
          </w:tcPr>
          <w:p w14:paraId="2FC7ACD4"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nil"/>
              <w:right w:val="single" w:sz="8" w:space="0" w:color="365F91" w:themeColor="accent1" w:themeShade="BF"/>
            </w:tcBorders>
            <w:shd w:val="clear" w:color="auto" w:fill="auto"/>
            <w:noWrap/>
            <w:vAlign w:val="bottom"/>
            <w:hideMark/>
          </w:tcPr>
          <w:p w14:paraId="1A3E1AB5" w14:textId="77777777" w:rsidR="00C4454D" w:rsidRPr="00A735B4" w:rsidRDefault="00C4454D" w:rsidP="00C4454D">
            <w:pPr>
              <w:rPr>
                <w:color w:val="1F497D" w:themeColor="text2"/>
                <w:sz w:val="18"/>
                <w:szCs w:val="18"/>
              </w:rPr>
            </w:pPr>
          </w:p>
        </w:tc>
        <w:tc>
          <w:tcPr>
            <w:tcW w:w="259" w:type="dxa"/>
            <w:tcBorders>
              <w:top w:val="nil"/>
              <w:left w:val="single" w:sz="8" w:space="0" w:color="365F91" w:themeColor="accent1" w:themeShade="BF"/>
              <w:bottom w:val="nil"/>
              <w:right w:val="nil"/>
            </w:tcBorders>
            <w:shd w:val="clear" w:color="auto" w:fill="auto"/>
            <w:noWrap/>
            <w:vAlign w:val="bottom"/>
            <w:hideMark/>
          </w:tcPr>
          <w:p w14:paraId="5B93557D"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nil"/>
              <w:right w:val="single" w:sz="8" w:space="0" w:color="365F91" w:themeColor="accent1" w:themeShade="BF"/>
            </w:tcBorders>
            <w:shd w:val="clear" w:color="auto" w:fill="auto"/>
            <w:noWrap/>
            <w:vAlign w:val="bottom"/>
            <w:hideMark/>
          </w:tcPr>
          <w:p w14:paraId="3E437E0B"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nil"/>
              <w:right w:val="nil"/>
            </w:tcBorders>
            <w:shd w:val="clear" w:color="auto" w:fill="auto"/>
            <w:noWrap/>
            <w:vAlign w:val="bottom"/>
            <w:hideMark/>
          </w:tcPr>
          <w:p w14:paraId="3E473979" w14:textId="77777777" w:rsidR="00C4454D" w:rsidRPr="00A735B4" w:rsidRDefault="00C4454D" w:rsidP="00C4454D">
            <w:pPr>
              <w:rPr>
                <w:color w:val="1F497D" w:themeColor="text2"/>
                <w:sz w:val="18"/>
                <w:szCs w:val="18"/>
              </w:rPr>
            </w:pPr>
          </w:p>
        </w:tc>
        <w:tc>
          <w:tcPr>
            <w:tcW w:w="259" w:type="dxa"/>
            <w:tcBorders>
              <w:top w:val="nil"/>
              <w:left w:val="nil"/>
              <w:bottom w:val="nil"/>
              <w:right w:val="single" w:sz="8" w:space="0" w:color="365F91" w:themeColor="accent1" w:themeShade="BF"/>
            </w:tcBorders>
            <w:shd w:val="clear" w:color="auto" w:fill="auto"/>
            <w:noWrap/>
            <w:vAlign w:val="bottom"/>
            <w:hideMark/>
          </w:tcPr>
          <w:p w14:paraId="4D74A9C1" w14:textId="77777777" w:rsidR="00C4454D" w:rsidRPr="00A735B4" w:rsidRDefault="00C4454D" w:rsidP="00C4454D">
            <w:pPr>
              <w:rPr>
                <w:color w:val="1F497D" w:themeColor="text2"/>
                <w:sz w:val="18"/>
                <w:szCs w:val="18"/>
              </w:rPr>
            </w:pPr>
          </w:p>
        </w:tc>
        <w:tc>
          <w:tcPr>
            <w:tcW w:w="259" w:type="dxa"/>
            <w:tcBorders>
              <w:top w:val="nil"/>
              <w:left w:val="single" w:sz="8" w:space="0" w:color="365F91" w:themeColor="accent1" w:themeShade="BF"/>
              <w:bottom w:val="nil"/>
              <w:right w:val="nil"/>
            </w:tcBorders>
            <w:shd w:val="clear" w:color="auto" w:fill="auto"/>
            <w:noWrap/>
            <w:vAlign w:val="bottom"/>
            <w:hideMark/>
          </w:tcPr>
          <w:p w14:paraId="0FA11FF1"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nil"/>
              <w:right w:val="single" w:sz="8" w:space="0" w:color="365F91" w:themeColor="accent1" w:themeShade="BF"/>
            </w:tcBorders>
            <w:shd w:val="clear" w:color="auto" w:fill="auto"/>
            <w:noWrap/>
            <w:vAlign w:val="bottom"/>
            <w:hideMark/>
          </w:tcPr>
          <w:p w14:paraId="33531753"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nil"/>
              <w:right w:val="nil"/>
            </w:tcBorders>
            <w:shd w:val="clear" w:color="auto" w:fill="auto"/>
            <w:noWrap/>
            <w:vAlign w:val="bottom"/>
            <w:hideMark/>
          </w:tcPr>
          <w:p w14:paraId="15B29C87"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nil"/>
              <w:right w:val="single" w:sz="8" w:space="0" w:color="365F91" w:themeColor="accent1" w:themeShade="BF"/>
            </w:tcBorders>
            <w:shd w:val="clear" w:color="auto" w:fill="auto"/>
            <w:noWrap/>
            <w:vAlign w:val="bottom"/>
            <w:hideMark/>
          </w:tcPr>
          <w:p w14:paraId="002BA490"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nil"/>
              <w:right w:val="nil"/>
            </w:tcBorders>
            <w:shd w:val="clear" w:color="auto" w:fill="auto"/>
            <w:noWrap/>
            <w:vAlign w:val="bottom"/>
            <w:hideMark/>
          </w:tcPr>
          <w:p w14:paraId="2554E0A9"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nil"/>
              <w:right w:val="single" w:sz="8" w:space="0" w:color="365F91" w:themeColor="accent1" w:themeShade="BF"/>
            </w:tcBorders>
            <w:shd w:val="clear" w:color="auto" w:fill="auto"/>
            <w:noWrap/>
            <w:vAlign w:val="bottom"/>
            <w:hideMark/>
          </w:tcPr>
          <w:p w14:paraId="443B7DA6"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nil"/>
              <w:right w:val="nil"/>
            </w:tcBorders>
            <w:shd w:val="clear" w:color="auto" w:fill="auto"/>
            <w:noWrap/>
            <w:vAlign w:val="bottom"/>
            <w:hideMark/>
          </w:tcPr>
          <w:p w14:paraId="395031C1"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nil"/>
              <w:right w:val="single" w:sz="8" w:space="0" w:color="365F91" w:themeColor="accent1" w:themeShade="BF"/>
            </w:tcBorders>
            <w:shd w:val="clear" w:color="auto" w:fill="auto"/>
            <w:noWrap/>
            <w:vAlign w:val="bottom"/>
            <w:hideMark/>
          </w:tcPr>
          <w:p w14:paraId="54919AE5" w14:textId="77777777" w:rsidR="00C4454D" w:rsidRPr="00A735B4" w:rsidRDefault="00C4454D" w:rsidP="00C4454D">
            <w:pPr>
              <w:rPr>
                <w:color w:val="1F497D" w:themeColor="text2"/>
              </w:rPr>
            </w:pPr>
            <w:r w:rsidRPr="00A735B4">
              <w:rPr>
                <w:color w:val="1F497D" w:themeColor="text2"/>
              </w:rPr>
              <w:t> </w:t>
            </w:r>
          </w:p>
        </w:tc>
      </w:tr>
      <w:tr w:rsidR="00C4454D" w:rsidRPr="00A735B4" w14:paraId="108ABC02" w14:textId="77777777" w:rsidTr="00C4454D">
        <w:trPr>
          <w:trHeight w:val="205"/>
        </w:trPr>
        <w:tc>
          <w:tcPr>
            <w:tcW w:w="1415" w:type="dxa"/>
            <w:tcBorders>
              <w:top w:val="nil"/>
              <w:left w:val="single" w:sz="8" w:space="0" w:color="365F91" w:themeColor="accent1" w:themeShade="BF"/>
              <w:bottom w:val="nil"/>
              <w:right w:val="nil"/>
            </w:tcBorders>
            <w:shd w:val="clear" w:color="auto" w:fill="auto"/>
            <w:noWrap/>
            <w:vAlign w:val="bottom"/>
            <w:hideMark/>
          </w:tcPr>
          <w:p w14:paraId="46D2EADD" w14:textId="77777777" w:rsidR="00C4454D" w:rsidRPr="00A735B4" w:rsidRDefault="00C4454D" w:rsidP="00C4454D">
            <w:pPr>
              <w:rPr>
                <w:color w:val="1F497D" w:themeColor="text2"/>
                <w:sz w:val="18"/>
                <w:szCs w:val="18"/>
              </w:rPr>
            </w:pPr>
            <w:r w:rsidRPr="00A735B4">
              <w:rPr>
                <w:color w:val="1F497D" w:themeColor="text2"/>
                <w:sz w:val="18"/>
                <w:szCs w:val="18"/>
              </w:rPr>
              <w:t>Rwanda</w:t>
            </w:r>
          </w:p>
        </w:tc>
        <w:tc>
          <w:tcPr>
            <w:tcW w:w="686" w:type="dxa"/>
            <w:tcBorders>
              <w:top w:val="nil"/>
              <w:left w:val="nil"/>
              <w:bottom w:val="nil"/>
              <w:right w:val="single" w:sz="8" w:space="0" w:color="365F91" w:themeColor="accent1" w:themeShade="BF"/>
            </w:tcBorders>
            <w:shd w:val="clear" w:color="auto" w:fill="auto"/>
            <w:noWrap/>
            <w:vAlign w:val="bottom"/>
            <w:hideMark/>
          </w:tcPr>
          <w:p w14:paraId="2488EFF0" w14:textId="77777777" w:rsidR="00C4454D" w:rsidRPr="00A735B4" w:rsidRDefault="00C4454D" w:rsidP="00C4454D">
            <w:pPr>
              <w:rPr>
                <w:color w:val="1F497D" w:themeColor="text2"/>
                <w:sz w:val="18"/>
                <w:szCs w:val="18"/>
              </w:rPr>
            </w:pPr>
          </w:p>
        </w:tc>
        <w:tc>
          <w:tcPr>
            <w:tcW w:w="316" w:type="dxa"/>
            <w:tcBorders>
              <w:top w:val="nil"/>
              <w:left w:val="single" w:sz="8" w:space="0" w:color="365F91" w:themeColor="accent1" w:themeShade="BF"/>
              <w:bottom w:val="nil"/>
              <w:right w:val="single" w:sz="8" w:space="0" w:color="365F91" w:themeColor="accent1" w:themeShade="BF"/>
            </w:tcBorders>
            <w:shd w:val="clear" w:color="auto" w:fill="auto"/>
            <w:noWrap/>
            <w:vAlign w:val="bottom"/>
            <w:hideMark/>
          </w:tcPr>
          <w:p w14:paraId="346980E3"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nil"/>
              <w:right w:val="nil"/>
            </w:tcBorders>
            <w:shd w:val="clear" w:color="auto" w:fill="auto"/>
            <w:noWrap/>
            <w:vAlign w:val="bottom"/>
            <w:hideMark/>
          </w:tcPr>
          <w:p w14:paraId="4E824EDE" w14:textId="77777777" w:rsidR="00C4454D" w:rsidRPr="00A735B4" w:rsidRDefault="00C4454D" w:rsidP="00C4454D">
            <w:pPr>
              <w:rPr>
                <w:color w:val="1F497D" w:themeColor="text2"/>
                <w:sz w:val="18"/>
                <w:szCs w:val="18"/>
              </w:rPr>
            </w:pPr>
          </w:p>
        </w:tc>
        <w:tc>
          <w:tcPr>
            <w:tcW w:w="259" w:type="dxa"/>
            <w:tcBorders>
              <w:top w:val="nil"/>
              <w:left w:val="nil"/>
              <w:bottom w:val="nil"/>
              <w:right w:val="single" w:sz="8" w:space="0" w:color="365F91" w:themeColor="accent1" w:themeShade="BF"/>
            </w:tcBorders>
            <w:shd w:val="clear" w:color="auto" w:fill="auto"/>
            <w:noWrap/>
            <w:vAlign w:val="bottom"/>
            <w:hideMark/>
          </w:tcPr>
          <w:p w14:paraId="781882A5"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nil"/>
              <w:right w:val="nil"/>
            </w:tcBorders>
            <w:shd w:val="clear" w:color="auto" w:fill="auto"/>
            <w:noWrap/>
            <w:vAlign w:val="bottom"/>
            <w:hideMark/>
          </w:tcPr>
          <w:p w14:paraId="5F58F8A3"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nil"/>
              <w:right w:val="single" w:sz="8" w:space="0" w:color="365F91" w:themeColor="accent1" w:themeShade="BF"/>
            </w:tcBorders>
            <w:shd w:val="clear" w:color="auto" w:fill="auto"/>
            <w:noWrap/>
            <w:vAlign w:val="bottom"/>
            <w:hideMark/>
          </w:tcPr>
          <w:p w14:paraId="7347796D"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nil"/>
              <w:right w:val="nil"/>
            </w:tcBorders>
            <w:shd w:val="clear" w:color="auto" w:fill="auto"/>
            <w:noWrap/>
            <w:vAlign w:val="bottom"/>
            <w:hideMark/>
          </w:tcPr>
          <w:p w14:paraId="180A403D" w14:textId="77777777" w:rsidR="00C4454D" w:rsidRPr="00A735B4" w:rsidRDefault="00C4454D" w:rsidP="00C4454D">
            <w:pPr>
              <w:rPr>
                <w:color w:val="1F497D" w:themeColor="text2"/>
                <w:sz w:val="18"/>
                <w:szCs w:val="18"/>
              </w:rPr>
            </w:pPr>
          </w:p>
        </w:tc>
        <w:tc>
          <w:tcPr>
            <w:tcW w:w="259" w:type="dxa"/>
            <w:tcBorders>
              <w:top w:val="nil"/>
              <w:left w:val="nil"/>
              <w:bottom w:val="nil"/>
              <w:right w:val="single" w:sz="8" w:space="0" w:color="365F91" w:themeColor="accent1" w:themeShade="BF"/>
            </w:tcBorders>
            <w:shd w:val="clear" w:color="auto" w:fill="auto"/>
            <w:noWrap/>
            <w:vAlign w:val="bottom"/>
            <w:hideMark/>
          </w:tcPr>
          <w:p w14:paraId="5C4F1E87" w14:textId="77777777" w:rsidR="00C4454D" w:rsidRPr="00A735B4" w:rsidRDefault="00C4454D" w:rsidP="00C4454D">
            <w:pPr>
              <w:rPr>
                <w:color w:val="1F497D" w:themeColor="text2"/>
                <w:sz w:val="18"/>
                <w:szCs w:val="18"/>
              </w:rPr>
            </w:pPr>
          </w:p>
        </w:tc>
        <w:tc>
          <w:tcPr>
            <w:tcW w:w="259" w:type="dxa"/>
            <w:tcBorders>
              <w:top w:val="nil"/>
              <w:left w:val="single" w:sz="8" w:space="0" w:color="365F91" w:themeColor="accent1" w:themeShade="BF"/>
              <w:bottom w:val="nil"/>
              <w:right w:val="nil"/>
            </w:tcBorders>
            <w:shd w:val="clear" w:color="auto" w:fill="365F91" w:themeFill="accent1" w:themeFillShade="BF"/>
            <w:noWrap/>
            <w:vAlign w:val="bottom"/>
            <w:hideMark/>
          </w:tcPr>
          <w:p w14:paraId="62530DFD"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nil"/>
              <w:right w:val="single" w:sz="8" w:space="0" w:color="365F91" w:themeColor="accent1" w:themeShade="BF"/>
            </w:tcBorders>
            <w:shd w:val="clear" w:color="auto" w:fill="auto"/>
            <w:noWrap/>
            <w:vAlign w:val="bottom"/>
            <w:hideMark/>
          </w:tcPr>
          <w:p w14:paraId="274C80CC"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nil"/>
              <w:right w:val="nil"/>
            </w:tcBorders>
            <w:shd w:val="clear" w:color="auto" w:fill="auto"/>
            <w:noWrap/>
            <w:vAlign w:val="bottom"/>
            <w:hideMark/>
          </w:tcPr>
          <w:p w14:paraId="3CF5DC70"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nil"/>
              <w:right w:val="single" w:sz="8" w:space="0" w:color="365F91" w:themeColor="accent1" w:themeShade="BF"/>
            </w:tcBorders>
            <w:shd w:val="clear" w:color="auto" w:fill="auto"/>
            <w:noWrap/>
            <w:vAlign w:val="bottom"/>
            <w:hideMark/>
          </w:tcPr>
          <w:p w14:paraId="3F1695B8"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nil"/>
              <w:right w:val="nil"/>
            </w:tcBorders>
            <w:shd w:val="clear" w:color="auto" w:fill="auto"/>
            <w:noWrap/>
            <w:vAlign w:val="bottom"/>
            <w:hideMark/>
          </w:tcPr>
          <w:p w14:paraId="607A964C" w14:textId="77777777" w:rsidR="00C4454D" w:rsidRPr="00A735B4" w:rsidRDefault="00C4454D" w:rsidP="00C4454D">
            <w:pPr>
              <w:rPr>
                <w:color w:val="1F497D" w:themeColor="text2"/>
                <w:sz w:val="18"/>
                <w:szCs w:val="18"/>
              </w:rPr>
            </w:pPr>
          </w:p>
        </w:tc>
        <w:tc>
          <w:tcPr>
            <w:tcW w:w="259" w:type="dxa"/>
            <w:tcBorders>
              <w:top w:val="nil"/>
              <w:left w:val="nil"/>
              <w:bottom w:val="nil"/>
              <w:right w:val="single" w:sz="8" w:space="0" w:color="365F91" w:themeColor="accent1" w:themeShade="BF"/>
            </w:tcBorders>
            <w:shd w:val="clear" w:color="auto" w:fill="auto"/>
            <w:noWrap/>
            <w:vAlign w:val="bottom"/>
            <w:hideMark/>
          </w:tcPr>
          <w:p w14:paraId="59E4D55F" w14:textId="77777777" w:rsidR="00C4454D" w:rsidRPr="00A735B4" w:rsidRDefault="00C4454D" w:rsidP="00C4454D">
            <w:pPr>
              <w:rPr>
                <w:color w:val="1F497D" w:themeColor="text2"/>
                <w:sz w:val="18"/>
                <w:szCs w:val="18"/>
              </w:rPr>
            </w:pPr>
          </w:p>
        </w:tc>
        <w:tc>
          <w:tcPr>
            <w:tcW w:w="259" w:type="dxa"/>
            <w:tcBorders>
              <w:top w:val="nil"/>
              <w:left w:val="single" w:sz="8" w:space="0" w:color="365F91" w:themeColor="accent1" w:themeShade="BF"/>
              <w:bottom w:val="nil"/>
              <w:right w:val="nil"/>
            </w:tcBorders>
            <w:shd w:val="clear" w:color="auto" w:fill="auto"/>
            <w:noWrap/>
            <w:vAlign w:val="bottom"/>
            <w:hideMark/>
          </w:tcPr>
          <w:p w14:paraId="3ADA8FB4"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nil"/>
              <w:right w:val="single" w:sz="8" w:space="0" w:color="365F91" w:themeColor="accent1" w:themeShade="BF"/>
            </w:tcBorders>
            <w:shd w:val="clear" w:color="auto" w:fill="auto"/>
            <w:noWrap/>
            <w:vAlign w:val="bottom"/>
            <w:hideMark/>
          </w:tcPr>
          <w:p w14:paraId="6DC7BF55"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nil"/>
              <w:right w:val="nil"/>
            </w:tcBorders>
            <w:shd w:val="clear" w:color="auto" w:fill="auto"/>
            <w:noWrap/>
            <w:vAlign w:val="bottom"/>
            <w:hideMark/>
          </w:tcPr>
          <w:p w14:paraId="23042301" w14:textId="77777777" w:rsidR="00C4454D" w:rsidRPr="00A735B4" w:rsidRDefault="00C4454D" w:rsidP="00C4454D">
            <w:pPr>
              <w:rPr>
                <w:color w:val="1F497D" w:themeColor="text2"/>
                <w:sz w:val="18"/>
                <w:szCs w:val="18"/>
              </w:rPr>
            </w:pPr>
          </w:p>
        </w:tc>
        <w:tc>
          <w:tcPr>
            <w:tcW w:w="259" w:type="dxa"/>
            <w:tcBorders>
              <w:top w:val="nil"/>
              <w:left w:val="nil"/>
              <w:bottom w:val="nil"/>
              <w:right w:val="single" w:sz="8" w:space="0" w:color="365F91" w:themeColor="accent1" w:themeShade="BF"/>
            </w:tcBorders>
            <w:shd w:val="clear" w:color="auto" w:fill="auto"/>
            <w:noWrap/>
            <w:vAlign w:val="bottom"/>
            <w:hideMark/>
          </w:tcPr>
          <w:p w14:paraId="70BFB267" w14:textId="77777777" w:rsidR="00C4454D" w:rsidRPr="00A735B4" w:rsidRDefault="00C4454D" w:rsidP="00C4454D">
            <w:pPr>
              <w:rPr>
                <w:color w:val="1F497D" w:themeColor="text2"/>
                <w:sz w:val="18"/>
                <w:szCs w:val="18"/>
              </w:rPr>
            </w:pPr>
          </w:p>
        </w:tc>
        <w:tc>
          <w:tcPr>
            <w:tcW w:w="259" w:type="dxa"/>
            <w:tcBorders>
              <w:top w:val="nil"/>
              <w:left w:val="single" w:sz="8" w:space="0" w:color="365F91" w:themeColor="accent1" w:themeShade="BF"/>
              <w:bottom w:val="nil"/>
              <w:right w:val="nil"/>
            </w:tcBorders>
            <w:shd w:val="clear" w:color="auto" w:fill="auto"/>
            <w:noWrap/>
            <w:vAlign w:val="bottom"/>
            <w:hideMark/>
          </w:tcPr>
          <w:p w14:paraId="052C1FD8"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nil"/>
              <w:right w:val="single" w:sz="8" w:space="0" w:color="365F91" w:themeColor="accent1" w:themeShade="BF"/>
            </w:tcBorders>
            <w:shd w:val="clear" w:color="auto" w:fill="auto"/>
            <w:noWrap/>
            <w:vAlign w:val="bottom"/>
            <w:hideMark/>
          </w:tcPr>
          <w:p w14:paraId="08CE4FDA"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nil"/>
              <w:right w:val="nil"/>
            </w:tcBorders>
            <w:shd w:val="clear" w:color="auto" w:fill="auto"/>
            <w:noWrap/>
            <w:vAlign w:val="bottom"/>
            <w:hideMark/>
          </w:tcPr>
          <w:p w14:paraId="6DDA2261"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nil"/>
              <w:right w:val="single" w:sz="8" w:space="0" w:color="365F91" w:themeColor="accent1" w:themeShade="BF"/>
            </w:tcBorders>
            <w:shd w:val="clear" w:color="auto" w:fill="auto"/>
            <w:noWrap/>
            <w:vAlign w:val="bottom"/>
            <w:hideMark/>
          </w:tcPr>
          <w:p w14:paraId="6465C851"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nil"/>
              <w:right w:val="nil"/>
            </w:tcBorders>
            <w:shd w:val="clear" w:color="auto" w:fill="auto"/>
            <w:noWrap/>
            <w:vAlign w:val="bottom"/>
            <w:hideMark/>
          </w:tcPr>
          <w:p w14:paraId="2FC2A69D"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nil"/>
              <w:right w:val="single" w:sz="8" w:space="0" w:color="365F91" w:themeColor="accent1" w:themeShade="BF"/>
            </w:tcBorders>
            <w:shd w:val="clear" w:color="auto" w:fill="auto"/>
            <w:noWrap/>
            <w:vAlign w:val="bottom"/>
            <w:hideMark/>
          </w:tcPr>
          <w:p w14:paraId="597EB10C"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nil"/>
              <w:right w:val="nil"/>
            </w:tcBorders>
            <w:shd w:val="clear" w:color="auto" w:fill="auto"/>
            <w:noWrap/>
            <w:vAlign w:val="bottom"/>
            <w:hideMark/>
          </w:tcPr>
          <w:p w14:paraId="6C5AF54B"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nil"/>
              <w:right w:val="single" w:sz="8" w:space="0" w:color="365F91" w:themeColor="accent1" w:themeShade="BF"/>
            </w:tcBorders>
            <w:shd w:val="clear" w:color="auto" w:fill="auto"/>
            <w:noWrap/>
            <w:vAlign w:val="bottom"/>
            <w:hideMark/>
          </w:tcPr>
          <w:p w14:paraId="78813993" w14:textId="77777777" w:rsidR="00C4454D" w:rsidRPr="00A735B4" w:rsidRDefault="00C4454D" w:rsidP="00C4454D">
            <w:pPr>
              <w:rPr>
                <w:color w:val="1F497D" w:themeColor="text2"/>
              </w:rPr>
            </w:pPr>
            <w:r w:rsidRPr="00A735B4">
              <w:rPr>
                <w:color w:val="1F497D" w:themeColor="text2"/>
              </w:rPr>
              <w:t> </w:t>
            </w:r>
          </w:p>
        </w:tc>
      </w:tr>
      <w:tr w:rsidR="00C4454D" w:rsidRPr="00A735B4" w14:paraId="20F0D026" w14:textId="77777777" w:rsidTr="00C4454D">
        <w:trPr>
          <w:trHeight w:val="205"/>
        </w:trPr>
        <w:tc>
          <w:tcPr>
            <w:tcW w:w="1415" w:type="dxa"/>
            <w:tcBorders>
              <w:top w:val="nil"/>
              <w:left w:val="single" w:sz="8" w:space="0" w:color="365F91" w:themeColor="accent1" w:themeShade="BF"/>
              <w:bottom w:val="nil"/>
              <w:right w:val="nil"/>
            </w:tcBorders>
            <w:shd w:val="clear" w:color="auto" w:fill="auto"/>
            <w:noWrap/>
            <w:vAlign w:val="bottom"/>
            <w:hideMark/>
          </w:tcPr>
          <w:p w14:paraId="355B5917" w14:textId="77777777" w:rsidR="00C4454D" w:rsidRPr="00A735B4" w:rsidRDefault="00C4454D" w:rsidP="00C4454D">
            <w:pPr>
              <w:rPr>
                <w:color w:val="1F497D" w:themeColor="text2"/>
                <w:sz w:val="18"/>
                <w:szCs w:val="18"/>
              </w:rPr>
            </w:pPr>
            <w:r w:rsidRPr="00A735B4">
              <w:rPr>
                <w:color w:val="1F497D" w:themeColor="text2"/>
                <w:sz w:val="18"/>
                <w:szCs w:val="18"/>
              </w:rPr>
              <w:t>Malawi</w:t>
            </w:r>
          </w:p>
        </w:tc>
        <w:tc>
          <w:tcPr>
            <w:tcW w:w="686" w:type="dxa"/>
            <w:tcBorders>
              <w:top w:val="nil"/>
              <w:left w:val="nil"/>
              <w:bottom w:val="nil"/>
              <w:right w:val="single" w:sz="8" w:space="0" w:color="365F91" w:themeColor="accent1" w:themeShade="BF"/>
            </w:tcBorders>
            <w:shd w:val="clear" w:color="auto" w:fill="auto"/>
            <w:noWrap/>
            <w:vAlign w:val="bottom"/>
            <w:hideMark/>
          </w:tcPr>
          <w:p w14:paraId="0C75A252" w14:textId="77777777" w:rsidR="00C4454D" w:rsidRPr="00A735B4" w:rsidRDefault="00C4454D" w:rsidP="00C4454D">
            <w:pPr>
              <w:rPr>
                <w:color w:val="1F497D" w:themeColor="text2"/>
                <w:sz w:val="18"/>
                <w:szCs w:val="18"/>
              </w:rPr>
            </w:pPr>
          </w:p>
        </w:tc>
        <w:tc>
          <w:tcPr>
            <w:tcW w:w="316" w:type="dxa"/>
            <w:tcBorders>
              <w:top w:val="nil"/>
              <w:left w:val="single" w:sz="8" w:space="0" w:color="365F91" w:themeColor="accent1" w:themeShade="BF"/>
              <w:bottom w:val="nil"/>
              <w:right w:val="single" w:sz="8" w:space="0" w:color="365F91" w:themeColor="accent1" w:themeShade="BF"/>
            </w:tcBorders>
            <w:shd w:val="clear" w:color="auto" w:fill="auto"/>
            <w:noWrap/>
            <w:vAlign w:val="bottom"/>
            <w:hideMark/>
          </w:tcPr>
          <w:p w14:paraId="17E0EAE6"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nil"/>
              <w:right w:val="nil"/>
            </w:tcBorders>
            <w:shd w:val="clear" w:color="auto" w:fill="auto"/>
            <w:noWrap/>
            <w:vAlign w:val="bottom"/>
            <w:hideMark/>
          </w:tcPr>
          <w:p w14:paraId="2AA03B7E" w14:textId="77777777" w:rsidR="00C4454D" w:rsidRPr="00A735B4" w:rsidRDefault="00C4454D" w:rsidP="00C4454D">
            <w:pPr>
              <w:rPr>
                <w:color w:val="1F497D" w:themeColor="text2"/>
                <w:sz w:val="18"/>
                <w:szCs w:val="18"/>
              </w:rPr>
            </w:pPr>
          </w:p>
        </w:tc>
        <w:tc>
          <w:tcPr>
            <w:tcW w:w="259" w:type="dxa"/>
            <w:tcBorders>
              <w:top w:val="nil"/>
              <w:left w:val="nil"/>
              <w:bottom w:val="nil"/>
              <w:right w:val="single" w:sz="8" w:space="0" w:color="365F91" w:themeColor="accent1" w:themeShade="BF"/>
            </w:tcBorders>
            <w:shd w:val="clear" w:color="auto" w:fill="auto"/>
            <w:noWrap/>
            <w:vAlign w:val="bottom"/>
            <w:hideMark/>
          </w:tcPr>
          <w:p w14:paraId="6017249E"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nil"/>
              <w:right w:val="nil"/>
            </w:tcBorders>
            <w:shd w:val="clear" w:color="auto" w:fill="auto"/>
            <w:noWrap/>
            <w:vAlign w:val="bottom"/>
            <w:hideMark/>
          </w:tcPr>
          <w:p w14:paraId="72E4A50D"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nil"/>
              <w:right w:val="single" w:sz="8" w:space="0" w:color="365F91" w:themeColor="accent1" w:themeShade="BF"/>
            </w:tcBorders>
            <w:shd w:val="clear" w:color="auto" w:fill="auto"/>
            <w:noWrap/>
            <w:vAlign w:val="bottom"/>
            <w:hideMark/>
          </w:tcPr>
          <w:p w14:paraId="489CD3E4"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nil"/>
              <w:right w:val="nil"/>
            </w:tcBorders>
            <w:shd w:val="clear" w:color="auto" w:fill="365F91" w:themeFill="accent1" w:themeFillShade="BF"/>
            <w:noWrap/>
            <w:vAlign w:val="bottom"/>
            <w:hideMark/>
          </w:tcPr>
          <w:p w14:paraId="4379A885"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nil"/>
              <w:right w:val="single" w:sz="8" w:space="0" w:color="365F91" w:themeColor="accent1" w:themeShade="BF"/>
            </w:tcBorders>
            <w:shd w:val="clear" w:color="auto" w:fill="auto"/>
            <w:noWrap/>
            <w:vAlign w:val="bottom"/>
            <w:hideMark/>
          </w:tcPr>
          <w:p w14:paraId="2D42D63A" w14:textId="77777777" w:rsidR="00C4454D" w:rsidRPr="00A735B4" w:rsidRDefault="00C4454D" w:rsidP="00C4454D">
            <w:pPr>
              <w:rPr>
                <w:color w:val="1F497D" w:themeColor="text2"/>
                <w:sz w:val="18"/>
                <w:szCs w:val="18"/>
              </w:rPr>
            </w:pPr>
          </w:p>
        </w:tc>
        <w:tc>
          <w:tcPr>
            <w:tcW w:w="259" w:type="dxa"/>
            <w:tcBorders>
              <w:top w:val="nil"/>
              <w:left w:val="single" w:sz="8" w:space="0" w:color="365F91" w:themeColor="accent1" w:themeShade="BF"/>
              <w:bottom w:val="nil"/>
              <w:right w:val="nil"/>
            </w:tcBorders>
            <w:shd w:val="clear" w:color="auto" w:fill="auto"/>
            <w:noWrap/>
            <w:vAlign w:val="bottom"/>
            <w:hideMark/>
          </w:tcPr>
          <w:p w14:paraId="782135B9"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nil"/>
              <w:right w:val="single" w:sz="8" w:space="0" w:color="365F91" w:themeColor="accent1" w:themeShade="BF"/>
            </w:tcBorders>
            <w:shd w:val="clear" w:color="auto" w:fill="auto"/>
            <w:noWrap/>
            <w:vAlign w:val="bottom"/>
            <w:hideMark/>
          </w:tcPr>
          <w:p w14:paraId="2D17056D"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nil"/>
              <w:right w:val="nil"/>
            </w:tcBorders>
            <w:shd w:val="clear" w:color="auto" w:fill="auto"/>
            <w:noWrap/>
            <w:vAlign w:val="bottom"/>
            <w:hideMark/>
          </w:tcPr>
          <w:p w14:paraId="6737ECF4"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nil"/>
              <w:right w:val="single" w:sz="8" w:space="0" w:color="365F91" w:themeColor="accent1" w:themeShade="BF"/>
            </w:tcBorders>
            <w:shd w:val="clear" w:color="auto" w:fill="auto"/>
            <w:noWrap/>
            <w:vAlign w:val="bottom"/>
            <w:hideMark/>
          </w:tcPr>
          <w:p w14:paraId="678A3BFB"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nil"/>
              <w:right w:val="nil"/>
            </w:tcBorders>
            <w:shd w:val="clear" w:color="auto" w:fill="auto"/>
            <w:noWrap/>
            <w:vAlign w:val="bottom"/>
            <w:hideMark/>
          </w:tcPr>
          <w:p w14:paraId="3D2C093D" w14:textId="77777777" w:rsidR="00C4454D" w:rsidRPr="00A735B4" w:rsidRDefault="00C4454D" w:rsidP="00C4454D">
            <w:pPr>
              <w:rPr>
                <w:color w:val="1F497D" w:themeColor="text2"/>
                <w:sz w:val="18"/>
                <w:szCs w:val="18"/>
              </w:rPr>
            </w:pPr>
          </w:p>
        </w:tc>
        <w:tc>
          <w:tcPr>
            <w:tcW w:w="259" w:type="dxa"/>
            <w:tcBorders>
              <w:top w:val="nil"/>
              <w:left w:val="nil"/>
              <w:bottom w:val="nil"/>
              <w:right w:val="single" w:sz="8" w:space="0" w:color="365F91" w:themeColor="accent1" w:themeShade="BF"/>
            </w:tcBorders>
            <w:shd w:val="clear" w:color="auto" w:fill="auto"/>
            <w:noWrap/>
            <w:vAlign w:val="bottom"/>
            <w:hideMark/>
          </w:tcPr>
          <w:p w14:paraId="5D6B4911" w14:textId="77777777" w:rsidR="00C4454D" w:rsidRPr="00A735B4" w:rsidRDefault="00C4454D" w:rsidP="00C4454D">
            <w:pPr>
              <w:rPr>
                <w:color w:val="1F497D" w:themeColor="text2"/>
                <w:sz w:val="18"/>
                <w:szCs w:val="18"/>
              </w:rPr>
            </w:pPr>
          </w:p>
        </w:tc>
        <w:tc>
          <w:tcPr>
            <w:tcW w:w="259" w:type="dxa"/>
            <w:tcBorders>
              <w:top w:val="nil"/>
              <w:left w:val="single" w:sz="8" w:space="0" w:color="365F91" w:themeColor="accent1" w:themeShade="BF"/>
              <w:bottom w:val="nil"/>
              <w:right w:val="nil"/>
            </w:tcBorders>
            <w:shd w:val="clear" w:color="auto" w:fill="auto"/>
            <w:noWrap/>
            <w:vAlign w:val="bottom"/>
            <w:hideMark/>
          </w:tcPr>
          <w:p w14:paraId="77DEFE32"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nil"/>
              <w:right w:val="single" w:sz="8" w:space="0" w:color="365F91" w:themeColor="accent1" w:themeShade="BF"/>
            </w:tcBorders>
            <w:shd w:val="clear" w:color="auto" w:fill="auto"/>
            <w:noWrap/>
            <w:vAlign w:val="bottom"/>
            <w:hideMark/>
          </w:tcPr>
          <w:p w14:paraId="40CAA905"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nil"/>
              <w:right w:val="nil"/>
            </w:tcBorders>
            <w:shd w:val="clear" w:color="auto" w:fill="auto"/>
            <w:noWrap/>
            <w:vAlign w:val="bottom"/>
            <w:hideMark/>
          </w:tcPr>
          <w:p w14:paraId="39C2EB2D" w14:textId="77777777" w:rsidR="00C4454D" w:rsidRPr="00A735B4" w:rsidRDefault="00C4454D" w:rsidP="00C4454D">
            <w:pPr>
              <w:rPr>
                <w:color w:val="1F497D" w:themeColor="text2"/>
                <w:sz w:val="18"/>
                <w:szCs w:val="18"/>
              </w:rPr>
            </w:pPr>
          </w:p>
        </w:tc>
        <w:tc>
          <w:tcPr>
            <w:tcW w:w="259" w:type="dxa"/>
            <w:tcBorders>
              <w:top w:val="nil"/>
              <w:left w:val="nil"/>
              <w:bottom w:val="nil"/>
              <w:right w:val="single" w:sz="8" w:space="0" w:color="365F91" w:themeColor="accent1" w:themeShade="BF"/>
            </w:tcBorders>
            <w:shd w:val="clear" w:color="auto" w:fill="auto"/>
            <w:noWrap/>
            <w:vAlign w:val="bottom"/>
            <w:hideMark/>
          </w:tcPr>
          <w:p w14:paraId="05C4E655" w14:textId="77777777" w:rsidR="00C4454D" w:rsidRPr="00A735B4" w:rsidRDefault="00C4454D" w:rsidP="00C4454D">
            <w:pPr>
              <w:rPr>
                <w:color w:val="1F497D" w:themeColor="text2"/>
                <w:sz w:val="18"/>
                <w:szCs w:val="18"/>
              </w:rPr>
            </w:pPr>
          </w:p>
        </w:tc>
        <w:tc>
          <w:tcPr>
            <w:tcW w:w="259" w:type="dxa"/>
            <w:tcBorders>
              <w:top w:val="nil"/>
              <w:left w:val="single" w:sz="8" w:space="0" w:color="365F91" w:themeColor="accent1" w:themeShade="BF"/>
              <w:bottom w:val="nil"/>
              <w:right w:val="nil"/>
            </w:tcBorders>
            <w:shd w:val="clear" w:color="auto" w:fill="auto"/>
            <w:noWrap/>
            <w:vAlign w:val="bottom"/>
            <w:hideMark/>
          </w:tcPr>
          <w:p w14:paraId="6DC4FB35"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nil"/>
              <w:right w:val="single" w:sz="8" w:space="0" w:color="365F91" w:themeColor="accent1" w:themeShade="BF"/>
            </w:tcBorders>
            <w:shd w:val="clear" w:color="auto" w:fill="auto"/>
            <w:noWrap/>
            <w:vAlign w:val="bottom"/>
            <w:hideMark/>
          </w:tcPr>
          <w:p w14:paraId="38E6002A"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nil"/>
              <w:right w:val="nil"/>
            </w:tcBorders>
            <w:shd w:val="clear" w:color="auto" w:fill="auto"/>
            <w:noWrap/>
            <w:vAlign w:val="bottom"/>
            <w:hideMark/>
          </w:tcPr>
          <w:p w14:paraId="6AA111EA"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nil"/>
              <w:right w:val="single" w:sz="8" w:space="0" w:color="365F91" w:themeColor="accent1" w:themeShade="BF"/>
            </w:tcBorders>
            <w:shd w:val="clear" w:color="auto" w:fill="auto"/>
            <w:noWrap/>
            <w:vAlign w:val="bottom"/>
            <w:hideMark/>
          </w:tcPr>
          <w:p w14:paraId="403922DD"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nil"/>
              <w:right w:val="nil"/>
            </w:tcBorders>
            <w:shd w:val="clear" w:color="auto" w:fill="auto"/>
            <w:noWrap/>
            <w:vAlign w:val="bottom"/>
            <w:hideMark/>
          </w:tcPr>
          <w:p w14:paraId="6AFB3E7E"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nil"/>
              <w:right w:val="single" w:sz="8" w:space="0" w:color="365F91" w:themeColor="accent1" w:themeShade="BF"/>
            </w:tcBorders>
            <w:shd w:val="clear" w:color="auto" w:fill="auto"/>
            <w:noWrap/>
            <w:vAlign w:val="bottom"/>
            <w:hideMark/>
          </w:tcPr>
          <w:p w14:paraId="4399492E"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nil"/>
              <w:right w:val="nil"/>
            </w:tcBorders>
            <w:shd w:val="clear" w:color="auto" w:fill="auto"/>
            <w:noWrap/>
            <w:vAlign w:val="bottom"/>
            <w:hideMark/>
          </w:tcPr>
          <w:p w14:paraId="6A9948A5"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nil"/>
              <w:right w:val="single" w:sz="8" w:space="0" w:color="365F91" w:themeColor="accent1" w:themeShade="BF"/>
            </w:tcBorders>
            <w:shd w:val="clear" w:color="auto" w:fill="auto"/>
            <w:noWrap/>
            <w:vAlign w:val="bottom"/>
            <w:hideMark/>
          </w:tcPr>
          <w:p w14:paraId="1584C11A" w14:textId="77777777" w:rsidR="00C4454D" w:rsidRPr="00A735B4" w:rsidRDefault="00C4454D" w:rsidP="00C4454D">
            <w:pPr>
              <w:rPr>
                <w:color w:val="1F497D" w:themeColor="text2"/>
              </w:rPr>
            </w:pPr>
            <w:r w:rsidRPr="00A735B4">
              <w:rPr>
                <w:color w:val="1F497D" w:themeColor="text2"/>
              </w:rPr>
              <w:t> </w:t>
            </w:r>
          </w:p>
        </w:tc>
      </w:tr>
      <w:tr w:rsidR="00C4454D" w:rsidRPr="00A735B4" w14:paraId="4875B7FA" w14:textId="77777777" w:rsidTr="00C4454D">
        <w:trPr>
          <w:trHeight w:val="205"/>
        </w:trPr>
        <w:tc>
          <w:tcPr>
            <w:tcW w:w="1415" w:type="dxa"/>
            <w:tcBorders>
              <w:top w:val="nil"/>
              <w:left w:val="single" w:sz="8" w:space="0" w:color="365F91" w:themeColor="accent1" w:themeShade="BF"/>
              <w:bottom w:val="single" w:sz="8" w:space="0" w:color="365F91" w:themeColor="accent1" w:themeShade="BF"/>
              <w:right w:val="nil"/>
            </w:tcBorders>
            <w:shd w:val="clear" w:color="auto" w:fill="auto"/>
            <w:noWrap/>
            <w:vAlign w:val="bottom"/>
            <w:hideMark/>
          </w:tcPr>
          <w:p w14:paraId="516E0324" w14:textId="77777777" w:rsidR="00C4454D" w:rsidRPr="00A735B4" w:rsidRDefault="00C4454D" w:rsidP="00C4454D">
            <w:pPr>
              <w:rPr>
                <w:color w:val="1F497D" w:themeColor="text2"/>
                <w:sz w:val="18"/>
                <w:szCs w:val="18"/>
              </w:rPr>
            </w:pPr>
            <w:r w:rsidRPr="00A735B4">
              <w:rPr>
                <w:color w:val="1F497D" w:themeColor="text2"/>
                <w:sz w:val="18"/>
                <w:szCs w:val="18"/>
              </w:rPr>
              <w:t>Zambia</w:t>
            </w:r>
          </w:p>
        </w:tc>
        <w:tc>
          <w:tcPr>
            <w:tcW w:w="686" w:type="dxa"/>
            <w:tcBorders>
              <w:top w:val="nil"/>
              <w:left w:val="nil"/>
              <w:bottom w:val="single" w:sz="8" w:space="0" w:color="365F91" w:themeColor="accent1" w:themeShade="BF"/>
              <w:right w:val="single" w:sz="8" w:space="0" w:color="365F91" w:themeColor="accent1" w:themeShade="BF"/>
            </w:tcBorders>
            <w:shd w:val="clear" w:color="auto" w:fill="auto"/>
            <w:noWrap/>
            <w:vAlign w:val="bottom"/>
            <w:hideMark/>
          </w:tcPr>
          <w:p w14:paraId="047B64E8"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316" w:type="dxa"/>
            <w:tcBorders>
              <w:top w:val="nil"/>
              <w:left w:val="single" w:sz="8" w:space="0" w:color="365F91" w:themeColor="accent1" w:themeShade="BF"/>
              <w:bottom w:val="single" w:sz="8" w:space="0" w:color="365F91" w:themeColor="accent1" w:themeShade="BF"/>
              <w:right w:val="single" w:sz="8" w:space="0" w:color="365F91" w:themeColor="accent1" w:themeShade="BF"/>
            </w:tcBorders>
            <w:shd w:val="clear" w:color="auto" w:fill="365F91" w:themeFill="accent1" w:themeFillShade="BF"/>
            <w:noWrap/>
            <w:vAlign w:val="bottom"/>
            <w:hideMark/>
          </w:tcPr>
          <w:p w14:paraId="0CDAD02E"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single" w:sz="8" w:space="0" w:color="365F91" w:themeColor="accent1" w:themeShade="BF"/>
              <w:right w:val="nil"/>
            </w:tcBorders>
            <w:shd w:val="clear" w:color="auto" w:fill="365F91" w:themeFill="accent1" w:themeFillShade="BF"/>
            <w:noWrap/>
            <w:vAlign w:val="bottom"/>
            <w:hideMark/>
          </w:tcPr>
          <w:p w14:paraId="41713B85"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single" w:sz="8" w:space="0" w:color="365F91" w:themeColor="accent1" w:themeShade="BF"/>
              <w:right w:val="single" w:sz="8" w:space="0" w:color="365F91" w:themeColor="accent1" w:themeShade="BF"/>
            </w:tcBorders>
            <w:shd w:val="clear" w:color="auto" w:fill="365F91" w:themeFill="accent1" w:themeFillShade="BF"/>
            <w:noWrap/>
            <w:vAlign w:val="bottom"/>
            <w:hideMark/>
          </w:tcPr>
          <w:p w14:paraId="300529BF"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single" w:sz="8" w:space="0" w:color="365F91" w:themeColor="accent1" w:themeShade="BF"/>
              <w:right w:val="nil"/>
            </w:tcBorders>
            <w:shd w:val="clear" w:color="auto" w:fill="365F91" w:themeFill="accent1" w:themeFillShade="BF"/>
            <w:noWrap/>
            <w:vAlign w:val="bottom"/>
            <w:hideMark/>
          </w:tcPr>
          <w:p w14:paraId="511F425A"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single" w:sz="8" w:space="0" w:color="365F91" w:themeColor="accent1" w:themeShade="BF"/>
              <w:right w:val="single" w:sz="8" w:space="0" w:color="365F91" w:themeColor="accent1" w:themeShade="BF"/>
            </w:tcBorders>
            <w:shd w:val="clear" w:color="auto" w:fill="365F91" w:themeFill="accent1" w:themeFillShade="BF"/>
            <w:noWrap/>
            <w:vAlign w:val="bottom"/>
            <w:hideMark/>
          </w:tcPr>
          <w:p w14:paraId="374158DA"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single" w:sz="8" w:space="0" w:color="365F91" w:themeColor="accent1" w:themeShade="BF"/>
              <w:right w:val="nil"/>
            </w:tcBorders>
            <w:shd w:val="clear" w:color="auto" w:fill="365F91" w:themeFill="accent1" w:themeFillShade="BF"/>
            <w:noWrap/>
            <w:vAlign w:val="bottom"/>
            <w:hideMark/>
          </w:tcPr>
          <w:p w14:paraId="60FA7B16"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single" w:sz="8" w:space="0" w:color="365F91" w:themeColor="accent1" w:themeShade="BF"/>
              <w:right w:val="single" w:sz="8" w:space="0" w:color="365F91" w:themeColor="accent1" w:themeShade="BF"/>
            </w:tcBorders>
            <w:shd w:val="clear" w:color="auto" w:fill="365F91" w:themeFill="accent1" w:themeFillShade="BF"/>
            <w:noWrap/>
            <w:vAlign w:val="bottom"/>
            <w:hideMark/>
          </w:tcPr>
          <w:p w14:paraId="0450D74F"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single" w:sz="8" w:space="0" w:color="365F91" w:themeColor="accent1" w:themeShade="BF"/>
              <w:right w:val="nil"/>
            </w:tcBorders>
            <w:shd w:val="clear" w:color="auto" w:fill="365F91" w:themeFill="accent1" w:themeFillShade="BF"/>
            <w:noWrap/>
            <w:vAlign w:val="bottom"/>
            <w:hideMark/>
          </w:tcPr>
          <w:p w14:paraId="2C609CC9"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single" w:sz="8" w:space="0" w:color="365F91" w:themeColor="accent1" w:themeShade="BF"/>
              <w:right w:val="single" w:sz="8" w:space="0" w:color="365F91" w:themeColor="accent1" w:themeShade="BF"/>
            </w:tcBorders>
            <w:shd w:val="clear" w:color="auto" w:fill="365F91" w:themeFill="accent1" w:themeFillShade="BF"/>
            <w:noWrap/>
            <w:vAlign w:val="bottom"/>
            <w:hideMark/>
          </w:tcPr>
          <w:p w14:paraId="116B8F82"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single" w:sz="8" w:space="0" w:color="365F91" w:themeColor="accent1" w:themeShade="BF"/>
              <w:right w:val="nil"/>
            </w:tcBorders>
            <w:shd w:val="clear" w:color="auto" w:fill="365F91" w:themeFill="accent1" w:themeFillShade="BF"/>
            <w:noWrap/>
            <w:vAlign w:val="bottom"/>
            <w:hideMark/>
          </w:tcPr>
          <w:p w14:paraId="666D2273"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single" w:sz="8" w:space="0" w:color="365F91" w:themeColor="accent1" w:themeShade="BF"/>
              <w:right w:val="single" w:sz="8" w:space="0" w:color="365F91" w:themeColor="accent1" w:themeShade="BF"/>
            </w:tcBorders>
            <w:shd w:val="clear" w:color="auto" w:fill="365F91" w:themeFill="accent1" w:themeFillShade="BF"/>
            <w:noWrap/>
            <w:vAlign w:val="bottom"/>
            <w:hideMark/>
          </w:tcPr>
          <w:p w14:paraId="03CF86C6"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single" w:sz="8" w:space="0" w:color="365F91" w:themeColor="accent1" w:themeShade="BF"/>
              <w:right w:val="nil"/>
            </w:tcBorders>
            <w:shd w:val="clear" w:color="auto" w:fill="365F91" w:themeFill="accent1" w:themeFillShade="BF"/>
            <w:noWrap/>
            <w:vAlign w:val="bottom"/>
            <w:hideMark/>
          </w:tcPr>
          <w:p w14:paraId="4B720A1C"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single" w:sz="8" w:space="0" w:color="365F91" w:themeColor="accent1" w:themeShade="BF"/>
              <w:right w:val="single" w:sz="8" w:space="0" w:color="365F91" w:themeColor="accent1" w:themeShade="BF"/>
            </w:tcBorders>
            <w:shd w:val="clear" w:color="auto" w:fill="365F91" w:themeFill="accent1" w:themeFillShade="BF"/>
            <w:noWrap/>
            <w:vAlign w:val="bottom"/>
            <w:hideMark/>
          </w:tcPr>
          <w:p w14:paraId="70FAA624"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single" w:sz="8" w:space="0" w:color="365F91" w:themeColor="accent1" w:themeShade="BF"/>
              <w:right w:val="nil"/>
            </w:tcBorders>
            <w:shd w:val="clear" w:color="auto" w:fill="365F91" w:themeFill="accent1" w:themeFillShade="BF"/>
            <w:noWrap/>
            <w:vAlign w:val="bottom"/>
            <w:hideMark/>
          </w:tcPr>
          <w:p w14:paraId="5AC4A857"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single" w:sz="8" w:space="0" w:color="365F91" w:themeColor="accent1" w:themeShade="BF"/>
              <w:right w:val="single" w:sz="8" w:space="0" w:color="365F91" w:themeColor="accent1" w:themeShade="BF"/>
            </w:tcBorders>
            <w:shd w:val="clear" w:color="auto" w:fill="365F91" w:themeFill="accent1" w:themeFillShade="BF"/>
            <w:noWrap/>
            <w:vAlign w:val="bottom"/>
            <w:hideMark/>
          </w:tcPr>
          <w:p w14:paraId="457AF5C9"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single" w:sz="8" w:space="0" w:color="365F91" w:themeColor="accent1" w:themeShade="BF"/>
              <w:right w:val="nil"/>
            </w:tcBorders>
            <w:shd w:val="clear" w:color="auto" w:fill="365F91" w:themeFill="accent1" w:themeFillShade="BF"/>
            <w:noWrap/>
            <w:vAlign w:val="bottom"/>
            <w:hideMark/>
          </w:tcPr>
          <w:p w14:paraId="1933F43E"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single" w:sz="8" w:space="0" w:color="365F91" w:themeColor="accent1" w:themeShade="BF"/>
              <w:right w:val="single" w:sz="8" w:space="0" w:color="365F91" w:themeColor="accent1" w:themeShade="BF"/>
            </w:tcBorders>
            <w:shd w:val="clear" w:color="auto" w:fill="365F91" w:themeFill="accent1" w:themeFillShade="BF"/>
            <w:noWrap/>
            <w:vAlign w:val="bottom"/>
            <w:hideMark/>
          </w:tcPr>
          <w:p w14:paraId="792DA84A"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single" w:sz="8" w:space="0" w:color="365F91" w:themeColor="accent1" w:themeShade="BF"/>
              <w:right w:val="nil"/>
            </w:tcBorders>
            <w:shd w:val="clear" w:color="auto" w:fill="365F91" w:themeFill="accent1" w:themeFillShade="BF"/>
            <w:noWrap/>
            <w:vAlign w:val="bottom"/>
            <w:hideMark/>
          </w:tcPr>
          <w:p w14:paraId="679E20CE"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single" w:sz="8" w:space="0" w:color="365F91" w:themeColor="accent1" w:themeShade="BF"/>
              <w:right w:val="single" w:sz="8" w:space="0" w:color="365F91" w:themeColor="accent1" w:themeShade="BF"/>
            </w:tcBorders>
            <w:shd w:val="clear" w:color="auto" w:fill="auto"/>
            <w:noWrap/>
            <w:vAlign w:val="bottom"/>
            <w:hideMark/>
          </w:tcPr>
          <w:p w14:paraId="385D7DD7"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single" w:sz="8" w:space="0" w:color="365F91" w:themeColor="accent1" w:themeShade="BF"/>
              <w:right w:val="nil"/>
            </w:tcBorders>
            <w:shd w:val="clear" w:color="auto" w:fill="auto"/>
            <w:noWrap/>
            <w:vAlign w:val="bottom"/>
            <w:hideMark/>
          </w:tcPr>
          <w:p w14:paraId="75B1765F"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single" w:sz="8" w:space="0" w:color="365F91" w:themeColor="accent1" w:themeShade="BF"/>
              <w:right w:val="single" w:sz="8" w:space="0" w:color="365F91" w:themeColor="accent1" w:themeShade="BF"/>
            </w:tcBorders>
            <w:shd w:val="clear" w:color="auto" w:fill="auto"/>
            <w:noWrap/>
            <w:vAlign w:val="bottom"/>
            <w:hideMark/>
          </w:tcPr>
          <w:p w14:paraId="34170F7A"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single" w:sz="8" w:space="0" w:color="365F91" w:themeColor="accent1" w:themeShade="BF"/>
              <w:right w:val="nil"/>
            </w:tcBorders>
            <w:shd w:val="clear" w:color="auto" w:fill="auto"/>
            <w:noWrap/>
            <w:vAlign w:val="bottom"/>
            <w:hideMark/>
          </w:tcPr>
          <w:p w14:paraId="73B983A0"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single" w:sz="8" w:space="0" w:color="365F91" w:themeColor="accent1" w:themeShade="BF"/>
              <w:right w:val="single" w:sz="8" w:space="0" w:color="365F91" w:themeColor="accent1" w:themeShade="BF"/>
            </w:tcBorders>
            <w:shd w:val="clear" w:color="auto" w:fill="auto"/>
            <w:noWrap/>
            <w:vAlign w:val="bottom"/>
            <w:hideMark/>
          </w:tcPr>
          <w:p w14:paraId="2EFB75D4"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single" w:sz="8" w:space="0" w:color="365F91" w:themeColor="accent1" w:themeShade="BF"/>
              <w:right w:val="nil"/>
            </w:tcBorders>
            <w:shd w:val="clear" w:color="auto" w:fill="auto"/>
            <w:noWrap/>
            <w:vAlign w:val="bottom"/>
            <w:hideMark/>
          </w:tcPr>
          <w:p w14:paraId="7FE424A5"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single" w:sz="8" w:space="0" w:color="365F91" w:themeColor="accent1" w:themeShade="BF"/>
              <w:right w:val="single" w:sz="8" w:space="0" w:color="365F91" w:themeColor="accent1" w:themeShade="BF"/>
            </w:tcBorders>
            <w:shd w:val="clear" w:color="auto" w:fill="auto"/>
            <w:noWrap/>
            <w:vAlign w:val="bottom"/>
            <w:hideMark/>
          </w:tcPr>
          <w:p w14:paraId="6E5EDDF3" w14:textId="77777777" w:rsidR="00C4454D" w:rsidRPr="00A735B4" w:rsidRDefault="00C4454D" w:rsidP="00C4454D">
            <w:pPr>
              <w:rPr>
                <w:color w:val="1F497D" w:themeColor="text2"/>
              </w:rPr>
            </w:pPr>
            <w:r w:rsidRPr="00A735B4">
              <w:rPr>
                <w:color w:val="1F497D" w:themeColor="text2"/>
              </w:rPr>
              <w:t> </w:t>
            </w:r>
          </w:p>
        </w:tc>
      </w:tr>
      <w:tr w:rsidR="00C4454D" w:rsidRPr="00A735B4" w14:paraId="3387F6F7" w14:textId="77777777" w:rsidTr="00C4454D">
        <w:trPr>
          <w:trHeight w:val="205"/>
        </w:trPr>
        <w:tc>
          <w:tcPr>
            <w:tcW w:w="2101" w:type="dxa"/>
            <w:gridSpan w:val="2"/>
            <w:tcBorders>
              <w:top w:val="single" w:sz="8" w:space="0" w:color="365F91" w:themeColor="accent1" w:themeShade="BF"/>
              <w:left w:val="single" w:sz="8" w:space="0" w:color="365F91" w:themeColor="accent1" w:themeShade="BF"/>
              <w:bottom w:val="nil"/>
              <w:right w:val="single" w:sz="8" w:space="0" w:color="365F91" w:themeColor="accent1" w:themeShade="BF"/>
            </w:tcBorders>
            <w:shd w:val="clear" w:color="auto" w:fill="auto"/>
            <w:noWrap/>
            <w:vAlign w:val="bottom"/>
            <w:hideMark/>
          </w:tcPr>
          <w:p w14:paraId="671FBFAB" w14:textId="77777777" w:rsidR="00C4454D" w:rsidRPr="00A735B4" w:rsidRDefault="00C4454D" w:rsidP="00C4454D">
            <w:pPr>
              <w:rPr>
                <w:b/>
                <w:bCs/>
                <w:color w:val="1F497D" w:themeColor="text2"/>
                <w:sz w:val="18"/>
                <w:szCs w:val="18"/>
              </w:rPr>
            </w:pPr>
            <w:r w:rsidRPr="00A735B4">
              <w:rPr>
                <w:b/>
                <w:bCs/>
                <w:color w:val="1F497D" w:themeColor="text2"/>
                <w:sz w:val="18"/>
                <w:szCs w:val="18"/>
              </w:rPr>
              <w:t>TRANSFER - INTERNET BANKING</w:t>
            </w:r>
          </w:p>
        </w:tc>
        <w:tc>
          <w:tcPr>
            <w:tcW w:w="316" w:type="dxa"/>
            <w:tcBorders>
              <w:top w:val="single" w:sz="8" w:space="0" w:color="365F91" w:themeColor="accent1" w:themeShade="BF"/>
              <w:left w:val="single" w:sz="8" w:space="0" w:color="365F91" w:themeColor="accent1" w:themeShade="BF"/>
              <w:bottom w:val="nil"/>
              <w:right w:val="single" w:sz="8" w:space="0" w:color="365F91" w:themeColor="accent1" w:themeShade="BF"/>
            </w:tcBorders>
            <w:shd w:val="clear" w:color="auto" w:fill="auto"/>
            <w:noWrap/>
            <w:vAlign w:val="bottom"/>
            <w:hideMark/>
          </w:tcPr>
          <w:p w14:paraId="4808F8C2"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single" w:sz="8" w:space="0" w:color="365F91" w:themeColor="accent1" w:themeShade="BF"/>
              <w:left w:val="single" w:sz="8" w:space="0" w:color="365F91" w:themeColor="accent1" w:themeShade="BF"/>
              <w:bottom w:val="nil"/>
              <w:right w:val="nil"/>
            </w:tcBorders>
            <w:shd w:val="clear" w:color="auto" w:fill="auto"/>
            <w:noWrap/>
            <w:vAlign w:val="bottom"/>
            <w:hideMark/>
          </w:tcPr>
          <w:p w14:paraId="1B3C0B10" w14:textId="77777777" w:rsidR="00C4454D" w:rsidRPr="00A735B4" w:rsidRDefault="00C4454D" w:rsidP="00C4454D">
            <w:pPr>
              <w:rPr>
                <w:color w:val="1F497D" w:themeColor="text2"/>
                <w:sz w:val="18"/>
                <w:szCs w:val="18"/>
              </w:rPr>
            </w:pPr>
          </w:p>
        </w:tc>
        <w:tc>
          <w:tcPr>
            <w:tcW w:w="259" w:type="dxa"/>
            <w:tcBorders>
              <w:top w:val="single" w:sz="8" w:space="0" w:color="365F91" w:themeColor="accent1" w:themeShade="BF"/>
              <w:left w:val="nil"/>
              <w:bottom w:val="nil"/>
              <w:right w:val="single" w:sz="8" w:space="0" w:color="365F91" w:themeColor="accent1" w:themeShade="BF"/>
            </w:tcBorders>
            <w:shd w:val="clear" w:color="auto" w:fill="auto"/>
            <w:noWrap/>
            <w:vAlign w:val="bottom"/>
            <w:hideMark/>
          </w:tcPr>
          <w:p w14:paraId="69811D75"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single" w:sz="8" w:space="0" w:color="365F91" w:themeColor="accent1" w:themeShade="BF"/>
              <w:left w:val="single" w:sz="8" w:space="0" w:color="365F91" w:themeColor="accent1" w:themeShade="BF"/>
              <w:bottom w:val="nil"/>
              <w:right w:val="nil"/>
            </w:tcBorders>
            <w:shd w:val="clear" w:color="auto" w:fill="auto"/>
            <w:noWrap/>
            <w:vAlign w:val="bottom"/>
            <w:hideMark/>
          </w:tcPr>
          <w:p w14:paraId="1953F7A2"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single" w:sz="8" w:space="0" w:color="365F91" w:themeColor="accent1" w:themeShade="BF"/>
              <w:left w:val="nil"/>
              <w:bottom w:val="nil"/>
              <w:right w:val="single" w:sz="8" w:space="0" w:color="365F91" w:themeColor="accent1" w:themeShade="BF"/>
            </w:tcBorders>
            <w:shd w:val="clear" w:color="auto" w:fill="auto"/>
            <w:noWrap/>
            <w:vAlign w:val="bottom"/>
            <w:hideMark/>
          </w:tcPr>
          <w:p w14:paraId="454FCB6E"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single" w:sz="8" w:space="0" w:color="365F91" w:themeColor="accent1" w:themeShade="BF"/>
              <w:left w:val="single" w:sz="8" w:space="0" w:color="365F91" w:themeColor="accent1" w:themeShade="BF"/>
              <w:bottom w:val="nil"/>
              <w:right w:val="nil"/>
            </w:tcBorders>
            <w:shd w:val="clear" w:color="auto" w:fill="auto"/>
            <w:noWrap/>
            <w:vAlign w:val="bottom"/>
            <w:hideMark/>
          </w:tcPr>
          <w:p w14:paraId="213C230A" w14:textId="77777777" w:rsidR="00C4454D" w:rsidRPr="00A735B4" w:rsidRDefault="00C4454D" w:rsidP="00C4454D">
            <w:pPr>
              <w:rPr>
                <w:color w:val="1F497D" w:themeColor="text2"/>
                <w:sz w:val="18"/>
                <w:szCs w:val="18"/>
              </w:rPr>
            </w:pPr>
          </w:p>
        </w:tc>
        <w:tc>
          <w:tcPr>
            <w:tcW w:w="259" w:type="dxa"/>
            <w:tcBorders>
              <w:top w:val="single" w:sz="8" w:space="0" w:color="365F91" w:themeColor="accent1" w:themeShade="BF"/>
              <w:left w:val="nil"/>
              <w:bottom w:val="nil"/>
              <w:right w:val="single" w:sz="8" w:space="0" w:color="365F91" w:themeColor="accent1" w:themeShade="BF"/>
            </w:tcBorders>
            <w:shd w:val="clear" w:color="auto" w:fill="auto"/>
            <w:noWrap/>
            <w:vAlign w:val="bottom"/>
            <w:hideMark/>
          </w:tcPr>
          <w:p w14:paraId="1B18F593" w14:textId="77777777" w:rsidR="00C4454D" w:rsidRPr="00A735B4" w:rsidRDefault="00C4454D" w:rsidP="00C4454D">
            <w:pPr>
              <w:rPr>
                <w:color w:val="1F497D" w:themeColor="text2"/>
                <w:sz w:val="18"/>
                <w:szCs w:val="18"/>
              </w:rPr>
            </w:pPr>
          </w:p>
        </w:tc>
        <w:tc>
          <w:tcPr>
            <w:tcW w:w="259" w:type="dxa"/>
            <w:tcBorders>
              <w:top w:val="single" w:sz="8" w:space="0" w:color="365F91" w:themeColor="accent1" w:themeShade="BF"/>
              <w:left w:val="single" w:sz="8" w:space="0" w:color="365F91" w:themeColor="accent1" w:themeShade="BF"/>
              <w:bottom w:val="nil"/>
              <w:right w:val="nil"/>
            </w:tcBorders>
            <w:shd w:val="clear" w:color="auto" w:fill="auto"/>
            <w:noWrap/>
            <w:vAlign w:val="bottom"/>
            <w:hideMark/>
          </w:tcPr>
          <w:p w14:paraId="2791D20F"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single" w:sz="8" w:space="0" w:color="365F91" w:themeColor="accent1" w:themeShade="BF"/>
              <w:left w:val="nil"/>
              <w:bottom w:val="nil"/>
              <w:right w:val="single" w:sz="8" w:space="0" w:color="365F91" w:themeColor="accent1" w:themeShade="BF"/>
            </w:tcBorders>
            <w:shd w:val="clear" w:color="auto" w:fill="auto"/>
            <w:noWrap/>
            <w:vAlign w:val="bottom"/>
            <w:hideMark/>
          </w:tcPr>
          <w:p w14:paraId="20345222"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single" w:sz="8" w:space="0" w:color="365F91" w:themeColor="accent1" w:themeShade="BF"/>
              <w:left w:val="single" w:sz="8" w:space="0" w:color="365F91" w:themeColor="accent1" w:themeShade="BF"/>
              <w:bottom w:val="nil"/>
              <w:right w:val="nil"/>
            </w:tcBorders>
            <w:shd w:val="clear" w:color="auto" w:fill="auto"/>
            <w:noWrap/>
            <w:vAlign w:val="bottom"/>
            <w:hideMark/>
          </w:tcPr>
          <w:p w14:paraId="123F9D2C"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single" w:sz="8" w:space="0" w:color="365F91" w:themeColor="accent1" w:themeShade="BF"/>
              <w:left w:val="nil"/>
              <w:bottom w:val="nil"/>
              <w:right w:val="single" w:sz="8" w:space="0" w:color="365F91" w:themeColor="accent1" w:themeShade="BF"/>
            </w:tcBorders>
            <w:shd w:val="clear" w:color="auto" w:fill="auto"/>
            <w:noWrap/>
            <w:vAlign w:val="bottom"/>
            <w:hideMark/>
          </w:tcPr>
          <w:p w14:paraId="2D7D6B04"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single" w:sz="8" w:space="0" w:color="365F91" w:themeColor="accent1" w:themeShade="BF"/>
              <w:left w:val="single" w:sz="8" w:space="0" w:color="365F91" w:themeColor="accent1" w:themeShade="BF"/>
              <w:bottom w:val="nil"/>
              <w:right w:val="nil"/>
            </w:tcBorders>
            <w:shd w:val="clear" w:color="auto" w:fill="auto"/>
            <w:noWrap/>
            <w:vAlign w:val="bottom"/>
            <w:hideMark/>
          </w:tcPr>
          <w:p w14:paraId="3F7F3D9D" w14:textId="77777777" w:rsidR="00C4454D" w:rsidRPr="00A735B4" w:rsidRDefault="00C4454D" w:rsidP="00C4454D">
            <w:pPr>
              <w:rPr>
                <w:color w:val="1F497D" w:themeColor="text2"/>
                <w:sz w:val="18"/>
                <w:szCs w:val="18"/>
              </w:rPr>
            </w:pPr>
          </w:p>
        </w:tc>
        <w:tc>
          <w:tcPr>
            <w:tcW w:w="259" w:type="dxa"/>
            <w:tcBorders>
              <w:top w:val="single" w:sz="8" w:space="0" w:color="365F91" w:themeColor="accent1" w:themeShade="BF"/>
              <w:left w:val="nil"/>
              <w:bottom w:val="nil"/>
              <w:right w:val="single" w:sz="8" w:space="0" w:color="365F91" w:themeColor="accent1" w:themeShade="BF"/>
            </w:tcBorders>
            <w:shd w:val="clear" w:color="auto" w:fill="auto"/>
            <w:noWrap/>
            <w:vAlign w:val="bottom"/>
            <w:hideMark/>
          </w:tcPr>
          <w:p w14:paraId="0F6B7C9D" w14:textId="77777777" w:rsidR="00C4454D" w:rsidRPr="00A735B4" w:rsidRDefault="00C4454D" w:rsidP="00C4454D">
            <w:pPr>
              <w:rPr>
                <w:color w:val="1F497D" w:themeColor="text2"/>
                <w:sz w:val="18"/>
                <w:szCs w:val="18"/>
              </w:rPr>
            </w:pPr>
          </w:p>
        </w:tc>
        <w:tc>
          <w:tcPr>
            <w:tcW w:w="259" w:type="dxa"/>
            <w:tcBorders>
              <w:top w:val="single" w:sz="8" w:space="0" w:color="365F91" w:themeColor="accent1" w:themeShade="BF"/>
              <w:left w:val="single" w:sz="8" w:space="0" w:color="365F91" w:themeColor="accent1" w:themeShade="BF"/>
              <w:bottom w:val="nil"/>
              <w:right w:val="nil"/>
            </w:tcBorders>
            <w:shd w:val="clear" w:color="auto" w:fill="auto"/>
            <w:noWrap/>
            <w:vAlign w:val="bottom"/>
            <w:hideMark/>
          </w:tcPr>
          <w:p w14:paraId="29985EF0"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single" w:sz="8" w:space="0" w:color="365F91" w:themeColor="accent1" w:themeShade="BF"/>
              <w:left w:val="nil"/>
              <w:bottom w:val="nil"/>
              <w:right w:val="single" w:sz="8" w:space="0" w:color="365F91" w:themeColor="accent1" w:themeShade="BF"/>
            </w:tcBorders>
            <w:shd w:val="clear" w:color="auto" w:fill="auto"/>
            <w:noWrap/>
            <w:vAlign w:val="bottom"/>
            <w:hideMark/>
          </w:tcPr>
          <w:p w14:paraId="557EF71A"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single" w:sz="8" w:space="0" w:color="365F91" w:themeColor="accent1" w:themeShade="BF"/>
              <w:left w:val="single" w:sz="8" w:space="0" w:color="365F91" w:themeColor="accent1" w:themeShade="BF"/>
              <w:bottom w:val="nil"/>
              <w:right w:val="nil"/>
            </w:tcBorders>
            <w:shd w:val="clear" w:color="auto" w:fill="auto"/>
            <w:noWrap/>
            <w:vAlign w:val="bottom"/>
            <w:hideMark/>
          </w:tcPr>
          <w:p w14:paraId="02DA7917" w14:textId="77777777" w:rsidR="00C4454D" w:rsidRPr="00A735B4" w:rsidRDefault="00C4454D" w:rsidP="00C4454D">
            <w:pPr>
              <w:rPr>
                <w:color w:val="1F497D" w:themeColor="text2"/>
                <w:sz w:val="18"/>
                <w:szCs w:val="18"/>
              </w:rPr>
            </w:pPr>
          </w:p>
        </w:tc>
        <w:tc>
          <w:tcPr>
            <w:tcW w:w="259" w:type="dxa"/>
            <w:tcBorders>
              <w:top w:val="single" w:sz="8" w:space="0" w:color="365F91" w:themeColor="accent1" w:themeShade="BF"/>
              <w:left w:val="nil"/>
              <w:bottom w:val="nil"/>
              <w:right w:val="single" w:sz="8" w:space="0" w:color="365F91" w:themeColor="accent1" w:themeShade="BF"/>
            </w:tcBorders>
            <w:shd w:val="clear" w:color="auto" w:fill="auto"/>
            <w:noWrap/>
            <w:vAlign w:val="bottom"/>
            <w:hideMark/>
          </w:tcPr>
          <w:p w14:paraId="12641644" w14:textId="77777777" w:rsidR="00C4454D" w:rsidRPr="00A735B4" w:rsidRDefault="00C4454D" w:rsidP="00C4454D">
            <w:pPr>
              <w:rPr>
                <w:color w:val="1F497D" w:themeColor="text2"/>
                <w:sz w:val="18"/>
                <w:szCs w:val="18"/>
              </w:rPr>
            </w:pPr>
          </w:p>
        </w:tc>
        <w:tc>
          <w:tcPr>
            <w:tcW w:w="259" w:type="dxa"/>
            <w:tcBorders>
              <w:top w:val="single" w:sz="8" w:space="0" w:color="365F91" w:themeColor="accent1" w:themeShade="BF"/>
              <w:left w:val="single" w:sz="8" w:space="0" w:color="365F91" w:themeColor="accent1" w:themeShade="BF"/>
              <w:bottom w:val="nil"/>
              <w:right w:val="nil"/>
            </w:tcBorders>
            <w:shd w:val="clear" w:color="auto" w:fill="auto"/>
            <w:noWrap/>
            <w:vAlign w:val="bottom"/>
            <w:hideMark/>
          </w:tcPr>
          <w:p w14:paraId="24B6D6F2"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single" w:sz="8" w:space="0" w:color="365F91" w:themeColor="accent1" w:themeShade="BF"/>
              <w:left w:val="nil"/>
              <w:bottom w:val="nil"/>
              <w:right w:val="single" w:sz="8" w:space="0" w:color="365F91" w:themeColor="accent1" w:themeShade="BF"/>
            </w:tcBorders>
            <w:shd w:val="clear" w:color="auto" w:fill="auto"/>
            <w:noWrap/>
            <w:vAlign w:val="bottom"/>
            <w:hideMark/>
          </w:tcPr>
          <w:p w14:paraId="1560BACA"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single" w:sz="8" w:space="0" w:color="365F91" w:themeColor="accent1" w:themeShade="BF"/>
              <w:left w:val="single" w:sz="8" w:space="0" w:color="365F91" w:themeColor="accent1" w:themeShade="BF"/>
              <w:bottom w:val="nil"/>
              <w:right w:val="nil"/>
            </w:tcBorders>
            <w:shd w:val="clear" w:color="auto" w:fill="auto"/>
            <w:noWrap/>
            <w:vAlign w:val="bottom"/>
            <w:hideMark/>
          </w:tcPr>
          <w:p w14:paraId="3AEA85B0"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single" w:sz="8" w:space="0" w:color="365F91" w:themeColor="accent1" w:themeShade="BF"/>
              <w:left w:val="nil"/>
              <w:bottom w:val="nil"/>
              <w:right w:val="single" w:sz="8" w:space="0" w:color="365F91" w:themeColor="accent1" w:themeShade="BF"/>
            </w:tcBorders>
            <w:shd w:val="clear" w:color="auto" w:fill="auto"/>
            <w:noWrap/>
            <w:vAlign w:val="bottom"/>
            <w:hideMark/>
          </w:tcPr>
          <w:p w14:paraId="52179484"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single" w:sz="8" w:space="0" w:color="365F91" w:themeColor="accent1" w:themeShade="BF"/>
              <w:left w:val="single" w:sz="8" w:space="0" w:color="365F91" w:themeColor="accent1" w:themeShade="BF"/>
              <w:bottom w:val="nil"/>
              <w:right w:val="nil"/>
            </w:tcBorders>
            <w:shd w:val="clear" w:color="auto" w:fill="auto"/>
            <w:noWrap/>
            <w:vAlign w:val="bottom"/>
            <w:hideMark/>
          </w:tcPr>
          <w:p w14:paraId="6DA97526"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single" w:sz="8" w:space="0" w:color="365F91" w:themeColor="accent1" w:themeShade="BF"/>
              <w:left w:val="nil"/>
              <w:bottom w:val="nil"/>
              <w:right w:val="single" w:sz="8" w:space="0" w:color="365F91" w:themeColor="accent1" w:themeShade="BF"/>
            </w:tcBorders>
            <w:shd w:val="clear" w:color="auto" w:fill="auto"/>
            <w:noWrap/>
            <w:vAlign w:val="bottom"/>
            <w:hideMark/>
          </w:tcPr>
          <w:p w14:paraId="190033E9"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single" w:sz="8" w:space="0" w:color="365F91" w:themeColor="accent1" w:themeShade="BF"/>
              <w:left w:val="single" w:sz="8" w:space="0" w:color="365F91" w:themeColor="accent1" w:themeShade="BF"/>
              <w:bottom w:val="nil"/>
              <w:right w:val="nil"/>
            </w:tcBorders>
            <w:shd w:val="clear" w:color="auto" w:fill="auto"/>
            <w:noWrap/>
            <w:vAlign w:val="bottom"/>
            <w:hideMark/>
          </w:tcPr>
          <w:p w14:paraId="37D423EC"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single" w:sz="8" w:space="0" w:color="365F91" w:themeColor="accent1" w:themeShade="BF"/>
              <w:left w:val="nil"/>
              <w:bottom w:val="nil"/>
              <w:right w:val="single" w:sz="8" w:space="0" w:color="365F91" w:themeColor="accent1" w:themeShade="BF"/>
            </w:tcBorders>
            <w:shd w:val="clear" w:color="auto" w:fill="auto"/>
            <w:noWrap/>
            <w:vAlign w:val="bottom"/>
            <w:hideMark/>
          </w:tcPr>
          <w:p w14:paraId="6072EA00" w14:textId="77777777" w:rsidR="00C4454D" w:rsidRPr="00A735B4" w:rsidRDefault="00C4454D" w:rsidP="00C4454D">
            <w:pPr>
              <w:rPr>
                <w:color w:val="1F497D" w:themeColor="text2"/>
              </w:rPr>
            </w:pPr>
            <w:r w:rsidRPr="00A735B4">
              <w:rPr>
                <w:color w:val="1F497D" w:themeColor="text2"/>
              </w:rPr>
              <w:t> </w:t>
            </w:r>
          </w:p>
        </w:tc>
      </w:tr>
      <w:tr w:rsidR="00C4454D" w:rsidRPr="00A735B4" w14:paraId="71C7DDF7" w14:textId="77777777" w:rsidTr="00C4454D">
        <w:trPr>
          <w:trHeight w:val="205"/>
        </w:trPr>
        <w:tc>
          <w:tcPr>
            <w:tcW w:w="1415" w:type="dxa"/>
            <w:tcBorders>
              <w:top w:val="nil"/>
              <w:left w:val="single" w:sz="8" w:space="0" w:color="365F91" w:themeColor="accent1" w:themeShade="BF"/>
              <w:bottom w:val="nil"/>
              <w:right w:val="nil"/>
            </w:tcBorders>
            <w:shd w:val="clear" w:color="auto" w:fill="auto"/>
            <w:noWrap/>
            <w:vAlign w:val="bottom"/>
            <w:hideMark/>
          </w:tcPr>
          <w:p w14:paraId="021A29F7" w14:textId="77777777" w:rsidR="00C4454D" w:rsidRPr="00A735B4" w:rsidRDefault="00C4454D" w:rsidP="00C4454D">
            <w:pPr>
              <w:rPr>
                <w:color w:val="1F497D" w:themeColor="text2"/>
                <w:sz w:val="18"/>
                <w:szCs w:val="18"/>
              </w:rPr>
            </w:pPr>
            <w:r w:rsidRPr="00A735B4">
              <w:rPr>
                <w:color w:val="1F497D" w:themeColor="text2"/>
                <w:sz w:val="18"/>
                <w:szCs w:val="18"/>
              </w:rPr>
              <w:t>Kenya</w:t>
            </w:r>
          </w:p>
        </w:tc>
        <w:tc>
          <w:tcPr>
            <w:tcW w:w="686" w:type="dxa"/>
            <w:tcBorders>
              <w:top w:val="nil"/>
              <w:left w:val="nil"/>
              <w:bottom w:val="nil"/>
              <w:right w:val="single" w:sz="8" w:space="0" w:color="365F91" w:themeColor="accent1" w:themeShade="BF"/>
            </w:tcBorders>
            <w:shd w:val="clear" w:color="auto" w:fill="auto"/>
            <w:noWrap/>
            <w:vAlign w:val="bottom"/>
            <w:hideMark/>
          </w:tcPr>
          <w:p w14:paraId="40C8A01A" w14:textId="77777777" w:rsidR="00C4454D" w:rsidRPr="00A735B4" w:rsidRDefault="00C4454D" w:rsidP="00C4454D">
            <w:pPr>
              <w:rPr>
                <w:color w:val="1F497D" w:themeColor="text2"/>
                <w:sz w:val="18"/>
                <w:szCs w:val="18"/>
              </w:rPr>
            </w:pPr>
          </w:p>
        </w:tc>
        <w:tc>
          <w:tcPr>
            <w:tcW w:w="316" w:type="dxa"/>
            <w:tcBorders>
              <w:top w:val="nil"/>
              <w:left w:val="single" w:sz="8" w:space="0" w:color="365F91" w:themeColor="accent1" w:themeShade="BF"/>
              <w:bottom w:val="nil"/>
              <w:right w:val="single" w:sz="8" w:space="0" w:color="365F91" w:themeColor="accent1" w:themeShade="BF"/>
            </w:tcBorders>
            <w:shd w:val="clear" w:color="auto" w:fill="365F91" w:themeFill="accent1" w:themeFillShade="BF"/>
            <w:noWrap/>
            <w:vAlign w:val="bottom"/>
            <w:hideMark/>
          </w:tcPr>
          <w:p w14:paraId="6BB2E833"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nil"/>
              <w:right w:val="nil"/>
            </w:tcBorders>
            <w:shd w:val="clear" w:color="auto" w:fill="365F91" w:themeFill="accent1" w:themeFillShade="BF"/>
            <w:noWrap/>
            <w:vAlign w:val="bottom"/>
            <w:hideMark/>
          </w:tcPr>
          <w:p w14:paraId="4982ECCE"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nil"/>
              <w:right w:val="single" w:sz="8" w:space="0" w:color="365F91" w:themeColor="accent1" w:themeShade="BF"/>
            </w:tcBorders>
            <w:shd w:val="clear" w:color="auto" w:fill="365F91" w:themeFill="accent1" w:themeFillShade="BF"/>
            <w:noWrap/>
            <w:vAlign w:val="bottom"/>
            <w:hideMark/>
          </w:tcPr>
          <w:p w14:paraId="3EC3737A"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nil"/>
              <w:right w:val="nil"/>
            </w:tcBorders>
            <w:shd w:val="clear" w:color="auto" w:fill="365F91" w:themeFill="accent1" w:themeFillShade="BF"/>
            <w:noWrap/>
            <w:vAlign w:val="bottom"/>
            <w:hideMark/>
          </w:tcPr>
          <w:p w14:paraId="6B31E496"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nil"/>
              <w:right w:val="single" w:sz="8" w:space="0" w:color="365F91" w:themeColor="accent1" w:themeShade="BF"/>
            </w:tcBorders>
            <w:shd w:val="clear" w:color="auto" w:fill="365F91" w:themeFill="accent1" w:themeFillShade="BF"/>
            <w:noWrap/>
            <w:vAlign w:val="bottom"/>
            <w:hideMark/>
          </w:tcPr>
          <w:p w14:paraId="741B4374"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nil"/>
              <w:right w:val="nil"/>
            </w:tcBorders>
            <w:shd w:val="clear" w:color="auto" w:fill="365F91" w:themeFill="accent1" w:themeFillShade="BF"/>
            <w:noWrap/>
            <w:vAlign w:val="bottom"/>
            <w:hideMark/>
          </w:tcPr>
          <w:p w14:paraId="54F7A7CF"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nil"/>
              <w:right w:val="single" w:sz="8" w:space="0" w:color="365F91" w:themeColor="accent1" w:themeShade="BF"/>
            </w:tcBorders>
            <w:shd w:val="clear" w:color="auto" w:fill="auto"/>
            <w:noWrap/>
            <w:vAlign w:val="bottom"/>
            <w:hideMark/>
          </w:tcPr>
          <w:p w14:paraId="3BED94FA" w14:textId="77777777" w:rsidR="00C4454D" w:rsidRPr="00A735B4" w:rsidRDefault="00C4454D" w:rsidP="00C4454D">
            <w:pPr>
              <w:rPr>
                <w:color w:val="1F497D" w:themeColor="text2"/>
                <w:sz w:val="18"/>
                <w:szCs w:val="18"/>
              </w:rPr>
            </w:pPr>
          </w:p>
        </w:tc>
        <w:tc>
          <w:tcPr>
            <w:tcW w:w="259" w:type="dxa"/>
            <w:tcBorders>
              <w:top w:val="nil"/>
              <w:left w:val="single" w:sz="8" w:space="0" w:color="365F91" w:themeColor="accent1" w:themeShade="BF"/>
              <w:bottom w:val="nil"/>
              <w:right w:val="nil"/>
            </w:tcBorders>
            <w:shd w:val="clear" w:color="auto" w:fill="auto"/>
            <w:noWrap/>
            <w:vAlign w:val="bottom"/>
            <w:hideMark/>
          </w:tcPr>
          <w:p w14:paraId="2479206D"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nil"/>
              <w:right w:val="single" w:sz="8" w:space="0" w:color="365F91" w:themeColor="accent1" w:themeShade="BF"/>
            </w:tcBorders>
            <w:shd w:val="clear" w:color="auto" w:fill="auto"/>
            <w:noWrap/>
            <w:vAlign w:val="bottom"/>
            <w:hideMark/>
          </w:tcPr>
          <w:p w14:paraId="55DDB4C3"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nil"/>
              <w:right w:val="nil"/>
            </w:tcBorders>
            <w:shd w:val="clear" w:color="auto" w:fill="auto"/>
            <w:noWrap/>
            <w:vAlign w:val="bottom"/>
            <w:hideMark/>
          </w:tcPr>
          <w:p w14:paraId="356C7B66"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nil"/>
              <w:right w:val="single" w:sz="8" w:space="0" w:color="365F91" w:themeColor="accent1" w:themeShade="BF"/>
            </w:tcBorders>
            <w:shd w:val="clear" w:color="auto" w:fill="auto"/>
            <w:noWrap/>
            <w:vAlign w:val="bottom"/>
            <w:hideMark/>
          </w:tcPr>
          <w:p w14:paraId="1DC6DABD"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nil"/>
              <w:right w:val="nil"/>
            </w:tcBorders>
            <w:shd w:val="clear" w:color="auto" w:fill="auto"/>
            <w:noWrap/>
            <w:vAlign w:val="bottom"/>
            <w:hideMark/>
          </w:tcPr>
          <w:p w14:paraId="70C2409A" w14:textId="77777777" w:rsidR="00C4454D" w:rsidRPr="00A735B4" w:rsidRDefault="00C4454D" w:rsidP="00C4454D">
            <w:pPr>
              <w:rPr>
                <w:color w:val="1F497D" w:themeColor="text2"/>
                <w:sz w:val="18"/>
                <w:szCs w:val="18"/>
              </w:rPr>
            </w:pPr>
          </w:p>
        </w:tc>
        <w:tc>
          <w:tcPr>
            <w:tcW w:w="259" w:type="dxa"/>
            <w:tcBorders>
              <w:top w:val="nil"/>
              <w:left w:val="nil"/>
              <w:bottom w:val="nil"/>
              <w:right w:val="single" w:sz="8" w:space="0" w:color="365F91" w:themeColor="accent1" w:themeShade="BF"/>
            </w:tcBorders>
            <w:shd w:val="clear" w:color="auto" w:fill="auto"/>
            <w:noWrap/>
            <w:vAlign w:val="bottom"/>
            <w:hideMark/>
          </w:tcPr>
          <w:p w14:paraId="673539C5" w14:textId="77777777" w:rsidR="00C4454D" w:rsidRPr="00A735B4" w:rsidRDefault="00C4454D" w:rsidP="00C4454D">
            <w:pPr>
              <w:rPr>
                <w:color w:val="1F497D" w:themeColor="text2"/>
                <w:sz w:val="18"/>
                <w:szCs w:val="18"/>
              </w:rPr>
            </w:pPr>
          </w:p>
        </w:tc>
        <w:tc>
          <w:tcPr>
            <w:tcW w:w="259" w:type="dxa"/>
            <w:tcBorders>
              <w:top w:val="nil"/>
              <w:left w:val="single" w:sz="8" w:space="0" w:color="365F91" w:themeColor="accent1" w:themeShade="BF"/>
              <w:bottom w:val="nil"/>
              <w:right w:val="nil"/>
            </w:tcBorders>
            <w:shd w:val="clear" w:color="auto" w:fill="auto"/>
            <w:noWrap/>
            <w:vAlign w:val="bottom"/>
            <w:hideMark/>
          </w:tcPr>
          <w:p w14:paraId="7FF63512"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nil"/>
              <w:right w:val="single" w:sz="8" w:space="0" w:color="365F91" w:themeColor="accent1" w:themeShade="BF"/>
            </w:tcBorders>
            <w:shd w:val="clear" w:color="auto" w:fill="auto"/>
            <w:noWrap/>
            <w:vAlign w:val="bottom"/>
            <w:hideMark/>
          </w:tcPr>
          <w:p w14:paraId="235EF312"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nil"/>
              <w:right w:val="nil"/>
            </w:tcBorders>
            <w:shd w:val="clear" w:color="auto" w:fill="auto"/>
            <w:noWrap/>
            <w:vAlign w:val="bottom"/>
            <w:hideMark/>
          </w:tcPr>
          <w:p w14:paraId="0C9FB303" w14:textId="77777777" w:rsidR="00C4454D" w:rsidRPr="00A735B4" w:rsidRDefault="00C4454D" w:rsidP="00C4454D">
            <w:pPr>
              <w:rPr>
                <w:color w:val="1F497D" w:themeColor="text2"/>
                <w:sz w:val="18"/>
                <w:szCs w:val="18"/>
              </w:rPr>
            </w:pPr>
          </w:p>
        </w:tc>
        <w:tc>
          <w:tcPr>
            <w:tcW w:w="259" w:type="dxa"/>
            <w:tcBorders>
              <w:top w:val="nil"/>
              <w:left w:val="nil"/>
              <w:bottom w:val="nil"/>
              <w:right w:val="single" w:sz="8" w:space="0" w:color="365F91" w:themeColor="accent1" w:themeShade="BF"/>
            </w:tcBorders>
            <w:shd w:val="clear" w:color="auto" w:fill="auto"/>
            <w:noWrap/>
            <w:vAlign w:val="bottom"/>
            <w:hideMark/>
          </w:tcPr>
          <w:p w14:paraId="65A339C7" w14:textId="77777777" w:rsidR="00C4454D" w:rsidRPr="00A735B4" w:rsidRDefault="00C4454D" w:rsidP="00C4454D">
            <w:pPr>
              <w:rPr>
                <w:color w:val="1F497D" w:themeColor="text2"/>
                <w:sz w:val="18"/>
                <w:szCs w:val="18"/>
              </w:rPr>
            </w:pPr>
          </w:p>
        </w:tc>
        <w:tc>
          <w:tcPr>
            <w:tcW w:w="259" w:type="dxa"/>
            <w:tcBorders>
              <w:top w:val="nil"/>
              <w:left w:val="single" w:sz="8" w:space="0" w:color="365F91" w:themeColor="accent1" w:themeShade="BF"/>
              <w:bottom w:val="nil"/>
              <w:right w:val="nil"/>
            </w:tcBorders>
            <w:shd w:val="clear" w:color="auto" w:fill="auto"/>
            <w:noWrap/>
            <w:vAlign w:val="bottom"/>
            <w:hideMark/>
          </w:tcPr>
          <w:p w14:paraId="41EC7045"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nil"/>
              <w:right w:val="single" w:sz="8" w:space="0" w:color="365F91" w:themeColor="accent1" w:themeShade="BF"/>
            </w:tcBorders>
            <w:shd w:val="clear" w:color="auto" w:fill="auto"/>
            <w:noWrap/>
            <w:vAlign w:val="bottom"/>
            <w:hideMark/>
          </w:tcPr>
          <w:p w14:paraId="269BCCE7"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nil"/>
              <w:right w:val="nil"/>
            </w:tcBorders>
            <w:shd w:val="clear" w:color="auto" w:fill="auto"/>
            <w:noWrap/>
            <w:vAlign w:val="bottom"/>
            <w:hideMark/>
          </w:tcPr>
          <w:p w14:paraId="4210787C"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nil"/>
              <w:right w:val="single" w:sz="8" w:space="0" w:color="365F91" w:themeColor="accent1" w:themeShade="BF"/>
            </w:tcBorders>
            <w:shd w:val="clear" w:color="auto" w:fill="auto"/>
            <w:noWrap/>
            <w:vAlign w:val="bottom"/>
            <w:hideMark/>
          </w:tcPr>
          <w:p w14:paraId="0CEAFA3A"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nil"/>
              <w:right w:val="nil"/>
            </w:tcBorders>
            <w:shd w:val="clear" w:color="auto" w:fill="auto"/>
            <w:noWrap/>
            <w:vAlign w:val="bottom"/>
            <w:hideMark/>
          </w:tcPr>
          <w:p w14:paraId="2D8E39FF"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nil"/>
              <w:right w:val="single" w:sz="8" w:space="0" w:color="365F91" w:themeColor="accent1" w:themeShade="BF"/>
            </w:tcBorders>
            <w:shd w:val="clear" w:color="auto" w:fill="auto"/>
            <w:noWrap/>
            <w:vAlign w:val="bottom"/>
            <w:hideMark/>
          </w:tcPr>
          <w:p w14:paraId="4453A495"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nil"/>
              <w:right w:val="nil"/>
            </w:tcBorders>
            <w:shd w:val="clear" w:color="auto" w:fill="auto"/>
            <w:noWrap/>
            <w:vAlign w:val="bottom"/>
            <w:hideMark/>
          </w:tcPr>
          <w:p w14:paraId="57DDC3C4"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nil"/>
              <w:right w:val="single" w:sz="8" w:space="0" w:color="365F91" w:themeColor="accent1" w:themeShade="BF"/>
            </w:tcBorders>
            <w:shd w:val="clear" w:color="auto" w:fill="auto"/>
            <w:noWrap/>
            <w:vAlign w:val="bottom"/>
            <w:hideMark/>
          </w:tcPr>
          <w:p w14:paraId="71AC15A9" w14:textId="77777777" w:rsidR="00C4454D" w:rsidRPr="00A735B4" w:rsidRDefault="00C4454D" w:rsidP="00C4454D">
            <w:pPr>
              <w:rPr>
                <w:color w:val="1F497D" w:themeColor="text2"/>
              </w:rPr>
            </w:pPr>
            <w:r w:rsidRPr="00A735B4">
              <w:rPr>
                <w:color w:val="1F497D" w:themeColor="text2"/>
              </w:rPr>
              <w:t> </w:t>
            </w:r>
          </w:p>
        </w:tc>
      </w:tr>
      <w:tr w:rsidR="00C4454D" w:rsidRPr="00A735B4" w14:paraId="3B5B198F" w14:textId="77777777" w:rsidTr="00C4454D">
        <w:trPr>
          <w:trHeight w:val="205"/>
        </w:trPr>
        <w:tc>
          <w:tcPr>
            <w:tcW w:w="1415" w:type="dxa"/>
            <w:tcBorders>
              <w:top w:val="nil"/>
              <w:left w:val="single" w:sz="8" w:space="0" w:color="365F91" w:themeColor="accent1" w:themeShade="BF"/>
              <w:bottom w:val="nil"/>
              <w:right w:val="nil"/>
            </w:tcBorders>
            <w:shd w:val="clear" w:color="auto" w:fill="auto"/>
            <w:noWrap/>
            <w:vAlign w:val="bottom"/>
            <w:hideMark/>
          </w:tcPr>
          <w:p w14:paraId="1B9B4A63" w14:textId="77777777" w:rsidR="00C4454D" w:rsidRPr="00A735B4" w:rsidRDefault="00C4454D" w:rsidP="00C4454D">
            <w:pPr>
              <w:rPr>
                <w:color w:val="1F497D" w:themeColor="text2"/>
                <w:sz w:val="18"/>
                <w:szCs w:val="18"/>
              </w:rPr>
            </w:pPr>
            <w:r w:rsidRPr="00A735B4">
              <w:rPr>
                <w:color w:val="1F497D" w:themeColor="text2"/>
                <w:sz w:val="18"/>
                <w:szCs w:val="18"/>
              </w:rPr>
              <w:t>Tanzania</w:t>
            </w:r>
          </w:p>
        </w:tc>
        <w:tc>
          <w:tcPr>
            <w:tcW w:w="686" w:type="dxa"/>
            <w:tcBorders>
              <w:top w:val="nil"/>
              <w:left w:val="nil"/>
              <w:bottom w:val="nil"/>
              <w:right w:val="single" w:sz="8" w:space="0" w:color="365F91" w:themeColor="accent1" w:themeShade="BF"/>
            </w:tcBorders>
            <w:shd w:val="clear" w:color="auto" w:fill="auto"/>
            <w:noWrap/>
            <w:vAlign w:val="bottom"/>
            <w:hideMark/>
          </w:tcPr>
          <w:p w14:paraId="2F8182F8" w14:textId="77777777" w:rsidR="00C4454D" w:rsidRPr="00A735B4" w:rsidRDefault="00C4454D" w:rsidP="00C4454D">
            <w:pPr>
              <w:rPr>
                <w:color w:val="1F497D" w:themeColor="text2"/>
                <w:sz w:val="18"/>
                <w:szCs w:val="18"/>
              </w:rPr>
            </w:pPr>
          </w:p>
        </w:tc>
        <w:tc>
          <w:tcPr>
            <w:tcW w:w="316" w:type="dxa"/>
            <w:tcBorders>
              <w:top w:val="nil"/>
              <w:left w:val="single" w:sz="8" w:space="0" w:color="365F91" w:themeColor="accent1" w:themeShade="BF"/>
              <w:bottom w:val="nil"/>
              <w:right w:val="single" w:sz="8" w:space="0" w:color="365F91" w:themeColor="accent1" w:themeShade="BF"/>
            </w:tcBorders>
            <w:shd w:val="clear" w:color="auto" w:fill="auto"/>
            <w:noWrap/>
            <w:vAlign w:val="bottom"/>
            <w:hideMark/>
          </w:tcPr>
          <w:p w14:paraId="168A371E"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nil"/>
              <w:right w:val="nil"/>
            </w:tcBorders>
            <w:shd w:val="clear" w:color="auto" w:fill="auto"/>
            <w:noWrap/>
            <w:vAlign w:val="bottom"/>
            <w:hideMark/>
          </w:tcPr>
          <w:p w14:paraId="4F713744" w14:textId="77777777" w:rsidR="00C4454D" w:rsidRPr="00A735B4" w:rsidRDefault="00C4454D" w:rsidP="00C4454D">
            <w:pPr>
              <w:rPr>
                <w:color w:val="1F497D" w:themeColor="text2"/>
                <w:sz w:val="18"/>
                <w:szCs w:val="18"/>
              </w:rPr>
            </w:pPr>
          </w:p>
        </w:tc>
        <w:tc>
          <w:tcPr>
            <w:tcW w:w="259" w:type="dxa"/>
            <w:tcBorders>
              <w:top w:val="nil"/>
              <w:left w:val="nil"/>
              <w:bottom w:val="nil"/>
              <w:right w:val="single" w:sz="8" w:space="0" w:color="365F91" w:themeColor="accent1" w:themeShade="BF"/>
            </w:tcBorders>
            <w:shd w:val="clear" w:color="auto" w:fill="auto"/>
            <w:noWrap/>
            <w:vAlign w:val="bottom"/>
            <w:hideMark/>
          </w:tcPr>
          <w:p w14:paraId="4561FC7A"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nil"/>
              <w:right w:val="nil"/>
            </w:tcBorders>
            <w:shd w:val="clear" w:color="auto" w:fill="auto"/>
            <w:noWrap/>
            <w:vAlign w:val="bottom"/>
            <w:hideMark/>
          </w:tcPr>
          <w:p w14:paraId="5B1FA6D1"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nil"/>
              <w:right w:val="single" w:sz="8" w:space="0" w:color="365F91" w:themeColor="accent1" w:themeShade="BF"/>
            </w:tcBorders>
            <w:shd w:val="clear" w:color="auto" w:fill="auto"/>
            <w:noWrap/>
            <w:vAlign w:val="bottom"/>
            <w:hideMark/>
          </w:tcPr>
          <w:p w14:paraId="684F793D"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nil"/>
              <w:right w:val="nil"/>
            </w:tcBorders>
            <w:shd w:val="clear" w:color="auto" w:fill="auto"/>
            <w:noWrap/>
            <w:vAlign w:val="bottom"/>
            <w:hideMark/>
          </w:tcPr>
          <w:p w14:paraId="4BEB06C8" w14:textId="77777777" w:rsidR="00C4454D" w:rsidRPr="00A735B4" w:rsidRDefault="00C4454D" w:rsidP="00C4454D">
            <w:pPr>
              <w:rPr>
                <w:color w:val="1F497D" w:themeColor="text2"/>
                <w:sz w:val="18"/>
                <w:szCs w:val="18"/>
              </w:rPr>
            </w:pPr>
          </w:p>
        </w:tc>
        <w:tc>
          <w:tcPr>
            <w:tcW w:w="259" w:type="dxa"/>
            <w:tcBorders>
              <w:top w:val="nil"/>
              <w:left w:val="nil"/>
              <w:bottom w:val="nil"/>
              <w:right w:val="single" w:sz="8" w:space="0" w:color="365F91" w:themeColor="accent1" w:themeShade="BF"/>
            </w:tcBorders>
            <w:shd w:val="clear" w:color="auto" w:fill="auto"/>
            <w:noWrap/>
            <w:vAlign w:val="bottom"/>
            <w:hideMark/>
          </w:tcPr>
          <w:p w14:paraId="126FF688" w14:textId="77777777" w:rsidR="00C4454D" w:rsidRPr="00A735B4" w:rsidRDefault="00C4454D" w:rsidP="00C4454D">
            <w:pPr>
              <w:rPr>
                <w:color w:val="1F497D" w:themeColor="text2"/>
                <w:sz w:val="18"/>
                <w:szCs w:val="18"/>
              </w:rPr>
            </w:pPr>
          </w:p>
        </w:tc>
        <w:tc>
          <w:tcPr>
            <w:tcW w:w="259" w:type="dxa"/>
            <w:tcBorders>
              <w:top w:val="nil"/>
              <w:left w:val="single" w:sz="8" w:space="0" w:color="365F91" w:themeColor="accent1" w:themeShade="BF"/>
              <w:bottom w:val="nil"/>
              <w:right w:val="nil"/>
            </w:tcBorders>
            <w:shd w:val="clear" w:color="auto" w:fill="auto"/>
            <w:noWrap/>
            <w:vAlign w:val="bottom"/>
            <w:hideMark/>
          </w:tcPr>
          <w:p w14:paraId="6C518B02"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nil"/>
              <w:right w:val="single" w:sz="8" w:space="0" w:color="365F91" w:themeColor="accent1" w:themeShade="BF"/>
            </w:tcBorders>
            <w:shd w:val="clear" w:color="auto" w:fill="auto"/>
            <w:noWrap/>
            <w:vAlign w:val="bottom"/>
            <w:hideMark/>
          </w:tcPr>
          <w:p w14:paraId="0F4EB022"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nil"/>
              <w:right w:val="nil"/>
            </w:tcBorders>
            <w:shd w:val="clear" w:color="auto" w:fill="auto"/>
            <w:noWrap/>
            <w:vAlign w:val="bottom"/>
            <w:hideMark/>
          </w:tcPr>
          <w:p w14:paraId="58C7CB1D"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nil"/>
              <w:right w:val="single" w:sz="8" w:space="0" w:color="365F91" w:themeColor="accent1" w:themeShade="BF"/>
            </w:tcBorders>
            <w:shd w:val="clear" w:color="auto" w:fill="auto"/>
            <w:noWrap/>
            <w:vAlign w:val="bottom"/>
            <w:hideMark/>
          </w:tcPr>
          <w:p w14:paraId="03C7EB4F"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nil"/>
              <w:right w:val="nil"/>
            </w:tcBorders>
            <w:shd w:val="clear" w:color="auto" w:fill="auto"/>
            <w:noWrap/>
            <w:vAlign w:val="bottom"/>
            <w:hideMark/>
          </w:tcPr>
          <w:p w14:paraId="279AEC06" w14:textId="77777777" w:rsidR="00C4454D" w:rsidRPr="00A735B4" w:rsidRDefault="00C4454D" w:rsidP="00C4454D">
            <w:pPr>
              <w:rPr>
                <w:color w:val="1F497D" w:themeColor="text2"/>
                <w:sz w:val="18"/>
                <w:szCs w:val="18"/>
              </w:rPr>
            </w:pPr>
          </w:p>
        </w:tc>
        <w:tc>
          <w:tcPr>
            <w:tcW w:w="259" w:type="dxa"/>
            <w:tcBorders>
              <w:top w:val="nil"/>
              <w:left w:val="nil"/>
              <w:bottom w:val="nil"/>
              <w:right w:val="single" w:sz="8" w:space="0" w:color="365F91" w:themeColor="accent1" w:themeShade="BF"/>
            </w:tcBorders>
            <w:shd w:val="clear" w:color="auto" w:fill="365F91" w:themeFill="accent1" w:themeFillShade="BF"/>
            <w:noWrap/>
            <w:vAlign w:val="bottom"/>
            <w:hideMark/>
          </w:tcPr>
          <w:p w14:paraId="7D5D701A"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nil"/>
              <w:right w:val="nil"/>
            </w:tcBorders>
            <w:shd w:val="clear" w:color="auto" w:fill="auto"/>
            <w:noWrap/>
            <w:vAlign w:val="bottom"/>
            <w:hideMark/>
          </w:tcPr>
          <w:p w14:paraId="04A2920E"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nil"/>
              <w:right w:val="single" w:sz="8" w:space="0" w:color="365F91" w:themeColor="accent1" w:themeShade="BF"/>
            </w:tcBorders>
            <w:shd w:val="clear" w:color="auto" w:fill="auto"/>
            <w:noWrap/>
            <w:vAlign w:val="bottom"/>
            <w:hideMark/>
          </w:tcPr>
          <w:p w14:paraId="6BC9D942"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nil"/>
              <w:right w:val="nil"/>
            </w:tcBorders>
            <w:shd w:val="clear" w:color="auto" w:fill="auto"/>
            <w:noWrap/>
            <w:vAlign w:val="bottom"/>
            <w:hideMark/>
          </w:tcPr>
          <w:p w14:paraId="39A09F54" w14:textId="77777777" w:rsidR="00C4454D" w:rsidRPr="00A735B4" w:rsidRDefault="00C4454D" w:rsidP="00C4454D">
            <w:pPr>
              <w:rPr>
                <w:color w:val="1F497D" w:themeColor="text2"/>
                <w:sz w:val="18"/>
                <w:szCs w:val="18"/>
              </w:rPr>
            </w:pPr>
          </w:p>
        </w:tc>
        <w:tc>
          <w:tcPr>
            <w:tcW w:w="259" w:type="dxa"/>
            <w:tcBorders>
              <w:top w:val="nil"/>
              <w:left w:val="nil"/>
              <w:bottom w:val="nil"/>
              <w:right w:val="single" w:sz="8" w:space="0" w:color="365F91" w:themeColor="accent1" w:themeShade="BF"/>
            </w:tcBorders>
            <w:shd w:val="clear" w:color="auto" w:fill="auto"/>
            <w:noWrap/>
            <w:vAlign w:val="bottom"/>
            <w:hideMark/>
          </w:tcPr>
          <w:p w14:paraId="620D3826" w14:textId="77777777" w:rsidR="00C4454D" w:rsidRPr="00A735B4" w:rsidRDefault="00C4454D" w:rsidP="00C4454D">
            <w:pPr>
              <w:rPr>
                <w:color w:val="1F497D" w:themeColor="text2"/>
                <w:sz w:val="18"/>
                <w:szCs w:val="18"/>
              </w:rPr>
            </w:pPr>
          </w:p>
        </w:tc>
        <w:tc>
          <w:tcPr>
            <w:tcW w:w="259" w:type="dxa"/>
            <w:tcBorders>
              <w:top w:val="nil"/>
              <w:left w:val="single" w:sz="8" w:space="0" w:color="365F91" w:themeColor="accent1" w:themeShade="BF"/>
              <w:bottom w:val="nil"/>
              <w:right w:val="nil"/>
            </w:tcBorders>
            <w:shd w:val="clear" w:color="auto" w:fill="auto"/>
            <w:noWrap/>
            <w:vAlign w:val="bottom"/>
            <w:hideMark/>
          </w:tcPr>
          <w:p w14:paraId="302FF374"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nil"/>
              <w:right w:val="single" w:sz="8" w:space="0" w:color="365F91" w:themeColor="accent1" w:themeShade="BF"/>
            </w:tcBorders>
            <w:shd w:val="clear" w:color="auto" w:fill="auto"/>
            <w:noWrap/>
            <w:vAlign w:val="bottom"/>
            <w:hideMark/>
          </w:tcPr>
          <w:p w14:paraId="3A9B8753"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nil"/>
              <w:right w:val="nil"/>
            </w:tcBorders>
            <w:shd w:val="clear" w:color="auto" w:fill="auto"/>
            <w:noWrap/>
            <w:vAlign w:val="bottom"/>
            <w:hideMark/>
          </w:tcPr>
          <w:p w14:paraId="7BA3615A"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nil"/>
              <w:right w:val="single" w:sz="8" w:space="0" w:color="365F91" w:themeColor="accent1" w:themeShade="BF"/>
            </w:tcBorders>
            <w:shd w:val="clear" w:color="auto" w:fill="auto"/>
            <w:noWrap/>
            <w:vAlign w:val="bottom"/>
            <w:hideMark/>
          </w:tcPr>
          <w:p w14:paraId="45DAB09B"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nil"/>
              <w:right w:val="nil"/>
            </w:tcBorders>
            <w:shd w:val="clear" w:color="auto" w:fill="auto"/>
            <w:noWrap/>
            <w:vAlign w:val="bottom"/>
            <w:hideMark/>
          </w:tcPr>
          <w:p w14:paraId="71B60E56"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nil"/>
              <w:right w:val="single" w:sz="8" w:space="0" w:color="365F91" w:themeColor="accent1" w:themeShade="BF"/>
            </w:tcBorders>
            <w:shd w:val="clear" w:color="auto" w:fill="auto"/>
            <w:noWrap/>
            <w:vAlign w:val="bottom"/>
            <w:hideMark/>
          </w:tcPr>
          <w:p w14:paraId="7050E5E3"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nil"/>
              <w:right w:val="nil"/>
            </w:tcBorders>
            <w:shd w:val="clear" w:color="auto" w:fill="auto"/>
            <w:noWrap/>
            <w:vAlign w:val="bottom"/>
            <w:hideMark/>
          </w:tcPr>
          <w:p w14:paraId="6A901DFD"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nil"/>
              <w:right w:val="single" w:sz="8" w:space="0" w:color="365F91" w:themeColor="accent1" w:themeShade="BF"/>
            </w:tcBorders>
            <w:shd w:val="clear" w:color="auto" w:fill="auto"/>
            <w:noWrap/>
            <w:vAlign w:val="bottom"/>
            <w:hideMark/>
          </w:tcPr>
          <w:p w14:paraId="35DB5BBC" w14:textId="77777777" w:rsidR="00C4454D" w:rsidRPr="00A735B4" w:rsidRDefault="00C4454D" w:rsidP="00C4454D">
            <w:pPr>
              <w:rPr>
                <w:color w:val="1F497D" w:themeColor="text2"/>
              </w:rPr>
            </w:pPr>
            <w:r w:rsidRPr="00A735B4">
              <w:rPr>
                <w:color w:val="1F497D" w:themeColor="text2"/>
              </w:rPr>
              <w:t> </w:t>
            </w:r>
          </w:p>
        </w:tc>
      </w:tr>
      <w:tr w:rsidR="00C4454D" w:rsidRPr="00A735B4" w14:paraId="02F71340" w14:textId="77777777" w:rsidTr="00C4454D">
        <w:trPr>
          <w:trHeight w:val="205"/>
        </w:trPr>
        <w:tc>
          <w:tcPr>
            <w:tcW w:w="1415" w:type="dxa"/>
            <w:tcBorders>
              <w:top w:val="nil"/>
              <w:left w:val="single" w:sz="8" w:space="0" w:color="365F91" w:themeColor="accent1" w:themeShade="BF"/>
              <w:bottom w:val="nil"/>
              <w:right w:val="nil"/>
            </w:tcBorders>
            <w:shd w:val="clear" w:color="auto" w:fill="auto"/>
            <w:noWrap/>
            <w:vAlign w:val="bottom"/>
            <w:hideMark/>
          </w:tcPr>
          <w:p w14:paraId="30F049C2" w14:textId="77777777" w:rsidR="00C4454D" w:rsidRPr="00A735B4" w:rsidRDefault="00C4454D" w:rsidP="00C4454D">
            <w:pPr>
              <w:rPr>
                <w:color w:val="1F497D" w:themeColor="text2"/>
                <w:sz w:val="18"/>
                <w:szCs w:val="18"/>
              </w:rPr>
            </w:pPr>
            <w:r w:rsidRPr="00A735B4">
              <w:rPr>
                <w:color w:val="1F497D" w:themeColor="text2"/>
                <w:sz w:val="18"/>
                <w:szCs w:val="18"/>
              </w:rPr>
              <w:t>Uganda</w:t>
            </w:r>
          </w:p>
        </w:tc>
        <w:tc>
          <w:tcPr>
            <w:tcW w:w="686" w:type="dxa"/>
            <w:tcBorders>
              <w:top w:val="nil"/>
              <w:left w:val="nil"/>
              <w:bottom w:val="nil"/>
              <w:right w:val="single" w:sz="8" w:space="0" w:color="365F91" w:themeColor="accent1" w:themeShade="BF"/>
            </w:tcBorders>
            <w:shd w:val="clear" w:color="auto" w:fill="auto"/>
            <w:noWrap/>
            <w:vAlign w:val="bottom"/>
            <w:hideMark/>
          </w:tcPr>
          <w:p w14:paraId="0D4A63E8" w14:textId="77777777" w:rsidR="00C4454D" w:rsidRPr="00A735B4" w:rsidRDefault="00C4454D" w:rsidP="00C4454D">
            <w:pPr>
              <w:rPr>
                <w:color w:val="1F497D" w:themeColor="text2"/>
                <w:sz w:val="18"/>
                <w:szCs w:val="18"/>
              </w:rPr>
            </w:pPr>
          </w:p>
        </w:tc>
        <w:tc>
          <w:tcPr>
            <w:tcW w:w="316" w:type="dxa"/>
            <w:tcBorders>
              <w:top w:val="nil"/>
              <w:left w:val="single" w:sz="8" w:space="0" w:color="365F91" w:themeColor="accent1" w:themeShade="BF"/>
              <w:bottom w:val="nil"/>
              <w:right w:val="single" w:sz="8" w:space="0" w:color="365F91" w:themeColor="accent1" w:themeShade="BF"/>
            </w:tcBorders>
            <w:shd w:val="clear" w:color="auto" w:fill="365F91" w:themeFill="accent1" w:themeFillShade="BF"/>
            <w:noWrap/>
            <w:vAlign w:val="bottom"/>
            <w:hideMark/>
          </w:tcPr>
          <w:p w14:paraId="79E7793E"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nil"/>
              <w:right w:val="nil"/>
            </w:tcBorders>
            <w:shd w:val="clear" w:color="auto" w:fill="365F91" w:themeFill="accent1" w:themeFillShade="BF"/>
            <w:noWrap/>
            <w:vAlign w:val="bottom"/>
            <w:hideMark/>
          </w:tcPr>
          <w:p w14:paraId="4023480B"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nil"/>
              <w:right w:val="single" w:sz="8" w:space="0" w:color="365F91" w:themeColor="accent1" w:themeShade="BF"/>
            </w:tcBorders>
            <w:shd w:val="clear" w:color="auto" w:fill="365F91" w:themeFill="accent1" w:themeFillShade="BF"/>
            <w:noWrap/>
            <w:vAlign w:val="bottom"/>
            <w:hideMark/>
          </w:tcPr>
          <w:p w14:paraId="248FA60A"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nil"/>
              <w:right w:val="nil"/>
            </w:tcBorders>
            <w:shd w:val="clear" w:color="auto" w:fill="365F91" w:themeFill="accent1" w:themeFillShade="BF"/>
            <w:noWrap/>
            <w:vAlign w:val="bottom"/>
            <w:hideMark/>
          </w:tcPr>
          <w:p w14:paraId="35E19185"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nil"/>
              <w:right w:val="single" w:sz="8" w:space="0" w:color="365F91" w:themeColor="accent1" w:themeShade="BF"/>
            </w:tcBorders>
            <w:shd w:val="clear" w:color="auto" w:fill="365F91" w:themeFill="accent1" w:themeFillShade="BF"/>
            <w:noWrap/>
            <w:vAlign w:val="bottom"/>
            <w:hideMark/>
          </w:tcPr>
          <w:p w14:paraId="29986486"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nil"/>
              <w:right w:val="nil"/>
            </w:tcBorders>
            <w:shd w:val="clear" w:color="auto" w:fill="365F91" w:themeFill="accent1" w:themeFillShade="BF"/>
            <w:noWrap/>
            <w:vAlign w:val="bottom"/>
            <w:hideMark/>
          </w:tcPr>
          <w:p w14:paraId="56552DEA"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nil"/>
              <w:right w:val="single" w:sz="8" w:space="0" w:color="365F91" w:themeColor="accent1" w:themeShade="BF"/>
            </w:tcBorders>
            <w:shd w:val="clear" w:color="auto" w:fill="365F91" w:themeFill="accent1" w:themeFillShade="BF"/>
            <w:noWrap/>
            <w:vAlign w:val="bottom"/>
            <w:hideMark/>
          </w:tcPr>
          <w:p w14:paraId="1CCF3D8E"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nil"/>
              <w:right w:val="nil"/>
            </w:tcBorders>
            <w:shd w:val="clear" w:color="auto" w:fill="365F91" w:themeFill="accent1" w:themeFillShade="BF"/>
            <w:noWrap/>
            <w:vAlign w:val="bottom"/>
            <w:hideMark/>
          </w:tcPr>
          <w:p w14:paraId="5579385E"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nil"/>
              <w:right w:val="single" w:sz="8" w:space="0" w:color="365F91" w:themeColor="accent1" w:themeShade="BF"/>
            </w:tcBorders>
            <w:shd w:val="clear" w:color="auto" w:fill="365F91" w:themeFill="accent1" w:themeFillShade="BF"/>
            <w:noWrap/>
            <w:vAlign w:val="bottom"/>
            <w:hideMark/>
          </w:tcPr>
          <w:p w14:paraId="26744870"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nil"/>
              <w:right w:val="nil"/>
            </w:tcBorders>
            <w:shd w:val="clear" w:color="auto" w:fill="365F91" w:themeFill="accent1" w:themeFillShade="BF"/>
            <w:noWrap/>
            <w:vAlign w:val="bottom"/>
            <w:hideMark/>
          </w:tcPr>
          <w:p w14:paraId="560BC5CE"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nil"/>
              <w:right w:val="single" w:sz="8" w:space="0" w:color="365F91" w:themeColor="accent1" w:themeShade="BF"/>
            </w:tcBorders>
            <w:shd w:val="clear" w:color="auto" w:fill="365F91" w:themeFill="accent1" w:themeFillShade="BF"/>
            <w:noWrap/>
            <w:vAlign w:val="bottom"/>
            <w:hideMark/>
          </w:tcPr>
          <w:p w14:paraId="1CB056DD"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nil"/>
              <w:right w:val="nil"/>
            </w:tcBorders>
            <w:shd w:val="clear" w:color="auto" w:fill="365F91" w:themeFill="accent1" w:themeFillShade="BF"/>
            <w:noWrap/>
            <w:vAlign w:val="bottom"/>
            <w:hideMark/>
          </w:tcPr>
          <w:p w14:paraId="34012CC2"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nil"/>
              <w:right w:val="single" w:sz="8" w:space="0" w:color="365F91" w:themeColor="accent1" w:themeShade="BF"/>
            </w:tcBorders>
            <w:shd w:val="clear" w:color="auto" w:fill="365F91" w:themeFill="accent1" w:themeFillShade="BF"/>
            <w:noWrap/>
            <w:vAlign w:val="bottom"/>
            <w:hideMark/>
          </w:tcPr>
          <w:p w14:paraId="2C1EEB77"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nil"/>
              <w:right w:val="nil"/>
            </w:tcBorders>
            <w:shd w:val="clear" w:color="auto" w:fill="365F91" w:themeFill="accent1" w:themeFillShade="BF"/>
            <w:noWrap/>
            <w:vAlign w:val="bottom"/>
            <w:hideMark/>
          </w:tcPr>
          <w:p w14:paraId="393BF7AB"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nil"/>
              <w:right w:val="single" w:sz="8" w:space="0" w:color="365F91" w:themeColor="accent1" w:themeShade="BF"/>
            </w:tcBorders>
            <w:shd w:val="clear" w:color="auto" w:fill="365F91" w:themeFill="accent1" w:themeFillShade="BF"/>
            <w:noWrap/>
            <w:vAlign w:val="bottom"/>
            <w:hideMark/>
          </w:tcPr>
          <w:p w14:paraId="4C9920E1"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nil"/>
              <w:right w:val="nil"/>
            </w:tcBorders>
            <w:shd w:val="clear" w:color="auto" w:fill="365F91" w:themeFill="accent1" w:themeFillShade="BF"/>
            <w:noWrap/>
            <w:vAlign w:val="bottom"/>
            <w:hideMark/>
          </w:tcPr>
          <w:p w14:paraId="298F35B3"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nil"/>
              <w:right w:val="single" w:sz="8" w:space="0" w:color="365F91" w:themeColor="accent1" w:themeShade="BF"/>
            </w:tcBorders>
            <w:shd w:val="clear" w:color="auto" w:fill="365F91" w:themeFill="accent1" w:themeFillShade="BF"/>
            <w:noWrap/>
            <w:vAlign w:val="bottom"/>
            <w:hideMark/>
          </w:tcPr>
          <w:p w14:paraId="760BE552"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nil"/>
              <w:right w:val="nil"/>
            </w:tcBorders>
            <w:shd w:val="clear" w:color="auto" w:fill="365F91" w:themeFill="accent1" w:themeFillShade="BF"/>
            <w:noWrap/>
            <w:vAlign w:val="bottom"/>
            <w:hideMark/>
          </w:tcPr>
          <w:p w14:paraId="41697E10"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nil"/>
              <w:right w:val="single" w:sz="8" w:space="0" w:color="365F91" w:themeColor="accent1" w:themeShade="BF"/>
            </w:tcBorders>
            <w:shd w:val="clear" w:color="auto" w:fill="365F91" w:themeFill="accent1" w:themeFillShade="BF"/>
            <w:noWrap/>
            <w:vAlign w:val="bottom"/>
            <w:hideMark/>
          </w:tcPr>
          <w:p w14:paraId="07160EA6"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nil"/>
              <w:right w:val="nil"/>
            </w:tcBorders>
            <w:shd w:val="clear" w:color="auto" w:fill="365F91" w:themeFill="accent1" w:themeFillShade="BF"/>
            <w:noWrap/>
            <w:vAlign w:val="bottom"/>
            <w:hideMark/>
          </w:tcPr>
          <w:p w14:paraId="743C99D1"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nil"/>
              <w:right w:val="single" w:sz="8" w:space="0" w:color="365F91" w:themeColor="accent1" w:themeShade="BF"/>
            </w:tcBorders>
            <w:shd w:val="clear" w:color="auto" w:fill="auto"/>
            <w:noWrap/>
            <w:vAlign w:val="bottom"/>
            <w:hideMark/>
          </w:tcPr>
          <w:p w14:paraId="53E5EAE0"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nil"/>
              <w:right w:val="nil"/>
            </w:tcBorders>
            <w:shd w:val="clear" w:color="auto" w:fill="auto"/>
            <w:noWrap/>
            <w:vAlign w:val="bottom"/>
            <w:hideMark/>
          </w:tcPr>
          <w:p w14:paraId="36706845"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nil"/>
              <w:right w:val="single" w:sz="8" w:space="0" w:color="365F91" w:themeColor="accent1" w:themeShade="BF"/>
            </w:tcBorders>
            <w:shd w:val="clear" w:color="auto" w:fill="auto"/>
            <w:noWrap/>
            <w:vAlign w:val="bottom"/>
            <w:hideMark/>
          </w:tcPr>
          <w:p w14:paraId="115CF131"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nil"/>
              <w:right w:val="nil"/>
            </w:tcBorders>
            <w:shd w:val="clear" w:color="auto" w:fill="auto"/>
            <w:noWrap/>
            <w:vAlign w:val="bottom"/>
            <w:hideMark/>
          </w:tcPr>
          <w:p w14:paraId="359D9B46"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nil"/>
              <w:right w:val="single" w:sz="8" w:space="0" w:color="365F91" w:themeColor="accent1" w:themeShade="BF"/>
            </w:tcBorders>
            <w:shd w:val="clear" w:color="auto" w:fill="auto"/>
            <w:noWrap/>
            <w:vAlign w:val="bottom"/>
            <w:hideMark/>
          </w:tcPr>
          <w:p w14:paraId="7A5AA84A" w14:textId="77777777" w:rsidR="00C4454D" w:rsidRPr="00A735B4" w:rsidRDefault="00C4454D" w:rsidP="00C4454D">
            <w:pPr>
              <w:rPr>
                <w:color w:val="1F497D" w:themeColor="text2"/>
              </w:rPr>
            </w:pPr>
            <w:r w:rsidRPr="00A735B4">
              <w:rPr>
                <w:color w:val="1F497D" w:themeColor="text2"/>
              </w:rPr>
              <w:t> </w:t>
            </w:r>
          </w:p>
        </w:tc>
      </w:tr>
      <w:tr w:rsidR="00C4454D" w:rsidRPr="00A735B4" w14:paraId="3FE76DD0" w14:textId="77777777" w:rsidTr="00C4454D">
        <w:trPr>
          <w:trHeight w:val="205"/>
        </w:trPr>
        <w:tc>
          <w:tcPr>
            <w:tcW w:w="1415" w:type="dxa"/>
            <w:tcBorders>
              <w:top w:val="nil"/>
              <w:left w:val="single" w:sz="8" w:space="0" w:color="365F91" w:themeColor="accent1" w:themeShade="BF"/>
              <w:bottom w:val="nil"/>
              <w:right w:val="nil"/>
            </w:tcBorders>
            <w:shd w:val="clear" w:color="auto" w:fill="auto"/>
            <w:noWrap/>
            <w:vAlign w:val="bottom"/>
            <w:hideMark/>
          </w:tcPr>
          <w:p w14:paraId="5BAA352C" w14:textId="77777777" w:rsidR="00C4454D" w:rsidRPr="00A735B4" w:rsidRDefault="00C4454D" w:rsidP="00C4454D">
            <w:pPr>
              <w:rPr>
                <w:color w:val="1F497D" w:themeColor="text2"/>
                <w:sz w:val="18"/>
                <w:szCs w:val="18"/>
              </w:rPr>
            </w:pPr>
            <w:r w:rsidRPr="00A735B4">
              <w:rPr>
                <w:color w:val="1F497D" w:themeColor="text2"/>
                <w:sz w:val="18"/>
                <w:szCs w:val="18"/>
              </w:rPr>
              <w:t>Rwanda</w:t>
            </w:r>
          </w:p>
        </w:tc>
        <w:tc>
          <w:tcPr>
            <w:tcW w:w="686" w:type="dxa"/>
            <w:tcBorders>
              <w:top w:val="nil"/>
              <w:left w:val="nil"/>
              <w:bottom w:val="nil"/>
              <w:right w:val="single" w:sz="8" w:space="0" w:color="365F91" w:themeColor="accent1" w:themeShade="BF"/>
            </w:tcBorders>
            <w:shd w:val="clear" w:color="auto" w:fill="auto"/>
            <w:noWrap/>
            <w:vAlign w:val="bottom"/>
            <w:hideMark/>
          </w:tcPr>
          <w:p w14:paraId="2BC6B84C" w14:textId="77777777" w:rsidR="00C4454D" w:rsidRPr="00A735B4" w:rsidRDefault="00C4454D" w:rsidP="00C4454D">
            <w:pPr>
              <w:rPr>
                <w:color w:val="1F497D" w:themeColor="text2"/>
                <w:sz w:val="18"/>
                <w:szCs w:val="18"/>
              </w:rPr>
            </w:pPr>
          </w:p>
        </w:tc>
        <w:tc>
          <w:tcPr>
            <w:tcW w:w="316" w:type="dxa"/>
            <w:tcBorders>
              <w:top w:val="nil"/>
              <w:left w:val="single" w:sz="8" w:space="0" w:color="365F91" w:themeColor="accent1" w:themeShade="BF"/>
              <w:bottom w:val="nil"/>
              <w:right w:val="single" w:sz="8" w:space="0" w:color="365F91" w:themeColor="accent1" w:themeShade="BF"/>
            </w:tcBorders>
            <w:shd w:val="clear" w:color="auto" w:fill="365F91" w:themeFill="accent1" w:themeFillShade="BF"/>
            <w:noWrap/>
            <w:vAlign w:val="bottom"/>
            <w:hideMark/>
          </w:tcPr>
          <w:p w14:paraId="019907E4"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nil"/>
              <w:right w:val="nil"/>
            </w:tcBorders>
            <w:shd w:val="clear" w:color="auto" w:fill="auto"/>
            <w:noWrap/>
            <w:vAlign w:val="bottom"/>
            <w:hideMark/>
          </w:tcPr>
          <w:p w14:paraId="66D065DB" w14:textId="77777777" w:rsidR="00C4454D" w:rsidRPr="00A735B4" w:rsidRDefault="00C4454D" w:rsidP="00C4454D">
            <w:pPr>
              <w:rPr>
                <w:color w:val="1F497D" w:themeColor="text2"/>
                <w:sz w:val="18"/>
                <w:szCs w:val="18"/>
              </w:rPr>
            </w:pPr>
          </w:p>
        </w:tc>
        <w:tc>
          <w:tcPr>
            <w:tcW w:w="259" w:type="dxa"/>
            <w:tcBorders>
              <w:top w:val="nil"/>
              <w:left w:val="nil"/>
              <w:bottom w:val="nil"/>
              <w:right w:val="single" w:sz="8" w:space="0" w:color="365F91" w:themeColor="accent1" w:themeShade="BF"/>
            </w:tcBorders>
            <w:shd w:val="clear" w:color="auto" w:fill="auto"/>
            <w:noWrap/>
            <w:vAlign w:val="bottom"/>
            <w:hideMark/>
          </w:tcPr>
          <w:p w14:paraId="63E06CF5"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nil"/>
              <w:right w:val="nil"/>
            </w:tcBorders>
            <w:shd w:val="clear" w:color="auto" w:fill="auto"/>
            <w:noWrap/>
            <w:vAlign w:val="bottom"/>
            <w:hideMark/>
          </w:tcPr>
          <w:p w14:paraId="33C0D59C"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nil"/>
              <w:right w:val="single" w:sz="8" w:space="0" w:color="365F91" w:themeColor="accent1" w:themeShade="BF"/>
            </w:tcBorders>
            <w:shd w:val="clear" w:color="auto" w:fill="auto"/>
            <w:noWrap/>
            <w:vAlign w:val="bottom"/>
            <w:hideMark/>
          </w:tcPr>
          <w:p w14:paraId="07CF9D03"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nil"/>
              <w:right w:val="nil"/>
            </w:tcBorders>
            <w:shd w:val="clear" w:color="auto" w:fill="auto"/>
            <w:noWrap/>
            <w:vAlign w:val="bottom"/>
            <w:hideMark/>
          </w:tcPr>
          <w:p w14:paraId="42C73FAD" w14:textId="77777777" w:rsidR="00C4454D" w:rsidRPr="00A735B4" w:rsidRDefault="00C4454D" w:rsidP="00C4454D">
            <w:pPr>
              <w:rPr>
                <w:color w:val="1F497D" w:themeColor="text2"/>
                <w:sz w:val="18"/>
                <w:szCs w:val="18"/>
              </w:rPr>
            </w:pPr>
          </w:p>
        </w:tc>
        <w:tc>
          <w:tcPr>
            <w:tcW w:w="259" w:type="dxa"/>
            <w:tcBorders>
              <w:top w:val="nil"/>
              <w:left w:val="nil"/>
              <w:bottom w:val="nil"/>
              <w:right w:val="single" w:sz="8" w:space="0" w:color="365F91" w:themeColor="accent1" w:themeShade="BF"/>
            </w:tcBorders>
            <w:shd w:val="clear" w:color="auto" w:fill="auto"/>
            <w:noWrap/>
            <w:vAlign w:val="bottom"/>
            <w:hideMark/>
          </w:tcPr>
          <w:p w14:paraId="70E2A38A" w14:textId="77777777" w:rsidR="00C4454D" w:rsidRPr="00A735B4" w:rsidRDefault="00C4454D" w:rsidP="00C4454D">
            <w:pPr>
              <w:rPr>
                <w:color w:val="1F497D" w:themeColor="text2"/>
                <w:sz w:val="18"/>
                <w:szCs w:val="18"/>
              </w:rPr>
            </w:pPr>
          </w:p>
        </w:tc>
        <w:tc>
          <w:tcPr>
            <w:tcW w:w="259" w:type="dxa"/>
            <w:tcBorders>
              <w:top w:val="nil"/>
              <w:left w:val="single" w:sz="8" w:space="0" w:color="365F91" w:themeColor="accent1" w:themeShade="BF"/>
              <w:bottom w:val="nil"/>
              <w:right w:val="nil"/>
            </w:tcBorders>
            <w:shd w:val="clear" w:color="auto" w:fill="auto"/>
            <w:noWrap/>
            <w:vAlign w:val="bottom"/>
            <w:hideMark/>
          </w:tcPr>
          <w:p w14:paraId="41A8E137"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nil"/>
              <w:right w:val="single" w:sz="8" w:space="0" w:color="365F91" w:themeColor="accent1" w:themeShade="BF"/>
            </w:tcBorders>
            <w:shd w:val="clear" w:color="auto" w:fill="auto"/>
            <w:noWrap/>
            <w:vAlign w:val="bottom"/>
            <w:hideMark/>
          </w:tcPr>
          <w:p w14:paraId="06D4CD08"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nil"/>
              <w:right w:val="nil"/>
            </w:tcBorders>
            <w:shd w:val="clear" w:color="auto" w:fill="auto"/>
            <w:noWrap/>
            <w:vAlign w:val="bottom"/>
            <w:hideMark/>
          </w:tcPr>
          <w:p w14:paraId="2CCA5B6A"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nil"/>
              <w:right w:val="single" w:sz="8" w:space="0" w:color="365F91" w:themeColor="accent1" w:themeShade="BF"/>
            </w:tcBorders>
            <w:shd w:val="clear" w:color="auto" w:fill="auto"/>
            <w:noWrap/>
            <w:vAlign w:val="bottom"/>
            <w:hideMark/>
          </w:tcPr>
          <w:p w14:paraId="6A21AB20"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nil"/>
              <w:right w:val="nil"/>
            </w:tcBorders>
            <w:shd w:val="clear" w:color="auto" w:fill="auto"/>
            <w:noWrap/>
            <w:vAlign w:val="bottom"/>
            <w:hideMark/>
          </w:tcPr>
          <w:p w14:paraId="28AEDE9E" w14:textId="77777777" w:rsidR="00C4454D" w:rsidRPr="00A735B4" w:rsidRDefault="00C4454D" w:rsidP="00C4454D">
            <w:pPr>
              <w:rPr>
                <w:color w:val="1F497D" w:themeColor="text2"/>
                <w:sz w:val="18"/>
                <w:szCs w:val="18"/>
              </w:rPr>
            </w:pPr>
          </w:p>
        </w:tc>
        <w:tc>
          <w:tcPr>
            <w:tcW w:w="259" w:type="dxa"/>
            <w:tcBorders>
              <w:top w:val="nil"/>
              <w:left w:val="nil"/>
              <w:bottom w:val="nil"/>
              <w:right w:val="single" w:sz="8" w:space="0" w:color="365F91" w:themeColor="accent1" w:themeShade="BF"/>
            </w:tcBorders>
            <w:shd w:val="clear" w:color="auto" w:fill="auto"/>
            <w:noWrap/>
            <w:vAlign w:val="bottom"/>
            <w:hideMark/>
          </w:tcPr>
          <w:p w14:paraId="579F0DC4" w14:textId="77777777" w:rsidR="00C4454D" w:rsidRPr="00A735B4" w:rsidRDefault="00C4454D" w:rsidP="00C4454D">
            <w:pPr>
              <w:rPr>
                <w:color w:val="1F497D" w:themeColor="text2"/>
                <w:sz w:val="18"/>
                <w:szCs w:val="18"/>
              </w:rPr>
            </w:pPr>
          </w:p>
        </w:tc>
        <w:tc>
          <w:tcPr>
            <w:tcW w:w="259" w:type="dxa"/>
            <w:tcBorders>
              <w:top w:val="nil"/>
              <w:left w:val="single" w:sz="8" w:space="0" w:color="365F91" w:themeColor="accent1" w:themeShade="BF"/>
              <w:bottom w:val="nil"/>
              <w:right w:val="nil"/>
            </w:tcBorders>
            <w:shd w:val="clear" w:color="auto" w:fill="auto"/>
            <w:noWrap/>
            <w:vAlign w:val="bottom"/>
            <w:hideMark/>
          </w:tcPr>
          <w:p w14:paraId="0BE00527"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nil"/>
              <w:right w:val="single" w:sz="8" w:space="0" w:color="365F91" w:themeColor="accent1" w:themeShade="BF"/>
            </w:tcBorders>
            <w:shd w:val="clear" w:color="auto" w:fill="auto"/>
            <w:noWrap/>
            <w:vAlign w:val="bottom"/>
            <w:hideMark/>
          </w:tcPr>
          <w:p w14:paraId="2C3260B1"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nil"/>
              <w:right w:val="nil"/>
            </w:tcBorders>
            <w:shd w:val="clear" w:color="auto" w:fill="auto"/>
            <w:noWrap/>
            <w:vAlign w:val="bottom"/>
            <w:hideMark/>
          </w:tcPr>
          <w:p w14:paraId="23B430A2" w14:textId="77777777" w:rsidR="00C4454D" w:rsidRPr="00A735B4" w:rsidRDefault="00C4454D" w:rsidP="00C4454D">
            <w:pPr>
              <w:rPr>
                <w:color w:val="1F497D" w:themeColor="text2"/>
                <w:sz w:val="18"/>
                <w:szCs w:val="18"/>
              </w:rPr>
            </w:pPr>
          </w:p>
        </w:tc>
        <w:tc>
          <w:tcPr>
            <w:tcW w:w="259" w:type="dxa"/>
            <w:tcBorders>
              <w:top w:val="nil"/>
              <w:left w:val="nil"/>
              <w:bottom w:val="nil"/>
              <w:right w:val="single" w:sz="8" w:space="0" w:color="365F91" w:themeColor="accent1" w:themeShade="BF"/>
            </w:tcBorders>
            <w:shd w:val="clear" w:color="auto" w:fill="auto"/>
            <w:noWrap/>
            <w:vAlign w:val="bottom"/>
            <w:hideMark/>
          </w:tcPr>
          <w:p w14:paraId="52BA7185" w14:textId="77777777" w:rsidR="00C4454D" w:rsidRPr="00A735B4" w:rsidRDefault="00C4454D" w:rsidP="00C4454D">
            <w:pPr>
              <w:rPr>
                <w:color w:val="1F497D" w:themeColor="text2"/>
                <w:sz w:val="18"/>
                <w:szCs w:val="18"/>
              </w:rPr>
            </w:pPr>
          </w:p>
        </w:tc>
        <w:tc>
          <w:tcPr>
            <w:tcW w:w="259" w:type="dxa"/>
            <w:tcBorders>
              <w:top w:val="nil"/>
              <w:left w:val="single" w:sz="8" w:space="0" w:color="365F91" w:themeColor="accent1" w:themeShade="BF"/>
              <w:bottom w:val="nil"/>
              <w:right w:val="nil"/>
            </w:tcBorders>
            <w:shd w:val="clear" w:color="auto" w:fill="auto"/>
            <w:noWrap/>
            <w:vAlign w:val="bottom"/>
            <w:hideMark/>
          </w:tcPr>
          <w:p w14:paraId="55A1DDC5"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nil"/>
              <w:right w:val="single" w:sz="8" w:space="0" w:color="365F91" w:themeColor="accent1" w:themeShade="BF"/>
            </w:tcBorders>
            <w:shd w:val="clear" w:color="auto" w:fill="auto"/>
            <w:noWrap/>
            <w:vAlign w:val="bottom"/>
            <w:hideMark/>
          </w:tcPr>
          <w:p w14:paraId="3DC5C255"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nil"/>
              <w:right w:val="nil"/>
            </w:tcBorders>
            <w:shd w:val="clear" w:color="auto" w:fill="auto"/>
            <w:noWrap/>
            <w:vAlign w:val="bottom"/>
            <w:hideMark/>
          </w:tcPr>
          <w:p w14:paraId="66BD02B4"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nil"/>
              <w:right w:val="single" w:sz="8" w:space="0" w:color="365F91" w:themeColor="accent1" w:themeShade="BF"/>
            </w:tcBorders>
            <w:shd w:val="clear" w:color="auto" w:fill="auto"/>
            <w:noWrap/>
            <w:vAlign w:val="bottom"/>
            <w:hideMark/>
          </w:tcPr>
          <w:p w14:paraId="7C1DACB2"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nil"/>
              <w:right w:val="nil"/>
            </w:tcBorders>
            <w:shd w:val="clear" w:color="auto" w:fill="auto"/>
            <w:noWrap/>
            <w:vAlign w:val="bottom"/>
            <w:hideMark/>
          </w:tcPr>
          <w:p w14:paraId="19772BCB"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nil"/>
              <w:right w:val="single" w:sz="8" w:space="0" w:color="365F91" w:themeColor="accent1" w:themeShade="BF"/>
            </w:tcBorders>
            <w:shd w:val="clear" w:color="auto" w:fill="auto"/>
            <w:noWrap/>
            <w:vAlign w:val="bottom"/>
            <w:hideMark/>
          </w:tcPr>
          <w:p w14:paraId="0BD7B96E"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nil"/>
              <w:right w:val="nil"/>
            </w:tcBorders>
            <w:shd w:val="clear" w:color="auto" w:fill="auto"/>
            <w:noWrap/>
            <w:vAlign w:val="bottom"/>
            <w:hideMark/>
          </w:tcPr>
          <w:p w14:paraId="6DF16AA7"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nil"/>
              <w:right w:val="single" w:sz="8" w:space="0" w:color="365F91" w:themeColor="accent1" w:themeShade="BF"/>
            </w:tcBorders>
            <w:shd w:val="clear" w:color="auto" w:fill="auto"/>
            <w:noWrap/>
            <w:vAlign w:val="bottom"/>
            <w:hideMark/>
          </w:tcPr>
          <w:p w14:paraId="619583A0" w14:textId="77777777" w:rsidR="00C4454D" w:rsidRPr="00A735B4" w:rsidRDefault="00C4454D" w:rsidP="00C4454D">
            <w:pPr>
              <w:rPr>
                <w:color w:val="1F497D" w:themeColor="text2"/>
              </w:rPr>
            </w:pPr>
            <w:r w:rsidRPr="00A735B4">
              <w:rPr>
                <w:color w:val="1F497D" w:themeColor="text2"/>
              </w:rPr>
              <w:t> </w:t>
            </w:r>
          </w:p>
        </w:tc>
      </w:tr>
      <w:tr w:rsidR="00C4454D" w:rsidRPr="00A735B4" w14:paraId="4C261446" w14:textId="77777777" w:rsidTr="00C4454D">
        <w:trPr>
          <w:trHeight w:val="205"/>
        </w:trPr>
        <w:tc>
          <w:tcPr>
            <w:tcW w:w="1415" w:type="dxa"/>
            <w:tcBorders>
              <w:top w:val="nil"/>
              <w:left w:val="single" w:sz="8" w:space="0" w:color="365F91" w:themeColor="accent1" w:themeShade="BF"/>
              <w:bottom w:val="nil"/>
              <w:right w:val="nil"/>
            </w:tcBorders>
            <w:shd w:val="clear" w:color="auto" w:fill="auto"/>
            <w:noWrap/>
            <w:vAlign w:val="bottom"/>
            <w:hideMark/>
          </w:tcPr>
          <w:p w14:paraId="2C6C927D" w14:textId="77777777" w:rsidR="00C4454D" w:rsidRPr="00A735B4" w:rsidRDefault="00C4454D" w:rsidP="00C4454D">
            <w:pPr>
              <w:rPr>
                <w:color w:val="1F497D" w:themeColor="text2"/>
                <w:sz w:val="18"/>
                <w:szCs w:val="18"/>
              </w:rPr>
            </w:pPr>
            <w:r w:rsidRPr="00A735B4">
              <w:rPr>
                <w:color w:val="1F497D" w:themeColor="text2"/>
                <w:sz w:val="18"/>
                <w:szCs w:val="18"/>
              </w:rPr>
              <w:t>Malawi</w:t>
            </w:r>
          </w:p>
        </w:tc>
        <w:tc>
          <w:tcPr>
            <w:tcW w:w="686" w:type="dxa"/>
            <w:tcBorders>
              <w:top w:val="nil"/>
              <w:left w:val="nil"/>
              <w:bottom w:val="nil"/>
              <w:right w:val="single" w:sz="8" w:space="0" w:color="365F91" w:themeColor="accent1" w:themeShade="BF"/>
            </w:tcBorders>
            <w:shd w:val="clear" w:color="auto" w:fill="auto"/>
            <w:noWrap/>
            <w:vAlign w:val="bottom"/>
            <w:hideMark/>
          </w:tcPr>
          <w:p w14:paraId="5C3C9BA7" w14:textId="77777777" w:rsidR="00C4454D" w:rsidRPr="00A735B4" w:rsidRDefault="00C4454D" w:rsidP="00C4454D">
            <w:pPr>
              <w:rPr>
                <w:color w:val="1F497D" w:themeColor="text2"/>
                <w:sz w:val="18"/>
                <w:szCs w:val="18"/>
              </w:rPr>
            </w:pPr>
          </w:p>
        </w:tc>
        <w:tc>
          <w:tcPr>
            <w:tcW w:w="316" w:type="dxa"/>
            <w:tcBorders>
              <w:top w:val="nil"/>
              <w:left w:val="single" w:sz="8" w:space="0" w:color="365F91" w:themeColor="accent1" w:themeShade="BF"/>
              <w:bottom w:val="nil"/>
              <w:right w:val="single" w:sz="8" w:space="0" w:color="365F91" w:themeColor="accent1" w:themeShade="BF"/>
            </w:tcBorders>
            <w:shd w:val="clear" w:color="auto" w:fill="auto"/>
            <w:noWrap/>
            <w:vAlign w:val="bottom"/>
            <w:hideMark/>
          </w:tcPr>
          <w:p w14:paraId="1C2C3222"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nil"/>
              <w:right w:val="nil"/>
            </w:tcBorders>
            <w:shd w:val="clear" w:color="auto" w:fill="auto"/>
            <w:noWrap/>
            <w:vAlign w:val="bottom"/>
            <w:hideMark/>
          </w:tcPr>
          <w:p w14:paraId="668BFB5F" w14:textId="77777777" w:rsidR="00C4454D" w:rsidRPr="00A735B4" w:rsidRDefault="00C4454D" w:rsidP="00C4454D">
            <w:pPr>
              <w:rPr>
                <w:color w:val="1F497D" w:themeColor="text2"/>
                <w:sz w:val="18"/>
                <w:szCs w:val="18"/>
              </w:rPr>
            </w:pPr>
          </w:p>
        </w:tc>
        <w:tc>
          <w:tcPr>
            <w:tcW w:w="259" w:type="dxa"/>
            <w:tcBorders>
              <w:top w:val="nil"/>
              <w:left w:val="nil"/>
              <w:bottom w:val="nil"/>
              <w:right w:val="single" w:sz="8" w:space="0" w:color="365F91" w:themeColor="accent1" w:themeShade="BF"/>
            </w:tcBorders>
            <w:shd w:val="clear" w:color="auto" w:fill="auto"/>
            <w:noWrap/>
            <w:vAlign w:val="bottom"/>
            <w:hideMark/>
          </w:tcPr>
          <w:p w14:paraId="23374E1F"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single" w:sz="4" w:space="0" w:color="auto"/>
              <w:right w:val="nil"/>
            </w:tcBorders>
            <w:shd w:val="clear" w:color="auto" w:fill="auto"/>
            <w:noWrap/>
            <w:vAlign w:val="bottom"/>
            <w:hideMark/>
          </w:tcPr>
          <w:p w14:paraId="1BBCB03D"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single" w:sz="4" w:space="0" w:color="auto"/>
              <w:right w:val="single" w:sz="8" w:space="0" w:color="365F91" w:themeColor="accent1" w:themeShade="BF"/>
            </w:tcBorders>
            <w:shd w:val="clear" w:color="auto" w:fill="auto"/>
            <w:noWrap/>
            <w:vAlign w:val="bottom"/>
            <w:hideMark/>
          </w:tcPr>
          <w:p w14:paraId="30C1D7BF"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nil"/>
              <w:right w:val="nil"/>
            </w:tcBorders>
            <w:shd w:val="clear" w:color="auto" w:fill="365F91" w:themeFill="accent1" w:themeFillShade="BF"/>
            <w:noWrap/>
            <w:vAlign w:val="bottom"/>
            <w:hideMark/>
          </w:tcPr>
          <w:p w14:paraId="177E8E16" w14:textId="77777777" w:rsidR="00C4454D" w:rsidRPr="00A735B4" w:rsidRDefault="00C4454D" w:rsidP="00C4454D">
            <w:pPr>
              <w:rPr>
                <w:color w:val="1F497D" w:themeColor="text2"/>
                <w:sz w:val="18"/>
                <w:szCs w:val="18"/>
              </w:rPr>
            </w:pPr>
          </w:p>
        </w:tc>
        <w:tc>
          <w:tcPr>
            <w:tcW w:w="259" w:type="dxa"/>
            <w:tcBorders>
              <w:top w:val="nil"/>
              <w:left w:val="nil"/>
              <w:bottom w:val="nil"/>
              <w:right w:val="single" w:sz="8" w:space="0" w:color="365F91" w:themeColor="accent1" w:themeShade="BF"/>
            </w:tcBorders>
            <w:shd w:val="clear" w:color="auto" w:fill="365F91" w:themeFill="accent1" w:themeFillShade="BF"/>
            <w:noWrap/>
            <w:vAlign w:val="bottom"/>
            <w:hideMark/>
          </w:tcPr>
          <w:p w14:paraId="6D1D9158"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nil"/>
              <w:right w:val="nil"/>
            </w:tcBorders>
            <w:shd w:val="clear" w:color="auto" w:fill="365F91" w:themeFill="accent1" w:themeFillShade="BF"/>
            <w:noWrap/>
            <w:vAlign w:val="bottom"/>
            <w:hideMark/>
          </w:tcPr>
          <w:p w14:paraId="225DD561"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nil"/>
              <w:right w:val="single" w:sz="8" w:space="0" w:color="365F91" w:themeColor="accent1" w:themeShade="BF"/>
            </w:tcBorders>
            <w:shd w:val="clear" w:color="auto" w:fill="365F91" w:themeFill="accent1" w:themeFillShade="BF"/>
            <w:noWrap/>
            <w:vAlign w:val="bottom"/>
            <w:hideMark/>
          </w:tcPr>
          <w:p w14:paraId="04CFC02F"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nil"/>
              <w:right w:val="nil"/>
            </w:tcBorders>
            <w:shd w:val="clear" w:color="auto" w:fill="auto"/>
            <w:noWrap/>
            <w:vAlign w:val="bottom"/>
            <w:hideMark/>
          </w:tcPr>
          <w:p w14:paraId="310C8BAA"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nil"/>
              <w:right w:val="single" w:sz="8" w:space="0" w:color="365F91" w:themeColor="accent1" w:themeShade="BF"/>
            </w:tcBorders>
            <w:shd w:val="clear" w:color="auto" w:fill="auto"/>
            <w:noWrap/>
            <w:vAlign w:val="bottom"/>
            <w:hideMark/>
          </w:tcPr>
          <w:p w14:paraId="4956C243"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nil"/>
              <w:right w:val="nil"/>
            </w:tcBorders>
            <w:shd w:val="clear" w:color="auto" w:fill="auto"/>
            <w:noWrap/>
            <w:vAlign w:val="bottom"/>
            <w:hideMark/>
          </w:tcPr>
          <w:p w14:paraId="20676573" w14:textId="77777777" w:rsidR="00C4454D" w:rsidRPr="00A735B4" w:rsidRDefault="00C4454D" w:rsidP="00C4454D">
            <w:pPr>
              <w:rPr>
                <w:color w:val="1F497D" w:themeColor="text2"/>
                <w:sz w:val="18"/>
                <w:szCs w:val="18"/>
              </w:rPr>
            </w:pPr>
          </w:p>
        </w:tc>
        <w:tc>
          <w:tcPr>
            <w:tcW w:w="259" w:type="dxa"/>
            <w:tcBorders>
              <w:top w:val="nil"/>
              <w:left w:val="nil"/>
              <w:bottom w:val="nil"/>
              <w:right w:val="single" w:sz="8" w:space="0" w:color="365F91" w:themeColor="accent1" w:themeShade="BF"/>
            </w:tcBorders>
            <w:shd w:val="clear" w:color="auto" w:fill="auto"/>
            <w:noWrap/>
            <w:vAlign w:val="bottom"/>
            <w:hideMark/>
          </w:tcPr>
          <w:p w14:paraId="39ABAFD7" w14:textId="77777777" w:rsidR="00C4454D" w:rsidRPr="00A735B4" w:rsidRDefault="00C4454D" w:rsidP="00C4454D">
            <w:pPr>
              <w:rPr>
                <w:color w:val="1F497D" w:themeColor="text2"/>
                <w:sz w:val="18"/>
                <w:szCs w:val="18"/>
              </w:rPr>
            </w:pPr>
          </w:p>
        </w:tc>
        <w:tc>
          <w:tcPr>
            <w:tcW w:w="259" w:type="dxa"/>
            <w:tcBorders>
              <w:top w:val="nil"/>
              <w:left w:val="single" w:sz="8" w:space="0" w:color="365F91" w:themeColor="accent1" w:themeShade="BF"/>
              <w:bottom w:val="nil"/>
              <w:right w:val="nil"/>
            </w:tcBorders>
            <w:shd w:val="clear" w:color="auto" w:fill="auto"/>
            <w:noWrap/>
            <w:vAlign w:val="bottom"/>
            <w:hideMark/>
          </w:tcPr>
          <w:p w14:paraId="0A859464"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nil"/>
              <w:right w:val="single" w:sz="8" w:space="0" w:color="365F91" w:themeColor="accent1" w:themeShade="BF"/>
            </w:tcBorders>
            <w:shd w:val="clear" w:color="auto" w:fill="auto"/>
            <w:noWrap/>
            <w:vAlign w:val="bottom"/>
            <w:hideMark/>
          </w:tcPr>
          <w:p w14:paraId="419A662B"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nil"/>
              <w:right w:val="nil"/>
            </w:tcBorders>
            <w:shd w:val="clear" w:color="auto" w:fill="auto"/>
            <w:noWrap/>
            <w:vAlign w:val="bottom"/>
            <w:hideMark/>
          </w:tcPr>
          <w:p w14:paraId="5B4E4F0B" w14:textId="77777777" w:rsidR="00C4454D" w:rsidRPr="00A735B4" w:rsidRDefault="00C4454D" w:rsidP="00C4454D">
            <w:pPr>
              <w:rPr>
                <w:color w:val="1F497D" w:themeColor="text2"/>
                <w:sz w:val="18"/>
                <w:szCs w:val="18"/>
              </w:rPr>
            </w:pPr>
          </w:p>
        </w:tc>
        <w:tc>
          <w:tcPr>
            <w:tcW w:w="259" w:type="dxa"/>
            <w:tcBorders>
              <w:top w:val="nil"/>
              <w:left w:val="nil"/>
              <w:bottom w:val="nil"/>
              <w:right w:val="single" w:sz="8" w:space="0" w:color="365F91" w:themeColor="accent1" w:themeShade="BF"/>
            </w:tcBorders>
            <w:shd w:val="clear" w:color="auto" w:fill="auto"/>
            <w:noWrap/>
            <w:vAlign w:val="bottom"/>
            <w:hideMark/>
          </w:tcPr>
          <w:p w14:paraId="663B4783" w14:textId="77777777" w:rsidR="00C4454D" w:rsidRPr="00A735B4" w:rsidRDefault="00C4454D" w:rsidP="00C4454D">
            <w:pPr>
              <w:rPr>
                <w:color w:val="1F497D" w:themeColor="text2"/>
                <w:sz w:val="18"/>
                <w:szCs w:val="18"/>
              </w:rPr>
            </w:pPr>
          </w:p>
        </w:tc>
        <w:tc>
          <w:tcPr>
            <w:tcW w:w="259" w:type="dxa"/>
            <w:tcBorders>
              <w:top w:val="nil"/>
              <w:left w:val="single" w:sz="8" w:space="0" w:color="365F91" w:themeColor="accent1" w:themeShade="BF"/>
              <w:bottom w:val="nil"/>
              <w:right w:val="nil"/>
            </w:tcBorders>
            <w:shd w:val="clear" w:color="auto" w:fill="auto"/>
            <w:noWrap/>
            <w:vAlign w:val="bottom"/>
            <w:hideMark/>
          </w:tcPr>
          <w:p w14:paraId="0B3369B9"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nil"/>
              <w:right w:val="single" w:sz="8" w:space="0" w:color="365F91" w:themeColor="accent1" w:themeShade="BF"/>
            </w:tcBorders>
            <w:shd w:val="clear" w:color="auto" w:fill="auto"/>
            <w:noWrap/>
            <w:vAlign w:val="bottom"/>
            <w:hideMark/>
          </w:tcPr>
          <w:p w14:paraId="4E6B9EB8"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nil"/>
              <w:right w:val="nil"/>
            </w:tcBorders>
            <w:shd w:val="clear" w:color="auto" w:fill="auto"/>
            <w:noWrap/>
            <w:vAlign w:val="bottom"/>
            <w:hideMark/>
          </w:tcPr>
          <w:p w14:paraId="11B4E1BF"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nil"/>
              <w:right w:val="single" w:sz="8" w:space="0" w:color="365F91" w:themeColor="accent1" w:themeShade="BF"/>
            </w:tcBorders>
            <w:shd w:val="clear" w:color="auto" w:fill="auto"/>
            <w:noWrap/>
            <w:vAlign w:val="bottom"/>
            <w:hideMark/>
          </w:tcPr>
          <w:p w14:paraId="63451B40"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nil"/>
              <w:right w:val="nil"/>
            </w:tcBorders>
            <w:shd w:val="clear" w:color="auto" w:fill="auto"/>
            <w:noWrap/>
            <w:vAlign w:val="bottom"/>
            <w:hideMark/>
          </w:tcPr>
          <w:p w14:paraId="6D334F4C"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nil"/>
              <w:right w:val="single" w:sz="8" w:space="0" w:color="365F91" w:themeColor="accent1" w:themeShade="BF"/>
            </w:tcBorders>
            <w:shd w:val="clear" w:color="auto" w:fill="auto"/>
            <w:noWrap/>
            <w:vAlign w:val="bottom"/>
            <w:hideMark/>
          </w:tcPr>
          <w:p w14:paraId="647609C6"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nil"/>
              <w:right w:val="nil"/>
            </w:tcBorders>
            <w:shd w:val="clear" w:color="auto" w:fill="auto"/>
            <w:noWrap/>
            <w:vAlign w:val="bottom"/>
            <w:hideMark/>
          </w:tcPr>
          <w:p w14:paraId="1F61D1D0"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nil"/>
              <w:right w:val="single" w:sz="8" w:space="0" w:color="365F91" w:themeColor="accent1" w:themeShade="BF"/>
            </w:tcBorders>
            <w:shd w:val="clear" w:color="auto" w:fill="auto"/>
            <w:noWrap/>
            <w:vAlign w:val="bottom"/>
            <w:hideMark/>
          </w:tcPr>
          <w:p w14:paraId="06BAED16" w14:textId="77777777" w:rsidR="00C4454D" w:rsidRPr="00A735B4" w:rsidRDefault="00C4454D" w:rsidP="00C4454D">
            <w:pPr>
              <w:rPr>
                <w:color w:val="1F497D" w:themeColor="text2"/>
              </w:rPr>
            </w:pPr>
            <w:r w:rsidRPr="00A735B4">
              <w:rPr>
                <w:color w:val="1F497D" w:themeColor="text2"/>
              </w:rPr>
              <w:t> </w:t>
            </w:r>
          </w:p>
        </w:tc>
      </w:tr>
      <w:tr w:rsidR="00C4454D" w:rsidRPr="00A735B4" w14:paraId="525DFB12" w14:textId="77777777" w:rsidTr="00C4454D">
        <w:trPr>
          <w:trHeight w:val="50"/>
        </w:trPr>
        <w:tc>
          <w:tcPr>
            <w:tcW w:w="1415" w:type="dxa"/>
            <w:tcBorders>
              <w:top w:val="nil"/>
              <w:left w:val="single" w:sz="8" w:space="0" w:color="365F91" w:themeColor="accent1" w:themeShade="BF"/>
              <w:bottom w:val="single" w:sz="8" w:space="0" w:color="365F91" w:themeColor="accent1" w:themeShade="BF"/>
              <w:right w:val="nil"/>
            </w:tcBorders>
            <w:shd w:val="clear" w:color="auto" w:fill="auto"/>
            <w:noWrap/>
            <w:vAlign w:val="bottom"/>
            <w:hideMark/>
          </w:tcPr>
          <w:p w14:paraId="6BE48C81" w14:textId="77777777" w:rsidR="00C4454D" w:rsidRPr="00A735B4" w:rsidRDefault="00C4454D" w:rsidP="00C4454D">
            <w:pPr>
              <w:rPr>
                <w:color w:val="1F497D" w:themeColor="text2"/>
                <w:sz w:val="18"/>
                <w:szCs w:val="18"/>
              </w:rPr>
            </w:pPr>
            <w:r w:rsidRPr="00A735B4">
              <w:rPr>
                <w:color w:val="1F497D" w:themeColor="text2"/>
                <w:sz w:val="18"/>
                <w:szCs w:val="18"/>
              </w:rPr>
              <w:t>Zambia</w:t>
            </w:r>
          </w:p>
        </w:tc>
        <w:tc>
          <w:tcPr>
            <w:tcW w:w="686" w:type="dxa"/>
            <w:tcBorders>
              <w:top w:val="nil"/>
              <w:left w:val="nil"/>
              <w:bottom w:val="single" w:sz="8" w:space="0" w:color="365F91" w:themeColor="accent1" w:themeShade="BF"/>
              <w:right w:val="single" w:sz="8" w:space="0" w:color="365F91" w:themeColor="accent1" w:themeShade="BF"/>
            </w:tcBorders>
            <w:shd w:val="clear" w:color="auto" w:fill="auto"/>
            <w:noWrap/>
            <w:vAlign w:val="bottom"/>
            <w:hideMark/>
          </w:tcPr>
          <w:p w14:paraId="39EF3137"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316" w:type="dxa"/>
            <w:tcBorders>
              <w:top w:val="nil"/>
              <w:left w:val="single" w:sz="8" w:space="0" w:color="365F91" w:themeColor="accent1" w:themeShade="BF"/>
              <w:bottom w:val="single" w:sz="8" w:space="0" w:color="365F91" w:themeColor="accent1" w:themeShade="BF"/>
              <w:right w:val="single" w:sz="8" w:space="0" w:color="365F91" w:themeColor="accent1" w:themeShade="BF"/>
            </w:tcBorders>
            <w:shd w:val="clear" w:color="auto" w:fill="365F91" w:themeFill="accent1" w:themeFillShade="BF"/>
            <w:noWrap/>
            <w:vAlign w:val="bottom"/>
            <w:hideMark/>
          </w:tcPr>
          <w:p w14:paraId="283FEAAA"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single" w:sz="8" w:space="0" w:color="365F91" w:themeColor="accent1" w:themeShade="BF"/>
              <w:right w:val="nil"/>
            </w:tcBorders>
            <w:shd w:val="clear" w:color="auto" w:fill="365F91" w:themeFill="accent1" w:themeFillShade="BF"/>
            <w:noWrap/>
            <w:vAlign w:val="bottom"/>
            <w:hideMark/>
          </w:tcPr>
          <w:p w14:paraId="371A53E0"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single" w:sz="8" w:space="0" w:color="365F91" w:themeColor="accent1" w:themeShade="BF"/>
              <w:right w:val="single" w:sz="8" w:space="0" w:color="365F91" w:themeColor="accent1" w:themeShade="BF"/>
            </w:tcBorders>
            <w:shd w:val="clear" w:color="auto" w:fill="365F91" w:themeFill="accent1" w:themeFillShade="BF"/>
            <w:noWrap/>
            <w:vAlign w:val="bottom"/>
            <w:hideMark/>
          </w:tcPr>
          <w:p w14:paraId="0810833B"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single" w:sz="8" w:space="0" w:color="365F91" w:themeColor="accent1" w:themeShade="BF"/>
              <w:right w:val="nil"/>
            </w:tcBorders>
            <w:shd w:val="clear" w:color="auto" w:fill="365F91" w:themeFill="accent1" w:themeFillShade="BF"/>
            <w:noWrap/>
            <w:vAlign w:val="bottom"/>
            <w:hideMark/>
          </w:tcPr>
          <w:p w14:paraId="7C873384"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single" w:sz="8" w:space="0" w:color="365F91" w:themeColor="accent1" w:themeShade="BF"/>
              <w:right w:val="single" w:sz="8" w:space="0" w:color="365F91" w:themeColor="accent1" w:themeShade="BF"/>
            </w:tcBorders>
            <w:shd w:val="clear" w:color="auto" w:fill="365F91" w:themeFill="accent1" w:themeFillShade="BF"/>
            <w:noWrap/>
            <w:vAlign w:val="bottom"/>
            <w:hideMark/>
          </w:tcPr>
          <w:p w14:paraId="69D03AEC"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single" w:sz="8" w:space="0" w:color="365F91" w:themeColor="accent1" w:themeShade="BF"/>
              <w:right w:val="nil"/>
            </w:tcBorders>
            <w:shd w:val="clear" w:color="auto" w:fill="365F91" w:themeFill="accent1" w:themeFillShade="BF"/>
            <w:noWrap/>
            <w:vAlign w:val="bottom"/>
            <w:hideMark/>
          </w:tcPr>
          <w:p w14:paraId="74716631"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single" w:sz="8" w:space="0" w:color="365F91" w:themeColor="accent1" w:themeShade="BF"/>
              <w:right w:val="single" w:sz="8" w:space="0" w:color="365F91" w:themeColor="accent1" w:themeShade="BF"/>
            </w:tcBorders>
            <w:shd w:val="clear" w:color="auto" w:fill="365F91" w:themeFill="accent1" w:themeFillShade="BF"/>
            <w:noWrap/>
            <w:vAlign w:val="bottom"/>
            <w:hideMark/>
          </w:tcPr>
          <w:p w14:paraId="3D6A6CAC"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single" w:sz="8" w:space="0" w:color="365F91" w:themeColor="accent1" w:themeShade="BF"/>
              <w:right w:val="nil"/>
            </w:tcBorders>
            <w:shd w:val="clear" w:color="auto" w:fill="365F91" w:themeFill="accent1" w:themeFillShade="BF"/>
            <w:noWrap/>
            <w:vAlign w:val="bottom"/>
            <w:hideMark/>
          </w:tcPr>
          <w:p w14:paraId="36D7DA87"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single" w:sz="8" w:space="0" w:color="365F91" w:themeColor="accent1" w:themeShade="BF"/>
              <w:right w:val="single" w:sz="8" w:space="0" w:color="365F91" w:themeColor="accent1" w:themeShade="BF"/>
            </w:tcBorders>
            <w:shd w:val="clear" w:color="auto" w:fill="365F91" w:themeFill="accent1" w:themeFillShade="BF"/>
            <w:noWrap/>
            <w:vAlign w:val="bottom"/>
            <w:hideMark/>
          </w:tcPr>
          <w:p w14:paraId="11E730EE"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single" w:sz="8" w:space="0" w:color="365F91" w:themeColor="accent1" w:themeShade="BF"/>
              <w:right w:val="nil"/>
            </w:tcBorders>
            <w:shd w:val="clear" w:color="auto" w:fill="365F91" w:themeFill="accent1" w:themeFillShade="BF"/>
            <w:noWrap/>
            <w:vAlign w:val="bottom"/>
            <w:hideMark/>
          </w:tcPr>
          <w:p w14:paraId="6D4CE3AA"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single" w:sz="8" w:space="0" w:color="365F91" w:themeColor="accent1" w:themeShade="BF"/>
              <w:right w:val="single" w:sz="8" w:space="0" w:color="365F91" w:themeColor="accent1" w:themeShade="BF"/>
            </w:tcBorders>
            <w:shd w:val="clear" w:color="auto" w:fill="365F91" w:themeFill="accent1" w:themeFillShade="BF"/>
            <w:noWrap/>
            <w:vAlign w:val="bottom"/>
            <w:hideMark/>
          </w:tcPr>
          <w:p w14:paraId="39C6DC5B"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single" w:sz="8" w:space="0" w:color="365F91" w:themeColor="accent1" w:themeShade="BF"/>
              <w:right w:val="nil"/>
            </w:tcBorders>
            <w:shd w:val="clear" w:color="auto" w:fill="365F91" w:themeFill="accent1" w:themeFillShade="BF"/>
            <w:noWrap/>
            <w:vAlign w:val="bottom"/>
            <w:hideMark/>
          </w:tcPr>
          <w:p w14:paraId="1D00629B"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single" w:sz="8" w:space="0" w:color="365F91" w:themeColor="accent1" w:themeShade="BF"/>
              <w:right w:val="single" w:sz="8" w:space="0" w:color="365F91" w:themeColor="accent1" w:themeShade="BF"/>
            </w:tcBorders>
            <w:shd w:val="clear" w:color="auto" w:fill="365F91" w:themeFill="accent1" w:themeFillShade="BF"/>
            <w:noWrap/>
            <w:vAlign w:val="bottom"/>
            <w:hideMark/>
          </w:tcPr>
          <w:p w14:paraId="32D39C17"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single" w:sz="8" w:space="0" w:color="365F91" w:themeColor="accent1" w:themeShade="BF"/>
              <w:right w:val="nil"/>
            </w:tcBorders>
            <w:shd w:val="clear" w:color="auto" w:fill="365F91" w:themeFill="accent1" w:themeFillShade="BF"/>
            <w:noWrap/>
            <w:vAlign w:val="bottom"/>
            <w:hideMark/>
          </w:tcPr>
          <w:p w14:paraId="7B17F8A4"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single" w:sz="8" w:space="0" w:color="365F91" w:themeColor="accent1" w:themeShade="BF"/>
              <w:right w:val="single" w:sz="8" w:space="0" w:color="365F91" w:themeColor="accent1" w:themeShade="BF"/>
            </w:tcBorders>
            <w:shd w:val="clear" w:color="auto" w:fill="365F91" w:themeFill="accent1" w:themeFillShade="BF"/>
            <w:noWrap/>
            <w:vAlign w:val="bottom"/>
            <w:hideMark/>
          </w:tcPr>
          <w:p w14:paraId="61AAA70F"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single" w:sz="8" w:space="0" w:color="365F91" w:themeColor="accent1" w:themeShade="BF"/>
              <w:right w:val="nil"/>
            </w:tcBorders>
            <w:shd w:val="clear" w:color="auto" w:fill="365F91" w:themeFill="accent1" w:themeFillShade="BF"/>
            <w:noWrap/>
            <w:vAlign w:val="bottom"/>
            <w:hideMark/>
          </w:tcPr>
          <w:p w14:paraId="6AD7D179"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single" w:sz="8" w:space="0" w:color="365F91" w:themeColor="accent1" w:themeShade="BF"/>
              <w:right w:val="single" w:sz="8" w:space="0" w:color="365F91" w:themeColor="accent1" w:themeShade="BF"/>
            </w:tcBorders>
            <w:shd w:val="clear" w:color="auto" w:fill="365F91" w:themeFill="accent1" w:themeFillShade="BF"/>
            <w:noWrap/>
            <w:vAlign w:val="bottom"/>
            <w:hideMark/>
          </w:tcPr>
          <w:p w14:paraId="748C05CA"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single" w:sz="8" w:space="0" w:color="365F91" w:themeColor="accent1" w:themeShade="BF"/>
              <w:right w:val="nil"/>
            </w:tcBorders>
            <w:shd w:val="clear" w:color="auto" w:fill="365F91" w:themeFill="accent1" w:themeFillShade="BF"/>
            <w:noWrap/>
            <w:vAlign w:val="bottom"/>
            <w:hideMark/>
          </w:tcPr>
          <w:p w14:paraId="3AC719E2"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single" w:sz="8" w:space="0" w:color="365F91" w:themeColor="accent1" w:themeShade="BF"/>
              <w:right w:val="single" w:sz="8" w:space="0" w:color="365F91" w:themeColor="accent1" w:themeShade="BF"/>
            </w:tcBorders>
            <w:shd w:val="clear" w:color="auto" w:fill="auto"/>
            <w:noWrap/>
            <w:vAlign w:val="bottom"/>
            <w:hideMark/>
          </w:tcPr>
          <w:p w14:paraId="0338C48D"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single" w:sz="8" w:space="0" w:color="365F91" w:themeColor="accent1" w:themeShade="BF"/>
              <w:right w:val="nil"/>
            </w:tcBorders>
            <w:shd w:val="clear" w:color="auto" w:fill="auto"/>
            <w:noWrap/>
            <w:vAlign w:val="bottom"/>
            <w:hideMark/>
          </w:tcPr>
          <w:p w14:paraId="33D919B5"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single" w:sz="8" w:space="0" w:color="365F91" w:themeColor="accent1" w:themeShade="BF"/>
              <w:right w:val="single" w:sz="8" w:space="0" w:color="365F91" w:themeColor="accent1" w:themeShade="BF"/>
            </w:tcBorders>
            <w:shd w:val="clear" w:color="auto" w:fill="auto"/>
            <w:noWrap/>
            <w:vAlign w:val="bottom"/>
            <w:hideMark/>
          </w:tcPr>
          <w:p w14:paraId="2ABC0F59"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single" w:sz="8" w:space="0" w:color="365F91" w:themeColor="accent1" w:themeShade="BF"/>
              <w:right w:val="nil"/>
            </w:tcBorders>
            <w:shd w:val="clear" w:color="auto" w:fill="auto"/>
            <w:noWrap/>
            <w:vAlign w:val="bottom"/>
            <w:hideMark/>
          </w:tcPr>
          <w:p w14:paraId="0BA5849B"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single" w:sz="8" w:space="0" w:color="365F91" w:themeColor="accent1" w:themeShade="BF"/>
              <w:right w:val="single" w:sz="8" w:space="0" w:color="365F91" w:themeColor="accent1" w:themeShade="BF"/>
            </w:tcBorders>
            <w:shd w:val="clear" w:color="auto" w:fill="auto"/>
            <w:noWrap/>
            <w:vAlign w:val="bottom"/>
            <w:hideMark/>
          </w:tcPr>
          <w:p w14:paraId="67DCD56B"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single" w:sz="8" w:space="0" w:color="365F91" w:themeColor="accent1" w:themeShade="BF"/>
              <w:bottom w:val="single" w:sz="8" w:space="0" w:color="365F91" w:themeColor="accent1" w:themeShade="BF"/>
              <w:right w:val="nil"/>
            </w:tcBorders>
            <w:shd w:val="clear" w:color="auto" w:fill="auto"/>
            <w:noWrap/>
            <w:vAlign w:val="bottom"/>
            <w:hideMark/>
          </w:tcPr>
          <w:p w14:paraId="1DF46308" w14:textId="77777777" w:rsidR="00C4454D" w:rsidRPr="00A735B4" w:rsidRDefault="00C4454D" w:rsidP="00C4454D">
            <w:pPr>
              <w:rPr>
                <w:color w:val="1F497D" w:themeColor="text2"/>
                <w:sz w:val="18"/>
                <w:szCs w:val="18"/>
              </w:rPr>
            </w:pPr>
            <w:r w:rsidRPr="00A735B4">
              <w:rPr>
                <w:color w:val="1F497D" w:themeColor="text2"/>
                <w:sz w:val="18"/>
                <w:szCs w:val="18"/>
              </w:rPr>
              <w:t> </w:t>
            </w:r>
          </w:p>
        </w:tc>
        <w:tc>
          <w:tcPr>
            <w:tcW w:w="259" w:type="dxa"/>
            <w:tcBorders>
              <w:top w:val="nil"/>
              <w:left w:val="nil"/>
              <w:bottom w:val="single" w:sz="8" w:space="0" w:color="365F91" w:themeColor="accent1" w:themeShade="BF"/>
              <w:right w:val="single" w:sz="8" w:space="0" w:color="365F91" w:themeColor="accent1" w:themeShade="BF"/>
            </w:tcBorders>
            <w:shd w:val="clear" w:color="auto" w:fill="auto"/>
            <w:noWrap/>
            <w:vAlign w:val="bottom"/>
            <w:hideMark/>
          </w:tcPr>
          <w:p w14:paraId="4387F8BB" w14:textId="77777777" w:rsidR="00C4454D" w:rsidRPr="00A735B4" w:rsidRDefault="00C4454D" w:rsidP="00C4454D">
            <w:pPr>
              <w:rPr>
                <w:color w:val="1F497D" w:themeColor="text2"/>
              </w:rPr>
            </w:pPr>
            <w:r w:rsidRPr="00A735B4">
              <w:rPr>
                <w:color w:val="1F497D" w:themeColor="text2"/>
              </w:rPr>
              <w:t> </w:t>
            </w:r>
          </w:p>
        </w:tc>
      </w:tr>
    </w:tbl>
    <w:p w14:paraId="105D7887" w14:textId="0C47866C" w:rsidR="00C4454D" w:rsidRPr="00A735B4" w:rsidRDefault="00C4454D" w:rsidP="00C4454D">
      <w:pPr>
        <w:spacing w:after="200" w:line="276" w:lineRule="auto"/>
        <w:jc w:val="both"/>
      </w:pPr>
      <w:r w:rsidRPr="00A735B4">
        <w:br w:type="page"/>
      </w:r>
      <w:r w:rsidRPr="00A735B4">
        <w:lastRenderedPageBreak/>
        <w:t xml:space="preserve">Given the extensive variation within and between countries, it is difficult to identify clear trends. However, it seems that Zambia has the least competitive prices when it comes to domestic transactions, with exceptionally high costs for RTGS transfers. Ugandan prices are less consistent, but are often at the upper end. Malawi exhibits a moderate level of cost consistency (with the exception of RTGS costs, which are uncharacteristically high), with most prices at an intermediate level. In Tanzania, prices are generally within a tight range (with the exception of check payments), but show little consistency between services, varying for different products between high and low prices. Finally, Kenya and Rwanda show the greatest level of consistency, with tight ranges and relatively low prices. </w:t>
      </w:r>
    </w:p>
    <w:p w14:paraId="3D242574" w14:textId="2D6783D7" w:rsidR="00C4454D" w:rsidRPr="00A735B4" w:rsidRDefault="00C4454D" w:rsidP="00C4454D">
      <w:pPr>
        <w:jc w:val="both"/>
      </w:pPr>
      <w:r w:rsidRPr="00A735B4">
        <w:t xml:space="preserve">Additional information on prices for foreign funds transfers is provided in table C.7. Malawi seems to be the top performer in this category. </w:t>
      </w:r>
    </w:p>
    <w:p w14:paraId="2EBDA916" w14:textId="77777777" w:rsidR="00C4454D" w:rsidRPr="00A735B4" w:rsidRDefault="00C4454D" w:rsidP="00C4454D"/>
    <w:p w14:paraId="3D0C7195" w14:textId="33B7689C" w:rsidR="00C4454D" w:rsidRPr="00A735B4" w:rsidRDefault="00C4454D" w:rsidP="00C4454D">
      <w:pPr>
        <w:keepNext/>
        <w:jc w:val="center"/>
        <w:rPr>
          <w:color w:val="1F497D" w:themeColor="text2"/>
        </w:rPr>
      </w:pPr>
      <w:bookmarkStart w:id="130" w:name="_Toc410823565"/>
      <w:r w:rsidRPr="00A735B4">
        <w:rPr>
          <w:color w:val="1F497D" w:themeColor="text2"/>
        </w:rPr>
        <w:t>Table C.7 Prices for foreign funds transfers</w:t>
      </w:r>
      <w:bookmarkEnd w:id="130"/>
    </w:p>
    <w:tbl>
      <w:tblPr>
        <w:tblW w:w="9180" w:type="dxa"/>
        <w:tblInd w:w="10" w:type="dxa"/>
        <w:tblCellMar>
          <w:left w:w="10" w:type="dxa"/>
          <w:right w:w="10" w:type="dxa"/>
        </w:tblCellMar>
        <w:tblLook w:val="04A0" w:firstRow="1" w:lastRow="0" w:firstColumn="1" w:lastColumn="0" w:noHBand="0" w:noVBand="1"/>
      </w:tblPr>
      <w:tblGrid>
        <w:gridCol w:w="2127"/>
        <w:gridCol w:w="7053"/>
      </w:tblGrid>
      <w:tr w:rsidR="00C4454D" w:rsidRPr="00A735B4" w14:paraId="65FBC56D" w14:textId="77777777" w:rsidTr="00C4454D">
        <w:tc>
          <w:tcPr>
            <w:tcW w:w="2127" w:type="dxa"/>
          </w:tcPr>
          <w:p w14:paraId="216E2AA3" w14:textId="77777777" w:rsidR="00C4454D" w:rsidRPr="00A735B4" w:rsidRDefault="00C4454D" w:rsidP="00C4454D">
            <w:pPr>
              <w:spacing w:before="80"/>
            </w:pPr>
            <w:r w:rsidRPr="00A735B4">
              <w:t>Country</w:t>
            </w:r>
          </w:p>
        </w:tc>
        <w:tc>
          <w:tcPr>
            <w:tcW w:w="7053" w:type="dxa"/>
          </w:tcPr>
          <w:p w14:paraId="1A6669F6" w14:textId="77777777" w:rsidR="00C4454D" w:rsidRPr="00A735B4" w:rsidRDefault="00C4454D" w:rsidP="00C4454D">
            <w:pPr>
              <w:spacing w:before="80"/>
            </w:pPr>
            <w:r w:rsidRPr="00A735B4">
              <w:t>Cost range – US$500 transfer (combined sender and receiver costs)</w:t>
            </w:r>
          </w:p>
        </w:tc>
      </w:tr>
      <w:tr w:rsidR="00C4454D" w:rsidRPr="00A735B4" w14:paraId="2931B2FF" w14:textId="77777777" w:rsidTr="00C4454D">
        <w:tc>
          <w:tcPr>
            <w:tcW w:w="2127" w:type="dxa"/>
          </w:tcPr>
          <w:p w14:paraId="06D1D63F" w14:textId="77777777" w:rsidR="00C4454D" w:rsidRPr="00A735B4" w:rsidRDefault="00C4454D" w:rsidP="00C4454D">
            <w:pPr>
              <w:spacing w:before="80"/>
            </w:pPr>
            <w:r w:rsidRPr="00A735B4">
              <w:t>Kenya</w:t>
            </w:r>
          </w:p>
        </w:tc>
        <w:tc>
          <w:tcPr>
            <w:tcW w:w="7053" w:type="dxa"/>
          </w:tcPr>
          <w:p w14:paraId="3B14D4BA" w14:textId="77777777" w:rsidR="00C4454D" w:rsidRPr="00A735B4" w:rsidRDefault="00C4454D" w:rsidP="00C4454D">
            <w:pPr>
              <w:spacing w:before="80"/>
            </w:pPr>
            <w:r w:rsidRPr="00A735B4">
              <w:t>US$33 – US$40</w:t>
            </w:r>
          </w:p>
        </w:tc>
      </w:tr>
      <w:tr w:rsidR="00C4454D" w:rsidRPr="00A735B4" w14:paraId="3F3B6A9E" w14:textId="77777777" w:rsidTr="00C4454D">
        <w:tc>
          <w:tcPr>
            <w:tcW w:w="2127" w:type="dxa"/>
          </w:tcPr>
          <w:p w14:paraId="72ACA8CA" w14:textId="77777777" w:rsidR="00C4454D" w:rsidRPr="00A735B4" w:rsidRDefault="00C4454D" w:rsidP="00C4454D">
            <w:pPr>
              <w:spacing w:before="80"/>
            </w:pPr>
            <w:r w:rsidRPr="00A735B4">
              <w:t>Tanzania</w:t>
            </w:r>
          </w:p>
        </w:tc>
        <w:tc>
          <w:tcPr>
            <w:tcW w:w="7053" w:type="dxa"/>
          </w:tcPr>
          <w:p w14:paraId="64D44A83" w14:textId="77777777" w:rsidR="00C4454D" w:rsidRPr="00A735B4" w:rsidRDefault="00C4454D" w:rsidP="00C4454D">
            <w:pPr>
              <w:spacing w:before="80"/>
            </w:pPr>
            <w:r w:rsidRPr="00A735B4">
              <w:t>US$30 – US$36</w:t>
            </w:r>
          </w:p>
        </w:tc>
      </w:tr>
      <w:tr w:rsidR="00C4454D" w:rsidRPr="00A735B4" w14:paraId="6175226F" w14:textId="77777777" w:rsidTr="00C4454D">
        <w:tc>
          <w:tcPr>
            <w:tcW w:w="2127" w:type="dxa"/>
          </w:tcPr>
          <w:p w14:paraId="6575FFDF" w14:textId="77777777" w:rsidR="00C4454D" w:rsidRPr="00A735B4" w:rsidRDefault="00C4454D" w:rsidP="00C4454D">
            <w:pPr>
              <w:spacing w:before="80"/>
            </w:pPr>
            <w:r w:rsidRPr="00A735B4">
              <w:t>Uganda</w:t>
            </w:r>
          </w:p>
        </w:tc>
        <w:tc>
          <w:tcPr>
            <w:tcW w:w="7053" w:type="dxa"/>
          </w:tcPr>
          <w:p w14:paraId="7AE5EAFF" w14:textId="77777777" w:rsidR="00C4454D" w:rsidRPr="00A735B4" w:rsidRDefault="00C4454D" w:rsidP="00C4454D">
            <w:pPr>
              <w:spacing w:before="80"/>
            </w:pPr>
            <w:r w:rsidRPr="00A735B4">
              <w:t>US$2.50 – US$42 (23% higher costs for South Africa and Nigeria)</w:t>
            </w:r>
          </w:p>
        </w:tc>
      </w:tr>
      <w:tr w:rsidR="00C4454D" w:rsidRPr="00A735B4" w14:paraId="64F2A32C" w14:textId="77777777" w:rsidTr="00C4454D">
        <w:tc>
          <w:tcPr>
            <w:tcW w:w="2127" w:type="dxa"/>
          </w:tcPr>
          <w:p w14:paraId="65B6E872" w14:textId="77777777" w:rsidR="00C4454D" w:rsidRPr="00A735B4" w:rsidRDefault="00C4454D" w:rsidP="00C4454D">
            <w:pPr>
              <w:spacing w:before="80"/>
            </w:pPr>
            <w:r w:rsidRPr="00A735B4">
              <w:t>Rwanda</w:t>
            </w:r>
          </w:p>
        </w:tc>
        <w:tc>
          <w:tcPr>
            <w:tcW w:w="7053" w:type="dxa"/>
          </w:tcPr>
          <w:p w14:paraId="35003B60" w14:textId="77777777" w:rsidR="00C4454D" w:rsidRPr="00A735B4" w:rsidRDefault="00C4454D" w:rsidP="00C4454D">
            <w:pPr>
              <w:spacing w:before="80"/>
            </w:pPr>
            <w:r w:rsidRPr="00A735B4">
              <w:t>US$10 – US$45</w:t>
            </w:r>
          </w:p>
        </w:tc>
      </w:tr>
      <w:tr w:rsidR="00C4454D" w:rsidRPr="00A735B4" w14:paraId="08EAD710" w14:textId="77777777" w:rsidTr="00C4454D">
        <w:tc>
          <w:tcPr>
            <w:tcW w:w="2127" w:type="dxa"/>
          </w:tcPr>
          <w:p w14:paraId="4B6AABE5" w14:textId="77777777" w:rsidR="00C4454D" w:rsidRPr="00A735B4" w:rsidRDefault="00C4454D" w:rsidP="00C4454D">
            <w:pPr>
              <w:spacing w:before="80"/>
            </w:pPr>
            <w:r w:rsidRPr="00A735B4">
              <w:t>Malawi</w:t>
            </w:r>
          </w:p>
        </w:tc>
        <w:tc>
          <w:tcPr>
            <w:tcW w:w="7053" w:type="dxa"/>
          </w:tcPr>
          <w:p w14:paraId="56515305" w14:textId="77777777" w:rsidR="00C4454D" w:rsidRPr="00A735B4" w:rsidRDefault="00C4454D" w:rsidP="00C4454D">
            <w:pPr>
              <w:spacing w:before="80"/>
            </w:pPr>
            <w:r w:rsidRPr="00A735B4">
              <w:t>US$7.40 fixed (US$5 for South Africa)</w:t>
            </w:r>
          </w:p>
        </w:tc>
      </w:tr>
      <w:tr w:rsidR="00C4454D" w:rsidRPr="00A735B4" w14:paraId="6DDFEB82" w14:textId="77777777" w:rsidTr="00C4454D">
        <w:tc>
          <w:tcPr>
            <w:tcW w:w="2127" w:type="dxa"/>
          </w:tcPr>
          <w:p w14:paraId="34493809" w14:textId="77777777" w:rsidR="00C4454D" w:rsidRPr="00A735B4" w:rsidRDefault="00C4454D" w:rsidP="00C4454D">
            <w:pPr>
              <w:spacing w:before="80"/>
            </w:pPr>
            <w:r w:rsidRPr="00A735B4">
              <w:t>Zambia</w:t>
            </w:r>
          </w:p>
        </w:tc>
        <w:tc>
          <w:tcPr>
            <w:tcW w:w="7053" w:type="dxa"/>
          </w:tcPr>
          <w:p w14:paraId="77F78616" w14:textId="77777777" w:rsidR="00C4454D" w:rsidRPr="00A735B4" w:rsidRDefault="00C4454D" w:rsidP="00C4454D">
            <w:pPr>
              <w:spacing w:before="80"/>
            </w:pPr>
            <w:r w:rsidRPr="00A735B4">
              <w:t>US$35 – US$80 (33% less for South Africa)</w:t>
            </w:r>
          </w:p>
        </w:tc>
      </w:tr>
    </w:tbl>
    <w:p w14:paraId="425ABB42" w14:textId="77777777" w:rsidR="00C4454D" w:rsidRPr="00A735B4" w:rsidRDefault="00C4454D" w:rsidP="00C4454D">
      <w:pPr>
        <w:spacing w:before="80"/>
      </w:pPr>
    </w:p>
    <w:p w14:paraId="2DCEB582" w14:textId="656D12FF" w:rsidR="00C4454D" w:rsidRPr="00A735B4" w:rsidRDefault="00C4454D" w:rsidP="00C4454D">
      <w:pPr>
        <w:spacing w:before="80"/>
        <w:jc w:val="both"/>
      </w:pPr>
      <w:r w:rsidRPr="00A735B4">
        <w:t>In terms of prices charged by banks for business account transactions, we note a relatively wide variation for monthly fees—from zero to $18. There seems to be greater consistency with regard to ledger fees (table C.8).</w:t>
      </w:r>
    </w:p>
    <w:p w14:paraId="6E161098" w14:textId="77777777" w:rsidR="00C4454D" w:rsidRPr="00A735B4" w:rsidRDefault="00C4454D" w:rsidP="00C4454D">
      <w:pPr>
        <w:spacing w:before="80"/>
        <w:jc w:val="both"/>
      </w:pPr>
    </w:p>
    <w:p w14:paraId="5F878549" w14:textId="766E115E" w:rsidR="00C4454D" w:rsidRPr="00A735B4" w:rsidRDefault="00C4454D" w:rsidP="00C4454D">
      <w:pPr>
        <w:jc w:val="both"/>
      </w:pPr>
      <w:r w:rsidRPr="00A735B4">
        <w:t xml:space="preserve">Although about 83 percent of banks across all the survey countries stated that they offer loan accounts to clients, the survey obtained little real detail on actual loan accounts (e.g., interest rates, etc.) (see table C.9). Most banks will have a base rate, probably referenced to Treasury bill rates and/or to the bank’s cost of funds, and will then add to the base rate a margin for individual clients, reflecting country, credit, and other risks, supplemented by an allowance to cover bank costs. While the base rate is likely to be published, the possible range of margins that may be added to the base rate to reach a total interest rate is likely to be confidential, particularly as the actual margin, and therefore the final interest </w:t>
      </w:r>
      <w:r w:rsidRPr="00A735B4">
        <w:lastRenderedPageBreak/>
        <w:t xml:space="preserve">rate, will depend on the details of the project or borrowing requirement and the identity of the borrower. </w:t>
      </w:r>
    </w:p>
    <w:p w14:paraId="6D113B47" w14:textId="77777777" w:rsidR="00C4454D" w:rsidRPr="00A735B4" w:rsidRDefault="00C4454D" w:rsidP="00C4454D">
      <w:pPr>
        <w:tabs>
          <w:tab w:val="num" w:pos="720"/>
        </w:tabs>
        <w:spacing w:after="200"/>
        <w:jc w:val="both"/>
      </w:pPr>
    </w:p>
    <w:p w14:paraId="491BF300" w14:textId="77777777" w:rsidR="00C4454D" w:rsidRPr="00A735B4" w:rsidRDefault="00C4454D" w:rsidP="00C4454D">
      <w:pPr>
        <w:tabs>
          <w:tab w:val="num" w:pos="720"/>
        </w:tabs>
        <w:spacing w:after="200"/>
        <w:jc w:val="both"/>
      </w:pPr>
    </w:p>
    <w:p w14:paraId="50462988" w14:textId="77777777" w:rsidR="00C4454D" w:rsidRPr="00A735B4" w:rsidRDefault="00C4454D" w:rsidP="00C4454D">
      <w:pPr>
        <w:tabs>
          <w:tab w:val="num" w:pos="720"/>
        </w:tabs>
        <w:spacing w:after="200"/>
        <w:jc w:val="both"/>
        <w:sectPr w:rsidR="00C4454D" w:rsidRPr="00A735B4" w:rsidSect="00C4454D">
          <w:headerReference w:type="default" r:id="rId38"/>
          <w:footerReference w:type="default" r:id="rId39"/>
          <w:endnotePr>
            <w:numFmt w:val="decimal"/>
          </w:endnotePr>
          <w:pgSz w:w="12240" w:h="15840"/>
          <w:pgMar w:top="1440" w:right="1440" w:bottom="1440" w:left="1620" w:header="720" w:footer="720" w:gutter="0"/>
          <w:cols w:space="720"/>
          <w:docGrid w:linePitch="360"/>
        </w:sectPr>
      </w:pPr>
    </w:p>
    <w:p w14:paraId="6AFDCFF5" w14:textId="77777777" w:rsidR="00C4454D" w:rsidRPr="00A735B4" w:rsidRDefault="00C4454D" w:rsidP="00C4454D">
      <w:pPr>
        <w:keepNext/>
        <w:jc w:val="center"/>
        <w:rPr>
          <w:color w:val="1F497D" w:themeColor="text2"/>
        </w:rPr>
      </w:pPr>
      <w:bookmarkStart w:id="131" w:name="_Toc410823566"/>
    </w:p>
    <w:p w14:paraId="261FC977" w14:textId="77777777" w:rsidR="00C4454D" w:rsidRPr="00A735B4" w:rsidRDefault="00C4454D" w:rsidP="00C4454D">
      <w:pPr>
        <w:keepNext/>
        <w:jc w:val="center"/>
        <w:rPr>
          <w:color w:val="1F497D" w:themeColor="text2"/>
        </w:rPr>
      </w:pPr>
    </w:p>
    <w:p w14:paraId="2C809D98" w14:textId="77777777" w:rsidR="00C4454D" w:rsidRPr="00A735B4" w:rsidRDefault="00C4454D" w:rsidP="00C4454D">
      <w:pPr>
        <w:keepNext/>
        <w:jc w:val="center"/>
        <w:rPr>
          <w:color w:val="1F497D" w:themeColor="text2"/>
        </w:rPr>
      </w:pPr>
    </w:p>
    <w:p w14:paraId="2EB41AC7" w14:textId="4D41DD1B" w:rsidR="00C4454D" w:rsidRPr="00A735B4" w:rsidRDefault="00C4454D" w:rsidP="00C4454D">
      <w:pPr>
        <w:keepNext/>
        <w:jc w:val="center"/>
        <w:rPr>
          <w:color w:val="1F497D" w:themeColor="text2"/>
        </w:rPr>
      </w:pPr>
      <w:r w:rsidRPr="00A735B4">
        <w:rPr>
          <w:color w:val="1F497D" w:themeColor="text2"/>
        </w:rPr>
        <w:t>Table C.8 Prices charged by banks for a business accounts transaction (US$)</w:t>
      </w:r>
      <w:bookmarkEnd w:id="131"/>
    </w:p>
    <w:tbl>
      <w:tblPr>
        <w:tblW w:w="14114" w:type="dxa"/>
        <w:tblInd w:w="10" w:type="dxa"/>
        <w:tblCellMar>
          <w:left w:w="10" w:type="dxa"/>
          <w:right w:w="10" w:type="dxa"/>
        </w:tblCellMar>
        <w:tblLook w:val="04A0" w:firstRow="1" w:lastRow="0" w:firstColumn="1" w:lastColumn="0" w:noHBand="0" w:noVBand="1"/>
      </w:tblPr>
      <w:tblGrid>
        <w:gridCol w:w="2167"/>
        <w:gridCol w:w="2024"/>
        <w:gridCol w:w="2029"/>
        <w:gridCol w:w="1879"/>
        <w:gridCol w:w="2023"/>
        <w:gridCol w:w="2019"/>
        <w:gridCol w:w="1973"/>
      </w:tblGrid>
      <w:tr w:rsidR="00C4454D" w:rsidRPr="00A735B4" w14:paraId="2CF1ACE1" w14:textId="77777777" w:rsidTr="00C4454D">
        <w:tc>
          <w:tcPr>
            <w:tcW w:w="2167" w:type="dxa"/>
            <w:tcBorders>
              <w:right w:val="single" w:sz="4" w:space="0" w:color="auto"/>
            </w:tcBorders>
          </w:tcPr>
          <w:p w14:paraId="4E740C00" w14:textId="77777777" w:rsidR="00C4454D" w:rsidRPr="00A735B4" w:rsidRDefault="00C4454D" w:rsidP="00C4454D">
            <w:pPr>
              <w:spacing w:before="60" w:after="60"/>
              <w:ind w:left="-44" w:firstLine="44"/>
            </w:pPr>
            <w:r w:rsidRPr="00A735B4">
              <w:t>Characteristics</w:t>
            </w:r>
          </w:p>
        </w:tc>
        <w:tc>
          <w:tcPr>
            <w:tcW w:w="2024" w:type="dxa"/>
            <w:tcBorders>
              <w:top w:val="single" w:sz="4" w:space="0" w:color="auto"/>
              <w:left w:val="single" w:sz="4" w:space="0" w:color="auto"/>
              <w:right w:val="single" w:sz="4" w:space="0" w:color="auto"/>
            </w:tcBorders>
          </w:tcPr>
          <w:p w14:paraId="54FD2F52" w14:textId="77777777" w:rsidR="00C4454D" w:rsidRPr="00A735B4" w:rsidRDefault="00C4454D" w:rsidP="00C4454D">
            <w:pPr>
              <w:spacing w:before="60" w:after="60"/>
              <w:ind w:left="-44" w:firstLine="44"/>
              <w:jc w:val="center"/>
            </w:pPr>
            <w:r w:rsidRPr="00A735B4">
              <w:t>Kenya</w:t>
            </w:r>
          </w:p>
        </w:tc>
        <w:tc>
          <w:tcPr>
            <w:tcW w:w="2029" w:type="dxa"/>
            <w:tcBorders>
              <w:top w:val="single" w:sz="4" w:space="0" w:color="auto"/>
              <w:left w:val="single" w:sz="4" w:space="0" w:color="auto"/>
              <w:right w:val="single" w:sz="4" w:space="0" w:color="auto"/>
            </w:tcBorders>
          </w:tcPr>
          <w:p w14:paraId="100D3608" w14:textId="77777777" w:rsidR="00C4454D" w:rsidRPr="00A735B4" w:rsidRDefault="00C4454D" w:rsidP="00C4454D">
            <w:pPr>
              <w:spacing w:before="60" w:after="60"/>
              <w:ind w:left="-44" w:firstLine="44"/>
              <w:jc w:val="center"/>
            </w:pPr>
            <w:r w:rsidRPr="00A735B4">
              <w:t>Tanzania</w:t>
            </w:r>
          </w:p>
        </w:tc>
        <w:tc>
          <w:tcPr>
            <w:tcW w:w="1879" w:type="dxa"/>
            <w:tcBorders>
              <w:top w:val="single" w:sz="4" w:space="0" w:color="auto"/>
              <w:left w:val="single" w:sz="4" w:space="0" w:color="auto"/>
              <w:right w:val="single" w:sz="4" w:space="0" w:color="auto"/>
            </w:tcBorders>
          </w:tcPr>
          <w:p w14:paraId="65DE9131" w14:textId="77777777" w:rsidR="00C4454D" w:rsidRPr="00A735B4" w:rsidRDefault="00C4454D" w:rsidP="00C4454D">
            <w:pPr>
              <w:spacing w:before="60" w:after="60"/>
              <w:ind w:left="-44" w:firstLine="44"/>
              <w:jc w:val="center"/>
            </w:pPr>
            <w:r w:rsidRPr="00A735B4">
              <w:t>Uganda</w:t>
            </w:r>
          </w:p>
        </w:tc>
        <w:tc>
          <w:tcPr>
            <w:tcW w:w="2023" w:type="dxa"/>
            <w:tcBorders>
              <w:top w:val="single" w:sz="4" w:space="0" w:color="auto"/>
              <w:left w:val="single" w:sz="4" w:space="0" w:color="auto"/>
              <w:right w:val="single" w:sz="4" w:space="0" w:color="auto"/>
            </w:tcBorders>
          </w:tcPr>
          <w:p w14:paraId="2674FF29" w14:textId="77777777" w:rsidR="00C4454D" w:rsidRPr="00A735B4" w:rsidRDefault="00C4454D" w:rsidP="00C4454D">
            <w:pPr>
              <w:spacing w:before="60" w:after="60"/>
              <w:ind w:left="-44" w:firstLine="44"/>
              <w:jc w:val="center"/>
            </w:pPr>
            <w:r w:rsidRPr="00A735B4">
              <w:t>Rwanda</w:t>
            </w:r>
          </w:p>
        </w:tc>
        <w:tc>
          <w:tcPr>
            <w:tcW w:w="2019" w:type="dxa"/>
            <w:tcBorders>
              <w:left w:val="single" w:sz="4" w:space="0" w:color="auto"/>
              <w:bottom w:val="single" w:sz="4" w:space="0" w:color="auto"/>
            </w:tcBorders>
          </w:tcPr>
          <w:p w14:paraId="716D931F" w14:textId="77777777" w:rsidR="00C4454D" w:rsidRPr="00A735B4" w:rsidRDefault="00C4454D" w:rsidP="00C4454D">
            <w:pPr>
              <w:spacing w:before="60" w:after="60"/>
              <w:ind w:left="-44" w:firstLine="44"/>
              <w:jc w:val="center"/>
            </w:pPr>
            <w:r w:rsidRPr="00A735B4">
              <w:t>Malawi</w:t>
            </w:r>
          </w:p>
        </w:tc>
        <w:tc>
          <w:tcPr>
            <w:tcW w:w="1973" w:type="dxa"/>
          </w:tcPr>
          <w:p w14:paraId="13B1F431" w14:textId="77777777" w:rsidR="00C4454D" w:rsidRPr="00A735B4" w:rsidRDefault="00C4454D" w:rsidP="00C4454D">
            <w:pPr>
              <w:spacing w:before="60" w:after="60"/>
              <w:ind w:left="-44" w:firstLine="44"/>
              <w:jc w:val="center"/>
            </w:pPr>
            <w:r w:rsidRPr="00A735B4">
              <w:t>Zambia</w:t>
            </w:r>
          </w:p>
        </w:tc>
      </w:tr>
      <w:tr w:rsidR="00C4454D" w:rsidRPr="00A735B4" w14:paraId="12D4EEF3" w14:textId="77777777" w:rsidTr="00C4454D">
        <w:tc>
          <w:tcPr>
            <w:tcW w:w="2167" w:type="dxa"/>
            <w:tcBorders>
              <w:right w:val="single" w:sz="4" w:space="0" w:color="auto"/>
            </w:tcBorders>
          </w:tcPr>
          <w:p w14:paraId="4E820C9A" w14:textId="77777777" w:rsidR="00C4454D" w:rsidRPr="00A735B4" w:rsidRDefault="00C4454D" w:rsidP="00C4454D">
            <w:pPr>
              <w:spacing w:before="60" w:after="60"/>
            </w:pPr>
            <w:r w:rsidRPr="00A735B4">
              <w:t>Monthly fee</w:t>
            </w:r>
          </w:p>
        </w:tc>
        <w:tc>
          <w:tcPr>
            <w:tcW w:w="2024" w:type="dxa"/>
            <w:tcBorders>
              <w:left w:val="single" w:sz="4" w:space="0" w:color="auto"/>
              <w:right w:val="single" w:sz="4" w:space="0" w:color="auto"/>
            </w:tcBorders>
          </w:tcPr>
          <w:p w14:paraId="6E2A5A1E" w14:textId="496A4E2C" w:rsidR="00C4454D" w:rsidRPr="00A735B4" w:rsidRDefault="00C4454D" w:rsidP="00C4454D">
            <w:pPr>
              <w:spacing w:before="60" w:after="60"/>
              <w:ind w:left="-44" w:firstLine="4"/>
            </w:pPr>
            <w:r w:rsidRPr="00A735B4">
              <w:t>Zero to $0.35</w:t>
            </w:r>
          </w:p>
          <w:p w14:paraId="69D0197F" w14:textId="77777777" w:rsidR="00C4454D" w:rsidRPr="00A735B4" w:rsidRDefault="00C4454D" w:rsidP="00C4454D">
            <w:pPr>
              <w:spacing w:before="60" w:after="60"/>
              <w:ind w:left="-44" w:firstLine="4"/>
            </w:pPr>
            <w:r w:rsidRPr="00A735B4">
              <w:t>$2.30 to $4.00</w:t>
            </w:r>
          </w:p>
          <w:p w14:paraId="6F6F0CDA" w14:textId="77777777" w:rsidR="00C4454D" w:rsidRPr="00A735B4" w:rsidRDefault="00C4454D" w:rsidP="00C4454D">
            <w:pPr>
              <w:spacing w:before="60" w:after="60"/>
              <w:ind w:left="-44" w:firstLine="4"/>
            </w:pPr>
            <w:r w:rsidRPr="00A735B4">
              <w:t>$4.60 to $6.30</w:t>
            </w:r>
          </w:p>
        </w:tc>
        <w:tc>
          <w:tcPr>
            <w:tcW w:w="2029" w:type="dxa"/>
            <w:tcBorders>
              <w:left w:val="single" w:sz="4" w:space="0" w:color="auto"/>
              <w:right w:val="single" w:sz="4" w:space="0" w:color="auto"/>
            </w:tcBorders>
          </w:tcPr>
          <w:p w14:paraId="124D00BB" w14:textId="77777777" w:rsidR="00C4454D" w:rsidRPr="00A735B4" w:rsidRDefault="00C4454D" w:rsidP="00C4454D">
            <w:pPr>
              <w:spacing w:before="60" w:after="60"/>
              <w:ind w:left="-44" w:firstLine="4"/>
            </w:pPr>
            <w:r w:rsidRPr="00A735B4">
              <w:t>$0.60 to $1.00</w:t>
            </w:r>
          </w:p>
          <w:p w14:paraId="2F21D163" w14:textId="77777777" w:rsidR="00C4454D" w:rsidRPr="00A735B4" w:rsidRDefault="00C4454D" w:rsidP="00C4454D">
            <w:pPr>
              <w:spacing w:before="60" w:after="60"/>
              <w:ind w:left="-44" w:firstLine="4"/>
            </w:pPr>
            <w:r w:rsidRPr="00A735B4">
              <w:t>$6 to $30</w:t>
            </w:r>
          </w:p>
          <w:p w14:paraId="3F6A996F" w14:textId="77777777" w:rsidR="00C4454D" w:rsidRPr="00A735B4" w:rsidRDefault="00C4454D" w:rsidP="00C4454D">
            <w:pPr>
              <w:spacing w:before="60" w:after="60"/>
            </w:pPr>
            <w:r w:rsidRPr="00A735B4">
              <w:t>$30 to $90</w:t>
            </w:r>
          </w:p>
        </w:tc>
        <w:tc>
          <w:tcPr>
            <w:tcW w:w="1879" w:type="dxa"/>
            <w:tcBorders>
              <w:left w:val="single" w:sz="4" w:space="0" w:color="auto"/>
              <w:right w:val="single" w:sz="4" w:space="0" w:color="auto"/>
            </w:tcBorders>
          </w:tcPr>
          <w:p w14:paraId="778D0253" w14:textId="0E45CAC0" w:rsidR="00C4454D" w:rsidRPr="00A735B4" w:rsidRDefault="00C4454D" w:rsidP="00C4454D">
            <w:pPr>
              <w:spacing w:before="60" w:after="60"/>
              <w:ind w:left="-44" w:firstLine="4"/>
            </w:pPr>
            <w:r w:rsidRPr="00A735B4">
              <w:t>Zero to $10</w:t>
            </w:r>
          </w:p>
          <w:p w14:paraId="779F2388" w14:textId="77777777" w:rsidR="00C4454D" w:rsidRPr="00A735B4" w:rsidRDefault="00C4454D" w:rsidP="00C4454D">
            <w:pPr>
              <w:spacing w:before="60" w:after="60"/>
              <w:ind w:left="-44" w:firstLine="44"/>
            </w:pPr>
          </w:p>
        </w:tc>
        <w:tc>
          <w:tcPr>
            <w:tcW w:w="2023" w:type="dxa"/>
            <w:tcBorders>
              <w:left w:val="single" w:sz="4" w:space="0" w:color="auto"/>
              <w:right w:val="single" w:sz="4" w:space="0" w:color="auto"/>
            </w:tcBorders>
          </w:tcPr>
          <w:p w14:paraId="2F232280" w14:textId="267FD648" w:rsidR="00C4454D" w:rsidRPr="00A735B4" w:rsidRDefault="00C4454D" w:rsidP="00C4454D">
            <w:pPr>
              <w:spacing w:before="60" w:after="60"/>
              <w:ind w:left="-44" w:firstLine="4"/>
            </w:pPr>
            <w:r w:rsidRPr="00A735B4">
              <w:t xml:space="preserve">Zero </w:t>
            </w:r>
          </w:p>
          <w:p w14:paraId="71EF5958" w14:textId="77777777" w:rsidR="00C4454D" w:rsidRPr="00A735B4" w:rsidRDefault="00C4454D" w:rsidP="00C4454D">
            <w:pPr>
              <w:spacing w:before="60" w:after="60"/>
              <w:ind w:left="-44" w:firstLine="4"/>
            </w:pPr>
            <w:r w:rsidRPr="00A735B4">
              <w:t>$1.50 to $2.20</w:t>
            </w:r>
          </w:p>
          <w:p w14:paraId="064384CD" w14:textId="77777777" w:rsidR="00C4454D" w:rsidRPr="00A735B4" w:rsidRDefault="00C4454D" w:rsidP="00C4454D">
            <w:pPr>
              <w:spacing w:before="60" w:after="60"/>
              <w:ind w:left="-44" w:firstLine="44"/>
            </w:pPr>
          </w:p>
        </w:tc>
        <w:tc>
          <w:tcPr>
            <w:tcW w:w="2019" w:type="dxa"/>
            <w:tcBorders>
              <w:top w:val="single" w:sz="4" w:space="0" w:color="auto"/>
              <w:left w:val="single" w:sz="4" w:space="0" w:color="auto"/>
              <w:right w:val="single" w:sz="4" w:space="0" w:color="auto"/>
            </w:tcBorders>
          </w:tcPr>
          <w:p w14:paraId="674A5B73" w14:textId="114C5A48" w:rsidR="00C4454D" w:rsidRPr="00A735B4" w:rsidRDefault="00C4454D" w:rsidP="00C4454D">
            <w:pPr>
              <w:spacing w:before="60" w:after="60"/>
              <w:ind w:left="-44" w:firstLine="4"/>
            </w:pPr>
            <w:r w:rsidRPr="00A735B4">
              <w:t>Zero to $2.50</w:t>
            </w:r>
          </w:p>
          <w:p w14:paraId="2AA346B6" w14:textId="77777777" w:rsidR="00C4454D" w:rsidRPr="00A735B4" w:rsidRDefault="00C4454D" w:rsidP="00C4454D">
            <w:pPr>
              <w:spacing w:before="60" w:after="60"/>
              <w:ind w:left="-44" w:firstLine="44"/>
            </w:pPr>
          </w:p>
        </w:tc>
        <w:tc>
          <w:tcPr>
            <w:tcW w:w="1973" w:type="dxa"/>
            <w:tcBorders>
              <w:left w:val="single" w:sz="4" w:space="0" w:color="auto"/>
            </w:tcBorders>
          </w:tcPr>
          <w:p w14:paraId="54DC783A" w14:textId="393032A1" w:rsidR="00C4454D" w:rsidRPr="00A735B4" w:rsidRDefault="00C4454D" w:rsidP="00C4454D">
            <w:pPr>
              <w:spacing w:before="60" w:after="60"/>
              <w:ind w:left="-44" w:firstLine="4"/>
            </w:pPr>
            <w:r w:rsidRPr="00A735B4">
              <w:t xml:space="preserve">Zero </w:t>
            </w:r>
          </w:p>
          <w:p w14:paraId="28FD272F" w14:textId="77777777" w:rsidR="00C4454D" w:rsidRPr="00A735B4" w:rsidRDefault="00C4454D" w:rsidP="00C4454D">
            <w:pPr>
              <w:spacing w:before="60" w:after="60"/>
              <w:ind w:left="-44" w:firstLine="4"/>
            </w:pPr>
            <w:r w:rsidRPr="00A735B4">
              <w:t>$7.50 to $17.90</w:t>
            </w:r>
          </w:p>
        </w:tc>
      </w:tr>
      <w:tr w:rsidR="00C4454D" w:rsidRPr="00A735B4" w14:paraId="66809568" w14:textId="77777777" w:rsidTr="00C4454D">
        <w:tc>
          <w:tcPr>
            <w:tcW w:w="2167" w:type="dxa"/>
            <w:tcBorders>
              <w:right w:val="single" w:sz="4" w:space="0" w:color="auto"/>
            </w:tcBorders>
          </w:tcPr>
          <w:p w14:paraId="0DDF8E96" w14:textId="77777777" w:rsidR="00C4454D" w:rsidRPr="00A735B4" w:rsidRDefault="00C4454D" w:rsidP="00C4454D">
            <w:pPr>
              <w:spacing w:before="60" w:after="60"/>
              <w:ind w:left="-44"/>
            </w:pPr>
            <w:r w:rsidRPr="00A735B4">
              <w:t>Minimum amount for opening an account</w:t>
            </w:r>
          </w:p>
        </w:tc>
        <w:tc>
          <w:tcPr>
            <w:tcW w:w="2024" w:type="dxa"/>
            <w:tcBorders>
              <w:left w:val="single" w:sz="4" w:space="0" w:color="auto"/>
              <w:right w:val="single" w:sz="4" w:space="0" w:color="auto"/>
            </w:tcBorders>
          </w:tcPr>
          <w:p w14:paraId="546DCDB5" w14:textId="0913265B" w:rsidR="00C4454D" w:rsidRPr="00A735B4" w:rsidRDefault="00C4454D" w:rsidP="00C4454D">
            <w:pPr>
              <w:spacing w:before="60" w:after="60"/>
              <w:ind w:left="-44" w:firstLine="44"/>
            </w:pPr>
            <w:r w:rsidRPr="00A735B4">
              <w:t>Zero to $23</w:t>
            </w:r>
          </w:p>
          <w:p w14:paraId="137981F5" w14:textId="77777777" w:rsidR="00C4454D" w:rsidRPr="00A735B4" w:rsidRDefault="00C4454D" w:rsidP="00C4454D">
            <w:pPr>
              <w:spacing w:before="60" w:after="60"/>
              <w:ind w:left="-44" w:firstLine="44"/>
            </w:pPr>
            <w:r w:rsidRPr="00A735B4">
              <w:t>$46 to $60</w:t>
            </w:r>
          </w:p>
          <w:p w14:paraId="377B4861" w14:textId="77777777" w:rsidR="00C4454D" w:rsidRPr="00A735B4" w:rsidRDefault="00C4454D" w:rsidP="00C4454D">
            <w:pPr>
              <w:spacing w:before="60" w:after="60"/>
              <w:ind w:left="-44" w:firstLine="44"/>
            </w:pPr>
          </w:p>
        </w:tc>
        <w:tc>
          <w:tcPr>
            <w:tcW w:w="2029" w:type="dxa"/>
            <w:tcBorders>
              <w:left w:val="single" w:sz="4" w:space="0" w:color="auto"/>
              <w:right w:val="single" w:sz="4" w:space="0" w:color="auto"/>
            </w:tcBorders>
          </w:tcPr>
          <w:p w14:paraId="0F9489CF" w14:textId="77777777" w:rsidR="00C4454D" w:rsidRPr="00A735B4" w:rsidRDefault="00C4454D" w:rsidP="00C4454D">
            <w:pPr>
              <w:spacing w:before="60" w:after="60"/>
            </w:pPr>
            <w:r w:rsidRPr="00A735B4">
              <w:t>$6 to $30</w:t>
            </w:r>
          </w:p>
          <w:p w14:paraId="50777223" w14:textId="77777777" w:rsidR="00C4454D" w:rsidRPr="00A735B4" w:rsidRDefault="00C4454D" w:rsidP="00C4454D">
            <w:pPr>
              <w:spacing w:before="60" w:after="60"/>
              <w:ind w:left="-44" w:firstLine="44"/>
            </w:pPr>
            <w:r w:rsidRPr="00A735B4">
              <w:t>$30 to $60</w:t>
            </w:r>
          </w:p>
          <w:p w14:paraId="11627B70" w14:textId="77777777" w:rsidR="00C4454D" w:rsidRPr="00A735B4" w:rsidRDefault="00C4454D" w:rsidP="00C4454D">
            <w:pPr>
              <w:spacing w:before="60" w:after="60"/>
              <w:ind w:left="-44" w:firstLine="44"/>
            </w:pPr>
          </w:p>
        </w:tc>
        <w:tc>
          <w:tcPr>
            <w:tcW w:w="1879" w:type="dxa"/>
            <w:tcBorders>
              <w:left w:val="single" w:sz="4" w:space="0" w:color="auto"/>
              <w:right w:val="single" w:sz="4" w:space="0" w:color="auto"/>
            </w:tcBorders>
          </w:tcPr>
          <w:p w14:paraId="0A263F8C" w14:textId="77777777" w:rsidR="00C4454D" w:rsidRPr="00A735B4" w:rsidRDefault="00C4454D" w:rsidP="00C4454D">
            <w:pPr>
              <w:spacing w:before="60" w:after="60"/>
              <w:ind w:left="-44" w:firstLine="44"/>
            </w:pPr>
            <w:r w:rsidRPr="00A735B4">
              <w:t>$4 to $20</w:t>
            </w:r>
          </w:p>
          <w:p w14:paraId="786098C0" w14:textId="77777777" w:rsidR="00C4454D" w:rsidRPr="00A735B4" w:rsidRDefault="00C4454D" w:rsidP="00C4454D">
            <w:pPr>
              <w:spacing w:before="60" w:after="60"/>
              <w:ind w:left="-44" w:firstLine="44"/>
            </w:pPr>
            <w:r w:rsidRPr="00A735B4">
              <w:t>$40</w:t>
            </w:r>
          </w:p>
          <w:p w14:paraId="2CD0F51D" w14:textId="77777777" w:rsidR="00C4454D" w:rsidRPr="00A735B4" w:rsidRDefault="00C4454D" w:rsidP="00C4454D">
            <w:pPr>
              <w:spacing w:before="60" w:after="60"/>
              <w:ind w:left="-44" w:firstLine="44"/>
            </w:pPr>
          </w:p>
        </w:tc>
        <w:tc>
          <w:tcPr>
            <w:tcW w:w="2023" w:type="dxa"/>
            <w:tcBorders>
              <w:left w:val="single" w:sz="4" w:space="0" w:color="auto"/>
              <w:right w:val="single" w:sz="4" w:space="0" w:color="auto"/>
            </w:tcBorders>
          </w:tcPr>
          <w:p w14:paraId="67581AA5" w14:textId="77777777" w:rsidR="00C4454D" w:rsidRPr="00A735B4" w:rsidRDefault="00C4454D" w:rsidP="00C4454D">
            <w:pPr>
              <w:spacing w:before="60" w:after="60"/>
              <w:ind w:left="-44" w:firstLine="44"/>
            </w:pPr>
            <w:r w:rsidRPr="00A735B4">
              <w:t>$4.40 to $5.90</w:t>
            </w:r>
          </w:p>
          <w:p w14:paraId="3A03263A" w14:textId="77777777" w:rsidR="00C4454D" w:rsidRPr="00A735B4" w:rsidRDefault="00C4454D" w:rsidP="00C4454D">
            <w:pPr>
              <w:spacing w:before="60" w:after="60"/>
              <w:ind w:left="-44" w:firstLine="44"/>
            </w:pPr>
            <w:r w:rsidRPr="00A735B4">
              <w:t>$11 to $14.70</w:t>
            </w:r>
          </w:p>
          <w:p w14:paraId="25DE4355" w14:textId="77777777" w:rsidR="00C4454D" w:rsidRPr="00A735B4" w:rsidRDefault="00C4454D" w:rsidP="00C4454D">
            <w:pPr>
              <w:spacing w:before="60" w:after="60"/>
              <w:ind w:left="-44" w:firstLine="44"/>
            </w:pPr>
          </w:p>
        </w:tc>
        <w:tc>
          <w:tcPr>
            <w:tcW w:w="2019" w:type="dxa"/>
            <w:tcBorders>
              <w:left w:val="single" w:sz="4" w:space="0" w:color="auto"/>
              <w:right w:val="single" w:sz="4" w:space="0" w:color="auto"/>
            </w:tcBorders>
          </w:tcPr>
          <w:p w14:paraId="5AC9D990" w14:textId="3EB318B2" w:rsidR="00C4454D" w:rsidRPr="00A735B4" w:rsidRDefault="00C4454D" w:rsidP="00C4454D">
            <w:pPr>
              <w:spacing w:before="60" w:after="60"/>
              <w:ind w:left="-44" w:firstLine="44"/>
            </w:pPr>
            <w:r w:rsidRPr="00A735B4">
              <w:t>Zero to $1.30</w:t>
            </w:r>
          </w:p>
          <w:p w14:paraId="0CAC404F" w14:textId="77777777" w:rsidR="00C4454D" w:rsidRPr="00A735B4" w:rsidRDefault="00C4454D" w:rsidP="00C4454D">
            <w:pPr>
              <w:spacing w:before="60" w:after="60"/>
              <w:ind w:left="-44" w:firstLine="44"/>
            </w:pPr>
            <w:r w:rsidRPr="00A735B4">
              <w:t>$7.60 to $25.50</w:t>
            </w:r>
          </w:p>
          <w:p w14:paraId="472BC5C1" w14:textId="77777777" w:rsidR="00C4454D" w:rsidRPr="00A735B4" w:rsidRDefault="00C4454D" w:rsidP="00C4454D">
            <w:pPr>
              <w:spacing w:before="60" w:after="60"/>
              <w:ind w:left="-44" w:firstLine="44"/>
            </w:pPr>
            <w:r w:rsidRPr="00A735B4">
              <w:t>No pattern</w:t>
            </w:r>
          </w:p>
        </w:tc>
        <w:tc>
          <w:tcPr>
            <w:tcW w:w="1973" w:type="dxa"/>
            <w:tcBorders>
              <w:left w:val="single" w:sz="4" w:space="0" w:color="auto"/>
            </w:tcBorders>
          </w:tcPr>
          <w:p w14:paraId="754E59A6" w14:textId="77C741DF" w:rsidR="00C4454D" w:rsidRPr="00A735B4" w:rsidRDefault="00C4454D" w:rsidP="00C4454D">
            <w:pPr>
              <w:spacing w:before="60" w:after="60"/>
              <w:ind w:left="-44" w:firstLine="44"/>
            </w:pPr>
            <w:r w:rsidRPr="00A735B4">
              <w:t xml:space="preserve">Zero </w:t>
            </w:r>
          </w:p>
          <w:p w14:paraId="59D21BA8" w14:textId="77777777" w:rsidR="00C4454D" w:rsidRPr="00A735B4" w:rsidRDefault="00C4454D" w:rsidP="00C4454D">
            <w:pPr>
              <w:spacing w:before="60" w:after="60"/>
              <w:ind w:left="-44" w:firstLine="44"/>
            </w:pPr>
            <w:r w:rsidRPr="00A735B4">
              <w:t>$75</w:t>
            </w:r>
          </w:p>
          <w:p w14:paraId="6C7BDAAA" w14:textId="77777777" w:rsidR="00C4454D" w:rsidRPr="00A735B4" w:rsidRDefault="00C4454D" w:rsidP="00C4454D">
            <w:pPr>
              <w:spacing w:before="60" w:after="60"/>
              <w:ind w:left="-44" w:firstLine="44"/>
            </w:pPr>
          </w:p>
        </w:tc>
      </w:tr>
      <w:tr w:rsidR="00C4454D" w:rsidRPr="00A735B4" w14:paraId="7501C655" w14:textId="77777777" w:rsidTr="00C4454D">
        <w:tc>
          <w:tcPr>
            <w:tcW w:w="2167" w:type="dxa"/>
            <w:tcBorders>
              <w:right w:val="single" w:sz="4" w:space="0" w:color="auto"/>
            </w:tcBorders>
          </w:tcPr>
          <w:p w14:paraId="6DF0951D" w14:textId="77777777" w:rsidR="00C4454D" w:rsidRPr="00A735B4" w:rsidRDefault="00C4454D" w:rsidP="00C4454D">
            <w:pPr>
              <w:spacing w:before="60" w:after="60"/>
              <w:ind w:left="-44" w:firstLine="44"/>
            </w:pPr>
            <w:r w:rsidRPr="00A735B4">
              <w:t>Ledger fees</w:t>
            </w:r>
          </w:p>
        </w:tc>
        <w:tc>
          <w:tcPr>
            <w:tcW w:w="2024" w:type="dxa"/>
            <w:tcBorders>
              <w:left w:val="single" w:sz="4" w:space="0" w:color="auto"/>
              <w:bottom w:val="single" w:sz="4" w:space="0" w:color="auto"/>
              <w:right w:val="single" w:sz="4" w:space="0" w:color="auto"/>
            </w:tcBorders>
          </w:tcPr>
          <w:p w14:paraId="41956DAD" w14:textId="77777777" w:rsidR="00C4454D" w:rsidRPr="00A735B4" w:rsidRDefault="00C4454D" w:rsidP="00C4454D">
            <w:pPr>
              <w:spacing w:before="60" w:after="60"/>
              <w:ind w:left="-44"/>
            </w:pPr>
            <w:r w:rsidRPr="00A735B4">
              <w:t>Majority of banks did not charge.</w:t>
            </w:r>
          </w:p>
          <w:p w14:paraId="1C9D4E4E" w14:textId="77777777" w:rsidR="00C4454D" w:rsidRPr="00A735B4" w:rsidRDefault="00C4454D" w:rsidP="00C4454D">
            <w:pPr>
              <w:spacing w:before="60" w:after="60"/>
              <w:ind w:left="-44"/>
            </w:pPr>
            <w:r w:rsidRPr="00A735B4">
              <w:t>Those charging were in range $2.50 to $5.00 per month.</w:t>
            </w:r>
          </w:p>
        </w:tc>
        <w:tc>
          <w:tcPr>
            <w:tcW w:w="2029" w:type="dxa"/>
            <w:tcBorders>
              <w:left w:val="single" w:sz="4" w:space="0" w:color="auto"/>
              <w:bottom w:val="single" w:sz="4" w:space="0" w:color="auto"/>
              <w:right w:val="single" w:sz="4" w:space="0" w:color="auto"/>
            </w:tcBorders>
          </w:tcPr>
          <w:p w14:paraId="59D1D29D" w14:textId="77777777" w:rsidR="00C4454D" w:rsidRPr="00A735B4" w:rsidRDefault="00C4454D" w:rsidP="00C4454D">
            <w:pPr>
              <w:spacing w:before="60" w:after="60"/>
              <w:ind w:left="-44"/>
            </w:pPr>
            <w:r w:rsidRPr="00A735B4">
              <w:t>Majority of banks did not charge.</w:t>
            </w:r>
          </w:p>
          <w:p w14:paraId="6189A76D" w14:textId="77777777" w:rsidR="00C4454D" w:rsidRPr="00A735B4" w:rsidRDefault="00C4454D" w:rsidP="00C4454D">
            <w:pPr>
              <w:spacing w:before="60" w:after="60"/>
              <w:ind w:left="-44" w:firstLine="44"/>
            </w:pPr>
            <w:r w:rsidRPr="00A735B4">
              <w:t>Those charging were in range $3 to $6 per month.</w:t>
            </w:r>
          </w:p>
        </w:tc>
        <w:tc>
          <w:tcPr>
            <w:tcW w:w="1879" w:type="dxa"/>
            <w:tcBorders>
              <w:left w:val="single" w:sz="4" w:space="0" w:color="auto"/>
              <w:bottom w:val="single" w:sz="4" w:space="0" w:color="auto"/>
              <w:right w:val="single" w:sz="4" w:space="0" w:color="auto"/>
            </w:tcBorders>
          </w:tcPr>
          <w:p w14:paraId="78E8EAFE" w14:textId="323706B7" w:rsidR="00C4454D" w:rsidRPr="00A735B4" w:rsidRDefault="00C4454D" w:rsidP="00C4454D">
            <w:pPr>
              <w:spacing w:before="60" w:after="60"/>
              <w:ind w:left="-44"/>
            </w:pPr>
            <w:r w:rsidRPr="00A735B4">
              <w:t>Zero to $4.</w:t>
            </w:r>
          </w:p>
          <w:p w14:paraId="1A8C0FC8" w14:textId="77777777" w:rsidR="00C4454D" w:rsidRPr="00A735B4" w:rsidRDefault="00C4454D" w:rsidP="00C4454D">
            <w:pPr>
              <w:spacing w:before="60" w:after="60"/>
            </w:pPr>
            <w:r w:rsidRPr="00A735B4">
              <w:t>$6 to $12.</w:t>
            </w:r>
          </w:p>
        </w:tc>
        <w:tc>
          <w:tcPr>
            <w:tcW w:w="2023" w:type="dxa"/>
            <w:tcBorders>
              <w:left w:val="single" w:sz="4" w:space="0" w:color="auto"/>
              <w:bottom w:val="single" w:sz="4" w:space="0" w:color="auto"/>
              <w:right w:val="single" w:sz="4" w:space="0" w:color="auto"/>
            </w:tcBorders>
          </w:tcPr>
          <w:p w14:paraId="0A4628BA" w14:textId="04097A51" w:rsidR="00C4454D" w:rsidRPr="00A735B4" w:rsidRDefault="00C4454D" w:rsidP="00C4454D">
            <w:pPr>
              <w:spacing w:before="60" w:after="60"/>
              <w:ind w:left="-44"/>
            </w:pPr>
            <w:r w:rsidRPr="00A735B4">
              <w:t>Zero to $0.40.</w:t>
            </w:r>
          </w:p>
          <w:p w14:paraId="40951C78" w14:textId="77777777" w:rsidR="00C4454D" w:rsidRPr="00A735B4" w:rsidRDefault="00C4454D" w:rsidP="00C4454D">
            <w:pPr>
              <w:spacing w:before="60" w:after="60"/>
            </w:pPr>
            <w:r w:rsidRPr="00A735B4">
              <w:t>$1.00 to $2.20.</w:t>
            </w:r>
          </w:p>
        </w:tc>
        <w:tc>
          <w:tcPr>
            <w:tcW w:w="2019" w:type="dxa"/>
            <w:tcBorders>
              <w:left w:val="single" w:sz="4" w:space="0" w:color="auto"/>
              <w:bottom w:val="single" w:sz="4" w:space="0" w:color="auto"/>
              <w:right w:val="single" w:sz="4" w:space="0" w:color="auto"/>
            </w:tcBorders>
          </w:tcPr>
          <w:p w14:paraId="33720A93" w14:textId="77777777" w:rsidR="00C4454D" w:rsidRPr="00A735B4" w:rsidRDefault="00C4454D" w:rsidP="00C4454D">
            <w:pPr>
              <w:spacing w:before="60" w:after="60"/>
              <w:ind w:left="-44"/>
            </w:pPr>
            <w:r w:rsidRPr="00A735B4">
              <w:t>$0.30 to $1.30.</w:t>
            </w:r>
          </w:p>
          <w:p w14:paraId="390C8138" w14:textId="77777777" w:rsidR="00C4454D" w:rsidRPr="00A735B4" w:rsidRDefault="00C4454D" w:rsidP="00C4454D">
            <w:pPr>
              <w:spacing w:before="60" w:after="60"/>
              <w:ind w:left="-44" w:firstLine="44"/>
            </w:pPr>
            <w:r w:rsidRPr="00A735B4">
              <w:t>Outliers $10.1 to $11.4.</w:t>
            </w:r>
          </w:p>
        </w:tc>
        <w:tc>
          <w:tcPr>
            <w:tcW w:w="1973" w:type="dxa"/>
            <w:tcBorders>
              <w:left w:val="single" w:sz="4" w:space="0" w:color="auto"/>
            </w:tcBorders>
          </w:tcPr>
          <w:p w14:paraId="2FC616B0" w14:textId="7AA6351D" w:rsidR="00C4454D" w:rsidRPr="00A735B4" w:rsidRDefault="00C4454D" w:rsidP="00C4454D">
            <w:pPr>
              <w:spacing w:before="60" w:after="60"/>
              <w:ind w:left="-44"/>
            </w:pPr>
            <w:r w:rsidRPr="00A735B4">
              <w:t>Zero to $0.50.</w:t>
            </w:r>
          </w:p>
          <w:p w14:paraId="5D613381" w14:textId="77777777" w:rsidR="00C4454D" w:rsidRPr="00A735B4" w:rsidRDefault="00C4454D" w:rsidP="00C4454D">
            <w:pPr>
              <w:spacing w:before="60" w:after="60"/>
              <w:ind w:left="-44" w:firstLine="44"/>
            </w:pPr>
            <w:r w:rsidRPr="00A735B4">
              <w:t>$3.50 to $7.50.</w:t>
            </w:r>
          </w:p>
        </w:tc>
      </w:tr>
    </w:tbl>
    <w:p w14:paraId="6022AF5A" w14:textId="77777777" w:rsidR="00C4454D" w:rsidRPr="00A735B4" w:rsidRDefault="00C4454D" w:rsidP="00C4454D"/>
    <w:p w14:paraId="2DADEEEE" w14:textId="77777777" w:rsidR="00C4454D" w:rsidRPr="00A735B4" w:rsidRDefault="00C4454D" w:rsidP="00C4454D"/>
    <w:p w14:paraId="04B3F522" w14:textId="77777777" w:rsidR="00C4454D" w:rsidRPr="00A735B4" w:rsidRDefault="00C4454D" w:rsidP="00C4454D"/>
    <w:p w14:paraId="06CFD692" w14:textId="77777777" w:rsidR="00C4454D" w:rsidRPr="00A735B4" w:rsidRDefault="00C4454D" w:rsidP="00C4454D">
      <w:r w:rsidRPr="00A735B4">
        <w:br w:type="page"/>
      </w:r>
    </w:p>
    <w:p w14:paraId="6E6761DF" w14:textId="7FA460CF" w:rsidR="00C4454D" w:rsidRPr="00A735B4" w:rsidRDefault="00C4454D" w:rsidP="00C4454D">
      <w:pPr>
        <w:keepNext/>
        <w:jc w:val="center"/>
        <w:rPr>
          <w:color w:val="1F497D" w:themeColor="text2"/>
        </w:rPr>
      </w:pPr>
      <w:bookmarkStart w:id="132" w:name="_Toc410823567"/>
      <w:r w:rsidRPr="00A735B4">
        <w:rPr>
          <w:color w:val="1F497D" w:themeColor="text2"/>
        </w:rPr>
        <w:lastRenderedPageBreak/>
        <w:t>Table C.9 Prices charged by banks for savings account transactions</w:t>
      </w:r>
      <w:bookmarkEnd w:id="132"/>
    </w:p>
    <w:tbl>
      <w:tblPr>
        <w:tblW w:w="14142" w:type="dxa"/>
        <w:tblInd w:w="10" w:type="dxa"/>
        <w:tblCellMar>
          <w:left w:w="10" w:type="dxa"/>
          <w:right w:w="10" w:type="dxa"/>
        </w:tblCellMar>
        <w:tblLook w:val="04A0" w:firstRow="1" w:lastRow="0" w:firstColumn="1" w:lastColumn="0" w:noHBand="0" w:noVBand="1"/>
      </w:tblPr>
      <w:tblGrid>
        <w:gridCol w:w="1643"/>
        <w:gridCol w:w="2587"/>
        <w:gridCol w:w="2160"/>
        <w:gridCol w:w="2250"/>
        <w:gridCol w:w="2250"/>
        <w:gridCol w:w="2070"/>
        <w:gridCol w:w="1182"/>
      </w:tblGrid>
      <w:tr w:rsidR="00C4454D" w:rsidRPr="00A735B4" w14:paraId="3401CE26" w14:textId="77777777" w:rsidTr="00C4454D">
        <w:trPr>
          <w:trHeight w:val="305"/>
        </w:trPr>
        <w:tc>
          <w:tcPr>
            <w:tcW w:w="1643" w:type="dxa"/>
            <w:tcBorders>
              <w:right w:val="single" w:sz="4" w:space="0" w:color="auto"/>
            </w:tcBorders>
          </w:tcPr>
          <w:p w14:paraId="0F22A91E" w14:textId="77777777" w:rsidR="00C4454D" w:rsidRPr="00A735B4" w:rsidRDefault="00C4454D" w:rsidP="00C4454D">
            <w:pPr>
              <w:spacing w:before="60" w:after="60"/>
              <w:ind w:left="-44" w:firstLine="44"/>
            </w:pPr>
            <w:r w:rsidRPr="00A735B4">
              <w:t>Characteristics</w:t>
            </w:r>
          </w:p>
        </w:tc>
        <w:tc>
          <w:tcPr>
            <w:tcW w:w="2587" w:type="dxa"/>
            <w:tcBorders>
              <w:top w:val="single" w:sz="4" w:space="0" w:color="auto"/>
              <w:left w:val="single" w:sz="4" w:space="0" w:color="auto"/>
              <w:right w:val="single" w:sz="4" w:space="0" w:color="auto"/>
            </w:tcBorders>
          </w:tcPr>
          <w:p w14:paraId="3FBE962D" w14:textId="77777777" w:rsidR="00C4454D" w:rsidRPr="00A735B4" w:rsidRDefault="00C4454D" w:rsidP="00C4454D">
            <w:pPr>
              <w:spacing w:before="60" w:after="60"/>
              <w:ind w:left="-44" w:firstLine="44"/>
              <w:jc w:val="center"/>
            </w:pPr>
            <w:r w:rsidRPr="00A735B4">
              <w:t>Kenya</w:t>
            </w:r>
          </w:p>
        </w:tc>
        <w:tc>
          <w:tcPr>
            <w:tcW w:w="2160" w:type="dxa"/>
            <w:tcBorders>
              <w:top w:val="single" w:sz="4" w:space="0" w:color="auto"/>
              <w:left w:val="single" w:sz="4" w:space="0" w:color="auto"/>
              <w:right w:val="single" w:sz="4" w:space="0" w:color="auto"/>
            </w:tcBorders>
          </w:tcPr>
          <w:p w14:paraId="0D94119F" w14:textId="77777777" w:rsidR="00C4454D" w:rsidRPr="00A735B4" w:rsidRDefault="00C4454D" w:rsidP="00C4454D">
            <w:pPr>
              <w:spacing w:before="60" w:after="60"/>
              <w:ind w:left="-44" w:firstLine="44"/>
              <w:jc w:val="center"/>
            </w:pPr>
            <w:r w:rsidRPr="00A735B4">
              <w:t>Tanzania</w:t>
            </w:r>
          </w:p>
        </w:tc>
        <w:tc>
          <w:tcPr>
            <w:tcW w:w="2250" w:type="dxa"/>
            <w:tcBorders>
              <w:top w:val="single" w:sz="4" w:space="0" w:color="auto"/>
              <w:left w:val="single" w:sz="4" w:space="0" w:color="auto"/>
              <w:right w:val="single" w:sz="4" w:space="0" w:color="auto"/>
            </w:tcBorders>
          </w:tcPr>
          <w:p w14:paraId="0474A901" w14:textId="77777777" w:rsidR="00C4454D" w:rsidRPr="00A735B4" w:rsidRDefault="00C4454D" w:rsidP="00C4454D">
            <w:pPr>
              <w:spacing w:before="60" w:after="60"/>
              <w:ind w:left="-44" w:firstLine="44"/>
              <w:jc w:val="center"/>
            </w:pPr>
            <w:r w:rsidRPr="00A735B4">
              <w:t>Uganda</w:t>
            </w:r>
          </w:p>
        </w:tc>
        <w:tc>
          <w:tcPr>
            <w:tcW w:w="2250" w:type="dxa"/>
            <w:tcBorders>
              <w:top w:val="single" w:sz="4" w:space="0" w:color="auto"/>
              <w:left w:val="single" w:sz="4" w:space="0" w:color="auto"/>
              <w:right w:val="single" w:sz="4" w:space="0" w:color="auto"/>
            </w:tcBorders>
          </w:tcPr>
          <w:p w14:paraId="0A842D3C" w14:textId="77777777" w:rsidR="00C4454D" w:rsidRPr="00A735B4" w:rsidRDefault="00C4454D" w:rsidP="00C4454D">
            <w:pPr>
              <w:spacing w:before="60" w:after="60"/>
              <w:ind w:left="-44" w:firstLine="44"/>
              <w:jc w:val="center"/>
            </w:pPr>
            <w:r w:rsidRPr="00A735B4">
              <w:t>Rwanda</w:t>
            </w:r>
          </w:p>
        </w:tc>
        <w:tc>
          <w:tcPr>
            <w:tcW w:w="2070" w:type="dxa"/>
            <w:tcBorders>
              <w:left w:val="single" w:sz="4" w:space="0" w:color="auto"/>
              <w:bottom w:val="single" w:sz="4" w:space="0" w:color="auto"/>
            </w:tcBorders>
          </w:tcPr>
          <w:p w14:paraId="0BC80E2C" w14:textId="77777777" w:rsidR="00C4454D" w:rsidRPr="00A735B4" w:rsidRDefault="00C4454D" w:rsidP="00C4454D">
            <w:pPr>
              <w:spacing w:before="60" w:after="60"/>
              <w:ind w:left="-44" w:firstLine="44"/>
              <w:jc w:val="center"/>
            </w:pPr>
            <w:r w:rsidRPr="00A735B4">
              <w:t>Malawi</w:t>
            </w:r>
          </w:p>
        </w:tc>
        <w:tc>
          <w:tcPr>
            <w:tcW w:w="1182" w:type="dxa"/>
          </w:tcPr>
          <w:p w14:paraId="14D46A61" w14:textId="77777777" w:rsidR="00C4454D" w:rsidRPr="00A735B4" w:rsidRDefault="00C4454D" w:rsidP="00C4454D">
            <w:pPr>
              <w:spacing w:before="60" w:after="60"/>
              <w:ind w:left="-44" w:firstLine="44"/>
              <w:jc w:val="center"/>
            </w:pPr>
            <w:r w:rsidRPr="00A735B4">
              <w:t>Zambia</w:t>
            </w:r>
          </w:p>
        </w:tc>
      </w:tr>
      <w:tr w:rsidR="00C4454D" w:rsidRPr="00A735B4" w14:paraId="2D74CA25" w14:textId="77777777" w:rsidTr="00C4454D">
        <w:tc>
          <w:tcPr>
            <w:tcW w:w="1643" w:type="dxa"/>
            <w:tcBorders>
              <w:right w:val="single" w:sz="4" w:space="0" w:color="auto"/>
            </w:tcBorders>
          </w:tcPr>
          <w:p w14:paraId="444E6983" w14:textId="4861752D" w:rsidR="00C4454D" w:rsidRPr="00A735B4" w:rsidRDefault="00C4454D" w:rsidP="00C4454D">
            <w:pPr>
              <w:spacing w:before="60" w:after="60"/>
              <w:ind w:left="-44" w:firstLine="44"/>
            </w:pPr>
            <w:r w:rsidRPr="00A735B4">
              <w:t xml:space="preserve">Business savings </w:t>
            </w:r>
          </w:p>
          <w:p w14:paraId="0F329B0A" w14:textId="77777777" w:rsidR="00C4454D" w:rsidRPr="00A735B4" w:rsidRDefault="00C4454D" w:rsidP="00C4454D">
            <w:pPr>
              <w:spacing w:before="60" w:after="60"/>
            </w:pPr>
          </w:p>
        </w:tc>
        <w:tc>
          <w:tcPr>
            <w:tcW w:w="2587" w:type="dxa"/>
            <w:tcBorders>
              <w:left w:val="single" w:sz="4" w:space="0" w:color="auto"/>
              <w:right w:val="single" w:sz="4" w:space="0" w:color="auto"/>
            </w:tcBorders>
          </w:tcPr>
          <w:p w14:paraId="237276F2" w14:textId="5DD92CD1" w:rsidR="00C4454D" w:rsidRPr="00A735B4" w:rsidRDefault="00C4454D" w:rsidP="00C4454D">
            <w:pPr>
              <w:spacing w:before="60" w:after="60"/>
              <w:ind w:left="-44"/>
            </w:pPr>
            <w:r w:rsidRPr="00A735B4">
              <w:t>3 accounts – minimum balance below which no interest would be paid ($57, $230, $570)</w:t>
            </w:r>
          </w:p>
          <w:p w14:paraId="7949F11C" w14:textId="6F993639" w:rsidR="00C4454D" w:rsidRPr="00A735B4" w:rsidRDefault="00C4454D" w:rsidP="00C4454D">
            <w:pPr>
              <w:spacing w:before="60" w:after="60"/>
              <w:ind w:left="-44"/>
            </w:pPr>
            <w:r w:rsidRPr="00A735B4">
              <w:t>One account quoted interest of 3.5% per annum</w:t>
            </w:r>
          </w:p>
          <w:p w14:paraId="24B3BF27" w14:textId="77777777" w:rsidR="00C4454D" w:rsidRPr="00A735B4" w:rsidRDefault="00C4454D" w:rsidP="00C4454D">
            <w:pPr>
              <w:spacing w:before="60" w:after="60"/>
              <w:ind w:left="-44" w:firstLine="4"/>
            </w:pPr>
            <w:r w:rsidRPr="00A735B4">
              <w:t>Minimum opening balance: range $6 to $57</w:t>
            </w:r>
          </w:p>
          <w:p w14:paraId="1EB8F7F0" w14:textId="77777777" w:rsidR="00C4454D" w:rsidRPr="00A735B4" w:rsidRDefault="00C4454D" w:rsidP="00C4454D">
            <w:pPr>
              <w:spacing w:before="60" w:after="60"/>
              <w:ind w:left="-44" w:firstLine="4"/>
            </w:pPr>
            <w:r w:rsidRPr="00A735B4">
              <w:t>No monthly charges</w:t>
            </w:r>
          </w:p>
        </w:tc>
        <w:tc>
          <w:tcPr>
            <w:tcW w:w="2160" w:type="dxa"/>
            <w:tcBorders>
              <w:left w:val="single" w:sz="4" w:space="0" w:color="auto"/>
              <w:right w:val="single" w:sz="4" w:space="0" w:color="auto"/>
            </w:tcBorders>
          </w:tcPr>
          <w:p w14:paraId="390C7194" w14:textId="63C222EA" w:rsidR="00C4454D" w:rsidRPr="00A735B4" w:rsidRDefault="00C4454D" w:rsidP="00C4454D">
            <w:pPr>
              <w:spacing w:before="60" w:after="60"/>
            </w:pPr>
            <w:r w:rsidRPr="00A735B4">
              <w:t>Minimum balances between $3 and $30</w:t>
            </w:r>
          </w:p>
          <w:p w14:paraId="2D6E07DE" w14:textId="77777777" w:rsidR="00C4454D" w:rsidRPr="00A735B4" w:rsidRDefault="00C4454D" w:rsidP="00C4454D">
            <w:pPr>
              <w:spacing w:before="60" w:after="60"/>
            </w:pPr>
            <w:r w:rsidRPr="00A735B4">
              <w:t>One account = interest rate of 6%</w:t>
            </w:r>
          </w:p>
          <w:p w14:paraId="7130A5F7" w14:textId="1E53796F" w:rsidR="00C4454D" w:rsidRPr="00A735B4" w:rsidRDefault="00C4454D" w:rsidP="00C4454D">
            <w:pPr>
              <w:spacing w:before="60" w:after="60"/>
            </w:pPr>
            <w:r w:rsidRPr="00A735B4">
              <w:t>Most accounts charged monthly fees; range $1.20 to $14.50</w:t>
            </w:r>
          </w:p>
        </w:tc>
        <w:tc>
          <w:tcPr>
            <w:tcW w:w="2250" w:type="dxa"/>
            <w:tcBorders>
              <w:left w:val="single" w:sz="4" w:space="0" w:color="auto"/>
              <w:right w:val="single" w:sz="4" w:space="0" w:color="auto"/>
            </w:tcBorders>
          </w:tcPr>
          <w:p w14:paraId="725BD828" w14:textId="036669D3" w:rsidR="00C4454D" w:rsidRPr="00A735B4" w:rsidRDefault="00C4454D" w:rsidP="00C4454D">
            <w:pPr>
              <w:spacing w:before="60" w:after="60"/>
              <w:ind w:left="-44" w:firstLine="4"/>
            </w:pPr>
            <w:r w:rsidRPr="00A735B4">
              <w:t>Fee to open an account: range of $2 to $10 (excluding outliers)</w:t>
            </w:r>
          </w:p>
          <w:p w14:paraId="4880783B" w14:textId="77777777" w:rsidR="00C4454D" w:rsidRPr="00A735B4" w:rsidRDefault="00C4454D" w:rsidP="00C4454D">
            <w:pPr>
              <w:spacing w:before="60" w:after="60"/>
              <w:ind w:left="-44" w:firstLine="4"/>
            </w:pPr>
            <w:r w:rsidRPr="00A735B4">
              <w:t>Ledger fees of $1 to $4</w:t>
            </w:r>
          </w:p>
          <w:p w14:paraId="03915976" w14:textId="77777777" w:rsidR="00C4454D" w:rsidRPr="00A735B4" w:rsidRDefault="00C4454D" w:rsidP="00C4454D">
            <w:pPr>
              <w:spacing w:before="60" w:after="60"/>
              <w:ind w:left="-44" w:firstLine="44"/>
            </w:pPr>
          </w:p>
        </w:tc>
        <w:tc>
          <w:tcPr>
            <w:tcW w:w="2250" w:type="dxa"/>
            <w:tcBorders>
              <w:left w:val="single" w:sz="4" w:space="0" w:color="auto"/>
              <w:right w:val="single" w:sz="4" w:space="0" w:color="auto"/>
            </w:tcBorders>
          </w:tcPr>
          <w:p w14:paraId="7A21B82A" w14:textId="2C30DF91" w:rsidR="00C4454D" w:rsidRPr="00A735B4" w:rsidRDefault="00C4454D" w:rsidP="00C4454D">
            <w:pPr>
              <w:spacing w:before="60" w:after="60"/>
              <w:ind w:left="-44" w:firstLine="4"/>
            </w:pPr>
            <w:r w:rsidRPr="00A735B4">
              <w:t>Charges for opening an account: half do not charge, others a range of $15 to $27</w:t>
            </w:r>
          </w:p>
          <w:p w14:paraId="7AA31B37" w14:textId="69FD8D8C" w:rsidR="00C4454D" w:rsidRPr="00A735B4" w:rsidRDefault="00C4454D" w:rsidP="00C4454D">
            <w:pPr>
              <w:spacing w:before="60" w:after="60"/>
              <w:ind w:left="-44" w:firstLine="4"/>
            </w:pPr>
            <w:r w:rsidRPr="00A735B4">
              <w:t>Minimum opening balances: range of $6 to $29</w:t>
            </w:r>
          </w:p>
          <w:p w14:paraId="5E5805D7" w14:textId="77777777" w:rsidR="00C4454D" w:rsidRPr="00A735B4" w:rsidRDefault="00C4454D" w:rsidP="00C4454D">
            <w:pPr>
              <w:spacing w:before="60" w:after="60"/>
              <w:ind w:left="-44" w:firstLine="4"/>
            </w:pPr>
            <w:r w:rsidRPr="00A735B4">
              <w:t>One account: interest rate of 8%</w:t>
            </w:r>
          </w:p>
          <w:p w14:paraId="71E4E27E" w14:textId="1BB3F40F" w:rsidR="00C4454D" w:rsidRPr="00A735B4" w:rsidRDefault="00C4454D" w:rsidP="00C4454D">
            <w:pPr>
              <w:spacing w:before="60" w:after="60"/>
              <w:ind w:left="-44" w:firstLine="4"/>
            </w:pPr>
            <w:r w:rsidRPr="00A735B4">
              <w:t>Ledger fees: zero to $1.30</w:t>
            </w:r>
          </w:p>
        </w:tc>
        <w:tc>
          <w:tcPr>
            <w:tcW w:w="2070" w:type="dxa"/>
            <w:tcBorders>
              <w:top w:val="single" w:sz="4" w:space="0" w:color="auto"/>
              <w:left w:val="single" w:sz="4" w:space="0" w:color="auto"/>
              <w:right w:val="single" w:sz="4" w:space="0" w:color="auto"/>
            </w:tcBorders>
          </w:tcPr>
          <w:p w14:paraId="74D1F05C" w14:textId="51433963" w:rsidR="00C4454D" w:rsidRPr="00A735B4" w:rsidRDefault="00C4454D" w:rsidP="00C4454D">
            <w:pPr>
              <w:spacing w:before="60" w:after="60"/>
              <w:ind w:left="-44" w:firstLine="4"/>
            </w:pPr>
            <w:r w:rsidRPr="00A735B4">
              <w:t>Minimum balance: zero to $2.50</w:t>
            </w:r>
          </w:p>
          <w:p w14:paraId="34FEEB8A" w14:textId="1AFD67A7" w:rsidR="00C4454D" w:rsidRPr="00A735B4" w:rsidRDefault="00C4454D" w:rsidP="00C4454D">
            <w:pPr>
              <w:spacing w:before="60" w:after="60"/>
              <w:ind w:left="-44" w:firstLine="4"/>
            </w:pPr>
            <w:r w:rsidRPr="00A735B4">
              <w:t>Cost of opening an account: zero to $12.70</w:t>
            </w:r>
          </w:p>
          <w:p w14:paraId="329ED930" w14:textId="067E3F99" w:rsidR="00C4454D" w:rsidRPr="00A735B4" w:rsidRDefault="00C4454D" w:rsidP="00C4454D">
            <w:pPr>
              <w:spacing w:before="60" w:after="60"/>
              <w:ind w:left="-44" w:firstLine="4"/>
            </w:pPr>
            <w:r w:rsidRPr="00A735B4">
              <w:t>Ledger fees: zero to $1.30</w:t>
            </w:r>
          </w:p>
          <w:p w14:paraId="12FEC7EE" w14:textId="77777777" w:rsidR="00C4454D" w:rsidRPr="00A735B4" w:rsidRDefault="00C4454D" w:rsidP="00C4454D">
            <w:pPr>
              <w:spacing w:before="60" w:after="60"/>
              <w:ind w:left="-44" w:firstLine="4"/>
            </w:pPr>
          </w:p>
          <w:p w14:paraId="53489F7F" w14:textId="77777777" w:rsidR="00C4454D" w:rsidRPr="00A735B4" w:rsidRDefault="00C4454D" w:rsidP="00C4454D">
            <w:pPr>
              <w:spacing w:before="60" w:after="60"/>
              <w:ind w:left="-44" w:firstLine="44"/>
            </w:pPr>
          </w:p>
        </w:tc>
        <w:tc>
          <w:tcPr>
            <w:tcW w:w="1182" w:type="dxa"/>
            <w:tcBorders>
              <w:left w:val="single" w:sz="4" w:space="0" w:color="auto"/>
            </w:tcBorders>
          </w:tcPr>
          <w:p w14:paraId="241BA128" w14:textId="345A8076" w:rsidR="00C4454D" w:rsidRPr="00A735B4" w:rsidRDefault="00C4454D" w:rsidP="00C4454D">
            <w:pPr>
              <w:spacing w:before="60" w:after="60"/>
              <w:ind w:left="-44" w:firstLine="4"/>
            </w:pPr>
            <w:r w:rsidRPr="00A735B4">
              <w:t>Annual account fees: zero</w:t>
            </w:r>
          </w:p>
          <w:p w14:paraId="53024316" w14:textId="77777777" w:rsidR="00C4454D" w:rsidRPr="00A735B4" w:rsidRDefault="00C4454D" w:rsidP="00C4454D">
            <w:pPr>
              <w:spacing w:before="60" w:after="60"/>
              <w:ind w:left="-44" w:firstLine="4"/>
            </w:pPr>
            <w:r w:rsidRPr="00A735B4">
              <w:t>Monthly ledger fees: $0.60 to $0.90</w:t>
            </w:r>
          </w:p>
          <w:p w14:paraId="18D48EBE" w14:textId="77777777" w:rsidR="00C4454D" w:rsidRPr="00A735B4" w:rsidRDefault="00C4454D" w:rsidP="00C4454D">
            <w:pPr>
              <w:spacing w:before="60" w:after="60"/>
              <w:ind w:left="-44" w:firstLine="4"/>
            </w:pPr>
          </w:p>
        </w:tc>
      </w:tr>
      <w:tr w:rsidR="00C4454D" w:rsidRPr="00A735B4" w14:paraId="70E22039" w14:textId="77777777" w:rsidTr="00C4454D">
        <w:tc>
          <w:tcPr>
            <w:tcW w:w="1643" w:type="dxa"/>
            <w:tcBorders>
              <w:right w:val="single" w:sz="4" w:space="0" w:color="auto"/>
            </w:tcBorders>
          </w:tcPr>
          <w:p w14:paraId="747BACFA" w14:textId="0EFF0B55" w:rsidR="00C4454D" w:rsidRPr="00A735B4" w:rsidRDefault="00C4454D" w:rsidP="00C4454D">
            <w:pPr>
              <w:spacing w:before="60" w:after="60"/>
              <w:ind w:left="-44"/>
            </w:pPr>
            <w:r w:rsidRPr="00A735B4">
              <w:t>Fixed deposit</w:t>
            </w:r>
          </w:p>
        </w:tc>
        <w:tc>
          <w:tcPr>
            <w:tcW w:w="2587" w:type="dxa"/>
            <w:tcBorders>
              <w:left w:val="single" w:sz="4" w:space="0" w:color="auto"/>
              <w:right w:val="single" w:sz="4" w:space="0" w:color="auto"/>
            </w:tcBorders>
          </w:tcPr>
          <w:p w14:paraId="47A7F439" w14:textId="696274E6" w:rsidR="00C4454D" w:rsidRPr="00A735B4" w:rsidRDefault="00C4454D" w:rsidP="00C4454D">
            <w:pPr>
              <w:spacing w:before="60" w:after="60"/>
              <w:ind w:left="-44"/>
            </w:pPr>
            <w:r w:rsidRPr="00A735B4">
              <w:t>Minimum balance ranged from $57 to $2,300</w:t>
            </w:r>
          </w:p>
          <w:p w14:paraId="1150FCDC" w14:textId="77777777" w:rsidR="00C4454D" w:rsidRPr="00A735B4" w:rsidRDefault="00C4454D" w:rsidP="00C4454D">
            <w:pPr>
              <w:spacing w:before="60" w:after="60"/>
              <w:ind w:left="-44"/>
            </w:pPr>
            <w:r w:rsidRPr="00A735B4">
              <w:t>No monthly charges</w:t>
            </w:r>
          </w:p>
        </w:tc>
        <w:tc>
          <w:tcPr>
            <w:tcW w:w="2160" w:type="dxa"/>
            <w:tcBorders>
              <w:left w:val="single" w:sz="4" w:space="0" w:color="auto"/>
              <w:right w:val="single" w:sz="4" w:space="0" w:color="auto"/>
            </w:tcBorders>
          </w:tcPr>
          <w:p w14:paraId="6B0148B4" w14:textId="77777777" w:rsidR="00C4454D" w:rsidRPr="00A735B4" w:rsidRDefault="00C4454D" w:rsidP="00C4454D">
            <w:pPr>
              <w:spacing w:before="60" w:after="60"/>
              <w:ind w:left="-44"/>
            </w:pPr>
            <w:r w:rsidRPr="00A735B4">
              <w:t>Minimum balance ranges:</w:t>
            </w:r>
          </w:p>
          <w:p w14:paraId="2B4F17DB" w14:textId="77777777" w:rsidR="00C4454D" w:rsidRPr="00A735B4" w:rsidRDefault="00C4454D" w:rsidP="00C4454D">
            <w:pPr>
              <w:spacing w:before="60" w:after="60"/>
              <w:ind w:left="-44"/>
            </w:pPr>
            <w:r w:rsidRPr="00A735B4">
              <w:t>$6 to $30</w:t>
            </w:r>
          </w:p>
          <w:p w14:paraId="1452E6C8" w14:textId="77777777" w:rsidR="00C4454D" w:rsidRPr="00A735B4" w:rsidRDefault="00C4454D" w:rsidP="00C4454D">
            <w:pPr>
              <w:spacing w:before="60" w:after="60"/>
              <w:ind w:left="-44"/>
            </w:pPr>
            <w:r w:rsidRPr="00A735B4">
              <w:t>$60 to $600</w:t>
            </w:r>
          </w:p>
          <w:p w14:paraId="4B6C3F4D" w14:textId="012B7E2A" w:rsidR="00C4454D" w:rsidRPr="00A735B4" w:rsidRDefault="00C4454D" w:rsidP="00C4454D">
            <w:pPr>
              <w:spacing w:before="60" w:after="60"/>
              <w:ind w:left="-44"/>
            </w:pPr>
            <w:r w:rsidRPr="00A735B4">
              <w:t>Most accounts: fees of $7.30 to $73 per annum</w:t>
            </w:r>
          </w:p>
        </w:tc>
        <w:tc>
          <w:tcPr>
            <w:tcW w:w="2250" w:type="dxa"/>
            <w:tcBorders>
              <w:left w:val="single" w:sz="4" w:space="0" w:color="auto"/>
              <w:right w:val="single" w:sz="4" w:space="0" w:color="auto"/>
            </w:tcBorders>
          </w:tcPr>
          <w:p w14:paraId="12C5531A" w14:textId="77777777" w:rsidR="00C4454D" w:rsidRPr="00A735B4" w:rsidRDefault="00C4454D" w:rsidP="00C4454D">
            <w:pPr>
              <w:spacing w:before="60" w:after="60"/>
              <w:ind w:left="-44"/>
            </w:pPr>
            <w:r w:rsidRPr="00A735B4">
              <w:t>Only 2 accounts. Opening balances were $8 and $3,961</w:t>
            </w:r>
          </w:p>
          <w:p w14:paraId="3711D607" w14:textId="77777777" w:rsidR="00C4454D" w:rsidRPr="00A735B4" w:rsidRDefault="00C4454D" w:rsidP="00C4454D">
            <w:pPr>
              <w:spacing w:before="60" w:after="60"/>
              <w:ind w:left="-44" w:firstLine="44"/>
            </w:pPr>
          </w:p>
        </w:tc>
        <w:tc>
          <w:tcPr>
            <w:tcW w:w="2250" w:type="dxa"/>
            <w:tcBorders>
              <w:left w:val="single" w:sz="4" w:space="0" w:color="auto"/>
              <w:right w:val="single" w:sz="4" w:space="0" w:color="auto"/>
            </w:tcBorders>
          </w:tcPr>
          <w:p w14:paraId="424C8C41" w14:textId="77777777" w:rsidR="00C4454D" w:rsidRPr="00A735B4" w:rsidRDefault="00C4454D" w:rsidP="00C4454D">
            <w:pPr>
              <w:spacing w:before="60" w:after="60"/>
              <w:ind w:left="-44" w:firstLine="44"/>
            </w:pPr>
          </w:p>
        </w:tc>
        <w:tc>
          <w:tcPr>
            <w:tcW w:w="2070" w:type="dxa"/>
            <w:tcBorders>
              <w:left w:val="single" w:sz="4" w:space="0" w:color="auto"/>
              <w:right w:val="single" w:sz="4" w:space="0" w:color="auto"/>
            </w:tcBorders>
          </w:tcPr>
          <w:p w14:paraId="0DAD7EEB" w14:textId="77777777" w:rsidR="00C4454D" w:rsidRPr="00A735B4" w:rsidRDefault="00C4454D" w:rsidP="00C4454D">
            <w:pPr>
              <w:spacing w:before="60" w:after="60"/>
              <w:ind w:left="-44" w:firstLine="44"/>
            </w:pPr>
          </w:p>
        </w:tc>
        <w:tc>
          <w:tcPr>
            <w:tcW w:w="1182" w:type="dxa"/>
            <w:tcBorders>
              <w:left w:val="single" w:sz="4" w:space="0" w:color="auto"/>
            </w:tcBorders>
          </w:tcPr>
          <w:p w14:paraId="53EAC706" w14:textId="77777777" w:rsidR="00C4454D" w:rsidRPr="00A735B4" w:rsidRDefault="00C4454D" w:rsidP="00C4454D">
            <w:pPr>
              <w:spacing w:before="60" w:after="60"/>
              <w:ind w:left="-44" w:firstLine="44"/>
            </w:pPr>
          </w:p>
        </w:tc>
      </w:tr>
      <w:tr w:rsidR="00C4454D" w:rsidRPr="00A735B4" w14:paraId="45EAB95E" w14:textId="77777777" w:rsidTr="00C4454D">
        <w:tc>
          <w:tcPr>
            <w:tcW w:w="1643" w:type="dxa"/>
            <w:tcBorders>
              <w:right w:val="single" w:sz="4" w:space="0" w:color="auto"/>
            </w:tcBorders>
          </w:tcPr>
          <w:p w14:paraId="2DFB0BE4" w14:textId="77777777" w:rsidR="00C4454D" w:rsidRPr="00A735B4" w:rsidRDefault="00C4454D" w:rsidP="00C4454D">
            <w:pPr>
              <w:spacing w:before="60" w:after="60"/>
              <w:ind w:left="-44" w:firstLine="44"/>
            </w:pPr>
            <w:r w:rsidRPr="00A735B4">
              <w:t>Investment account</w:t>
            </w:r>
          </w:p>
        </w:tc>
        <w:tc>
          <w:tcPr>
            <w:tcW w:w="2587" w:type="dxa"/>
            <w:tcBorders>
              <w:left w:val="single" w:sz="4" w:space="0" w:color="auto"/>
              <w:right w:val="single" w:sz="4" w:space="0" w:color="auto"/>
            </w:tcBorders>
          </w:tcPr>
          <w:p w14:paraId="1303F3EF" w14:textId="4E50A07B" w:rsidR="00C4454D" w:rsidRPr="00A735B4" w:rsidRDefault="00C4454D" w:rsidP="00C4454D">
            <w:pPr>
              <w:spacing w:before="60" w:after="60"/>
              <w:ind w:left="-44"/>
            </w:pPr>
            <w:r w:rsidRPr="00A735B4">
              <w:t>Explicitly linked to improved access to loans; one loan interest rate quoted was 1.5% per Month; opening balance required for 2 of the accounts was $57;</w:t>
            </w:r>
          </w:p>
          <w:p w14:paraId="19B1E3F4" w14:textId="7EC980C5" w:rsidR="00C4454D" w:rsidRPr="00A735B4" w:rsidRDefault="00C4454D" w:rsidP="00C4454D">
            <w:pPr>
              <w:spacing w:before="60" w:after="60"/>
              <w:ind w:left="-44"/>
            </w:pPr>
            <w:r w:rsidRPr="00A735B4">
              <w:t>monthly charges</w:t>
            </w:r>
          </w:p>
        </w:tc>
        <w:tc>
          <w:tcPr>
            <w:tcW w:w="2160" w:type="dxa"/>
            <w:tcBorders>
              <w:left w:val="single" w:sz="4" w:space="0" w:color="auto"/>
              <w:right w:val="single" w:sz="4" w:space="0" w:color="auto"/>
            </w:tcBorders>
          </w:tcPr>
          <w:p w14:paraId="5882D018" w14:textId="135DFA9C" w:rsidR="00C4454D" w:rsidRPr="00A735B4" w:rsidRDefault="00C4454D" w:rsidP="00C4454D">
            <w:pPr>
              <w:spacing w:before="60" w:after="60"/>
              <w:ind w:left="-44"/>
            </w:pPr>
            <w:r w:rsidRPr="00A735B4">
              <w:t>Opening balance of $60</w:t>
            </w:r>
          </w:p>
          <w:p w14:paraId="2D761B5C" w14:textId="1763DBA9" w:rsidR="00C4454D" w:rsidRPr="00A735B4" w:rsidRDefault="00C4454D" w:rsidP="00C4454D">
            <w:pPr>
              <w:spacing w:before="60" w:after="60"/>
              <w:ind w:left="-44"/>
            </w:pPr>
            <w:r w:rsidRPr="00A735B4">
              <w:t>No fees</w:t>
            </w:r>
          </w:p>
        </w:tc>
        <w:tc>
          <w:tcPr>
            <w:tcW w:w="2250" w:type="dxa"/>
            <w:tcBorders>
              <w:left w:val="single" w:sz="4" w:space="0" w:color="auto"/>
              <w:right w:val="single" w:sz="4" w:space="0" w:color="auto"/>
            </w:tcBorders>
          </w:tcPr>
          <w:p w14:paraId="27046ED1" w14:textId="77777777" w:rsidR="00C4454D" w:rsidRPr="00A735B4" w:rsidRDefault="00C4454D" w:rsidP="00C4454D">
            <w:pPr>
              <w:spacing w:before="60" w:after="60"/>
            </w:pPr>
          </w:p>
        </w:tc>
        <w:tc>
          <w:tcPr>
            <w:tcW w:w="2250" w:type="dxa"/>
            <w:tcBorders>
              <w:left w:val="single" w:sz="4" w:space="0" w:color="auto"/>
              <w:right w:val="single" w:sz="4" w:space="0" w:color="auto"/>
            </w:tcBorders>
          </w:tcPr>
          <w:p w14:paraId="701C0BF5" w14:textId="77777777" w:rsidR="00C4454D" w:rsidRPr="00A735B4" w:rsidRDefault="00C4454D" w:rsidP="00C4454D">
            <w:pPr>
              <w:spacing w:before="60" w:after="60"/>
            </w:pPr>
          </w:p>
        </w:tc>
        <w:tc>
          <w:tcPr>
            <w:tcW w:w="2070" w:type="dxa"/>
            <w:tcBorders>
              <w:left w:val="single" w:sz="4" w:space="0" w:color="auto"/>
              <w:right w:val="single" w:sz="4" w:space="0" w:color="auto"/>
            </w:tcBorders>
          </w:tcPr>
          <w:p w14:paraId="7F03B381" w14:textId="77777777" w:rsidR="00C4454D" w:rsidRPr="00A735B4" w:rsidRDefault="00C4454D" w:rsidP="00C4454D">
            <w:pPr>
              <w:spacing w:before="60" w:after="60"/>
              <w:ind w:left="-44" w:firstLine="44"/>
            </w:pPr>
          </w:p>
        </w:tc>
        <w:tc>
          <w:tcPr>
            <w:tcW w:w="1182" w:type="dxa"/>
            <w:tcBorders>
              <w:left w:val="single" w:sz="4" w:space="0" w:color="auto"/>
            </w:tcBorders>
          </w:tcPr>
          <w:p w14:paraId="4C0A65A8" w14:textId="77777777" w:rsidR="00C4454D" w:rsidRPr="00A735B4" w:rsidRDefault="00C4454D" w:rsidP="00C4454D">
            <w:pPr>
              <w:spacing w:before="60" w:after="60"/>
              <w:ind w:left="-44" w:firstLine="44"/>
            </w:pPr>
          </w:p>
        </w:tc>
      </w:tr>
    </w:tbl>
    <w:p w14:paraId="58D63519" w14:textId="77777777" w:rsidR="00C4454D" w:rsidRPr="00A735B4" w:rsidRDefault="00C4454D" w:rsidP="00C4454D"/>
    <w:p w14:paraId="2CBFD3C7" w14:textId="77777777" w:rsidR="00C4454D" w:rsidRPr="00A735B4" w:rsidRDefault="00C4454D" w:rsidP="00C4454D">
      <w:pPr>
        <w:sectPr w:rsidR="00C4454D" w:rsidRPr="00A735B4" w:rsidSect="00C4454D">
          <w:pgSz w:w="16839" w:h="11907" w:orient="landscape" w:code="9"/>
          <w:pgMar w:top="1008" w:right="1627" w:bottom="1008" w:left="1166" w:header="720" w:footer="576" w:gutter="0"/>
          <w:cols w:space="720"/>
          <w:docGrid w:linePitch="360"/>
        </w:sectPr>
      </w:pPr>
    </w:p>
    <w:p w14:paraId="562C4F03" w14:textId="68F9B7F4" w:rsidR="00C4454D" w:rsidRPr="00A735B4" w:rsidRDefault="00C4454D" w:rsidP="00C4454D">
      <w:bookmarkStart w:id="133" w:name="_Toc395690922"/>
      <w:bookmarkStart w:id="134" w:name="_Toc419565270"/>
      <w:r w:rsidRPr="00A735B4">
        <w:lastRenderedPageBreak/>
        <w:t>C.6  Insurance</w:t>
      </w:r>
      <w:bookmarkEnd w:id="133"/>
      <w:bookmarkEnd w:id="134"/>
    </w:p>
    <w:p w14:paraId="4F12F2F7" w14:textId="77777777" w:rsidR="00C4454D" w:rsidRPr="00A735B4" w:rsidRDefault="00C4454D" w:rsidP="00C4454D">
      <w:pPr>
        <w:tabs>
          <w:tab w:val="num" w:pos="720"/>
        </w:tabs>
        <w:spacing w:after="200"/>
        <w:jc w:val="both"/>
      </w:pPr>
    </w:p>
    <w:p w14:paraId="373F2C95" w14:textId="555EB0B1" w:rsidR="00C4454D" w:rsidRPr="00A735B4" w:rsidRDefault="00C4454D" w:rsidP="00C4454D">
      <w:pPr>
        <w:tabs>
          <w:tab w:val="num" w:pos="720"/>
        </w:tabs>
        <w:spacing w:after="200"/>
        <w:jc w:val="both"/>
      </w:pPr>
      <w:r w:rsidRPr="00A735B4">
        <w:t>As expected, most insurance companies offer group accident, property, and automotive insurance. Many insurers offer liability, indemnity, and health insurance. However, it is quite surprising that none of the interviewed insurers offers insurance for agricultural foodstuffs in transit and livestock in Tanzania. Rwanda scored surprisingly high for livestock insurance (table C.10).</w:t>
      </w:r>
    </w:p>
    <w:p w14:paraId="0D9E3044" w14:textId="7F88D5F2" w:rsidR="00C4454D" w:rsidRPr="00A735B4" w:rsidRDefault="00C4454D" w:rsidP="00C4454D">
      <w:pPr>
        <w:spacing w:after="0"/>
        <w:jc w:val="center"/>
        <w:rPr>
          <w:color w:val="1F497D" w:themeColor="text2"/>
        </w:rPr>
      </w:pPr>
      <w:bookmarkStart w:id="135" w:name="_Toc410823568"/>
      <w:r w:rsidRPr="00A735B4">
        <w:rPr>
          <w:color w:val="1F497D" w:themeColor="text2"/>
        </w:rPr>
        <w:t>Table C.10 Services offered by insurance companies (percentage of service by country)</w:t>
      </w:r>
      <w:bookmarkEnd w:id="135"/>
    </w:p>
    <w:tbl>
      <w:tblPr>
        <w:tblW w:w="9606" w:type="dxa"/>
        <w:tblInd w:w="10" w:type="dxa"/>
        <w:tblLayout w:type="fixed"/>
        <w:tblCellMar>
          <w:left w:w="10" w:type="dxa"/>
          <w:right w:w="10" w:type="dxa"/>
        </w:tblCellMar>
        <w:tblLook w:val="04A0" w:firstRow="1" w:lastRow="0" w:firstColumn="1" w:lastColumn="0" w:noHBand="0" w:noVBand="1"/>
      </w:tblPr>
      <w:tblGrid>
        <w:gridCol w:w="2235"/>
        <w:gridCol w:w="850"/>
        <w:gridCol w:w="1134"/>
        <w:gridCol w:w="970"/>
        <w:gridCol w:w="1014"/>
        <w:gridCol w:w="993"/>
        <w:gridCol w:w="992"/>
        <w:gridCol w:w="1418"/>
      </w:tblGrid>
      <w:tr w:rsidR="00C4454D" w:rsidRPr="00A735B4" w14:paraId="07AC0214" w14:textId="77777777" w:rsidTr="00C4454D">
        <w:trPr>
          <w:trHeight w:hRule="exact" w:val="722"/>
        </w:trPr>
        <w:tc>
          <w:tcPr>
            <w:tcW w:w="2235" w:type="dxa"/>
            <w:noWrap/>
            <w:hideMark/>
          </w:tcPr>
          <w:p w14:paraId="08AE55E8" w14:textId="77777777" w:rsidR="00C4454D" w:rsidRPr="00A735B4" w:rsidRDefault="00C4454D" w:rsidP="00C4454D">
            <w:r w:rsidRPr="00A735B4">
              <w:rPr>
                <w:bCs/>
              </w:rPr>
              <w:t>Services offered</w:t>
            </w:r>
          </w:p>
        </w:tc>
        <w:tc>
          <w:tcPr>
            <w:tcW w:w="850" w:type="dxa"/>
            <w:noWrap/>
            <w:hideMark/>
          </w:tcPr>
          <w:p w14:paraId="23225769" w14:textId="77777777" w:rsidR="00C4454D" w:rsidRPr="00A735B4" w:rsidRDefault="00C4454D">
            <w:pPr>
              <w:jc w:val="center"/>
            </w:pPr>
            <w:r w:rsidRPr="00A735B4">
              <w:rPr>
                <w:bCs/>
              </w:rPr>
              <w:t>Kenya</w:t>
            </w:r>
          </w:p>
        </w:tc>
        <w:tc>
          <w:tcPr>
            <w:tcW w:w="1134" w:type="dxa"/>
            <w:noWrap/>
            <w:hideMark/>
          </w:tcPr>
          <w:p w14:paraId="77801E79" w14:textId="77777777" w:rsidR="00C4454D" w:rsidRPr="00A735B4" w:rsidRDefault="00C4454D">
            <w:pPr>
              <w:jc w:val="center"/>
            </w:pPr>
            <w:r w:rsidRPr="00A735B4">
              <w:rPr>
                <w:bCs/>
              </w:rPr>
              <w:t>Tanzania</w:t>
            </w:r>
          </w:p>
        </w:tc>
        <w:tc>
          <w:tcPr>
            <w:tcW w:w="970" w:type="dxa"/>
            <w:noWrap/>
            <w:hideMark/>
          </w:tcPr>
          <w:p w14:paraId="091E052A" w14:textId="77777777" w:rsidR="00C4454D" w:rsidRPr="00A735B4" w:rsidRDefault="00C4454D">
            <w:pPr>
              <w:jc w:val="center"/>
            </w:pPr>
            <w:r w:rsidRPr="00A735B4">
              <w:rPr>
                <w:bCs/>
              </w:rPr>
              <w:t>Uganda</w:t>
            </w:r>
          </w:p>
        </w:tc>
        <w:tc>
          <w:tcPr>
            <w:tcW w:w="1014" w:type="dxa"/>
          </w:tcPr>
          <w:p w14:paraId="5FB8E3D0" w14:textId="77777777" w:rsidR="00C4454D" w:rsidRPr="00A735B4" w:rsidRDefault="00C4454D">
            <w:pPr>
              <w:jc w:val="center"/>
            </w:pPr>
            <w:r w:rsidRPr="00A735B4">
              <w:rPr>
                <w:bCs/>
              </w:rPr>
              <w:t>Rwanda</w:t>
            </w:r>
          </w:p>
        </w:tc>
        <w:tc>
          <w:tcPr>
            <w:tcW w:w="993" w:type="dxa"/>
          </w:tcPr>
          <w:p w14:paraId="53088E4F" w14:textId="77777777" w:rsidR="00C4454D" w:rsidRPr="00A735B4" w:rsidRDefault="00C4454D">
            <w:pPr>
              <w:jc w:val="center"/>
            </w:pPr>
            <w:r w:rsidRPr="00A735B4">
              <w:rPr>
                <w:bCs/>
              </w:rPr>
              <w:t>Malawi</w:t>
            </w:r>
          </w:p>
        </w:tc>
        <w:tc>
          <w:tcPr>
            <w:tcW w:w="992" w:type="dxa"/>
          </w:tcPr>
          <w:p w14:paraId="0A484E2F" w14:textId="77777777" w:rsidR="00C4454D" w:rsidRPr="00A735B4" w:rsidRDefault="00C4454D">
            <w:pPr>
              <w:jc w:val="center"/>
            </w:pPr>
            <w:r w:rsidRPr="00A735B4">
              <w:rPr>
                <w:bCs/>
              </w:rPr>
              <w:t>Zambia</w:t>
            </w:r>
          </w:p>
        </w:tc>
        <w:tc>
          <w:tcPr>
            <w:tcW w:w="1418" w:type="dxa"/>
            <w:noWrap/>
            <w:hideMark/>
          </w:tcPr>
          <w:p w14:paraId="12EC209E" w14:textId="77777777" w:rsidR="00C4454D" w:rsidRPr="00A735B4" w:rsidRDefault="00C4454D">
            <w:pPr>
              <w:jc w:val="center"/>
            </w:pPr>
            <w:r w:rsidRPr="00A735B4">
              <w:rPr>
                <w:bCs/>
              </w:rPr>
              <w:t>Average</w:t>
            </w:r>
          </w:p>
        </w:tc>
      </w:tr>
      <w:tr w:rsidR="00C4454D" w:rsidRPr="00A735B4" w14:paraId="581149D0" w14:textId="77777777" w:rsidTr="00C4454D">
        <w:trPr>
          <w:trHeight w:hRule="exact" w:val="622"/>
        </w:trPr>
        <w:tc>
          <w:tcPr>
            <w:tcW w:w="2235" w:type="dxa"/>
            <w:noWrap/>
            <w:hideMark/>
          </w:tcPr>
          <w:p w14:paraId="6CD860FA" w14:textId="77777777" w:rsidR="00C4454D" w:rsidRPr="00A735B4" w:rsidRDefault="00C4454D" w:rsidP="00C4454D">
            <w:pPr>
              <w:rPr>
                <w:b/>
                <w:color w:val="0D0D0D" w:themeColor="text1" w:themeTint="F2"/>
              </w:rPr>
            </w:pPr>
            <w:r w:rsidRPr="00A735B4">
              <w:rPr>
                <w:b/>
                <w:bCs/>
                <w:color w:val="0D0D0D" w:themeColor="text1" w:themeTint="F2"/>
              </w:rPr>
              <w:t>Agriculture – Foodstuff in transit</w:t>
            </w:r>
          </w:p>
        </w:tc>
        <w:tc>
          <w:tcPr>
            <w:tcW w:w="850" w:type="dxa"/>
            <w:noWrap/>
          </w:tcPr>
          <w:p w14:paraId="440D3B00" w14:textId="4F605969" w:rsidR="00C4454D" w:rsidRPr="00A735B4" w:rsidRDefault="00C4454D" w:rsidP="00C4454D">
            <w:pPr>
              <w:jc w:val="center"/>
              <w:rPr>
                <w:color w:val="0D0D0D" w:themeColor="text1" w:themeTint="F2"/>
              </w:rPr>
            </w:pPr>
            <w:r w:rsidRPr="00A735B4">
              <w:rPr>
                <w:color w:val="0D0D0D" w:themeColor="text1" w:themeTint="F2"/>
              </w:rPr>
              <w:t>20</w:t>
            </w:r>
          </w:p>
        </w:tc>
        <w:tc>
          <w:tcPr>
            <w:tcW w:w="1134" w:type="dxa"/>
            <w:noWrap/>
          </w:tcPr>
          <w:p w14:paraId="4A9D434B" w14:textId="3E52F9BF" w:rsidR="00C4454D" w:rsidRPr="00A735B4" w:rsidRDefault="00C4454D" w:rsidP="00C4454D">
            <w:pPr>
              <w:jc w:val="center"/>
              <w:rPr>
                <w:color w:val="0D0D0D" w:themeColor="text1" w:themeTint="F2"/>
              </w:rPr>
            </w:pPr>
            <w:r w:rsidRPr="00A735B4">
              <w:rPr>
                <w:color w:val="0D0D0D" w:themeColor="text1" w:themeTint="F2"/>
              </w:rPr>
              <w:t>0</w:t>
            </w:r>
          </w:p>
        </w:tc>
        <w:tc>
          <w:tcPr>
            <w:tcW w:w="970" w:type="dxa"/>
            <w:noWrap/>
          </w:tcPr>
          <w:p w14:paraId="0E2B7B5A" w14:textId="1043DDBF" w:rsidR="00C4454D" w:rsidRPr="00A735B4" w:rsidRDefault="00C4454D" w:rsidP="00C4454D">
            <w:pPr>
              <w:jc w:val="center"/>
              <w:rPr>
                <w:color w:val="0D0D0D" w:themeColor="text1" w:themeTint="F2"/>
              </w:rPr>
            </w:pPr>
            <w:r w:rsidRPr="00A735B4">
              <w:rPr>
                <w:color w:val="0D0D0D" w:themeColor="text1" w:themeTint="F2"/>
              </w:rPr>
              <w:t>25</w:t>
            </w:r>
          </w:p>
        </w:tc>
        <w:tc>
          <w:tcPr>
            <w:tcW w:w="1014" w:type="dxa"/>
          </w:tcPr>
          <w:p w14:paraId="3527DCC6" w14:textId="169E9532" w:rsidR="00C4454D" w:rsidRPr="00A735B4" w:rsidRDefault="00C4454D" w:rsidP="00C4454D">
            <w:pPr>
              <w:jc w:val="center"/>
              <w:rPr>
                <w:color w:val="0D0D0D" w:themeColor="text1" w:themeTint="F2"/>
              </w:rPr>
            </w:pPr>
            <w:r w:rsidRPr="00A735B4">
              <w:rPr>
                <w:color w:val="0D0D0D" w:themeColor="text1" w:themeTint="F2"/>
              </w:rPr>
              <w:t>38</w:t>
            </w:r>
          </w:p>
        </w:tc>
        <w:tc>
          <w:tcPr>
            <w:tcW w:w="993" w:type="dxa"/>
          </w:tcPr>
          <w:p w14:paraId="554D70CB" w14:textId="5CCE6A77" w:rsidR="00C4454D" w:rsidRPr="00A735B4" w:rsidRDefault="00C4454D" w:rsidP="00C4454D">
            <w:pPr>
              <w:jc w:val="center"/>
              <w:rPr>
                <w:color w:val="0D0D0D" w:themeColor="text1" w:themeTint="F2"/>
              </w:rPr>
            </w:pPr>
            <w:r w:rsidRPr="00A735B4">
              <w:rPr>
                <w:color w:val="0D0D0D" w:themeColor="text1" w:themeTint="F2"/>
              </w:rPr>
              <w:t>50</w:t>
            </w:r>
          </w:p>
        </w:tc>
        <w:tc>
          <w:tcPr>
            <w:tcW w:w="992" w:type="dxa"/>
          </w:tcPr>
          <w:p w14:paraId="16ED05EC" w14:textId="75D7461F" w:rsidR="00C4454D" w:rsidRPr="00A735B4" w:rsidRDefault="00C4454D" w:rsidP="00C4454D">
            <w:pPr>
              <w:jc w:val="center"/>
              <w:rPr>
                <w:color w:val="0D0D0D" w:themeColor="text1" w:themeTint="F2"/>
              </w:rPr>
            </w:pPr>
            <w:r w:rsidRPr="00A735B4">
              <w:rPr>
                <w:color w:val="0D0D0D" w:themeColor="text1" w:themeTint="F2"/>
              </w:rPr>
              <w:t>71</w:t>
            </w:r>
          </w:p>
        </w:tc>
        <w:tc>
          <w:tcPr>
            <w:tcW w:w="1418" w:type="dxa"/>
            <w:noWrap/>
          </w:tcPr>
          <w:p w14:paraId="1E08F0F9" w14:textId="5EAA0CDE" w:rsidR="00C4454D" w:rsidRPr="00A735B4" w:rsidRDefault="00C4454D" w:rsidP="00C4454D">
            <w:pPr>
              <w:jc w:val="center"/>
              <w:rPr>
                <w:color w:val="0D0D0D" w:themeColor="text1" w:themeTint="F2"/>
              </w:rPr>
            </w:pPr>
            <w:r w:rsidRPr="00A735B4">
              <w:rPr>
                <w:color w:val="0D0D0D" w:themeColor="text1" w:themeTint="F2"/>
              </w:rPr>
              <w:t>34</w:t>
            </w:r>
          </w:p>
        </w:tc>
      </w:tr>
      <w:tr w:rsidR="00C4454D" w:rsidRPr="00A735B4" w14:paraId="3194D332" w14:textId="77777777" w:rsidTr="00C4454D">
        <w:trPr>
          <w:trHeight w:hRule="exact" w:val="576"/>
        </w:trPr>
        <w:tc>
          <w:tcPr>
            <w:tcW w:w="2235" w:type="dxa"/>
            <w:noWrap/>
            <w:hideMark/>
          </w:tcPr>
          <w:p w14:paraId="2A4983BC" w14:textId="77777777" w:rsidR="00C4454D" w:rsidRPr="00A735B4" w:rsidRDefault="00C4454D" w:rsidP="00C4454D">
            <w:pPr>
              <w:rPr>
                <w:b/>
                <w:color w:val="0D0D0D" w:themeColor="text1" w:themeTint="F2"/>
              </w:rPr>
            </w:pPr>
            <w:r w:rsidRPr="00A735B4">
              <w:rPr>
                <w:b/>
                <w:bCs/>
                <w:color w:val="0D0D0D" w:themeColor="text1" w:themeTint="F2"/>
              </w:rPr>
              <w:t>Agriculture – Crops</w:t>
            </w:r>
          </w:p>
        </w:tc>
        <w:tc>
          <w:tcPr>
            <w:tcW w:w="850" w:type="dxa"/>
            <w:noWrap/>
          </w:tcPr>
          <w:p w14:paraId="614F8E99" w14:textId="3CBC995C" w:rsidR="00C4454D" w:rsidRPr="00A735B4" w:rsidRDefault="00C4454D" w:rsidP="00C4454D">
            <w:pPr>
              <w:jc w:val="center"/>
              <w:rPr>
                <w:color w:val="0D0D0D" w:themeColor="text1" w:themeTint="F2"/>
              </w:rPr>
            </w:pPr>
            <w:r w:rsidRPr="00A735B4">
              <w:rPr>
                <w:color w:val="0D0D0D" w:themeColor="text1" w:themeTint="F2"/>
              </w:rPr>
              <w:t>20</w:t>
            </w:r>
          </w:p>
        </w:tc>
        <w:tc>
          <w:tcPr>
            <w:tcW w:w="1134" w:type="dxa"/>
            <w:noWrap/>
          </w:tcPr>
          <w:p w14:paraId="441E727A" w14:textId="2A5429CD" w:rsidR="00C4454D" w:rsidRPr="00A735B4" w:rsidRDefault="00C4454D" w:rsidP="00C4454D">
            <w:pPr>
              <w:jc w:val="center"/>
              <w:rPr>
                <w:color w:val="0D0D0D" w:themeColor="text1" w:themeTint="F2"/>
              </w:rPr>
            </w:pPr>
            <w:r w:rsidRPr="00A735B4">
              <w:rPr>
                <w:color w:val="0D0D0D" w:themeColor="text1" w:themeTint="F2"/>
              </w:rPr>
              <w:t>0</w:t>
            </w:r>
          </w:p>
        </w:tc>
        <w:tc>
          <w:tcPr>
            <w:tcW w:w="970" w:type="dxa"/>
            <w:noWrap/>
          </w:tcPr>
          <w:p w14:paraId="5F1A8590" w14:textId="79D46CF8" w:rsidR="00C4454D" w:rsidRPr="00A735B4" w:rsidRDefault="00C4454D" w:rsidP="00C4454D">
            <w:pPr>
              <w:jc w:val="center"/>
              <w:rPr>
                <w:color w:val="0D0D0D" w:themeColor="text1" w:themeTint="F2"/>
              </w:rPr>
            </w:pPr>
            <w:r w:rsidRPr="00A735B4">
              <w:rPr>
                <w:color w:val="0D0D0D" w:themeColor="text1" w:themeTint="F2"/>
              </w:rPr>
              <w:t>25</w:t>
            </w:r>
          </w:p>
        </w:tc>
        <w:tc>
          <w:tcPr>
            <w:tcW w:w="1014" w:type="dxa"/>
          </w:tcPr>
          <w:p w14:paraId="1782DDF3" w14:textId="65655B94" w:rsidR="00C4454D" w:rsidRPr="00A735B4" w:rsidRDefault="00C4454D" w:rsidP="00C4454D">
            <w:pPr>
              <w:jc w:val="center"/>
              <w:rPr>
                <w:color w:val="0D0D0D" w:themeColor="text1" w:themeTint="F2"/>
              </w:rPr>
            </w:pPr>
            <w:r w:rsidRPr="00A735B4">
              <w:rPr>
                <w:color w:val="0D0D0D" w:themeColor="text1" w:themeTint="F2"/>
              </w:rPr>
              <w:t>13</w:t>
            </w:r>
          </w:p>
        </w:tc>
        <w:tc>
          <w:tcPr>
            <w:tcW w:w="993" w:type="dxa"/>
          </w:tcPr>
          <w:p w14:paraId="128977B1" w14:textId="7C7735C5" w:rsidR="00C4454D" w:rsidRPr="00A735B4" w:rsidRDefault="00C4454D" w:rsidP="00C4454D">
            <w:pPr>
              <w:jc w:val="center"/>
              <w:rPr>
                <w:color w:val="0D0D0D" w:themeColor="text1" w:themeTint="F2"/>
              </w:rPr>
            </w:pPr>
            <w:r w:rsidRPr="00A735B4">
              <w:rPr>
                <w:color w:val="0D0D0D" w:themeColor="text1" w:themeTint="F2"/>
              </w:rPr>
              <w:t>17</w:t>
            </w:r>
          </w:p>
        </w:tc>
        <w:tc>
          <w:tcPr>
            <w:tcW w:w="992" w:type="dxa"/>
          </w:tcPr>
          <w:p w14:paraId="3EC16E8F" w14:textId="0456D42F" w:rsidR="00C4454D" w:rsidRPr="00A735B4" w:rsidRDefault="00C4454D" w:rsidP="00C4454D">
            <w:pPr>
              <w:jc w:val="center"/>
              <w:rPr>
                <w:color w:val="0D0D0D" w:themeColor="text1" w:themeTint="F2"/>
              </w:rPr>
            </w:pPr>
            <w:r w:rsidRPr="00A735B4">
              <w:rPr>
                <w:color w:val="0D0D0D" w:themeColor="text1" w:themeTint="F2"/>
              </w:rPr>
              <w:t>43</w:t>
            </w:r>
          </w:p>
        </w:tc>
        <w:tc>
          <w:tcPr>
            <w:tcW w:w="1418" w:type="dxa"/>
            <w:noWrap/>
          </w:tcPr>
          <w:p w14:paraId="1DBB32B4" w14:textId="1216CE3E" w:rsidR="00C4454D" w:rsidRPr="00A735B4" w:rsidRDefault="00C4454D" w:rsidP="00C4454D">
            <w:pPr>
              <w:jc w:val="center"/>
              <w:rPr>
                <w:color w:val="0D0D0D" w:themeColor="text1" w:themeTint="F2"/>
              </w:rPr>
            </w:pPr>
            <w:r w:rsidRPr="00A735B4">
              <w:rPr>
                <w:color w:val="0D0D0D" w:themeColor="text1" w:themeTint="F2"/>
              </w:rPr>
              <w:t>20</w:t>
            </w:r>
          </w:p>
        </w:tc>
      </w:tr>
      <w:tr w:rsidR="00C4454D" w:rsidRPr="00A735B4" w14:paraId="439B7A63" w14:textId="77777777" w:rsidTr="00C4454D">
        <w:trPr>
          <w:trHeight w:hRule="exact" w:val="573"/>
        </w:trPr>
        <w:tc>
          <w:tcPr>
            <w:tcW w:w="2235" w:type="dxa"/>
            <w:noWrap/>
            <w:hideMark/>
          </w:tcPr>
          <w:p w14:paraId="3576FAA9" w14:textId="77777777" w:rsidR="00C4454D" w:rsidRPr="00A735B4" w:rsidRDefault="00C4454D" w:rsidP="00C4454D">
            <w:pPr>
              <w:rPr>
                <w:b/>
                <w:color w:val="0D0D0D" w:themeColor="text1" w:themeTint="F2"/>
              </w:rPr>
            </w:pPr>
            <w:r w:rsidRPr="00A735B4">
              <w:rPr>
                <w:b/>
                <w:bCs/>
                <w:color w:val="0D0D0D" w:themeColor="text1" w:themeTint="F2"/>
              </w:rPr>
              <w:t>Agriculture – Livestock</w:t>
            </w:r>
          </w:p>
        </w:tc>
        <w:tc>
          <w:tcPr>
            <w:tcW w:w="850" w:type="dxa"/>
            <w:noWrap/>
          </w:tcPr>
          <w:p w14:paraId="307AE28A" w14:textId="0FF2D8B9" w:rsidR="00C4454D" w:rsidRPr="00A735B4" w:rsidRDefault="00C4454D" w:rsidP="00C4454D">
            <w:pPr>
              <w:jc w:val="center"/>
              <w:rPr>
                <w:color w:val="0D0D0D" w:themeColor="text1" w:themeTint="F2"/>
              </w:rPr>
            </w:pPr>
            <w:r w:rsidRPr="00A735B4">
              <w:rPr>
                <w:color w:val="0D0D0D" w:themeColor="text1" w:themeTint="F2"/>
              </w:rPr>
              <w:t>20</w:t>
            </w:r>
          </w:p>
        </w:tc>
        <w:tc>
          <w:tcPr>
            <w:tcW w:w="1134" w:type="dxa"/>
            <w:noWrap/>
          </w:tcPr>
          <w:p w14:paraId="755183FF" w14:textId="7270ED86" w:rsidR="00C4454D" w:rsidRPr="00A735B4" w:rsidRDefault="00C4454D" w:rsidP="00C4454D">
            <w:pPr>
              <w:jc w:val="center"/>
              <w:rPr>
                <w:color w:val="0D0D0D" w:themeColor="text1" w:themeTint="F2"/>
              </w:rPr>
            </w:pPr>
            <w:r w:rsidRPr="00A735B4">
              <w:rPr>
                <w:color w:val="0D0D0D" w:themeColor="text1" w:themeTint="F2"/>
              </w:rPr>
              <w:t>0</w:t>
            </w:r>
          </w:p>
        </w:tc>
        <w:tc>
          <w:tcPr>
            <w:tcW w:w="970" w:type="dxa"/>
            <w:noWrap/>
          </w:tcPr>
          <w:p w14:paraId="5341D2DC" w14:textId="71550FFC" w:rsidR="00C4454D" w:rsidRPr="00A735B4" w:rsidRDefault="00C4454D" w:rsidP="00C4454D">
            <w:pPr>
              <w:jc w:val="center"/>
              <w:rPr>
                <w:color w:val="0D0D0D" w:themeColor="text1" w:themeTint="F2"/>
              </w:rPr>
            </w:pPr>
            <w:r w:rsidRPr="00A735B4">
              <w:rPr>
                <w:color w:val="0D0D0D" w:themeColor="text1" w:themeTint="F2"/>
              </w:rPr>
              <w:t>25</w:t>
            </w:r>
          </w:p>
        </w:tc>
        <w:tc>
          <w:tcPr>
            <w:tcW w:w="1014" w:type="dxa"/>
          </w:tcPr>
          <w:p w14:paraId="1F431A44" w14:textId="67531C5F" w:rsidR="00C4454D" w:rsidRPr="00A735B4" w:rsidRDefault="00C4454D" w:rsidP="00C4454D">
            <w:pPr>
              <w:jc w:val="center"/>
              <w:rPr>
                <w:color w:val="0D0D0D" w:themeColor="text1" w:themeTint="F2"/>
              </w:rPr>
            </w:pPr>
            <w:r w:rsidRPr="00A735B4">
              <w:rPr>
                <w:color w:val="0D0D0D" w:themeColor="text1" w:themeTint="F2"/>
              </w:rPr>
              <w:t>63</w:t>
            </w:r>
          </w:p>
        </w:tc>
        <w:tc>
          <w:tcPr>
            <w:tcW w:w="993" w:type="dxa"/>
          </w:tcPr>
          <w:p w14:paraId="6C535C19" w14:textId="7A746304" w:rsidR="00C4454D" w:rsidRPr="00A735B4" w:rsidRDefault="00C4454D" w:rsidP="00C4454D">
            <w:pPr>
              <w:jc w:val="center"/>
              <w:rPr>
                <w:color w:val="0D0D0D" w:themeColor="text1" w:themeTint="F2"/>
              </w:rPr>
            </w:pPr>
            <w:r w:rsidRPr="00A735B4">
              <w:rPr>
                <w:color w:val="0D0D0D" w:themeColor="text1" w:themeTint="F2"/>
              </w:rPr>
              <w:t>33</w:t>
            </w:r>
          </w:p>
        </w:tc>
        <w:tc>
          <w:tcPr>
            <w:tcW w:w="992" w:type="dxa"/>
          </w:tcPr>
          <w:p w14:paraId="55010A2A" w14:textId="5E078FFB" w:rsidR="00C4454D" w:rsidRPr="00A735B4" w:rsidRDefault="00C4454D" w:rsidP="00C4454D">
            <w:pPr>
              <w:jc w:val="center"/>
              <w:rPr>
                <w:color w:val="0D0D0D" w:themeColor="text1" w:themeTint="F2"/>
              </w:rPr>
            </w:pPr>
            <w:r w:rsidRPr="00A735B4">
              <w:rPr>
                <w:color w:val="0D0D0D" w:themeColor="text1" w:themeTint="F2"/>
              </w:rPr>
              <w:t>43</w:t>
            </w:r>
          </w:p>
        </w:tc>
        <w:tc>
          <w:tcPr>
            <w:tcW w:w="1418" w:type="dxa"/>
            <w:noWrap/>
          </w:tcPr>
          <w:p w14:paraId="23EFDA6E" w14:textId="632B7004" w:rsidR="00C4454D" w:rsidRPr="00A735B4" w:rsidRDefault="00C4454D" w:rsidP="00C4454D">
            <w:pPr>
              <w:jc w:val="center"/>
              <w:rPr>
                <w:color w:val="0D0D0D" w:themeColor="text1" w:themeTint="F2"/>
              </w:rPr>
            </w:pPr>
            <w:r w:rsidRPr="00A735B4">
              <w:rPr>
                <w:color w:val="0D0D0D" w:themeColor="text1" w:themeTint="F2"/>
              </w:rPr>
              <w:t>31</w:t>
            </w:r>
          </w:p>
        </w:tc>
      </w:tr>
      <w:tr w:rsidR="00C4454D" w:rsidRPr="00A735B4" w14:paraId="13FC6553" w14:textId="77777777" w:rsidTr="00C4454D">
        <w:trPr>
          <w:trHeight w:hRule="exact" w:val="425"/>
        </w:trPr>
        <w:tc>
          <w:tcPr>
            <w:tcW w:w="2235" w:type="dxa"/>
            <w:noWrap/>
            <w:hideMark/>
          </w:tcPr>
          <w:p w14:paraId="3EB30C4B" w14:textId="77777777" w:rsidR="00C4454D" w:rsidRPr="00A735B4" w:rsidRDefault="00C4454D" w:rsidP="00C4454D">
            <w:pPr>
              <w:rPr>
                <w:b/>
                <w:color w:val="0D0D0D" w:themeColor="text1" w:themeTint="F2"/>
              </w:rPr>
            </w:pPr>
            <w:r w:rsidRPr="00A735B4">
              <w:rPr>
                <w:b/>
                <w:bCs/>
                <w:color w:val="0D0D0D" w:themeColor="text1" w:themeTint="F2"/>
              </w:rPr>
              <w:t>Health</w:t>
            </w:r>
          </w:p>
        </w:tc>
        <w:tc>
          <w:tcPr>
            <w:tcW w:w="850" w:type="dxa"/>
            <w:noWrap/>
          </w:tcPr>
          <w:p w14:paraId="75EB7B66" w14:textId="14752F82" w:rsidR="00C4454D" w:rsidRPr="00A735B4" w:rsidRDefault="00C4454D" w:rsidP="00C4454D">
            <w:pPr>
              <w:jc w:val="center"/>
              <w:rPr>
                <w:color w:val="0D0D0D" w:themeColor="text1" w:themeTint="F2"/>
              </w:rPr>
            </w:pPr>
            <w:r w:rsidRPr="00A735B4">
              <w:rPr>
                <w:color w:val="0D0D0D" w:themeColor="text1" w:themeTint="F2"/>
              </w:rPr>
              <w:t>100</w:t>
            </w:r>
          </w:p>
        </w:tc>
        <w:tc>
          <w:tcPr>
            <w:tcW w:w="1134" w:type="dxa"/>
            <w:noWrap/>
          </w:tcPr>
          <w:p w14:paraId="65E9F64F" w14:textId="6EAC50D6" w:rsidR="00C4454D" w:rsidRPr="00A735B4" w:rsidRDefault="00C4454D" w:rsidP="00C4454D">
            <w:pPr>
              <w:jc w:val="center"/>
              <w:rPr>
                <w:color w:val="0D0D0D" w:themeColor="text1" w:themeTint="F2"/>
              </w:rPr>
            </w:pPr>
            <w:r w:rsidRPr="00A735B4">
              <w:rPr>
                <w:color w:val="0D0D0D" w:themeColor="text1" w:themeTint="F2"/>
              </w:rPr>
              <w:t>71</w:t>
            </w:r>
          </w:p>
        </w:tc>
        <w:tc>
          <w:tcPr>
            <w:tcW w:w="970" w:type="dxa"/>
            <w:noWrap/>
          </w:tcPr>
          <w:p w14:paraId="5B9B1116" w14:textId="63A60DF0" w:rsidR="00C4454D" w:rsidRPr="00A735B4" w:rsidRDefault="00C4454D" w:rsidP="00C4454D">
            <w:pPr>
              <w:jc w:val="center"/>
              <w:rPr>
                <w:color w:val="0D0D0D" w:themeColor="text1" w:themeTint="F2"/>
              </w:rPr>
            </w:pPr>
            <w:r w:rsidRPr="00A735B4">
              <w:rPr>
                <w:color w:val="0D0D0D" w:themeColor="text1" w:themeTint="F2"/>
              </w:rPr>
              <w:t>25</w:t>
            </w:r>
          </w:p>
        </w:tc>
        <w:tc>
          <w:tcPr>
            <w:tcW w:w="1014" w:type="dxa"/>
          </w:tcPr>
          <w:p w14:paraId="66EB5168" w14:textId="7471951D" w:rsidR="00C4454D" w:rsidRPr="00A735B4" w:rsidRDefault="00C4454D" w:rsidP="00C4454D">
            <w:pPr>
              <w:jc w:val="center"/>
              <w:rPr>
                <w:color w:val="0D0D0D" w:themeColor="text1" w:themeTint="F2"/>
              </w:rPr>
            </w:pPr>
            <w:r w:rsidRPr="00A735B4">
              <w:rPr>
                <w:color w:val="0D0D0D" w:themeColor="text1" w:themeTint="F2"/>
              </w:rPr>
              <w:t>25</w:t>
            </w:r>
          </w:p>
        </w:tc>
        <w:tc>
          <w:tcPr>
            <w:tcW w:w="993" w:type="dxa"/>
          </w:tcPr>
          <w:p w14:paraId="6C9EE981" w14:textId="44726D13" w:rsidR="00C4454D" w:rsidRPr="00A735B4" w:rsidRDefault="00C4454D" w:rsidP="00C4454D">
            <w:pPr>
              <w:jc w:val="center"/>
              <w:rPr>
                <w:color w:val="0D0D0D" w:themeColor="text1" w:themeTint="F2"/>
              </w:rPr>
            </w:pPr>
            <w:r w:rsidRPr="00A735B4">
              <w:rPr>
                <w:color w:val="0D0D0D" w:themeColor="text1" w:themeTint="F2"/>
              </w:rPr>
              <w:t>0</w:t>
            </w:r>
          </w:p>
        </w:tc>
        <w:tc>
          <w:tcPr>
            <w:tcW w:w="992" w:type="dxa"/>
          </w:tcPr>
          <w:p w14:paraId="2770FB31" w14:textId="74CF4F56" w:rsidR="00C4454D" w:rsidRPr="00A735B4" w:rsidRDefault="00C4454D" w:rsidP="00C4454D">
            <w:pPr>
              <w:jc w:val="center"/>
              <w:rPr>
                <w:color w:val="0D0D0D" w:themeColor="text1" w:themeTint="F2"/>
              </w:rPr>
            </w:pPr>
            <w:r w:rsidRPr="00A735B4">
              <w:rPr>
                <w:color w:val="0D0D0D" w:themeColor="text1" w:themeTint="F2"/>
              </w:rPr>
              <w:t>0</w:t>
            </w:r>
          </w:p>
        </w:tc>
        <w:tc>
          <w:tcPr>
            <w:tcW w:w="1418" w:type="dxa"/>
            <w:noWrap/>
          </w:tcPr>
          <w:p w14:paraId="34614E0F" w14:textId="5023837D" w:rsidR="00C4454D" w:rsidRPr="00A735B4" w:rsidRDefault="00C4454D" w:rsidP="00C4454D">
            <w:pPr>
              <w:jc w:val="center"/>
              <w:rPr>
                <w:color w:val="0D0D0D" w:themeColor="text1" w:themeTint="F2"/>
              </w:rPr>
            </w:pPr>
            <w:r w:rsidRPr="00A735B4">
              <w:rPr>
                <w:color w:val="0D0D0D" w:themeColor="text1" w:themeTint="F2"/>
              </w:rPr>
              <w:t>37</w:t>
            </w:r>
          </w:p>
        </w:tc>
      </w:tr>
      <w:tr w:rsidR="00C4454D" w:rsidRPr="00A735B4" w14:paraId="78330F50" w14:textId="77777777" w:rsidTr="00C4454D">
        <w:trPr>
          <w:trHeight w:hRule="exact" w:val="417"/>
        </w:trPr>
        <w:tc>
          <w:tcPr>
            <w:tcW w:w="2235" w:type="dxa"/>
            <w:noWrap/>
            <w:hideMark/>
          </w:tcPr>
          <w:p w14:paraId="54C7ECC1" w14:textId="77777777" w:rsidR="00C4454D" w:rsidRPr="00A735B4" w:rsidRDefault="00C4454D" w:rsidP="00C4454D">
            <w:pPr>
              <w:rPr>
                <w:b/>
                <w:color w:val="0D0D0D" w:themeColor="text1" w:themeTint="F2"/>
              </w:rPr>
            </w:pPr>
            <w:r w:rsidRPr="00A735B4">
              <w:rPr>
                <w:b/>
                <w:bCs/>
                <w:color w:val="0D0D0D" w:themeColor="text1" w:themeTint="F2"/>
              </w:rPr>
              <w:t>Funeral</w:t>
            </w:r>
          </w:p>
        </w:tc>
        <w:tc>
          <w:tcPr>
            <w:tcW w:w="850" w:type="dxa"/>
            <w:noWrap/>
          </w:tcPr>
          <w:p w14:paraId="14D28C85" w14:textId="7D7825F4" w:rsidR="00C4454D" w:rsidRPr="00A735B4" w:rsidRDefault="00C4454D" w:rsidP="00C4454D">
            <w:pPr>
              <w:jc w:val="center"/>
              <w:rPr>
                <w:color w:val="0D0D0D" w:themeColor="text1" w:themeTint="F2"/>
              </w:rPr>
            </w:pPr>
            <w:r w:rsidRPr="00A735B4">
              <w:rPr>
                <w:color w:val="0D0D0D" w:themeColor="text1" w:themeTint="F2"/>
              </w:rPr>
              <w:t>0</w:t>
            </w:r>
          </w:p>
        </w:tc>
        <w:tc>
          <w:tcPr>
            <w:tcW w:w="1134" w:type="dxa"/>
            <w:noWrap/>
          </w:tcPr>
          <w:p w14:paraId="6C658D13" w14:textId="0554EFCA" w:rsidR="00C4454D" w:rsidRPr="00A735B4" w:rsidRDefault="00C4454D" w:rsidP="00C4454D">
            <w:pPr>
              <w:jc w:val="center"/>
              <w:rPr>
                <w:color w:val="0D0D0D" w:themeColor="text1" w:themeTint="F2"/>
              </w:rPr>
            </w:pPr>
            <w:r w:rsidRPr="00A735B4">
              <w:rPr>
                <w:color w:val="0D0D0D" w:themeColor="text1" w:themeTint="F2"/>
              </w:rPr>
              <w:t>43</w:t>
            </w:r>
          </w:p>
        </w:tc>
        <w:tc>
          <w:tcPr>
            <w:tcW w:w="970" w:type="dxa"/>
            <w:noWrap/>
          </w:tcPr>
          <w:p w14:paraId="0EE20C0A" w14:textId="267FCC76" w:rsidR="00C4454D" w:rsidRPr="00A735B4" w:rsidRDefault="00C4454D" w:rsidP="00C4454D">
            <w:pPr>
              <w:jc w:val="center"/>
              <w:rPr>
                <w:color w:val="0D0D0D" w:themeColor="text1" w:themeTint="F2"/>
              </w:rPr>
            </w:pPr>
            <w:r w:rsidRPr="00A735B4">
              <w:rPr>
                <w:color w:val="0D0D0D" w:themeColor="text1" w:themeTint="F2"/>
              </w:rPr>
              <w:t>13</w:t>
            </w:r>
          </w:p>
        </w:tc>
        <w:tc>
          <w:tcPr>
            <w:tcW w:w="1014" w:type="dxa"/>
          </w:tcPr>
          <w:p w14:paraId="10F4921C" w14:textId="0FD38790" w:rsidR="00C4454D" w:rsidRPr="00A735B4" w:rsidRDefault="00C4454D" w:rsidP="00C4454D">
            <w:pPr>
              <w:jc w:val="center"/>
              <w:rPr>
                <w:color w:val="0D0D0D" w:themeColor="text1" w:themeTint="F2"/>
              </w:rPr>
            </w:pPr>
            <w:r w:rsidRPr="00A735B4">
              <w:rPr>
                <w:color w:val="0D0D0D" w:themeColor="text1" w:themeTint="F2"/>
              </w:rPr>
              <w:t>25</w:t>
            </w:r>
          </w:p>
        </w:tc>
        <w:tc>
          <w:tcPr>
            <w:tcW w:w="993" w:type="dxa"/>
          </w:tcPr>
          <w:p w14:paraId="1195F1AD" w14:textId="410457BC" w:rsidR="00C4454D" w:rsidRPr="00A735B4" w:rsidRDefault="00C4454D" w:rsidP="00C4454D">
            <w:pPr>
              <w:jc w:val="center"/>
              <w:rPr>
                <w:color w:val="0D0D0D" w:themeColor="text1" w:themeTint="F2"/>
              </w:rPr>
            </w:pPr>
            <w:r w:rsidRPr="00A735B4">
              <w:rPr>
                <w:color w:val="0D0D0D" w:themeColor="text1" w:themeTint="F2"/>
              </w:rPr>
              <w:t>0</w:t>
            </w:r>
          </w:p>
        </w:tc>
        <w:tc>
          <w:tcPr>
            <w:tcW w:w="992" w:type="dxa"/>
          </w:tcPr>
          <w:p w14:paraId="4065217C" w14:textId="5EA69885" w:rsidR="00C4454D" w:rsidRPr="00A735B4" w:rsidRDefault="00C4454D" w:rsidP="00C4454D">
            <w:pPr>
              <w:jc w:val="center"/>
              <w:rPr>
                <w:color w:val="0D0D0D" w:themeColor="text1" w:themeTint="F2"/>
              </w:rPr>
            </w:pPr>
            <w:r w:rsidRPr="00A735B4">
              <w:rPr>
                <w:color w:val="0D0D0D" w:themeColor="text1" w:themeTint="F2"/>
              </w:rPr>
              <w:t>14</w:t>
            </w:r>
          </w:p>
        </w:tc>
        <w:tc>
          <w:tcPr>
            <w:tcW w:w="1418" w:type="dxa"/>
            <w:noWrap/>
          </w:tcPr>
          <w:p w14:paraId="02C26F43" w14:textId="3835FC43" w:rsidR="00C4454D" w:rsidRPr="00A735B4" w:rsidRDefault="00C4454D" w:rsidP="00C4454D">
            <w:pPr>
              <w:jc w:val="center"/>
              <w:rPr>
                <w:color w:val="0D0D0D" w:themeColor="text1" w:themeTint="F2"/>
              </w:rPr>
            </w:pPr>
            <w:r w:rsidRPr="00A735B4">
              <w:rPr>
                <w:color w:val="0D0D0D" w:themeColor="text1" w:themeTint="F2"/>
              </w:rPr>
              <w:t>16</w:t>
            </w:r>
          </w:p>
        </w:tc>
      </w:tr>
      <w:tr w:rsidR="00C4454D" w:rsidRPr="00A735B4" w14:paraId="74A260AF" w14:textId="77777777" w:rsidTr="00C4454D">
        <w:trPr>
          <w:trHeight w:hRule="exact" w:val="438"/>
        </w:trPr>
        <w:tc>
          <w:tcPr>
            <w:tcW w:w="2235" w:type="dxa"/>
            <w:noWrap/>
            <w:hideMark/>
          </w:tcPr>
          <w:p w14:paraId="59DF762F" w14:textId="0A1B56EF" w:rsidR="00C4454D" w:rsidRPr="00A735B4" w:rsidRDefault="00C4454D" w:rsidP="00C4454D">
            <w:pPr>
              <w:rPr>
                <w:b/>
                <w:color w:val="0D0D0D" w:themeColor="text1" w:themeTint="F2"/>
              </w:rPr>
            </w:pPr>
            <w:r w:rsidRPr="00A735B4">
              <w:rPr>
                <w:b/>
                <w:bCs/>
                <w:color w:val="0D0D0D" w:themeColor="text1" w:themeTint="F2"/>
              </w:rPr>
              <w:t>Group accident</w:t>
            </w:r>
          </w:p>
        </w:tc>
        <w:tc>
          <w:tcPr>
            <w:tcW w:w="850" w:type="dxa"/>
            <w:noWrap/>
          </w:tcPr>
          <w:p w14:paraId="6CC5DF3C" w14:textId="55E2B1F7" w:rsidR="00C4454D" w:rsidRPr="00A735B4" w:rsidRDefault="00C4454D" w:rsidP="00C4454D">
            <w:pPr>
              <w:jc w:val="center"/>
              <w:rPr>
                <w:color w:val="0D0D0D" w:themeColor="text1" w:themeTint="F2"/>
              </w:rPr>
            </w:pPr>
            <w:r w:rsidRPr="00A735B4">
              <w:rPr>
                <w:color w:val="0D0D0D" w:themeColor="text1" w:themeTint="F2"/>
              </w:rPr>
              <w:t>80</w:t>
            </w:r>
          </w:p>
        </w:tc>
        <w:tc>
          <w:tcPr>
            <w:tcW w:w="1134" w:type="dxa"/>
            <w:noWrap/>
          </w:tcPr>
          <w:p w14:paraId="7E11EBCA" w14:textId="74D231D6" w:rsidR="00C4454D" w:rsidRPr="00A735B4" w:rsidRDefault="00C4454D" w:rsidP="00C4454D">
            <w:pPr>
              <w:jc w:val="center"/>
              <w:rPr>
                <w:color w:val="0D0D0D" w:themeColor="text1" w:themeTint="F2"/>
              </w:rPr>
            </w:pPr>
            <w:r w:rsidRPr="00A735B4">
              <w:rPr>
                <w:color w:val="0D0D0D" w:themeColor="text1" w:themeTint="F2"/>
              </w:rPr>
              <w:t>86</w:t>
            </w:r>
          </w:p>
        </w:tc>
        <w:tc>
          <w:tcPr>
            <w:tcW w:w="970" w:type="dxa"/>
            <w:noWrap/>
          </w:tcPr>
          <w:p w14:paraId="108FB346" w14:textId="3ECEC82B" w:rsidR="00C4454D" w:rsidRPr="00A735B4" w:rsidRDefault="00C4454D" w:rsidP="00C4454D">
            <w:pPr>
              <w:jc w:val="center"/>
              <w:rPr>
                <w:color w:val="0D0D0D" w:themeColor="text1" w:themeTint="F2"/>
              </w:rPr>
            </w:pPr>
            <w:r w:rsidRPr="00A735B4">
              <w:rPr>
                <w:color w:val="0D0D0D" w:themeColor="text1" w:themeTint="F2"/>
              </w:rPr>
              <w:t>75</w:t>
            </w:r>
          </w:p>
        </w:tc>
        <w:tc>
          <w:tcPr>
            <w:tcW w:w="1014" w:type="dxa"/>
          </w:tcPr>
          <w:p w14:paraId="73DD46E3" w14:textId="1DE1E2FA" w:rsidR="00C4454D" w:rsidRPr="00A735B4" w:rsidRDefault="00C4454D" w:rsidP="00C4454D">
            <w:pPr>
              <w:jc w:val="center"/>
              <w:rPr>
                <w:color w:val="0D0D0D" w:themeColor="text1" w:themeTint="F2"/>
              </w:rPr>
            </w:pPr>
            <w:r w:rsidRPr="00A735B4">
              <w:rPr>
                <w:color w:val="0D0D0D" w:themeColor="text1" w:themeTint="F2"/>
              </w:rPr>
              <w:t>63</w:t>
            </w:r>
          </w:p>
        </w:tc>
        <w:tc>
          <w:tcPr>
            <w:tcW w:w="993" w:type="dxa"/>
          </w:tcPr>
          <w:p w14:paraId="0AF57717" w14:textId="7DCD63FD" w:rsidR="00C4454D" w:rsidRPr="00A735B4" w:rsidRDefault="00C4454D" w:rsidP="00C4454D">
            <w:pPr>
              <w:jc w:val="center"/>
              <w:rPr>
                <w:color w:val="0D0D0D" w:themeColor="text1" w:themeTint="F2"/>
              </w:rPr>
            </w:pPr>
            <w:r w:rsidRPr="00A735B4">
              <w:rPr>
                <w:color w:val="0D0D0D" w:themeColor="text1" w:themeTint="F2"/>
              </w:rPr>
              <w:t>83</w:t>
            </w:r>
          </w:p>
        </w:tc>
        <w:tc>
          <w:tcPr>
            <w:tcW w:w="992" w:type="dxa"/>
          </w:tcPr>
          <w:p w14:paraId="05E67451" w14:textId="4B81D293" w:rsidR="00C4454D" w:rsidRPr="00A735B4" w:rsidRDefault="00C4454D" w:rsidP="00C4454D">
            <w:pPr>
              <w:jc w:val="center"/>
              <w:rPr>
                <w:color w:val="0D0D0D" w:themeColor="text1" w:themeTint="F2"/>
              </w:rPr>
            </w:pPr>
            <w:r w:rsidRPr="00A735B4">
              <w:rPr>
                <w:color w:val="0D0D0D" w:themeColor="text1" w:themeTint="F2"/>
              </w:rPr>
              <w:t>71</w:t>
            </w:r>
          </w:p>
        </w:tc>
        <w:tc>
          <w:tcPr>
            <w:tcW w:w="1418" w:type="dxa"/>
            <w:noWrap/>
          </w:tcPr>
          <w:p w14:paraId="7508FB6C" w14:textId="4E78405F" w:rsidR="00C4454D" w:rsidRPr="00A735B4" w:rsidRDefault="00C4454D" w:rsidP="00C4454D">
            <w:pPr>
              <w:jc w:val="center"/>
              <w:rPr>
                <w:color w:val="0D0D0D" w:themeColor="text1" w:themeTint="F2"/>
              </w:rPr>
            </w:pPr>
            <w:r w:rsidRPr="00A735B4">
              <w:rPr>
                <w:color w:val="0D0D0D" w:themeColor="text1" w:themeTint="F2"/>
              </w:rPr>
              <w:t>76</w:t>
            </w:r>
          </w:p>
        </w:tc>
      </w:tr>
      <w:tr w:rsidR="00C4454D" w:rsidRPr="00A735B4" w14:paraId="7A101AC0" w14:textId="77777777" w:rsidTr="00C4454D">
        <w:trPr>
          <w:trHeight w:hRule="exact" w:val="416"/>
        </w:trPr>
        <w:tc>
          <w:tcPr>
            <w:tcW w:w="2235" w:type="dxa"/>
            <w:noWrap/>
            <w:hideMark/>
          </w:tcPr>
          <w:p w14:paraId="1463FC8F" w14:textId="77777777" w:rsidR="00C4454D" w:rsidRPr="00A735B4" w:rsidRDefault="00C4454D" w:rsidP="00C4454D">
            <w:pPr>
              <w:rPr>
                <w:b/>
                <w:color w:val="0D0D0D" w:themeColor="text1" w:themeTint="F2"/>
              </w:rPr>
            </w:pPr>
            <w:r w:rsidRPr="00A735B4">
              <w:rPr>
                <w:b/>
                <w:bCs/>
                <w:color w:val="0D0D0D" w:themeColor="text1" w:themeTint="F2"/>
              </w:rPr>
              <w:t>Property</w:t>
            </w:r>
          </w:p>
        </w:tc>
        <w:tc>
          <w:tcPr>
            <w:tcW w:w="850" w:type="dxa"/>
            <w:noWrap/>
          </w:tcPr>
          <w:p w14:paraId="5ADCAB7A" w14:textId="764A56B9" w:rsidR="00C4454D" w:rsidRPr="00A735B4" w:rsidRDefault="00C4454D" w:rsidP="00C4454D">
            <w:pPr>
              <w:jc w:val="center"/>
              <w:rPr>
                <w:color w:val="0D0D0D" w:themeColor="text1" w:themeTint="F2"/>
              </w:rPr>
            </w:pPr>
            <w:r w:rsidRPr="00A735B4">
              <w:rPr>
                <w:color w:val="0D0D0D" w:themeColor="text1" w:themeTint="F2"/>
              </w:rPr>
              <w:t>80</w:t>
            </w:r>
          </w:p>
        </w:tc>
        <w:tc>
          <w:tcPr>
            <w:tcW w:w="1134" w:type="dxa"/>
            <w:noWrap/>
          </w:tcPr>
          <w:p w14:paraId="5EAB43A1" w14:textId="1CEDEBB9" w:rsidR="00C4454D" w:rsidRPr="00A735B4" w:rsidRDefault="00C4454D" w:rsidP="00C4454D">
            <w:pPr>
              <w:jc w:val="center"/>
              <w:rPr>
                <w:color w:val="0D0D0D" w:themeColor="text1" w:themeTint="F2"/>
              </w:rPr>
            </w:pPr>
            <w:r w:rsidRPr="00A735B4">
              <w:rPr>
                <w:color w:val="0D0D0D" w:themeColor="text1" w:themeTint="F2"/>
              </w:rPr>
              <w:t>71</w:t>
            </w:r>
          </w:p>
        </w:tc>
        <w:tc>
          <w:tcPr>
            <w:tcW w:w="970" w:type="dxa"/>
            <w:noWrap/>
          </w:tcPr>
          <w:p w14:paraId="6B4E6F4C" w14:textId="6E78DD10" w:rsidR="00C4454D" w:rsidRPr="00A735B4" w:rsidRDefault="00C4454D" w:rsidP="00C4454D">
            <w:pPr>
              <w:jc w:val="center"/>
              <w:rPr>
                <w:color w:val="0D0D0D" w:themeColor="text1" w:themeTint="F2"/>
              </w:rPr>
            </w:pPr>
            <w:r w:rsidRPr="00A735B4">
              <w:rPr>
                <w:color w:val="0D0D0D" w:themeColor="text1" w:themeTint="F2"/>
              </w:rPr>
              <w:t>50</w:t>
            </w:r>
          </w:p>
        </w:tc>
        <w:tc>
          <w:tcPr>
            <w:tcW w:w="1014" w:type="dxa"/>
          </w:tcPr>
          <w:p w14:paraId="3B10A175" w14:textId="2DC5AC3E" w:rsidR="00C4454D" w:rsidRPr="00A735B4" w:rsidRDefault="00C4454D" w:rsidP="00C4454D">
            <w:pPr>
              <w:jc w:val="center"/>
              <w:rPr>
                <w:color w:val="0D0D0D" w:themeColor="text1" w:themeTint="F2"/>
              </w:rPr>
            </w:pPr>
            <w:r w:rsidRPr="00A735B4">
              <w:rPr>
                <w:color w:val="0D0D0D" w:themeColor="text1" w:themeTint="F2"/>
              </w:rPr>
              <w:t>75</w:t>
            </w:r>
          </w:p>
        </w:tc>
        <w:tc>
          <w:tcPr>
            <w:tcW w:w="993" w:type="dxa"/>
          </w:tcPr>
          <w:p w14:paraId="080EE03F" w14:textId="136DA310" w:rsidR="00C4454D" w:rsidRPr="00A735B4" w:rsidRDefault="00C4454D" w:rsidP="00C4454D">
            <w:pPr>
              <w:jc w:val="center"/>
              <w:rPr>
                <w:color w:val="0D0D0D" w:themeColor="text1" w:themeTint="F2"/>
              </w:rPr>
            </w:pPr>
            <w:r w:rsidRPr="00A735B4">
              <w:rPr>
                <w:color w:val="0D0D0D" w:themeColor="text1" w:themeTint="F2"/>
              </w:rPr>
              <w:t>67</w:t>
            </w:r>
          </w:p>
        </w:tc>
        <w:tc>
          <w:tcPr>
            <w:tcW w:w="992" w:type="dxa"/>
          </w:tcPr>
          <w:p w14:paraId="3DBD8317" w14:textId="70155CCC" w:rsidR="00C4454D" w:rsidRPr="00A735B4" w:rsidRDefault="00C4454D" w:rsidP="00C4454D">
            <w:pPr>
              <w:jc w:val="center"/>
              <w:rPr>
                <w:color w:val="0D0D0D" w:themeColor="text1" w:themeTint="F2"/>
              </w:rPr>
            </w:pPr>
            <w:r w:rsidRPr="00A735B4">
              <w:rPr>
                <w:color w:val="0D0D0D" w:themeColor="text1" w:themeTint="F2"/>
              </w:rPr>
              <w:t>57</w:t>
            </w:r>
          </w:p>
        </w:tc>
        <w:tc>
          <w:tcPr>
            <w:tcW w:w="1418" w:type="dxa"/>
            <w:noWrap/>
          </w:tcPr>
          <w:p w14:paraId="2A5AD7A8" w14:textId="7E9602F4" w:rsidR="00C4454D" w:rsidRPr="00A735B4" w:rsidRDefault="00C4454D" w:rsidP="00C4454D">
            <w:pPr>
              <w:jc w:val="center"/>
              <w:rPr>
                <w:color w:val="0D0D0D" w:themeColor="text1" w:themeTint="F2"/>
              </w:rPr>
            </w:pPr>
            <w:r w:rsidRPr="00A735B4">
              <w:rPr>
                <w:color w:val="0D0D0D" w:themeColor="text1" w:themeTint="F2"/>
              </w:rPr>
              <w:t>67</w:t>
            </w:r>
          </w:p>
        </w:tc>
      </w:tr>
      <w:tr w:rsidR="00C4454D" w:rsidRPr="00A735B4" w14:paraId="63C7B5E7" w14:textId="77777777" w:rsidTr="00C4454D">
        <w:trPr>
          <w:trHeight w:hRule="exact" w:val="435"/>
        </w:trPr>
        <w:tc>
          <w:tcPr>
            <w:tcW w:w="2235" w:type="dxa"/>
            <w:noWrap/>
            <w:hideMark/>
          </w:tcPr>
          <w:p w14:paraId="56DF25F8" w14:textId="77777777" w:rsidR="00C4454D" w:rsidRPr="00A735B4" w:rsidRDefault="00C4454D" w:rsidP="00C4454D">
            <w:pPr>
              <w:rPr>
                <w:b/>
                <w:color w:val="0D0D0D" w:themeColor="text1" w:themeTint="F2"/>
              </w:rPr>
            </w:pPr>
            <w:r w:rsidRPr="00A735B4">
              <w:rPr>
                <w:b/>
                <w:bCs/>
                <w:color w:val="0D0D0D" w:themeColor="text1" w:themeTint="F2"/>
              </w:rPr>
              <w:t>Credit</w:t>
            </w:r>
          </w:p>
        </w:tc>
        <w:tc>
          <w:tcPr>
            <w:tcW w:w="850" w:type="dxa"/>
            <w:noWrap/>
          </w:tcPr>
          <w:p w14:paraId="49C07C6D" w14:textId="5BFC4CCA" w:rsidR="00C4454D" w:rsidRPr="00A735B4" w:rsidRDefault="00C4454D" w:rsidP="00C4454D">
            <w:pPr>
              <w:jc w:val="center"/>
              <w:rPr>
                <w:color w:val="0D0D0D" w:themeColor="text1" w:themeTint="F2"/>
              </w:rPr>
            </w:pPr>
            <w:r w:rsidRPr="00A735B4">
              <w:rPr>
                <w:color w:val="0D0D0D" w:themeColor="text1" w:themeTint="F2"/>
              </w:rPr>
              <w:t>20</w:t>
            </w:r>
          </w:p>
        </w:tc>
        <w:tc>
          <w:tcPr>
            <w:tcW w:w="1134" w:type="dxa"/>
            <w:noWrap/>
          </w:tcPr>
          <w:p w14:paraId="7872398F" w14:textId="791ACEDA" w:rsidR="00C4454D" w:rsidRPr="00A735B4" w:rsidRDefault="00C4454D" w:rsidP="00C4454D">
            <w:pPr>
              <w:jc w:val="center"/>
              <w:rPr>
                <w:color w:val="0D0D0D" w:themeColor="text1" w:themeTint="F2"/>
              </w:rPr>
            </w:pPr>
            <w:r w:rsidRPr="00A735B4">
              <w:rPr>
                <w:color w:val="0D0D0D" w:themeColor="text1" w:themeTint="F2"/>
              </w:rPr>
              <w:t>14</w:t>
            </w:r>
          </w:p>
        </w:tc>
        <w:tc>
          <w:tcPr>
            <w:tcW w:w="970" w:type="dxa"/>
            <w:noWrap/>
          </w:tcPr>
          <w:p w14:paraId="51172C97" w14:textId="147E6980" w:rsidR="00C4454D" w:rsidRPr="00A735B4" w:rsidRDefault="00C4454D" w:rsidP="00C4454D">
            <w:pPr>
              <w:jc w:val="center"/>
              <w:rPr>
                <w:color w:val="0D0D0D" w:themeColor="text1" w:themeTint="F2"/>
              </w:rPr>
            </w:pPr>
            <w:r w:rsidRPr="00A735B4">
              <w:rPr>
                <w:color w:val="0D0D0D" w:themeColor="text1" w:themeTint="F2"/>
              </w:rPr>
              <w:t>50</w:t>
            </w:r>
          </w:p>
        </w:tc>
        <w:tc>
          <w:tcPr>
            <w:tcW w:w="1014" w:type="dxa"/>
          </w:tcPr>
          <w:p w14:paraId="011690A0" w14:textId="50A200FB" w:rsidR="00C4454D" w:rsidRPr="00A735B4" w:rsidRDefault="00C4454D" w:rsidP="00C4454D">
            <w:pPr>
              <w:jc w:val="center"/>
              <w:rPr>
                <w:color w:val="0D0D0D" w:themeColor="text1" w:themeTint="F2"/>
              </w:rPr>
            </w:pPr>
            <w:r w:rsidRPr="00A735B4">
              <w:rPr>
                <w:color w:val="0D0D0D" w:themeColor="text1" w:themeTint="F2"/>
              </w:rPr>
              <w:t>63</w:t>
            </w:r>
          </w:p>
        </w:tc>
        <w:tc>
          <w:tcPr>
            <w:tcW w:w="993" w:type="dxa"/>
          </w:tcPr>
          <w:p w14:paraId="59B6EF97" w14:textId="720C80D6" w:rsidR="00C4454D" w:rsidRPr="00A735B4" w:rsidRDefault="00C4454D" w:rsidP="00C4454D">
            <w:pPr>
              <w:jc w:val="center"/>
              <w:rPr>
                <w:color w:val="0D0D0D" w:themeColor="text1" w:themeTint="F2"/>
              </w:rPr>
            </w:pPr>
            <w:r w:rsidRPr="00A735B4">
              <w:rPr>
                <w:color w:val="0D0D0D" w:themeColor="text1" w:themeTint="F2"/>
              </w:rPr>
              <w:t>17</w:t>
            </w:r>
          </w:p>
        </w:tc>
        <w:tc>
          <w:tcPr>
            <w:tcW w:w="992" w:type="dxa"/>
          </w:tcPr>
          <w:p w14:paraId="5A1246CD" w14:textId="64B781E8" w:rsidR="00C4454D" w:rsidRPr="00A735B4" w:rsidRDefault="00C4454D" w:rsidP="00C4454D">
            <w:pPr>
              <w:jc w:val="center"/>
              <w:rPr>
                <w:color w:val="0D0D0D" w:themeColor="text1" w:themeTint="F2"/>
              </w:rPr>
            </w:pPr>
            <w:r w:rsidRPr="00A735B4">
              <w:rPr>
                <w:color w:val="0D0D0D" w:themeColor="text1" w:themeTint="F2"/>
              </w:rPr>
              <w:t>14</w:t>
            </w:r>
          </w:p>
        </w:tc>
        <w:tc>
          <w:tcPr>
            <w:tcW w:w="1418" w:type="dxa"/>
            <w:noWrap/>
          </w:tcPr>
          <w:p w14:paraId="0A330EB4" w14:textId="6EFF9E56" w:rsidR="00C4454D" w:rsidRPr="00A735B4" w:rsidRDefault="00C4454D" w:rsidP="00C4454D">
            <w:pPr>
              <w:jc w:val="center"/>
              <w:rPr>
                <w:color w:val="0D0D0D" w:themeColor="text1" w:themeTint="F2"/>
              </w:rPr>
            </w:pPr>
            <w:r w:rsidRPr="00A735B4">
              <w:rPr>
                <w:color w:val="0D0D0D" w:themeColor="text1" w:themeTint="F2"/>
              </w:rPr>
              <w:t>30</w:t>
            </w:r>
          </w:p>
        </w:tc>
      </w:tr>
      <w:tr w:rsidR="00C4454D" w:rsidRPr="00A735B4" w14:paraId="3ADD1CFB" w14:textId="77777777" w:rsidTr="00C4454D">
        <w:trPr>
          <w:trHeight w:hRule="exact" w:val="413"/>
        </w:trPr>
        <w:tc>
          <w:tcPr>
            <w:tcW w:w="2235" w:type="dxa"/>
            <w:noWrap/>
            <w:hideMark/>
          </w:tcPr>
          <w:p w14:paraId="7F9A46B1" w14:textId="77777777" w:rsidR="00C4454D" w:rsidRPr="00A735B4" w:rsidRDefault="00C4454D" w:rsidP="00C4454D">
            <w:pPr>
              <w:rPr>
                <w:b/>
                <w:color w:val="0D0D0D" w:themeColor="text1" w:themeTint="F2"/>
              </w:rPr>
            </w:pPr>
            <w:r w:rsidRPr="00A735B4">
              <w:rPr>
                <w:b/>
                <w:bCs/>
                <w:color w:val="0D0D0D" w:themeColor="text1" w:themeTint="F2"/>
              </w:rPr>
              <w:t>Automotive</w:t>
            </w:r>
          </w:p>
        </w:tc>
        <w:tc>
          <w:tcPr>
            <w:tcW w:w="850" w:type="dxa"/>
            <w:noWrap/>
          </w:tcPr>
          <w:p w14:paraId="5C96E418" w14:textId="5F6A2926" w:rsidR="00C4454D" w:rsidRPr="00A735B4" w:rsidRDefault="00C4454D" w:rsidP="00C4454D">
            <w:pPr>
              <w:jc w:val="center"/>
              <w:rPr>
                <w:color w:val="0D0D0D" w:themeColor="text1" w:themeTint="F2"/>
              </w:rPr>
            </w:pPr>
            <w:r w:rsidRPr="00A735B4">
              <w:rPr>
                <w:color w:val="0D0D0D" w:themeColor="text1" w:themeTint="F2"/>
              </w:rPr>
              <w:t>100</w:t>
            </w:r>
          </w:p>
        </w:tc>
        <w:tc>
          <w:tcPr>
            <w:tcW w:w="1134" w:type="dxa"/>
            <w:noWrap/>
          </w:tcPr>
          <w:p w14:paraId="23B946DC" w14:textId="06B983D4" w:rsidR="00C4454D" w:rsidRPr="00A735B4" w:rsidRDefault="00C4454D" w:rsidP="00C4454D">
            <w:pPr>
              <w:jc w:val="center"/>
              <w:rPr>
                <w:color w:val="0D0D0D" w:themeColor="text1" w:themeTint="F2"/>
              </w:rPr>
            </w:pPr>
            <w:r w:rsidRPr="00A735B4">
              <w:rPr>
                <w:color w:val="0D0D0D" w:themeColor="text1" w:themeTint="F2"/>
              </w:rPr>
              <w:t>57</w:t>
            </w:r>
          </w:p>
        </w:tc>
        <w:tc>
          <w:tcPr>
            <w:tcW w:w="970" w:type="dxa"/>
            <w:noWrap/>
          </w:tcPr>
          <w:p w14:paraId="15E02D1B" w14:textId="16031A82" w:rsidR="00C4454D" w:rsidRPr="00A735B4" w:rsidRDefault="00C4454D" w:rsidP="00C4454D">
            <w:pPr>
              <w:jc w:val="center"/>
              <w:rPr>
                <w:color w:val="0D0D0D" w:themeColor="text1" w:themeTint="F2"/>
              </w:rPr>
            </w:pPr>
            <w:r w:rsidRPr="00A735B4">
              <w:rPr>
                <w:color w:val="0D0D0D" w:themeColor="text1" w:themeTint="F2"/>
              </w:rPr>
              <w:t>50</w:t>
            </w:r>
          </w:p>
        </w:tc>
        <w:tc>
          <w:tcPr>
            <w:tcW w:w="1014" w:type="dxa"/>
          </w:tcPr>
          <w:p w14:paraId="542F2DB7" w14:textId="101CB370" w:rsidR="00C4454D" w:rsidRPr="00A735B4" w:rsidRDefault="00C4454D" w:rsidP="00C4454D">
            <w:pPr>
              <w:jc w:val="center"/>
              <w:rPr>
                <w:color w:val="0D0D0D" w:themeColor="text1" w:themeTint="F2"/>
              </w:rPr>
            </w:pPr>
            <w:r w:rsidRPr="00A735B4">
              <w:rPr>
                <w:color w:val="0D0D0D" w:themeColor="text1" w:themeTint="F2"/>
              </w:rPr>
              <w:t>75</w:t>
            </w:r>
          </w:p>
        </w:tc>
        <w:tc>
          <w:tcPr>
            <w:tcW w:w="993" w:type="dxa"/>
          </w:tcPr>
          <w:p w14:paraId="30F99535" w14:textId="381C8ABB" w:rsidR="00C4454D" w:rsidRPr="00A735B4" w:rsidRDefault="00C4454D" w:rsidP="00C4454D">
            <w:pPr>
              <w:jc w:val="center"/>
              <w:rPr>
                <w:color w:val="0D0D0D" w:themeColor="text1" w:themeTint="F2"/>
              </w:rPr>
            </w:pPr>
            <w:r w:rsidRPr="00A735B4">
              <w:rPr>
                <w:color w:val="0D0D0D" w:themeColor="text1" w:themeTint="F2"/>
              </w:rPr>
              <w:t>33</w:t>
            </w:r>
          </w:p>
        </w:tc>
        <w:tc>
          <w:tcPr>
            <w:tcW w:w="992" w:type="dxa"/>
          </w:tcPr>
          <w:p w14:paraId="71DDCFEB" w14:textId="3A0306DE" w:rsidR="00C4454D" w:rsidRPr="00A735B4" w:rsidRDefault="00C4454D" w:rsidP="00C4454D">
            <w:pPr>
              <w:jc w:val="center"/>
              <w:rPr>
                <w:color w:val="0D0D0D" w:themeColor="text1" w:themeTint="F2"/>
              </w:rPr>
            </w:pPr>
            <w:r w:rsidRPr="00A735B4">
              <w:rPr>
                <w:color w:val="0D0D0D" w:themeColor="text1" w:themeTint="F2"/>
              </w:rPr>
              <w:t>71</w:t>
            </w:r>
          </w:p>
        </w:tc>
        <w:tc>
          <w:tcPr>
            <w:tcW w:w="1418" w:type="dxa"/>
            <w:noWrap/>
          </w:tcPr>
          <w:p w14:paraId="657E5704" w14:textId="212B51CF" w:rsidR="00C4454D" w:rsidRPr="00A735B4" w:rsidRDefault="00C4454D" w:rsidP="00C4454D">
            <w:pPr>
              <w:jc w:val="center"/>
              <w:rPr>
                <w:color w:val="0D0D0D" w:themeColor="text1" w:themeTint="F2"/>
              </w:rPr>
            </w:pPr>
            <w:r w:rsidRPr="00A735B4">
              <w:rPr>
                <w:color w:val="0D0D0D" w:themeColor="text1" w:themeTint="F2"/>
              </w:rPr>
              <w:t>64</w:t>
            </w:r>
          </w:p>
        </w:tc>
      </w:tr>
      <w:tr w:rsidR="00C4454D" w:rsidRPr="00A735B4" w14:paraId="1DD3729A" w14:textId="77777777" w:rsidTr="00C4454D">
        <w:trPr>
          <w:trHeight w:hRule="exact" w:val="434"/>
        </w:trPr>
        <w:tc>
          <w:tcPr>
            <w:tcW w:w="2235" w:type="dxa"/>
            <w:noWrap/>
            <w:hideMark/>
          </w:tcPr>
          <w:p w14:paraId="4FAD8B92" w14:textId="77777777" w:rsidR="00C4454D" w:rsidRPr="00A735B4" w:rsidRDefault="00C4454D" w:rsidP="00C4454D">
            <w:pPr>
              <w:rPr>
                <w:b/>
                <w:color w:val="0D0D0D" w:themeColor="text1" w:themeTint="F2"/>
              </w:rPr>
            </w:pPr>
            <w:r w:rsidRPr="00A735B4">
              <w:rPr>
                <w:b/>
                <w:bCs/>
                <w:color w:val="0D0D0D" w:themeColor="text1" w:themeTint="F2"/>
              </w:rPr>
              <w:t>Liability</w:t>
            </w:r>
          </w:p>
        </w:tc>
        <w:tc>
          <w:tcPr>
            <w:tcW w:w="850" w:type="dxa"/>
            <w:noWrap/>
          </w:tcPr>
          <w:p w14:paraId="4FD03754" w14:textId="15EE3FE7" w:rsidR="00C4454D" w:rsidRPr="00A735B4" w:rsidRDefault="00C4454D" w:rsidP="00C4454D">
            <w:pPr>
              <w:jc w:val="center"/>
              <w:rPr>
                <w:color w:val="0D0D0D" w:themeColor="text1" w:themeTint="F2"/>
              </w:rPr>
            </w:pPr>
            <w:r w:rsidRPr="00A735B4">
              <w:rPr>
                <w:color w:val="0D0D0D" w:themeColor="text1" w:themeTint="F2"/>
              </w:rPr>
              <w:t>40</w:t>
            </w:r>
          </w:p>
        </w:tc>
        <w:tc>
          <w:tcPr>
            <w:tcW w:w="1134" w:type="dxa"/>
            <w:noWrap/>
          </w:tcPr>
          <w:p w14:paraId="01E782D0" w14:textId="70164241" w:rsidR="00C4454D" w:rsidRPr="00A735B4" w:rsidRDefault="00C4454D" w:rsidP="00C4454D">
            <w:pPr>
              <w:jc w:val="center"/>
              <w:rPr>
                <w:color w:val="0D0D0D" w:themeColor="text1" w:themeTint="F2"/>
              </w:rPr>
            </w:pPr>
            <w:r w:rsidRPr="00A735B4">
              <w:rPr>
                <w:color w:val="0D0D0D" w:themeColor="text1" w:themeTint="F2"/>
              </w:rPr>
              <w:t>0</w:t>
            </w:r>
          </w:p>
        </w:tc>
        <w:tc>
          <w:tcPr>
            <w:tcW w:w="970" w:type="dxa"/>
            <w:noWrap/>
          </w:tcPr>
          <w:p w14:paraId="29920B41" w14:textId="20F8A071" w:rsidR="00C4454D" w:rsidRPr="00A735B4" w:rsidRDefault="00C4454D" w:rsidP="00C4454D">
            <w:pPr>
              <w:jc w:val="center"/>
              <w:rPr>
                <w:color w:val="0D0D0D" w:themeColor="text1" w:themeTint="F2"/>
              </w:rPr>
            </w:pPr>
            <w:r w:rsidRPr="00A735B4">
              <w:rPr>
                <w:color w:val="0D0D0D" w:themeColor="text1" w:themeTint="F2"/>
              </w:rPr>
              <w:t>50</w:t>
            </w:r>
          </w:p>
        </w:tc>
        <w:tc>
          <w:tcPr>
            <w:tcW w:w="1014" w:type="dxa"/>
          </w:tcPr>
          <w:p w14:paraId="62C67E1A" w14:textId="7D2FC705" w:rsidR="00C4454D" w:rsidRPr="00A735B4" w:rsidRDefault="00C4454D" w:rsidP="00C4454D">
            <w:pPr>
              <w:jc w:val="center"/>
              <w:rPr>
                <w:color w:val="0D0D0D" w:themeColor="text1" w:themeTint="F2"/>
              </w:rPr>
            </w:pPr>
            <w:r w:rsidRPr="00A735B4">
              <w:rPr>
                <w:color w:val="0D0D0D" w:themeColor="text1" w:themeTint="F2"/>
              </w:rPr>
              <w:t>25</w:t>
            </w:r>
          </w:p>
        </w:tc>
        <w:tc>
          <w:tcPr>
            <w:tcW w:w="993" w:type="dxa"/>
          </w:tcPr>
          <w:p w14:paraId="73E092D8" w14:textId="2CF2FEF5" w:rsidR="00C4454D" w:rsidRPr="00A735B4" w:rsidRDefault="00C4454D" w:rsidP="00C4454D">
            <w:pPr>
              <w:jc w:val="center"/>
              <w:rPr>
                <w:color w:val="0D0D0D" w:themeColor="text1" w:themeTint="F2"/>
              </w:rPr>
            </w:pPr>
            <w:r w:rsidRPr="00A735B4">
              <w:rPr>
                <w:color w:val="0D0D0D" w:themeColor="text1" w:themeTint="F2"/>
              </w:rPr>
              <w:t>83</w:t>
            </w:r>
          </w:p>
        </w:tc>
        <w:tc>
          <w:tcPr>
            <w:tcW w:w="992" w:type="dxa"/>
          </w:tcPr>
          <w:p w14:paraId="096E5BC9" w14:textId="012BC577" w:rsidR="00C4454D" w:rsidRPr="00A735B4" w:rsidRDefault="00C4454D" w:rsidP="00C4454D">
            <w:pPr>
              <w:jc w:val="center"/>
              <w:rPr>
                <w:color w:val="0D0D0D" w:themeColor="text1" w:themeTint="F2"/>
              </w:rPr>
            </w:pPr>
            <w:r w:rsidRPr="00A735B4">
              <w:rPr>
                <w:color w:val="0D0D0D" w:themeColor="text1" w:themeTint="F2"/>
              </w:rPr>
              <w:t>57</w:t>
            </w:r>
          </w:p>
        </w:tc>
        <w:tc>
          <w:tcPr>
            <w:tcW w:w="1418" w:type="dxa"/>
            <w:noWrap/>
          </w:tcPr>
          <w:p w14:paraId="69C3F679" w14:textId="07430C26" w:rsidR="00C4454D" w:rsidRPr="00A735B4" w:rsidRDefault="00C4454D" w:rsidP="00C4454D">
            <w:pPr>
              <w:jc w:val="center"/>
              <w:rPr>
                <w:color w:val="0D0D0D" w:themeColor="text1" w:themeTint="F2"/>
              </w:rPr>
            </w:pPr>
            <w:r w:rsidRPr="00A735B4">
              <w:rPr>
                <w:color w:val="0D0D0D" w:themeColor="text1" w:themeTint="F2"/>
              </w:rPr>
              <w:t>43</w:t>
            </w:r>
          </w:p>
        </w:tc>
      </w:tr>
      <w:tr w:rsidR="00C4454D" w:rsidRPr="00A735B4" w14:paraId="3997AEA6" w14:textId="77777777" w:rsidTr="00C4454D">
        <w:trPr>
          <w:trHeight w:hRule="exact" w:val="412"/>
        </w:trPr>
        <w:tc>
          <w:tcPr>
            <w:tcW w:w="2235" w:type="dxa"/>
            <w:noWrap/>
            <w:hideMark/>
          </w:tcPr>
          <w:p w14:paraId="53E02DF9" w14:textId="77777777" w:rsidR="00C4454D" w:rsidRPr="00A735B4" w:rsidRDefault="00C4454D" w:rsidP="00C4454D">
            <w:pPr>
              <w:rPr>
                <w:b/>
                <w:color w:val="0D0D0D" w:themeColor="text1" w:themeTint="F2"/>
              </w:rPr>
            </w:pPr>
            <w:r w:rsidRPr="00A735B4">
              <w:rPr>
                <w:b/>
                <w:bCs/>
                <w:color w:val="0D0D0D" w:themeColor="text1" w:themeTint="F2"/>
              </w:rPr>
              <w:t>Indemnity</w:t>
            </w:r>
          </w:p>
        </w:tc>
        <w:tc>
          <w:tcPr>
            <w:tcW w:w="850" w:type="dxa"/>
            <w:noWrap/>
          </w:tcPr>
          <w:p w14:paraId="5A5093DB" w14:textId="3235BDD6" w:rsidR="00C4454D" w:rsidRPr="00A735B4" w:rsidRDefault="00C4454D" w:rsidP="00C4454D">
            <w:pPr>
              <w:jc w:val="center"/>
              <w:rPr>
                <w:color w:val="0D0D0D" w:themeColor="text1" w:themeTint="F2"/>
              </w:rPr>
            </w:pPr>
            <w:r w:rsidRPr="00A735B4">
              <w:rPr>
                <w:color w:val="0D0D0D" w:themeColor="text1" w:themeTint="F2"/>
              </w:rPr>
              <w:t>40</w:t>
            </w:r>
          </w:p>
        </w:tc>
        <w:tc>
          <w:tcPr>
            <w:tcW w:w="1134" w:type="dxa"/>
            <w:noWrap/>
          </w:tcPr>
          <w:p w14:paraId="60450FB3" w14:textId="52C08A47" w:rsidR="00C4454D" w:rsidRPr="00A735B4" w:rsidRDefault="00C4454D" w:rsidP="00C4454D">
            <w:pPr>
              <w:jc w:val="center"/>
              <w:rPr>
                <w:color w:val="0D0D0D" w:themeColor="text1" w:themeTint="F2"/>
              </w:rPr>
            </w:pPr>
            <w:r w:rsidRPr="00A735B4">
              <w:rPr>
                <w:color w:val="0D0D0D" w:themeColor="text1" w:themeTint="F2"/>
              </w:rPr>
              <w:t>0</w:t>
            </w:r>
          </w:p>
        </w:tc>
        <w:tc>
          <w:tcPr>
            <w:tcW w:w="970" w:type="dxa"/>
            <w:noWrap/>
          </w:tcPr>
          <w:p w14:paraId="54782962" w14:textId="3F85AB95" w:rsidR="00C4454D" w:rsidRPr="00A735B4" w:rsidRDefault="00C4454D" w:rsidP="00C4454D">
            <w:pPr>
              <w:jc w:val="center"/>
              <w:rPr>
                <w:color w:val="0D0D0D" w:themeColor="text1" w:themeTint="F2"/>
              </w:rPr>
            </w:pPr>
            <w:r w:rsidRPr="00A735B4">
              <w:rPr>
                <w:color w:val="0D0D0D" w:themeColor="text1" w:themeTint="F2"/>
              </w:rPr>
              <w:t>50</w:t>
            </w:r>
          </w:p>
        </w:tc>
        <w:tc>
          <w:tcPr>
            <w:tcW w:w="1014" w:type="dxa"/>
          </w:tcPr>
          <w:p w14:paraId="20D868E6" w14:textId="061456F0" w:rsidR="00C4454D" w:rsidRPr="00A735B4" w:rsidRDefault="00C4454D" w:rsidP="00C4454D">
            <w:pPr>
              <w:jc w:val="center"/>
              <w:rPr>
                <w:color w:val="0D0D0D" w:themeColor="text1" w:themeTint="F2"/>
              </w:rPr>
            </w:pPr>
            <w:r w:rsidRPr="00A735B4">
              <w:rPr>
                <w:color w:val="0D0D0D" w:themeColor="text1" w:themeTint="F2"/>
              </w:rPr>
              <w:t>25</w:t>
            </w:r>
          </w:p>
        </w:tc>
        <w:tc>
          <w:tcPr>
            <w:tcW w:w="993" w:type="dxa"/>
          </w:tcPr>
          <w:p w14:paraId="293D004B" w14:textId="5557E690" w:rsidR="00C4454D" w:rsidRPr="00A735B4" w:rsidRDefault="00C4454D" w:rsidP="00C4454D">
            <w:pPr>
              <w:jc w:val="center"/>
              <w:rPr>
                <w:color w:val="0D0D0D" w:themeColor="text1" w:themeTint="F2"/>
              </w:rPr>
            </w:pPr>
            <w:r w:rsidRPr="00A735B4">
              <w:rPr>
                <w:color w:val="0D0D0D" w:themeColor="text1" w:themeTint="F2"/>
              </w:rPr>
              <w:t>83</w:t>
            </w:r>
          </w:p>
        </w:tc>
        <w:tc>
          <w:tcPr>
            <w:tcW w:w="992" w:type="dxa"/>
          </w:tcPr>
          <w:p w14:paraId="244114B0" w14:textId="2835170D" w:rsidR="00C4454D" w:rsidRPr="00A735B4" w:rsidRDefault="00C4454D" w:rsidP="00C4454D">
            <w:pPr>
              <w:jc w:val="center"/>
              <w:rPr>
                <w:color w:val="0D0D0D" w:themeColor="text1" w:themeTint="F2"/>
              </w:rPr>
            </w:pPr>
            <w:r w:rsidRPr="00A735B4">
              <w:rPr>
                <w:color w:val="0D0D0D" w:themeColor="text1" w:themeTint="F2"/>
              </w:rPr>
              <w:t>29</w:t>
            </w:r>
          </w:p>
        </w:tc>
        <w:tc>
          <w:tcPr>
            <w:tcW w:w="1418" w:type="dxa"/>
            <w:noWrap/>
          </w:tcPr>
          <w:p w14:paraId="6FC37CCD" w14:textId="17C2276A" w:rsidR="00C4454D" w:rsidRPr="00A735B4" w:rsidRDefault="00C4454D" w:rsidP="00C4454D">
            <w:pPr>
              <w:jc w:val="center"/>
              <w:rPr>
                <w:color w:val="0D0D0D" w:themeColor="text1" w:themeTint="F2"/>
              </w:rPr>
            </w:pPr>
            <w:r w:rsidRPr="00A735B4">
              <w:rPr>
                <w:color w:val="0D0D0D" w:themeColor="text1" w:themeTint="F2"/>
              </w:rPr>
              <w:t>38</w:t>
            </w:r>
          </w:p>
        </w:tc>
      </w:tr>
      <w:tr w:rsidR="00C4454D" w:rsidRPr="00A735B4" w14:paraId="4E1F272D" w14:textId="77777777" w:rsidTr="00C4454D">
        <w:trPr>
          <w:trHeight w:hRule="exact" w:val="866"/>
        </w:trPr>
        <w:tc>
          <w:tcPr>
            <w:tcW w:w="2235" w:type="dxa"/>
            <w:noWrap/>
          </w:tcPr>
          <w:p w14:paraId="0B13D89F" w14:textId="0E6ED13F" w:rsidR="00C4454D" w:rsidRPr="00A735B4" w:rsidRDefault="00C4454D" w:rsidP="00C4454D">
            <w:pPr>
              <w:rPr>
                <w:b/>
                <w:color w:val="0D0D0D" w:themeColor="text1" w:themeTint="F2"/>
              </w:rPr>
            </w:pPr>
            <w:r w:rsidRPr="00A735B4">
              <w:rPr>
                <w:color w:val="0D0D0D" w:themeColor="text1" w:themeTint="F2"/>
              </w:rPr>
              <w:t>Average engagement of insurance companies by country</w:t>
            </w:r>
          </w:p>
        </w:tc>
        <w:tc>
          <w:tcPr>
            <w:tcW w:w="850" w:type="dxa"/>
            <w:noWrap/>
          </w:tcPr>
          <w:p w14:paraId="1369F5BA" w14:textId="4C5E1928" w:rsidR="00C4454D" w:rsidRPr="00A735B4" w:rsidRDefault="00C4454D" w:rsidP="00C4454D">
            <w:pPr>
              <w:jc w:val="center"/>
              <w:rPr>
                <w:color w:val="0D0D0D" w:themeColor="text1" w:themeTint="F2"/>
              </w:rPr>
            </w:pPr>
            <w:r w:rsidRPr="00A735B4">
              <w:rPr>
                <w:color w:val="0D0D0D" w:themeColor="text1" w:themeTint="F2"/>
              </w:rPr>
              <w:t>37</w:t>
            </w:r>
          </w:p>
        </w:tc>
        <w:tc>
          <w:tcPr>
            <w:tcW w:w="1134" w:type="dxa"/>
            <w:noWrap/>
          </w:tcPr>
          <w:p w14:paraId="63048941" w14:textId="50F7E102" w:rsidR="00C4454D" w:rsidRPr="00A735B4" w:rsidRDefault="00C4454D" w:rsidP="00C4454D">
            <w:pPr>
              <w:jc w:val="center"/>
              <w:rPr>
                <w:color w:val="0D0D0D" w:themeColor="text1" w:themeTint="F2"/>
              </w:rPr>
            </w:pPr>
            <w:r w:rsidRPr="00A735B4">
              <w:rPr>
                <w:color w:val="0D0D0D" w:themeColor="text1" w:themeTint="F2"/>
              </w:rPr>
              <w:t>24</w:t>
            </w:r>
          </w:p>
        </w:tc>
        <w:tc>
          <w:tcPr>
            <w:tcW w:w="970" w:type="dxa"/>
            <w:noWrap/>
          </w:tcPr>
          <w:p w14:paraId="401274A8" w14:textId="507FDC86" w:rsidR="00C4454D" w:rsidRPr="00A735B4" w:rsidRDefault="00C4454D" w:rsidP="00C4454D">
            <w:pPr>
              <w:jc w:val="center"/>
              <w:rPr>
                <w:color w:val="0D0D0D" w:themeColor="text1" w:themeTint="F2"/>
              </w:rPr>
            </w:pPr>
            <w:r w:rsidRPr="00A735B4">
              <w:rPr>
                <w:color w:val="0D0D0D" w:themeColor="text1" w:themeTint="F2"/>
              </w:rPr>
              <w:t>31</w:t>
            </w:r>
          </w:p>
        </w:tc>
        <w:tc>
          <w:tcPr>
            <w:tcW w:w="1014" w:type="dxa"/>
          </w:tcPr>
          <w:p w14:paraId="1F12160B" w14:textId="543BCF81" w:rsidR="00C4454D" w:rsidRPr="00A735B4" w:rsidRDefault="00C4454D" w:rsidP="00C4454D">
            <w:pPr>
              <w:jc w:val="center"/>
              <w:rPr>
                <w:color w:val="0D0D0D" w:themeColor="text1" w:themeTint="F2"/>
              </w:rPr>
            </w:pPr>
            <w:r w:rsidRPr="00A735B4">
              <w:rPr>
                <w:color w:val="0D0D0D" w:themeColor="text1" w:themeTint="F2"/>
              </w:rPr>
              <w:t>35</w:t>
            </w:r>
          </w:p>
        </w:tc>
        <w:tc>
          <w:tcPr>
            <w:tcW w:w="993" w:type="dxa"/>
          </w:tcPr>
          <w:p w14:paraId="13E462A4" w14:textId="15946501" w:rsidR="00C4454D" w:rsidRPr="00A735B4" w:rsidRDefault="00C4454D" w:rsidP="00C4454D">
            <w:pPr>
              <w:jc w:val="center"/>
              <w:rPr>
                <w:color w:val="0D0D0D" w:themeColor="text1" w:themeTint="F2"/>
              </w:rPr>
            </w:pPr>
            <w:r w:rsidRPr="00A735B4">
              <w:rPr>
                <w:color w:val="0D0D0D" w:themeColor="text1" w:themeTint="F2"/>
              </w:rPr>
              <w:t>33</w:t>
            </w:r>
          </w:p>
        </w:tc>
        <w:tc>
          <w:tcPr>
            <w:tcW w:w="992" w:type="dxa"/>
          </w:tcPr>
          <w:p w14:paraId="3BA8DB5C" w14:textId="78F3825E" w:rsidR="00C4454D" w:rsidRPr="00A735B4" w:rsidRDefault="00C4454D" w:rsidP="00C4454D">
            <w:pPr>
              <w:jc w:val="center"/>
              <w:rPr>
                <w:color w:val="0D0D0D" w:themeColor="text1" w:themeTint="F2"/>
              </w:rPr>
            </w:pPr>
            <w:r w:rsidRPr="00A735B4">
              <w:rPr>
                <w:color w:val="0D0D0D" w:themeColor="text1" w:themeTint="F2"/>
              </w:rPr>
              <w:t>34</w:t>
            </w:r>
          </w:p>
        </w:tc>
        <w:tc>
          <w:tcPr>
            <w:tcW w:w="1418" w:type="dxa"/>
            <w:noWrap/>
          </w:tcPr>
          <w:p w14:paraId="57F43196" w14:textId="77777777" w:rsidR="00C4454D" w:rsidRPr="00A735B4" w:rsidRDefault="00C4454D" w:rsidP="00C4454D">
            <w:pPr>
              <w:jc w:val="center"/>
              <w:rPr>
                <w:color w:val="0D0D0D" w:themeColor="text1" w:themeTint="F2"/>
              </w:rPr>
            </w:pPr>
          </w:p>
        </w:tc>
      </w:tr>
    </w:tbl>
    <w:p w14:paraId="1C2EC177" w14:textId="77777777" w:rsidR="00C4454D" w:rsidRPr="00A735B4" w:rsidRDefault="00C4454D" w:rsidP="00C4454D"/>
    <w:p w14:paraId="48C0BD15" w14:textId="4BAC826B" w:rsidR="00C4454D" w:rsidRPr="00A735B4" w:rsidRDefault="00C4454D" w:rsidP="00C4454D">
      <w:pPr>
        <w:jc w:val="both"/>
      </w:pPr>
      <w:r w:rsidRPr="00A735B4">
        <w:t xml:space="preserve">Insurance premiums are compared across providers of personal accident insurance, personal health insurance, automotive insurance, and credit insurance. Two typical agricultural insurance services were included: crops insurance and livestock insurance. The results show that the rates for personal accident insurance are reasonably consistent for most countries, except Tanzania and to some extent Zambia. There is a certain level of consistency for automotive and crop and livestock insurance rates, but the coverage for crops and livestock seems irregular (not available in Tanzania and Malawi). The rates for personal health insurance display a higher variation, probably reflecting different details of coverage provided (table C.11). </w:t>
      </w:r>
    </w:p>
    <w:p w14:paraId="2522BA14" w14:textId="77777777" w:rsidR="00C4454D" w:rsidRPr="00A735B4" w:rsidRDefault="00C4454D" w:rsidP="00C4454D"/>
    <w:p w14:paraId="404956E0" w14:textId="77777777" w:rsidR="00C4454D" w:rsidRPr="00A735B4" w:rsidRDefault="00C4454D" w:rsidP="00C4454D"/>
    <w:p w14:paraId="58969F66" w14:textId="77777777" w:rsidR="00C4454D" w:rsidRPr="00A735B4" w:rsidRDefault="00C4454D" w:rsidP="00C4454D">
      <w:pPr>
        <w:sectPr w:rsidR="00C4454D" w:rsidRPr="00A735B4" w:rsidSect="00C4454D">
          <w:pgSz w:w="11907" w:h="16839" w:code="9"/>
          <w:pgMar w:top="1629" w:right="1440" w:bottom="1170" w:left="1440" w:header="720" w:footer="580" w:gutter="0"/>
          <w:cols w:space="720"/>
          <w:docGrid w:linePitch="360"/>
        </w:sectPr>
      </w:pPr>
    </w:p>
    <w:p w14:paraId="256DE599" w14:textId="460032EF" w:rsidR="00C4454D" w:rsidRPr="00A735B4" w:rsidRDefault="00C4454D" w:rsidP="00C4454D">
      <w:pPr>
        <w:jc w:val="center"/>
        <w:rPr>
          <w:color w:val="1F497D" w:themeColor="text2"/>
        </w:rPr>
      </w:pPr>
      <w:bookmarkStart w:id="136" w:name="_Toc410823569"/>
      <w:r w:rsidRPr="00A735B4">
        <w:rPr>
          <w:color w:val="1F497D" w:themeColor="text2"/>
        </w:rPr>
        <w:lastRenderedPageBreak/>
        <w:t>Table C.11 Annual premia charged by insurance companies (US$)</w:t>
      </w:r>
      <w:bookmarkEnd w:id="136"/>
    </w:p>
    <w:tbl>
      <w:tblPr>
        <w:tblW w:w="14114" w:type="dxa"/>
        <w:tblInd w:w="10" w:type="dxa"/>
        <w:tblCellMar>
          <w:left w:w="10" w:type="dxa"/>
          <w:right w:w="10" w:type="dxa"/>
        </w:tblCellMar>
        <w:tblLook w:val="04A0" w:firstRow="1" w:lastRow="0" w:firstColumn="1" w:lastColumn="0" w:noHBand="0" w:noVBand="1"/>
      </w:tblPr>
      <w:tblGrid>
        <w:gridCol w:w="2167"/>
        <w:gridCol w:w="2024"/>
        <w:gridCol w:w="2029"/>
        <w:gridCol w:w="1879"/>
        <w:gridCol w:w="2023"/>
        <w:gridCol w:w="2019"/>
        <w:gridCol w:w="1973"/>
      </w:tblGrid>
      <w:tr w:rsidR="00C4454D" w:rsidRPr="00A735B4" w14:paraId="54DAADE7" w14:textId="77777777" w:rsidTr="00C4454D">
        <w:tc>
          <w:tcPr>
            <w:tcW w:w="2167" w:type="dxa"/>
            <w:tcBorders>
              <w:right w:val="single" w:sz="4" w:space="0" w:color="auto"/>
            </w:tcBorders>
          </w:tcPr>
          <w:p w14:paraId="040DD462" w14:textId="6654749D" w:rsidR="00C4454D" w:rsidRPr="00A735B4" w:rsidRDefault="00C4454D" w:rsidP="00C4454D">
            <w:pPr>
              <w:spacing w:before="60" w:after="60"/>
              <w:ind w:left="-44" w:firstLine="44"/>
            </w:pPr>
            <w:r w:rsidRPr="00A735B4">
              <w:t>Characteristic</w:t>
            </w:r>
          </w:p>
        </w:tc>
        <w:tc>
          <w:tcPr>
            <w:tcW w:w="2024" w:type="dxa"/>
            <w:tcBorders>
              <w:top w:val="single" w:sz="4" w:space="0" w:color="auto"/>
              <w:left w:val="single" w:sz="4" w:space="0" w:color="auto"/>
              <w:right w:val="single" w:sz="4" w:space="0" w:color="auto"/>
            </w:tcBorders>
          </w:tcPr>
          <w:p w14:paraId="2199771D" w14:textId="77777777" w:rsidR="00C4454D" w:rsidRPr="00A735B4" w:rsidRDefault="00C4454D" w:rsidP="00C4454D">
            <w:pPr>
              <w:spacing w:before="60" w:after="60"/>
              <w:ind w:left="-44" w:firstLine="44"/>
              <w:jc w:val="center"/>
            </w:pPr>
            <w:r w:rsidRPr="00A735B4">
              <w:t>Kenya</w:t>
            </w:r>
          </w:p>
        </w:tc>
        <w:tc>
          <w:tcPr>
            <w:tcW w:w="2029" w:type="dxa"/>
            <w:tcBorders>
              <w:top w:val="single" w:sz="4" w:space="0" w:color="auto"/>
              <w:left w:val="single" w:sz="4" w:space="0" w:color="auto"/>
              <w:right w:val="single" w:sz="4" w:space="0" w:color="auto"/>
            </w:tcBorders>
          </w:tcPr>
          <w:p w14:paraId="177B6044" w14:textId="77777777" w:rsidR="00C4454D" w:rsidRPr="00A735B4" w:rsidRDefault="00C4454D" w:rsidP="00C4454D">
            <w:pPr>
              <w:spacing w:before="60" w:after="60"/>
              <w:ind w:left="-44" w:firstLine="44"/>
              <w:jc w:val="center"/>
            </w:pPr>
            <w:r w:rsidRPr="00A735B4">
              <w:t>Tanzania</w:t>
            </w:r>
          </w:p>
        </w:tc>
        <w:tc>
          <w:tcPr>
            <w:tcW w:w="1879" w:type="dxa"/>
            <w:tcBorders>
              <w:top w:val="single" w:sz="4" w:space="0" w:color="auto"/>
              <w:left w:val="single" w:sz="4" w:space="0" w:color="auto"/>
              <w:right w:val="single" w:sz="4" w:space="0" w:color="auto"/>
            </w:tcBorders>
          </w:tcPr>
          <w:p w14:paraId="7328C42D" w14:textId="77777777" w:rsidR="00C4454D" w:rsidRPr="00A735B4" w:rsidRDefault="00C4454D" w:rsidP="00C4454D">
            <w:pPr>
              <w:spacing w:before="60" w:after="60"/>
              <w:ind w:left="-44" w:firstLine="44"/>
              <w:jc w:val="center"/>
            </w:pPr>
            <w:r w:rsidRPr="00A735B4">
              <w:t>Uganda</w:t>
            </w:r>
          </w:p>
        </w:tc>
        <w:tc>
          <w:tcPr>
            <w:tcW w:w="2023" w:type="dxa"/>
            <w:tcBorders>
              <w:top w:val="single" w:sz="4" w:space="0" w:color="auto"/>
              <w:left w:val="single" w:sz="4" w:space="0" w:color="auto"/>
              <w:right w:val="single" w:sz="4" w:space="0" w:color="auto"/>
            </w:tcBorders>
          </w:tcPr>
          <w:p w14:paraId="7DFAEA61" w14:textId="77777777" w:rsidR="00C4454D" w:rsidRPr="00A735B4" w:rsidRDefault="00C4454D" w:rsidP="00C4454D">
            <w:pPr>
              <w:spacing w:before="60" w:after="60"/>
              <w:ind w:left="-44" w:firstLine="44"/>
              <w:jc w:val="center"/>
            </w:pPr>
            <w:r w:rsidRPr="00A735B4">
              <w:t>Rwanda</w:t>
            </w:r>
          </w:p>
        </w:tc>
        <w:tc>
          <w:tcPr>
            <w:tcW w:w="2019" w:type="dxa"/>
            <w:tcBorders>
              <w:left w:val="single" w:sz="4" w:space="0" w:color="auto"/>
              <w:bottom w:val="single" w:sz="4" w:space="0" w:color="auto"/>
            </w:tcBorders>
          </w:tcPr>
          <w:p w14:paraId="1DFE8B25" w14:textId="77777777" w:rsidR="00C4454D" w:rsidRPr="00A735B4" w:rsidRDefault="00C4454D" w:rsidP="00C4454D">
            <w:pPr>
              <w:spacing w:before="60" w:after="60"/>
              <w:ind w:left="-44" w:firstLine="44"/>
              <w:jc w:val="center"/>
            </w:pPr>
            <w:r w:rsidRPr="00A735B4">
              <w:t>Malawi</w:t>
            </w:r>
          </w:p>
        </w:tc>
        <w:tc>
          <w:tcPr>
            <w:tcW w:w="1973" w:type="dxa"/>
          </w:tcPr>
          <w:p w14:paraId="492CC051" w14:textId="77777777" w:rsidR="00C4454D" w:rsidRPr="00A735B4" w:rsidRDefault="00C4454D" w:rsidP="00C4454D">
            <w:pPr>
              <w:spacing w:before="60" w:after="60"/>
              <w:ind w:left="-44" w:firstLine="44"/>
              <w:jc w:val="center"/>
            </w:pPr>
            <w:r w:rsidRPr="00A735B4">
              <w:t>Zambia</w:t>
            </w:r>
          </w:p>
        </w:tc>
      </w:tr>
      <w:tr w:rsidR="00C4454D" w:rsidRPr="00A735B4" w14:paraId="2A95CB30" w14:textId="77777777" w:rsidTr="00C4454D">
        <w:tc>
          <w:tcPr>
            <w:tcW w:w="2167" w:type="dxa"/>
            <w:tcBorders>
              <w:right w:val="single" w:sz="4" w:space="0" w:color="auto"/>
            </w:tcBorders>
          </w:tcPr>
          <w:p w14:paraId="644E65E3" w14:textId="77777777" w:rsidR="00C4454D" w:rsidRPr="00A735B4" w:rsidRDefault="00C4454D" w:rsidP="00C4454D">
            <w:pPr>
              <w:spacing w:before="60" w:after="60"/>
            </w:pPr>
            <w:r w:rsidRPr="00A735B4">
              <w:t>Personal accident</w:t>
            </w:r>
          </w:p>
        </w:tc>
        <w:tc>
          <w:tcPr>
            <w:tcW w:w="2024" w:type="dxa"/>
            <w:tcBorders>
              <w:left w:val="single" w:sz="4" w:space="0" w:color="auto"/>
              <w:right w:val="single" w:sz="4" w:space="0" w:color="auto"/>
            </w:tcBorders>
          </w:tcPr>
          <w:p w14:paraId="2EA78FAE" w14:textId="510AA3D2" w:rsidR="00C4454D" w:rsidRPr="00A735B4" w:rsidRDefault="00C4454D" w:rsidP="00C4454D">
            <w:pPr>
              <w:spacing w:before="60" w:after="60"/>
              <w:ind w:left="-44" w:firstLine="4"/>
            </w:pPr>
            <w:r w:rsidRPr="00A735B4">
              <w:t>Range $40 to $80</w:t>
            </w:r>
          </w:p>
          <w:p w14:paraId="6D3FD45C" w14:textId="203B81A3" w:rsidR="00C4454D" w:rsidRPr="00A735B4" w:rsidRDefault="00C4454D" w:rsidP="00C4454D">
            <w:pPr>
              <w:spacing w:before="60" w:after="60"/>
              <w:ind w:left="-44" w:firstLine="4"/>
            </w:pPr>
            <w:r w:rsidRPr="00A735B4">
              <w:t>Medical, disability, funeral</w:t>
            </w:r>
          </w:p>
        </w:tc>
        <w:tc>
          <w:tcPr>
            <w:tcW w:w="2029" w:type="dxa"/>
            <w:tcBorders>
              <w:left w:val="single" w:sz="4" w:space="0" w:color="auto"/>
              <w:right w:val="single" w:sz="4" w:space="0" w:color="auto"/>
            </w:tcBorders>
          </w:tcPr>
          <w:p w14:paraId="44C2B892" w14:textId="77777777" w:rsidR="00C4454D" w:rsidRPr="00A735B4" w:rsidRDefault="00C4454D" w:rsidP="00C4454D">
            <w:pPr>
              <w:spacing w:before="60" w:after="60"/>
            </w:pPr>
            <w:r w:rsidRPr="00A735B4">
              <w:t>Range $164 to $303 (outlier $607)</w:t>
            </w:r>
          </w:p>
        </w:tc>
        <w:tc>
          <w:tcPr>
            <w:tcW w:w="1879" w:type="dxa"/>
            <w:tcBorders>
              <w:left w:val="single" w:sz="4" w:space="0" w:color="auto"/>
              <w:right w:val="single" w:sz="4" w:space="0" w:color="auto"/>
            </w:tcBorders>
          </w:tcPr>
          <w:p w14:paraId="7D2F8949" w14:textId="77777777" w:rsidR="00C4454D" w:rsidRPr="00A735B4" w:rsidRDefault="00C4454D" w:rsidP="00C4454D">
            <w:pPr>
              <w:spacing w:before="60" w:after="60"/>
              <w:ind w:left="-44" w:firstLine="4"/>
            </w:pPr>
            <w:r w:rsidRPr="00A735B4">
              <w:t xml:space="preserve">Range $46 to $230 </w:t>
            </w:r>
          </w:p>
        </w:tc>
        <w:tc>
          <w:tcPr>
            <w:tcW w:w="2023" w:type="dxa"/>
            <w:tcBorders>
              <w:left w:val="single" w:sz="4" w:space="0" w:color="auto"/>
              <w:right w:val="single" w:sz="4" w:space="0" w:color="auto"/>
            </w:tcBorders>
          </w:tcPr>
          <w:p w14:paraId="23B2A3F7" w14:textId="77777777" w:rsidR="00C4454D" w:rsidRPr="00A735B4" w:rsidRDefault="00C4454D" w:rsidP="00C4454D">
            <w:pPr>
              <w:spacing w:before="60" w:after="60"/>
              <w:ind w:left="-44" w:firstLine="4"/>
            </w:pPr>
            <w:r w:rsidRPr="00A735B4">
              <w:t>Rates not provided, as depend on employment status, nature of job, etc.</w:t>
            </w:r>
          </w:p>
        </w:tc>
        <w:tc>
          <w:tcPr>
            <w:tcW w:w="2019" w:type="dxa"/>
            <w:tcBorders>
              <w:top w:val="single" w:sz="4" w:space="0" w:color="auto"/>
              <w:left w:val="single" w:sz="4" w:space="0" w:color="auto"/>
              <w:right w:val="single" w:sz="4" w:space="0" w:color="auto"/>
            </w:tcBorders>
          </w:tcPr>
          <w:p w14:paraId="17490AAF" w14:textId="77777777" w:rsidR="00C4454D" w:rsidRPr="00A735B4" w:rsidRDefault="00C4454D" w:rsidP="00C4454D">
            <w:pPr>
              <w:spacing w:before="60" w:after="60"/>
              <w:ind w:left="-44" w:firstLine="4"/>
            </w:pPr>
            <w:r w:rsidRPr="00A735B4">
              <w:t>Range $46.50 to $63.40</w:t>
            </w:r>
          </w:p>
          <w:p w14:paraId="682B87C8" w14:textId="77777777" w:rsidR="00C4454D" w:rsidRPr="00A735B4" w:rsidRDefault="00C4454D" w:rsidP="00C4454D">
            <w:pPr>
              <w:spacing w:before="60" w:after="60"/>
              <w:ind w:left="-44" w:firstLine="44"/>
            </w:pPr>
          </w:p>
        </w:tc>
        <w:tc>
          <w:tcPr>
            <w:tcW w:w="1973" w:type="dxa"/>
            <w:tcBorders>
              <w:left w:val="single" w:sz="4" w:space="0" w:color="auto"/>
            </w:tcBorders>
          </w:tcPr>
          <w:p w14:paraId="6904E3F0" w14:textId="79EE37B7" w:rsidR="00C4454D" w:rsidRPr="00A735B4" w:rsidRDefault="00C4454D" w:rsidP="00C4454D">
            <w:pPr>
              <w:spacing w:before="60" w:after="60"/>
              <w:ind w:left="-44" w:firstLine="4"/>
            </w:pPr>
            <w:r w:rsidRPr="00A735B4">
              <w:t>2 companies quoted $103 and $135</w:t>
            </w:r>
          </w:p>
          <w:p w14:paraId="7BA957AF" w14:textId="42DC5CF8" w:rsidR="00C4454D" w:rsidRPr="00A735B4" w:rsidRDefault="00C4454D" w:rsidP="00C4454D">
            <w:pPr>
              <w:spacing w:before="60" w:after="60"/>
              <w:ind w:left="-44" w:firstLine="4"/>
            </w:pPr>
            <w:r w:rsidRPr="00A735B4">
              <w:t>2 companies quoted $370 and $690</w:t>
            </w:r>
          </w:p>
        </w:tc>
      </w:tr>
      <w:tr w:rsidR="00C4454D" w:rsidRPr="00A735B4" w14:paraId="3DD3C51B" w14:textId="77777777" w:rsidTr="00C4454D">
        <w:tc>
          <w:tcPr>
            <w:tcW w:w="2167" w:type="dxa"/>
            <w:tcBorders>
              <w:right w:val="single" w:sz="4" w:space="0" w:color="auto"/>
            </w:tcBorders>
          </w:tcPr>
          <w:p w14:paraId="4FA0B898" w14:textId="77777777" w:rsidR="00C4454D" w:rsidRPr="00A735B4" w:rsidRDefault="00C4454D" w:rsidP="00C4454D">
            <w:pPr>
              <w:spacing w:before="60" w:after="60"/>
              <w:ind w:left="-44"/>
            </w:pPr>
            <w:r w:rsidRPr="00A735B4">
              <w:t>Personal health</w:t>
            </w:r>
          </w:p>
        </w:tc>
        <w:tc>
          <w:tcPr>
            <w:tcW w:w="2024" w:type="dxa"/>
            <w:tcBorders>
              <w:left w:val="single" w:sz="4" w:space="0" w:color="auto"/>
              <w:right w:val="single" w:sz="4" w:space="0" w:color="auto"/>
            </w:tcBorders>
          </w:tcPr>
          <w:p w14:paraId="63D675FC" w14:textId="1AE768BE" w:rsidR="00C4454D" w:rsidRPr="00A735B4" w:rsidRDefault="00C4454D" w:rsidP="00C4454D">
            <w:pPr>
              <w:spacing w:before="60" w:after="60"/>
              <w:ind w:left="-44"/>
            </w:pPr>
            <w:r w:rsidRPr="00A735B4">
              <w:t>Range $138 to $220 (outlier $20)</w:t>
            </w:r>
          </w:p>
          <w:p w14:paraId="35792B6D" w14:textId="77777777" w:rsidR="00C4454D" w:rsidRPr="00A735B4" w:rsidRDefault="00C4454D" w:rsidP="00C4454D">
            <w:pPr>
              <w:spacing w:before="60" w:after="60"/>
              <w:ind w:left="-44"/>
            </w:pPr>
            <w:r w:rsidRPr="00A735B4">
              <w:t>In- &amp; out-patient</w:t>
            </w:r>
          </w:p>
        </w:tc>
        <w:tc>
          <w:tcPr>
            <w:tcW w:w="2029" w:type="dxa"/>
            <w:tcBorders>
              <w:left w:val="single" w:sz="4" w:space="0" w:color="auto"/>
              <w:right w:val="single" w:sz="4" w:space="0" w:color="auto"/>
            </w:tcBorders>
          </w:tcPr>
          <w:p w14:paraId="0483B723" w14:textId="77777777" w:rsidR="00C4454D" w:rsidRPr="00A735B4" w:rsidRDefault="00C4454D" w:rsidP="00C4454D">
            <w:pPr>
              <w:spacing w:before="60" w:after="60"/>
            </w:pPr>
            <w:r w:rsidRPr="00A735B4">
              <w:t>Range $164 to $303</w:t>
            </w:r>
          </w:p>
          <w:p w14:paraId="4C157894" w14:textId="77777777" w:rsidR="00C4454D" w:rsidRPr="00A735B4" w:rsidRDefault="00C4454D" w:rsidP="00C4454D">
            <w:pPr>
              <w:spacing w:before="60" w:after="60"/>
              <w:ind w:left="-44" w:firstLine="44"/>
            </w:pPr>
          </w:p>
        </w:tc>
        <w:tc>
          <w:tcPr>
            <w:tcW w:w="1879" w:type="dxa"/>
            <w:tcBorders>
              <w:left w:val="single" w:sz="4" w:space="0" w:color="auto"/>
              <w:right w:val="single" w:sz="4" w:space="0" w:color="auto"/>
            </w:tcBorders>
          </w:tcPr>
          <w:p w14:paraId="6EBFAED0" w14:textId="3AAA01E9" w:rsidR="00C4454D" w:rsidRPr="00A735B4" w:rsidRDefault="00C4454D" w:rsidP="00C4454D">
            <w:pPr>
              <w:spacing w:before="60" w:after="60"/>
              <w:ind w:left="-44"/>
            </w:pPr>
            <w:r w:rsidRPr="00A735B4">
              <w:t>Only one company quoted: $349</w:t>
            </w:r>
          </w:p>
          <w:p w14:paraId="4AA254BA" w14:textId="77777777" w:rsidR="00C4454D" w:rsidRPr="00A735B4" w:rsidRDefault="00C4454D" w:rsidP="00C4454D">
            <w:pPr>
              <w:spacing w:before="60" w:after="60"/>
              <w:ind w:left="-44" w:firstLine="44"/>
            </w:pPr>
          </w:p>
        </w:tc>
        <w:tc>
          <w:tcPr>
            <w:tcW w:w="2023" w:type="dxa"/>
            <w:tcBorders>
              <w:left w:val="single" w:sz="4" w:space="0" w:color="auto"/>
              <w:right w:val="single" w:sz="4" w:space="0" w:color="auto"/>
            </w:tcBorders>
          </w:tcPr>
          <w:p w14:paraId="50994474" w14:textId="27182D06" w:rsidR="00C4454D" w:rsidRPr="00A735B4" w:rsidRDefault="00C4454D" w:rsidP="00C4454D">
            <w:pPr>
              <w:spacing w:before="60" w:after="60"/>
              <w:ind w:left="-44"/>
            </w:pPr>
            <w:r w:rsidRPr="00A735B4">
              <w:t>Only 2 companies provided rates: $16.60 and $764</w:t>
            </w:r>
          </w:p>
        </w:tc>
        <w:tc>
          <w:tcPr>
            <w:tcW w:w="2019" w:type="dxa"/>
            <w:tcBorders>
              <w:left w:val="single" w:sz="4" w:space="0" w:color="auto"/>
              <w:right w:val="single" w:sz="4" w:space="0" w:color="auto"/>
            </w:tcBorders>
          </w:tcPr>
          <w:p w14:paraId="22E3EAA9" w14:textId="65840FCD" w:rsidR="00C4454D" w:rsidRPr="00A735B4" w:rsidRDefault="00C4454D" w:rsidP="00C4454D">
            <w:pPr>
              <w:spacing w:before="60" w:after="60"/>
              <w:ind w:left="-44" w:firstLine="44"/>
            </w:pPr>
            <w:r w:rsidRPr="00A735B4">
              <w:t>—</w:t>
            </w:r>
          </w:p>
        </w:tc>
        <w:tc>
          <w:tcPr>
            <w:tcW w:w="1973" w:type="dxa"/>
            <w:tcBorders>
              <w:left w:val="single" w:sz="4" w:space="0" w:color="auto"/>
            </w:tcBorders>
          </w:tcPr>
          <w:p w14:paraId="1CAE2B0A" w14:textId="165F1666" w:rsidR="00C4454D" w:rsidRPr="00A735B4" w:rsidRDefault="00C4454D" w:rsidP="00C4454D">
            <w:pPr>
              <w:spacing w:before="60" w:after="60"/>
              <w:ind w:left="-44"/>
            </w:pPr>
            <w:r w:rsidRPr="00A735B4">
              <w:t>—</w:t>
            </w:r>
          </w:p>
          <w:p w14:paraId="60B5E9B6" w14:textId="77777777" w:rsidR="00C4454D" w:rsidRPr="00A735B4" w:rsidRDefault="00C4454D" w:rsidP="00C4454D">
            <w:pPr>
              <w:spacing w:before="60" w:after="60"/>
              <w:ind w:left="-44" w:firstLine="44"/>
              <w:rPr>
                <w:highlight w:val="yellow"/>
              </w:rPr>
            </w:pPr>
          </w:p>
        </w:tc>
      </w:tr>
      <w:tr w:rsidR="00C4454D" w:rsidRPr="00A735B4" w14:paraId="4BF0AD19" w14:textId="77777777" w:rsidTr="00C4454D">
        <w:tc>
          <w:tcPr>
            <w:tcW w:w="2167" w:type="dxa"/>
            <w:tcBorders>
              <w:right w:val="single" w:sz="4" w:space="0" w:color="auto"/>
            </w:tcBorders>
          </w:tcPr>
          <w:p w14:paraId="003D7C6C" w14:textId="77777777" w:rsidR="00C4454D" w:rsidRPr="00A735B4" w:rsidRDefault="00C4454D" w:rsidP="00C4454D">
            <w:pPr>
              <w:spacing w:before="60" w:after="60"/>
              <w:ind w:left="-44"/>
            </w:pPr>
            <w:r w:rsidRPr="00A735B4">
              <w:t>Comprehensive automotive</w:t>
            </w:r>
          </w:p>
        </w:tc>
        <w:tc>
          <w:tcPr>
            <w:tcW w:w="2024" w:type="dxa"/>
            <w:tcBorders>
              <w:left w:val="single" w:sz="4" w:space="0" w:color="auto"/>
              <w:right w:val="single" w:sz="4" w:space="0" w:color="auto"/>
            </w:tcBorders>
          </w:tcPr>
          <w:p w14:paraId="51DAE605" w14:textId="58EB023F" w:rsidR="00C4454D" w:rsidRPr="00A735B4" w:rsidRDefault="00C4454D" w:rsidP="00C4454D">
            <w:pPr>
              <w:spacing w:before="60" w:after="60"/>
              <w:ind w:left="-44"/>
            </w:pPr>
            <w:r w:rsidRPr="00A735B4">
              <w:t>7% to 8% of value insured</w:t>
            </w:r>
          </w:p>
        </w:tc>
        <w:tc>
          <w:tcPr>
            <w:tcW w:w="2029" w:type="dxa"/>
            <w:tcBorders>
              <w:left w:val="single" w:sz="4" w:space="0" w:color="auto"/>
              <w:right w:val="single" w:sz="4" w:space="0" w:color="auto"/>
            </w:tcBorders>
          </w:tcPr>
          <w:p w14:paraId="55B71CCB" w14:textId="4AC217C2" w:rsidR="00C4454D" w:rsidRPr="00A735B4" w:rsidRDefault="00C4454D" w:rsidP="00C4454D">
            <w:pPr>
              <w:spacing w:before="60" w:after="60"/>
              <w:ind w:left="-44"/>
            </w:pPr>
            <w:r w:rsidRPr="00A735B4">
              <w:t xml:space="preserve">3.1% to 5.0% of value insured </w:t>
            </w:r>
          </w:p>
        </w:tc>
        <w:tc>
          <w:tcPr>
            <w:tcW w:w="1879" w:type="dxa"/>
            <w:tcBorders>
              <w:left w:val="single" w:sz="4" w:space="0" w:color="auto"/>
              <w:right w:val="single" w:sz="4" w:space="0" w:color="auto"/>
            </w:tcBorders>
          </w:tcPr>
          <w:p w14:paraId="6CD86AD7" w14:textId="13164465" w:rsidR="00C4454D" w:rsidRPr="00A735B4" w:rsidRDefault="00C4454D" w:rsidP="00C4454D">
            <w:pPr>
              <w:spacing w:before="60" w:after="60"/>
            </w:pPr>
            <w:r w:rsidRPr="00A735B4">
              <w:t>4% to 5.2% of value insured</w:t>
            </w:r>
          </w:p>
        </w:tc>
        <w:tc>
          <w:tcPr>
            <w:tcW w:w="2023" w:type="dxa"/>
            <w:tcBorders>
              <w:left w:val="single" w:sz="4" w:space="0" w:color="auto"/>
              <w:right w:val="single" w:sz="4" w:space="0" w:color="auto"/>
            </w:tcBorders>
          </w:tcPr>
          <w:p w14:paraId="4587A4CE" w14:textId="584AA524" w:rsidR="00C4454D" w:rsidRPr="00A735B4" w:rsidRDefault="00C4454D" w:rsidP="00C4454D">
            <w:pPr>
              <w:spacing w:before="60" w:after="60"/>
            </w:pPr>
            <w:r w:rsidRPr="00A735B4">
              <w:t>5.4% to 8.2% of value insured</w:t>
            </w:r>
          </w:p>
        </w:tc>
        <w:tc>
          <w:tcPr>
            <w:tcW w:w="2019" w:type="dxa"/>
            <w:tcBorders>
              <w:left w:val="single" w:sz="4" w:space="0" w:color="auto"/>
              <w:right w:val="single" w:sz="4" w:space="0" w:color="auto"/>
            </w:tcBorders>
          </w:tcPr>
          <w:p w14:paraId="7FCA3F7C" w14:textId="77777777" w:rsidR="00C4454D" w:rsidRPr="00A735B4" w:rsidRDefault="00C4454D" w:rsidP="00C4454D">
            <w:pPr>
              <w:spacing w:before="60" w:after="60"/>
              <w:ind w:left="-44"/>
            </w:pPr>
            <w:r w:rsidRPr="00A735B4">
              <w:t>7.6% to 9.9% of value insured</w:t>
            </w:r>
          </w:p>
        </w:tc>
        <w:tc>
          <w:tcPr>
            <w:tcW w:w="1973" w:type="dxa"/>
            <w:tcBorders>
              <w:left w:val="single" w:sz="4" w:space="0" w:color="auto"/>
            </w:tcBorders>
          </w:tcPr>
          <w:p w14:paraId="0CF27149" w14:textId="42AE36BC" w:rsidR="00C4454D" w:rsidRPr="00A735B4" w:rsidRDefault="00C4454D" w:rsidP="00C4454D">
            <w:pPr>
              <w:spacing w:before="60" w:after="60"/>
              <w:ind w:left="-44"/>
              <w:rPr>
                <w:highlight w:val="yellow"/>
              </w:rPr>
            </w:pPr>
            <w:r w:rsidRPr="00A735B4">
              <w:t>7.1% to 8.3% of value insured</w:t>
            </w:r>
          </w:p>
        </w:tc>
      </w:tr>
      <w:tr w:rsidR="00C4454D" w:rsidRPr="00A735B4" w14:paraId="3200C6A8" w14:textId="77777777" w:rsidTr="00C4454D">
        <w:tc>
          <w:tcPr>
            <w:tcW w:w="2167" w:type="dxa"/>
            <w:tcBorders>
              <w:right w:val="single" w:sz="4" w:space="0" w:color="auto"/>
            </w:tcBorders>
          </w:tcPr>
          <w:p w14:paraId="6B2D7F08" w14:textId="77777777" w:rsidR="00C4454D" w:rsidRPr="00A735B4" w:rsidRDefault="00C4454D" w:rsidP="00C4454D">
            <w:pPr>
              <w:spacing w:before="60" w:after="60"/>
              <w:ind w:left="-44"/>
            </w:pPr>
            <w:r w:rsidRPr="00A735B4">
              <w:t>Credit insurance  (coverage of $23,256)</w:t>
            </w:r>
          </w:p>
        </w:tc>
        <w:tc>
          <w:tcPr>
            <w:tcW w:w="2024" w:type="dxa"/>
            <w:tcBorders>
              <w:left w:val="single" w:sz="4" w:space="0" w:color="auto"/>
              <w:right w:val="single" w:sz="4" w:space="0" w:color="auto"/>
            </w:tcBorders>
          </w:tcPr>
          <w:p w14:paraId="4B6F45C6" w14:textId="3076B047" w:rsidR="00C4454D" w:rsidRPr="00A735B4" w:rsidRDefault="00C4454D" w:rsidP="00C4454D">
            <w:pPr>
              <w:spacing w:before="60" w:after="60"/>
              <w:ind w:left="-44"/>
            </w:pPr>
            <w:r w:rsidRPr="00A735B4">
              <w:t>Range 1: $115 to $126 personal coverage</w:t>
            </w:r>
          </w:p>
          <w:p w14:paraId="06D49E1E" w14:textId="54554F6F" w:rsidR="00C4454D" w:rsidRPr="00A735B4" w:rsidRDefault="00C4454D" w:rsidP="00C4454D">
            <w:pPr>
              <w:spacing w:before="60" w:after="60"/>
              <w:ind w:left="-44"/>
            </w:pPr>
            <w:r w:rsidRPr="00A735B4">
              <w:t>Range 2: $2,300 Group coverage</w:t>
            </w:r>
          </w:p>
        </w:tc>
        <w:tc>
          <w:tcPr>
            <w:tcW w:w="2029" w:type="dxa"/>
            <w:tcBorders>
              <w:left w:val="single" w:sz="4" w:space="0" w:color="auto"/>
              <w:right w:val="single" w:sz="4" w:space="0" w:color="auto"/>
            </w:tcBorders>
          </w:tcPr>
          <w:p w14:paraId="25C28891" w14:textId="67D545A4" w:rsidR="00C4454D" w:rsidRPr="00A735B4" w:rsidRDefault="00C4454D" w:rsidP="00C4454D">
            <w:pPr>
              <w:spacing w:before="60" w:after="60"/>
              <w:ind w:left="-44"/>
            </w:pPr>
            <w:r w:rsidRPr="00A735B4">
              <w:t>Only one company, $231</w:t>
            </w:r>
          </w:p>
        </w:tc>
        <w:tc>
          <w:tcPr>
            <w:tcW w:w="1879" w:type="dxa"/>
            <w:tcBorders>
              <w:left w:val="single" w:sz="4" w:space="0" w:color="auto"/>
              <w:right w:val="single" w:sz="4" w:space="0" w:color="auto"/>
            </w:tcBorders>
          </w:tcPr>
          <w:p w14:paraId="32FDE7D6" w14:textId="77777777" w:rsidR="00C4454D" w:rsidRPr="00A735B4" w:rsidRDefault="00C4454D" w:rsidP="00C4454D">
            <w:pPr>
              <w:spacing w:before="60" w:after="60"/>
              <w:ind w:left="-44"/>
            </w:pPr>
            <w:r w:rsidRPr="00A735B4">
              <w:t>$523 to $891</w:t>
            </w:r>
          </w:p>
          <w:p w14:paraId="51B3C951" w14:textId="7BDD8921" w:rsidR="00C4454D" w:rsidRPr="00A735B4" w:rsidRDefault="00C4454D" w:rsidP="00C4454D">
            <w:pPr>
              <w:spacing w:before="60" w:after="60"/>
              <w:ind w:left="-44"/>
            </w:pPr>
            <w:r w:rsidRPr="00A735B4">
              <w:t>(outlier $140 covers loss of stock or cash from fraud)</w:t>
            </w:r>
          </w:p>
        </w:tc>
        <w:tc>
          <w:tcPr>
            <w:tcW w:w="2023" w:type="dxa"/>
            <w:tcBorders>
              <w:left w:val="single" w:sz="4" w:space="0" w:color="auto"/>
              <w:right w:val="single" w:sz="4" w:space="0" w:color="auto"/>
            </w:tcBorders>
          </w:tcPr>
          <w:p w14:paraId="793F1AB0" w14:textId="7CE2AE0C" w:rsidR="00C4454D" w:rsidRPr="00A735B4" w:rsidRDefault="00C4454D" w:rsidP="00C4454D">
            <w:pPr>
              <w:spacing w:before="60" w:after="60"/>
              <w:ind w:left="-44"/>
            </w:pPr>
            <w:r w:rsidRPr="00A735B4">
              <w:t>2 quotations: $1,076 and $3,488</w:t>
            </w:r>
          </w:p>
        </w:tc>
        <w:tc>
          <w:tcPr>
            <w:tcW w:w="2019" w:type="dxa"/>
            <w:tcBorders>
              <w:left w:val="single" w:sz="4" w:space="0" w:color="auto"/>
              <w:right w:val="single" w:sz="4" w:space="0" w:color="auto"/>
            </w:tcBorders>
          </w:tcPr>
          <w:p w14:paraId="04EFD238" w14:textId="1F3BF454" w:rsidR="00C4454D" w:rsidRPr="00A735B4" w:rsidRDefault="00C4454D" w:rsidP="00C4454D">
            <w:pPr>
              <w:spacing w:before="60" w:after="60"/>
              <w:ind w:left="-44"/>
            </w:pPr>
            <w:r w:rsidRPr="00A735B4">
              <w:t>—</w:t>
            </w:r>
          </w:p>
        </w:tc>
        <w:tc>
          <w:tcPr>
            <w:tcW w:w="1973" w:type="dxa"/>
            <w:tcBorders>
              <w:left w:val="single" w:sz="4" w:space="0" w:color="auto"/>
            </w:tcBorders>
          </w:tcPr>
          <w:p w14:paraId="7F60609E" w14:textId="5A18F8A1" w:rsidR="00C4454D" w:rsidRPr="00A735B4" w:rsidRDefault="00C4454D" w:rsidP="00C4454D">
            <w:pPr>
              <w:spacing w:before="60" w:after="60"/>
              <w:ind w:left="-44" w:firstLine="4"/>
            </w:pPr>
            <w:r w:rsidRPr="00A735B4">
              <w:t>Only one company, $538</w:t>
            </w:r>
          </w:p>
          <w:p w14:paraId="2F678908" w14:textId="77777777" w:rsidR="00C4454D" w:rsidRPr="00A735B4" w:rsidRDefault="00C4454D" w:rsidP="00C4454D">
            <w:pPr>
              <w:spacing w:before="60" w:after="60"/>
              <w:ind w:left="-44" w:firstLine="4"/>
            </w:pPr>
          </w:p>
        </w:tc>
      </w:tr>
      <w:tr w:rsidR="00C4454D" w:rsidRPr="00A735B4" w14:paraId="64C9AF1E" w14:textId="77777777" w:rsidTr="00C4454D">
        <w:tc>
          <w:tcPr>
            <w:tcW w:w="2167" w:type="dxa"/>
            <w:tcBorders>
              <w:right w:val="single" w:sz="4" w:space="0" w:color="auto"/>
            </w:tcBorders>
          </w:tcPr>
          <w:p w14:paraId="62D1F132" w14:textId="0B072896" w:rsidR="00C4454D" w:rsidRPr="00A735B4" w:rsidRDefault="00C4454D" w:rsidP="00C4454D">
            <w:pPr>
              <w:spacing w:before="60" w:after="60"/>
              <w:ind w:left="-44"/>
            </w:pPr>
            <w:r w:rsidRPr="00A735B4">
              <w:t>Crop insurance (maize, 1 acre)</w:t>
            </w:r>
          </w:p>
        </w:tc>
        <w:tc>
          <w:tcPr>
            <w:tcW w:w="2024" w:type="dxa"/>
            <w:tcBorders>
              <w:left w:val="single" w:sz="4" w:space="0" w:color="auto"/>
              <w:right w:val="single" w:sz="4" w:space="0" w:color="auto"/>
            </w:tcBorders>
          </w:tcPr>
          <w:p w14:paraId="2B1F0706" w14:textId="77777777" w:rsidR="00C4454D" w:rsidRPr="00A735B4" w:rsidRDefault="00C4454D" w:rsidP="00C4454D">
            <w:pPr>
              <w:spacing w:before="60" w:after="60"/>
              <w:ind w:left="-44"/>
            </w:pPr>
            <w:r w:rsidRPr="00A735B4">
              <w:t>Range $38.10 to $44.80 (outlier $65.10)</w:t>
            </w:r>
          </w:p>
        </w:tc>
        <w:tc>
          <w:tcPr>
            <w:tcW w:w="2029" w:type="dxa"/>
            <w:tcBorders>
              <w:left w:val="single" w:sz="4" w:space="0" w:color="auto"/>
              <w:right w:val="single" w:sz="4" w:space="0" w:color="auto"/>
            </w:tcBorders>
          </w:tcPr>
          <w:p w14:paraId="605D2E52" w14:textId="2CACABC7" w:rsidR="00C4454D" w:rsidRPr="00A735B4" w:rsidRDefault="00C4454D" w:rsidP="00C4454D">
            <w:pPr>
              <w:spacing w:before="60" w:after="60"/>
              <w:ind w:left="-44"/>
            </w:pPr>
            <w:r w:rsidRPr="00A735B4">
              <w:t>—</w:t>
            </w:r>
          </w:p>
        </w:tc>
        <w:tc>
          <w:tcPr>
            <w:tcW w:w="1879" w:type="dxa"/>
            <w:tcBorders>
              <w:left w:val="single" w:sz="4" w:space="0" w:color="auto"/>
              <w:right w:val="single" w:sz="4" w:space="0" w:color="auto"/>
            </w:tcBorders>
          </w:tcPr>
          <w:p w14:paraId="71C6E204" w14:textId="77777777" w:rsidR="00C4454D" w:rsidRPr="00A735B4" w:rsidRDefault="00C4454D" w:rsidP="00C4454D">
            <w:pPr>
              <w:spacing w:before="60" w:after="60"/>
              <w:ind w:left="-44"/>
            </w:pPr>
            <w:r w:rsidRPr="00A735B4">
              <w:t>One quotation: $35</w:t>
            </w:r>
          </w:p>
        </w:tc>
        <w:tc>
          <w:tcPr>
            <w:tcW w:w="2023" w:type="dxa"/>
            <w:tcBorders>
              <w:left w:val="single" w:sz="4" w:space="0" w:color="auto"/>
              <w:right w:val="single" w:sz="4" w:space="0" w:color="auto"/>
            </w:tcBorders>
          </w:tcPr>
          <w:p w14:paraId="75D9B8AC" w14:textId="77777777" w:rsidR="00C4454D" w:rsidRPr="00A735B4" w:rsidRDefault="00C4454D" w:rsidP="00C4454D">
            <w:pPr>
              <w:spacing w:before="60" w:after="60"/>
              <w:ind w:left="-44"/>
            </w:pPr>
            <w:r w:rsidRPr="00A735B4">
              <w:t>$27</w:t>
            </w:r>
          </w:p>
        </w:tc>
        <w:tc>
          <w:tcPr>
            <w:tcW w:w="2019" w:type="dxa"/>
            <w:tcBorders>
              <w:left w:val="single" w:sz="4" w:space="0" w:color="auto"/>
              <w:right w:val="single" w:sz="4" w:space="0" w:color="auto"/>
            </w:tcBorders>
          </w:tcPr>
          <w:p w14:paraId="3C8E9D30" w14:textId="7746CE5A" w:rsidR="00C4454D" w:rsidRPr="00A735B4" w:rsidRDefault="00C4454D" w:rsidP="00C4454D">
            <w:pPr>
              <w:spacing w:before="60" w:after="60"/>
              <w:ind w:left="-44"/>
            </w:pPr>
            <w:r w:rsidRPr="00A735B4">
              <w:t>—</w:t>
            </w:r>
          </w:p>
        </w:tc>
        <w:tc>
          <w:tcPr>
            <w:tcW w:w="1973" w:type="dxa"/>
            <w:tcBorders>
              <w:left w:val="single" w:sz="4" w:space="0" w:color="auto"/>
            </w:tcBorders>
          </w:tcPr>
          <w:p w14:paraId="46311A45" w14:textId="77777777" w:rsidR="00C4454D" w:rsidRPr="00A735B4" w:rsidRDefault="00C4454D" w:rsidP="00C4454D">
            <w:pPr>
              <w:spacing w:before="60" w:after="60"/>
              <w:ind w:left="-44"/>
            </w:pPr>
            <w:r w:rsidRPr="00A735B4">
              <w:t>$25 or less ($15/$20) based on rates for 5 acres)</w:t>
            </w:r>
          </w:p>
        </w:tc>
      </w:tr>
      <w:tr w:rsidR="00C4454D" w:rsidRPr="00A735B4" w14:paraId="301C4961" w14:textId="77777777" w:rsidTr="00C4454D">
        <w:tc>
          <w:tcPr>
            <w:tcW w:w="2167" w:type="dxa"/>
            <w:tcBorders>
              <w:right w:val="single" w:sz="4" w:space="0" w:color="auto"/>
            </w:tcBorders>
          </w:tcPr>
          <w:p w14:paraId="284FFAE0" w14:textId="77777777" w:rsidR="00C4454D" w:rsidRPr="00A735B4" w:rsidRDefault="00C4454D" w:rsidP="00C4454D">
            <w:pPr>
              <w:spacing w:before="60" w:after="60"/>
              <w:ind w:left="-44"/>
            </w:pPr>
            <w:r w:rsidRPr="00A735B4">
              <w:t>Livestock insurance   (1 dairy cow)</w:t>
            </w:r>
          </w:p>
        </w:tc>
        <w:tc>
          <w:tcPr>
            <w:tcW w:w="2024" w:type="dxa"/>
            <w:tcBorders>
              <w:left w:val="single" w:sz="4" w:space="0" w:color="auto"/>
              <w:bottom w:val="single" w:sz="4" w:space="0" w:color="auto"/>
              <w:right w:val="single" w:sz="4" w:space="0" w:color="auto"/>
            </w:tcBorders>
          </w:tcPr>
          <w:p w14:paraId="1F582936" w14:textId="77777777" w:rsidR="00C4454D" w:rsidRPr="00A735B4" w:rsidRDefault="00C4454D" w:rsidP="00C4454D">
            <w:pPr>
              <w:spacing w:before="60" w:after="60"/>
              <w:ind w:left="-44"/>
            </w:pPr>
            <w:r w:rsidRPr="00A735B4">
              <w:t xml:space="preserve">Range $32.20 to $40.30 </w:t>
            </w:r>
          </w:p>
        </w:tc>
        <w:tc>
          <w:tcPr>
            <w:tcW w:w="2029" w:type="dxa"/>
            <w:tcBorders>
              <w:left w:val="single" w:sz="4" w:space="0" w:color="auto"/>
              <w:bottom w:val="single" w:sz="4" w:space="0" w:color="auto"/>
              <w:right w:val="single" w:sz="4" w:space="0" w:color="auto"/>
            </w:tcBorders>
          </w:tcPr>
          <w:p w14:paraId="1431BB2F" w14:textId="72674376" w:rsidR="00C4454D" w:rsidRPr="00A735B4" w:rsidRDefault="00C4454D" w:rsidP="00C4454D">
            <w:pPr>
              <w:spacing w:before="60" w:after="60"/>
              <w:ind w:left="-44"/>
            </w:pPr>
            <w:r w:rsidRPr="00A735B4">
              <w:t>—</w:t>
            </w:r>
          </w:p>
        </w:tc>
        <w:tc>
          <w:tcPr>
            <w:tcW w:w="1879" w:type="dxa"/>
            <w:tcBorders>
              <w:left w:val="single" w:sz="4" w:space="0" w:color="auto"/>
              <w:bottom w:val="single" w:sz="4" w:space="0" w:color="auto"/>
              <w:right w:val="single" w:sz="4" w:space="0" w:color="auto"/>
            </w:tcBorders>
          </w:tcPr>
          <w:p w14:paraId="52E6C740" w14:textId="77777777" w:rsidR="00C4454D" w:rsidRPr="00A735B4" w:rsidRDefault="00C4454D" w:rsidP="00C4454D">
            <w:pPr>
              <w:spacing w:before="60" w:after="60"/>
              <w:ind w:left="-44"/>
            </w:pPr>
            <w:r w:rsidRPr="00A735B4">
              <w:t>One quotation: $49</w:t>
            </w:r>
          </w:p>
        </w:tc>
        <w:tc>
          <w:tcPr>
            <w:tcW w:w="2023" w:type="dxa"/>
            <w:tcBorders>
              <w:left w:val="single" w:sz="4" w:space="0" w:color="auto"/>
              <w:bottom w:val="single" w:sz="4" w:space="0" w:color="auto"/>
              <w:right w:val="single" w:sz="4" w:space="0" w:color="auto"/>
            </w:tcBorders>
          </w:tcPr>
          <w:p w14:paraId="7A76BF88" w14:textId="77777777" w:rsidR="00C4454D" w:rsidRPr="00A735B4" w:rsidRDefault="00C4454D" w:rsidP="00C4454D">
            <w:pPr>
              <w:spacing w:before="60" w:after="60"/>
              <w:ind w:left="-44"/>
            </w:pPr>
            <w:r w:rsidRPr="00A735B4">
              <w:t>$24.40</w:t>
            </w:r>
          </w:p>
        </w:tc>
        <w:tc>
          <w:tcPr>
            <w:tcW w:w="2019" w:type="dxa"/>
            <w:tcBorders>
              <w:left w:val="single" w:sz="4" w:space="0" w:color="auto"/>
              <w:bottom w:val="single" w:sz="4" w:space="0" w:color="auto"/>
              <w:right w:val="single" w:sz="4" w:space="0" w:color="auto"/>
            </w:tcBorders>
          </w:tcPr>
          <w:p w14:paraId="389ECA14" w14:textId="77777777" w:rsidR="00C4454D" w:rsidRPr="00A735B4" w:rsidRDefault="00C4454D" w:rsidP="00C4454D">
            <w:pPr>
              <w:spacing w:before="60" w:after="60"/>
              <w:ind w:left="-44"/>
            </w:pPr>
            <w:r w:rsidRPr="00A735B4">
              <w:t>$37.30</w:t>
            </w:r>
          </w:p>
        </w:tc>
        <w:tc>
          <w:tcPr>
            <w:tcW w:w="1973" w:type="dxa"/>
            <w:tcBorders>
              <w:left w:val="single" w:sz="4" w:space="0" w:color="auto"/>
            </w:tcBorders>
          </w:tcPr>
          <w:p w14:paraId="3EBB3CE7" w14:textId="77777777" w:rsidR="00C4454D" w:rsidRPr="00A735B4" w:rsidRDefault="00C4454D" w:rsidP="00C4454D">
            <w:pPr>
              <w:spacing w:before="60" w:after="60"/>
              <w:ind w:left="-44"/>
            </w:pPr>
            <w:r w:rsidRPr="00A735B4">
              <w:t>Range $33 to $38</w:t>
            </w:r>
          </w:p>
        </w:tc>
      </w:tr>
    </w:tbl>
    <w:p w14:paraId="4837D173" w14:textId="77777777" w:rsidR="00C4454D" w:rsidRPr="00A735B4" w:rsidRDefault="00C4454D" w:rsidP="00C4454D">
      <w:pPr>
        <w:ind w:left="360"/>
        <w:jc w:val="both"/>
        <w:rPr>
          <w:sz w:val="20"/>
          <w:szCs w:val="20"/>
        </w:rPr>
      </w:pPr>
      <w:r w:rsidRPr="00A735B4">
        <w:rPr>
          <w:i/>
          <w:sz w:val="20"/>
          <w:szCs w:val="20"/>
        </w:rPr>
        <w:t>Note:</w:t>
      </w:r>
      <w:r w:rsidRPr="00A735B4">
        <w:rPr>
          <w:sz w:val="20"/>
          <w:szCs w:val="20"/>
        </w:rPr>
        <w:t xml:space="preserve"> — = not available.</w:t>
      </w:r>
    </w:p>
    <w:p w14:paraId="1F7C47A3" w14:textId="77777777" w:rsidR="00C4454D" w:rsidRPr="00A735B4" w:rsidRDefault="00C4454D" w:rsidP="00C4454D">
      <w:pPr>
        <w:ind w:left="360"/>
        <w:jc w:val="both"/>
        <w:sectPr w:rsidR="00C4454D" w:rsidRPr="00A735B4" w:rsidSect="00C4454D">
          <w:pgSz w:w="16839" w:h="11907" w:orient="landscape" w:code="9"/>
          <w:pgMar w:top="1440" w:right="1629" w:bottom="1440" w:left="1170" w:header="720" w:footer="580" w:gutter="0"/>
          <w:cols w:space="720"/>
          <w:docGrid w:linePitch="360"/>
        </w:sectPr>
      </w:pPr>
    </w:p>
    <w:p w14:paraId="6E5BD98F" w14:textId="24FFDA14" w:rsidR="00C4454D" w:rsidRPr="00A735B4" w:rsidRDefault="00C4454D" w:rsidP="00C4454D">
      <w:bookmarkStart w:id="137" w:name="_Toc395690925"/>
      <w:bookmarkStart w:id="138" w:name="_Toc419565271"/>
      <w:r w:rsidRPr="00A735B4">
        <w:lastRenderedPageBreak/>
        <w:t>C.7  Accountancy</w:t>
      </w:r>
      <w:bookmarkEnd w:id="137"/>
      <w:bookmarkEnd w:id="138"/>
    </w:p>
    <w:p w14:paraId="065DFDC5" w14:textId="77777777" w:rsidR="00C4454D" w:rsidRPr="00A735B4" w:rsidRDefault="00C4454D" w:rsidP="00C4454D">
      <w:pPr>
        <w:jc w:val="both"/>
      </w:pPr>
    </w:p>
    <w:p w14:paraId="54B62EFF" w14:textId="77777777" w:rsidR="00C4454D" w:rsidRPr="00A735B4" w:rsidRDefault="00C4454D" w:rsidP="00C4454D">
      <w:pPr>
        <w:jc w:val="both"/>
      </w:pPr>
      <w:r w:rsidRPr="00A735B4">
        <w:t>Fees for accounting services are quoted separately for clients with a turnover of US$5,000 and clients with a turnover of US$100,000. The results show a degree of consistency for prices quoted to companies with a turnover of $5,000 (loosely equated to micro enterprise) —see table C.12. There is nonetheless a significant difference in costs between countries—for example, between Kenya and Malawi, most notably at the upper end of the quoted ranges. There is a greater degree of variation in fees quoted to enterprises with a turnover of $100,000 (table C.13). This may reflect a greater variability in the size of the client and the complexity of the business. The main criteria for determining the fees are the amount of work (man-hours) and complexity (or risk) involved. A few firms, however, referred also to turnover and profitability. Most of the firms were prepared to negotiate fees for audit, verification of solvency, and loan application support, although the criteria on which negotiations would be based varied between firms (new customer, customer growth potential, etc.).</w:t>
      </w:r>
    </w:p>
    <w:p w14:paraId="6897439B" w14:textId="0E098D3E" w:rsidR="00C4454D" w:rsidRPr="00A735B4" w:rsidRDefault="00C4454D" w:rsidP="00C4454D">
      <w:pPr>
        <w:ind w:left="360"/>
        <w:jc w:val="both"/>
        <w:sectPr w:rsidR="00C4454D" w:rsidRPr="00A735B4" w:rsidSect="00C4454D">
          <w:pgSz w:w="11907" w:h="16839" w:code="9"/>
          <w:pgMar w:top="1629" w:right="1440" w:bottom="1170" w:left="1440" w:header="720" w:footer="580" w:gutter="0"/>
          <w:cols w:space="720"/>
          <w:docGrid w:linePitch="360"/>
        </w:sectPr>
      </w:pPr>
    </w:p>
    <w:p w14:paraId="2F1AC197" w14:textId="77777777" w:rsidR="00C4454D" w:rsidRPr="00A735B4" w:rsidRDefault="00C4454D" w:rsidP="00C4454D">
      <w:pPr>
        <w:jc w:val="both"/>
        <w:rPr>
          <w:rFonts w:ascii="Garamond" w:hAnsi="Garamond"/>
          <w:b/>
          <w:szCs w:val="20"/>
        </w:rPr>
      </w:pPr>
    </w:p>
    <w:p w14:paraId="308191C7" w14:textId="5C16CA69" w:rsidR="00C4454D" w:rsidRPr="00A735B4" w:rsidRDefault="00C4454D" w:rsidP="00C4454D">
      <w:pPr>
        <w:jc w:val="center"/>
        <w:rPr>
          <w:color w:val="1F497D" w:themeColor="text2"/>
        </w:rPr>
      </w:pPr>
      <w:bookmarkStart w:id="139" w:name="_Toc410823570"/>
      <w:r w:rsidRPr="00A735B4">
        <w:rPr>
          <w:color w:val="1F497D" w:themeColor="text2"/>
        </w:rPr>
        <w:t>Table C.12 Fees for accountancy services offered to clients with a turnover of US$5,000</w:t>
      </w:r>
      <w:bookmarkEnd w:id="139"/>
    </w:p>
    <w:p w14:paraId="75C2438D" w14:textId="77777777" w:rsidR="00C4454D" w:rsidRPr="00A735B4" w:rsidRDefault="00C4454D" w:rsidP="00C4454D">
      <w:pPr>
        <w:jc w:val="center"/>
      </w:pPr>
      <w:r w:rsidRPr="00A735B4">
        <w:t>(US$)</w:t>
      </w:r>
    </w:p>
    <w:tbl>
      <w:tblPr>
        <w:tblW w:w="14114" w:type="dxa"/>
        <w:tblInd w:w="10" w:type="dxa"/>
        <w:tblCellMar>
          <w:left w:w="10" w:type="dxa"/>
          <w:right w:w="10" w:type="dxa"/>
        </w:tblCellMar>
        <w:tblLook w:val="04A0" w:firstRow="1" w:lastRow="0" w:firstColumn="1" w:lastColumn="0" w:noHBand="0" w:noVBand="1"/>
      </w:tblPr>
      <w:tblGrid>
        <w:gridCol w:w="2167"/>
        <w:gridCol w:w="2024"/>
        <w:gridCol w:w="2029"/>
        <w:gridCol w:w="1879"/>
        <w:gridCol w:w="2023"/>
        <w:gridCol w:w="2019"/>
        <w:gridCol w:w="1973"/>
      </w:tblGrid>
      <w:tr w:rsidR="00C4454D" w:rsidRPr="00A735B4" w14:paraId="20F27D58" w14:textId="77777777" w:rsidTr="00C4454D">
        <w:tc>
          <w:tcPr>
            <w:tcW w:w="2167" w:type="dxa"/>
          </w:tcPr>
          <w:p w14:paraId="38A66445" w14:textId="2BBB89AF" w:rsidR="00C4454D" w:rsidRPr="00A735B4" w:rsidRDefault="00C4454D" w:rsidP="00C4454D">
            <w:pPr>
              <w:spacing w:before="60" w:after="60"/>
              <w:ind w:left="-44" w:firstLine="44"/>
            </w:pPr>
            <w:r w:rsidRPr="00A735B4">
              <w:t>Characteristic</w:t>
            </w:r>
          </w:p>
        </w:tc>
        <w:tc>
          <w:tcPr>
            <w:tcW w:w="2024" w:type="dxa"/>
          </w:tcPr>
          <w:p w14:paraId="62618235" w14:textId="77777777" w:rsidR="00C4454D" w:rsidRPr="00A735B4" w:rsidRDefault="00C4454D" w:rsidP="00C4454D">
            <w:pPr>
              <w:spacing w:before="60" w:after="60"/>
              <w:ind w:left="-44" w:firstLine="44"/>
              <w:jc w:val="center"/>
            </w:pPr>
            <w:r w:rsidRPr="00A735B4">
              <w:t>Kenya</w:t>
            </w:r>
          </w:p>
        </w:tc>
        <w:tc>
          <w:tcPr>
            <w:tcW w:w="2029" w:type="dxa"/>
          </w:tcPr>
          <w:p w14:paraId="51CD0E9C" w14:textId="77777777" w:rsidR="00C4454D" w:rsidRPr="00A735B4" w:rsidRDefault="00C4454D" w:rsidP="00C4454D">
            <w:pPr>
              <w:spacing w:before="60" w:after="60"/>
              <w:ind w:left="-44" w:firstLine="44"/>
              <w:jc w:val="center"/>
            </w:pPr>
            <w:r w:rsidRPr="00A735B4">
              <w:t>Tanzania</w:t>
            </w:r>
          </w:p>
        </w:tc>
        <w:tc>
          <w:tcPr>
            <w:tcW w:w="1879" w:type="dxa"/>
          </w:tcPr>
          <w:p w14:paraId="42B64AF7" w14:textId="77777777" w:rsidR="00C4454D" w:rsidRPr="00A735B4" w:rsidRDefault="00C4454D" w:rsidP="00C4454D">
            <w:pPr>
              <w:spacing w:before="60" w:after="60"/>
              <w:ind w:left="-44" w:firstLine="44"/>
              <w:jc w:val="center"/>
            </w:pPr>
            <w:r w:rsidRPr="00A735B4">
              <w:t>Uganda</w:t>
            </w:r>
          </w:p>
        </w:tc>
        <w:tc>
          <w:tcPr>
            <w:tcW w:w="2023" w:type="dxa"/>
          </w:tcPr>
          <w:p w14:paraId="6666CCD4" w14:textId="77777777" w:rsidR="00C4454D" w:rsidRPr="00A735B4" w:rsidRDefault="00C4454D" w:rsidP="00C4454D">
            <w:pPr>
              <w:spacing w:before="60" w:after="60"/>
              <w:ind w:left="-44" w:firstLine="44"/>
              <w:jc w:val="center"/>
            </w:pPr>
            <w:r w:rsidRPr="00A735B4">
              <w:t>Rwanda</w:t>
            </w:r>
          </w:p>
        </w:tc>
        <w:tc>
          <w:tcPr>
            <w:tcW w:w="2019" w:type="dxa"/>
          </w:tcPr>
          <w:p w14:paraId="10CCDED3" w14:textId="77777777" w:rsidR="00C4454D" w:rsidRPr="00A735B4" w:rsidRDefault="00C4454D" w:rsidP="00C4454D">
            <w:pPr>
              <w:spacing w:before="60" w:after="60"/>
              <w:ind w:left="-44" w:firstLine="44"/>
              <w:jc w:val="center"/>
            </w:pPr>
            <w:r w:rsidRPr="00A735B4">
              <w:t>Malawi</w:t>
            </w:r>
          </w:p>
        </w:tc>
        <w:tc>
          <w:tcPr>
            <w:tcW w:w="1973" w:type="dxa"/>
          </w:tcPr>
          <w:p w14:paraId="1E8CF728" w14:textId="77777777" w:rsidR="00C4454D" w:rsidRPr="00A735B4" w:rsidRDefault="00C4454D" w:rsidP="00C4454D">
            <w:pPr>
              <w:spacing w:before="60" w:after="60"/>
              <w:ind w:left="-44" w:firstLine="44"/>
              <w:jc w:val="center"/>
            </w:pPr>
            <w:r w:rsidRPr="00A735B4">
              <w:t>Zambia</w:t>
            </w:r>
          </w:p>
        </w:tc>
      </w:tr>
      <w:tr w:rsidR="00C4454D" w:rsidRPr="00A735B4" w14:paraId="228A6159" w14:textId="77777777" w:rsidTr="00C4454D">
        <w:tc>
          <w:tcPr>
            <w:tcW w:w="2167" w:type="dxa"/>
          </w:tcPr>
          <w:p w14:paraId="11BF5B35" w14:textId="77777777" w:rsidR="00C4454D" w:rsidRPr="00A735B4" w:rsidRDefault="00C4454D" w:rsidP="00C4454D">
            <w:pPr>
              <w:spacing w:before="60" w:after="60"/>
            </w:pPr>
            <w:r w:rsidRPr="00A735B4">
              <w:t>Verification of solvency</w:t>
            </w:r>
          </w:p>
        </w:tc>
        <w:tc>
          <w:tcPr>
            <w:tcW w:w="2024" w:type="dxa"/>
          </w:tcPr>
          <w:p w14:paraId="751AC99B" w14:textId="77777777" w:rsidR="00C4454D" w:rsidRPr="00A735B4" w:rsidRDefault="00C4454D" w:rsidP="00C4454D">
            <w:pPr>
              <w:spacing w:before="60" w:after="60"/>
            </w:pPr>
            <w:r w:rsidRPr="00A735B4">
              <w:t>$115 - $290</w:t>
            </w:r>
          </w:p>
        </w:tc>
        <w:tc>
          <w:tcPr>
            <w:tcW w:w="2029" w:type="dxa"/>
          </w:tcPr>
          <w:p w14:paraId="1FB538D8" w14:textId="77777777" w:rsidR="00C4454D" w:rsidRPr="00A735B4" w:rsidRDefault="00C4454D" w:rsidP="00C4454D">
            <w:pPr>
              <w:spacing w:before="60" w:after="60"/>
            </w:pPr>
            <w:r w:rsidRPr="00A735B4">
              <w:t>$600 - $1,800</w:t>
            </w:r>
          </w:p>
        </w:tc>
        <w:tc>
          <w:tcPr>
            <w:tcW w:w="1879" w:type="dxa"/>
          </w:tcPr>
          <w:p w14:paraId="065281ED" w14:textId="77777777" w:rsidR="00C4454D" w:rsidRPr="00A735B4" w:rsidRDefault="00C4454D" w:rsidP="00C4454D">
            <w:pPr>
              <w:spacing w:before="60" w:after="60"/>
              <w:ind w:left="-44" w:firstLine="44"/>
            </w:pPr>
            <w:r w:rsidRPr="00A735B4">
              <w:t>$150 - $1,300</w:t>
            </w:r>
          </w:p>
        </w:tc>
        <w:tc>
          <w:tcPr>
            <w:tcW w:w="2023" w:type="dxa"/>
          </w:tcPr>
          <w:p w14:paraId="264F1134" w14:textId="77777777" w:rsidR="00C4454D" w:rsidRPr="00A735B4" w:rsidRDefault="00C4454D" w:rsidP="00C4454D">
            <w:pPr>
              <w:spacing w:before="60" w:after="60"/>
              <w:ind w:left="-44" w:firstLine="44"/>
            </w:pPr>
            <w:r w:rsidRPr="00A735B4">
              <w:t>$174 - $265</w:t>
            </w:r>
          </w:p>
        </w:tc>
        <w:tc>
          <w:tcPr>
            <w:tcW w:w="2019" w:type="dxa"/>
          </w:tcPr>
          <w:p w14:paraId="4253C2E5" w14:textId="77777777" w:rsidR="00C4454D" w:rsidRPr="00A735B4" w:rsidRDefault="00C4454D" w:rsidP="00C4454D">
            <w:pPr>
              <w:spacing w:before="60" w:after="60"/>
              <w:ind w:left="-44" w:firstLine="44"/>
            </w:pPr>
            <w:r w:rsidRPr="00A735B4">
              <w:t>$625 - $2,000</w:t>
            </w:r>
          </w:p>
        </w:tc>
        <w:tc>
          <w:tcPr>
            <w:tcW w:w="1973" w:type="dxa"/>
          </w:tcPr>
          <w:p w14:paraId="22689E37" w14:textId="77777777" w:rsidR="00C4454D" w:rsidRPr="00A735B4" w:rsidRDefault="00C4454D" w:rsidP="00C4454D">
            <w:pPr>
              <w:spacing w:before="60" w:after="60"/>
              <w:ind w:left="-44" w:firstLine="44"/>
            </w:pPr>
            <w:r w:rsidRPr="00A735B4">
              <w:t>$150 - $536</w:t>
            </w:r>
          </w:p>
        </w:tc>
      </w:tr>
      <w:tr w:rsidR="00C4454D" w:rsidRPr="00A735B4" w14:paraId="036CDA32" w14:textId="77777777" w:rsidTr="00C4454D">
        <w:tc>
          <w:tcPr>
            <w:tcW w:w="2167" w:type="dxa"/>
          </w:tcPr>
          <w:p w14:paraId="31C5641B" w14:textId="77777777" w:rsidR="00C4454D" w:rsidRPr="00A735B4" w:rsidRDefault="00C4454D" w:rsidP="00C4454D">
            <w:pPr>
              <w:spacing w:before="60" w:after="60"/>
              <w:ind w:left="-44"/>
            </w:pPr>
            <w:r w:rsidRPr="00A735B4">
              <w:t>Support loan application</w:t>
            </w:r>
          </w:p>
        </w:tc>
        <w:tc>
          <w:tcPr>
            <w:tcW w:w="2024" w:type="dxa"/>
          </w:tcPr>
          <w:p w14:paraId="7C9E324D" w14:textId="77777777" w:rsidR="00C4454D" w:rsidRPr="00A735B4" w:rsidRDefault="00C4454D" w:rsidP="00C4454D">
            <w:pPr>
              <w:spacing w:before="60" w:after="60"/>
            </w:pPr>
            <w:r w:rsidRPr="00A735B4">
              <w:t>$172 - $230</w:t>
            </w:r>
          </w:p>
        </w:tc>
        <w:tc>
          <w:tcPr>
            <w:tcW w:w="2029" w:type="dxa"/>
          </w:tcPr>
          <w:p w14:paraId="5BFCB3A6" w14:textId="77777777" w:rsidR="00C4454D" w:rsidRPr="00A735B4" w:rsidRDefault="00C4454D" w:rsidP="00C4454D">
            <w:pPr>
              <w:spacing w:before="60" w:after="60"/>
              <w:ind w:left="-44" w:firstLine="44"/>
            </w:pPr>
            <w:r w:rsidRPr="00A735B4">
              <w:t>$600 - $1,800</w:t>
            </w:r>
          </w:p>
        </w:tc>
        <w:tc>
          <w:tcPr>
            <w:tcW w:w="1879" w:type="dxa"/>
          </w:tcPr>
          <w:p w14:paraId="0884D4EE" w14:textId="77777777" w:rsidR="00C4454D" w:rsidRPr="00A735B4" w:rsidRDefault="00C4454D" w:rsidP="00C4454D">
            <w:pPr>
              <w:spacing w:before="60" w:after="60"/>
              <w:ind w:left="-44" w:firstLine="44"/>
            </w:pPr>
            <w:r w:rsidRPr="00A735B4">
              <w:t>$375 - $1,125</w:t>
            </w:r>
          </w:p>
        </w:tc>
        <w:tc>
          <w:tcPr>
            <w:tcW w:w="2023" w:type="dxa"/>
          </w:tcPr>
          <w:p w14:paraId="6AE957F8" w14:textId="77777777" w:rsidR="00C4454D" w:rsidRPr="00A735B4" w:rsidRDefault="00C4454D" w:rsidP="00C4454D">
            <w:pPr>
              <w:spacing w:before="60" w:after="60"/>
              <w:ind w:left="-44" w:firstLine="44"/>
            </w:pPr>
            <w:r w:rsidRPr="00A735B4">
              <w:t>$147 - $882</w:t>
            </w:r>
          </w:p>
        </w:tc>
        <w:tc>
          <w:tcPr>
            <w:tcW w:w="2019" w:type="dxa"/>
          </w:tcPr>
          <w:p w14:paraId="14E0B710" w14:textId="77777777" w:rsidR="00C4454D" w:rsidRPr="00A735B4" w:rsidRDefault="00C4454D" w:rsidP="00C4454D">
            <w:pPr>
              <w:spacing w:before="60" w:after="60"/>
              <w:ind w:left="-44" w:firstLine="44"/>
            </w:pPr>
            <w:r w:rsidRPr="00A735B4">
              <w:t>$2,250 - $5,000</w:t>
            </w:r>
          </w:p>
        </w:tc>
        <w:tc>
          <w:tcPr>
            <w:tcW w:w="1973" w:type="dxa"/>
          </w:tcPr>
          <w:p w14:paraId="0BDB9EEE" w14:textId="77777777" w:rsidR="00C4454D" w:rsidRPr="00A735B4" w:rsidRDefault="00C4454D" w:rsidP="00C4454D">
            <w:pPr>
              <w:spacing w:before="60" w:after="60"/>
              <w:ind w:left="-44" w:firstLine="44"/>
            </w:pPr>
            <w:r w:rsidRPr="00A735B4">
              <w:t>$150 - $536</w:t>
            </w:r>
          </w:p>
        </w:tc>
      </w:tr>
      <w:tr w:rsidR="00C4454D" w:rsidRPr="00A735B4" w14:paraId="4329AEE0" w14:textId="77777777" w:rsidTr="00C4454D">
        <w:tc>
          <w:tcPr>
            <w:tcW w:w="2167" w:type="dxa"/>
          </w:tcPr>
          <w:p w14:paraId="01FB5974" w14:textId="77777777" w:rsidR="00C4454D" w:rsidRPr="00A735B4" w:rsidRDefault="00C4454D" w:rsidP="00C4454D">
            <w:pPr>
              <w:spacing w:before="60" w:after="60"/>
              <w:ind w:left="-44" w:firstLine="44"/>
            </w:pPr>
            <w:r w:rsidRPr="00A735B4">
              <w:t>Audit</w:t>
            </w:r>
          </w:p>
        </w:tc>
        <w:tc>
          <w:tcPr>
            <w:tcW w:w="2024" w:type="dxa"/>
          </w:tcPr>
          <w:p w14:paraId="22A36DD7" w14:textId="77777777" w:rsidR="00C4454D" w:rsidRPr="00A735B4" w:rsidRDefault="00C4454D" w:rsidP="00C4454D">
            <w:pPr>
              <w:spacing w:before="60" w:after="60"/>
            </w:pPr>
            <w:r w:rsidRPr="00A735B4">
              <w:t>$115 - $580</w:t>
            </w:r>
          </w:p>
        </w:tc>
        <w:tc>
          <w:tcPr>
            <w:tcW w:w="2029" w:type="dxa"/>
          </w:tcPr>
          <w:p w14:paraId="72B99B82" w14:textId="77777777" w:rsidR="00C4454D" w:rsidRPr="00A735B4" w:rsidRDefault="00C4454D" w:rsidP="00C4454D">
            <w:pPr>
              <w:spacing w:before="60" w:after="60"/>
              <w:ind w:left="-44" w:firstLine="44"/>
            </w:pPr>
            <w:r w:rsidRPr="00A735B4">
              <w:t>$480 - $1,800</w:t>
            </w:r>
          </w:p>
        </w:tc>
        <w:tc>
          <w:tcPr>
            <w:tcW w:w="1879" w:type="dxa"/>
          </w:tcPr>
          <w:p w14:paraId="558FC93B" w14:textId="77777777" w:rsidR="00C4454D" w:rsidRPr="00A735B4" w:rsidRDefault="00C4454D" w:rsidP="00C4454D">
            <w:pPr>
              <w:spacing w:before="60" w:after="60"/>
            </w:pPr>
            <w:r w:rsidRPr="00A735B4">
              <w:t>$375 - $1,300</w:t>
            </w:r>
          </w:p>
        </w:tc>
        <w:tc>
          <w:tcPr>
            <w:tcW w:w="2023" w:type="dxa"/>
          </w:tcPr>
          <w:p w14:paraId="0827B1C8" w14:textId="77777777" w:rsidR="00C4454D" w:rsidRPr="00A735B4" w:rsidRDefault="00C4454D" w:rsidP="00C4454D">
            <w:pPr>
              <w:spacing w:before="60" w:after="60"/>
            </w:pPr>
            <w:r w:rsidRPr="00A735B4">
              <w:t>$150 - $441</w:t>
            </w:r>
          </w:p>
        </w:tc>
        <w:tc>
          <w:tcPr>
            <w:tcW w:w="2019" w:type="dxa"/>
          </w:tcPr>
          <w:p w14:paraId="75DBF4DC" w14:textId="77777777" w:rsidR="00C4454D" w:rsidRPr="00A735B4" w:rsidRDefault="00C4454D" w:rsidP="00C4454D">
            <w:pPr>
              <w:spacing w:before="60" w:after="60"/>
              <w:ind w:left="-44" w:firstLine="44"/>
            </w:pPr>
            <w:r w:rsidRPr="00A735B4">
              <w:t>$345 - $626</w:t>
            </w:r>
          </w:p>
        </w:tc>
        <w:tc>
          <w:tcPr>
            <w:tcW w:w="1973" w:type="dxa"/>
          </w:tcPr>
          <w:p w14:paraId="124D8666" w14:textId="77777777" w:rsidR="00C4454D" w:rsidRPr="00A735B4" w:rsidRDefault="00C4454D" w:rsidP="00C4454D">
            <w:pPr>
              <w:spacing w:before="60" w:after="60"/>
              <w:ind w:left="-44" w:firstLine="44"/>
            </w:pPr>
            <w:r w:rsidRPr="00A735B4">
              <w:t>$322 - $536</w:t>
            </w:r>
          </w:p>
        </w:tc>
      </w:tr>
      <w:tr w:rsidR="00C4454D" w:rsidRPr="00A735B4" w14:paraId="1978B42E" w14:textId="77777777" w:rsidTr="00C4454D">
        <w:tc>
          <w:tcPr>
            <w:tcW w:w="2167" w:type="dxa"/>
          </w:tcPr>
          <w:p w14:paraId="3126AD94" w14:textId="77777777" w:rsidR="00C4454D" w:rsidRPr="00A735B4" w:rsidRDefault="00C4454D" w:rsidP="00C4454D">
            <w:pPr>
              <w:spacing w:before="60" w:after="60"/>
              <w:ind w:left="-44" w:firstLine="44"/>
            </w:pPr>
            <w:r w:rsidRPr="00A735B4">
              <w:t>File tax returns</w:t>
            </w:r>
          </w:p>
        </w:tc>
        <w:tc>
          <w:tcPr>
            <w:tcW w:w="2024" w:type="dxa"/>
          </w:tcPr>
          <w:p w14:paraId="33DDD751" w14:textId="77777777" w:rsidR="00C4454D" w:rsidRPr="00A735B4" w:rsidRDefault="00C4454D" w:rsidP="00C4454D">
            <w:pPr>
              <w:spacing w:before="60" w:after="60"/>
            </w:pPr>
            <w:r w:rsidRPr="00A735B4">
              <w:t>$115 - $230</w:t>
            </w:r>
          </w:p>
        </w:tc>
        <w:tc>
          <w:tcPr>
            <w:tcW w:w="2029" w:type="dxa"/>
          </w:tcPr>
          <w:p w14:paraId="6099FC04" w14:textId="77777777" w:rsidR="00C4454D" w:rsidRPr="00A735B4" w:rsidRDefault="00C4454D" w:rsidP="00C4454D">
            <w:pPr>
              <w:spacing w:before="60" w:after="60"/>
              <w:ind w:left="-44" w:firstLine="44"/>
            </w:pPr>
            <w:r w:rsidRPr="00A735B4">
              <w:t>$600 - $2,100</w:t>
            </w:r>
          </w:p>
        </w:tc>
        <w:tc>
          <w:tcPr>
            <w:tcW w:w="1879" w:type="dxa"/>
          </w:tcPr>
          <w:p w14:paraId="0E660B22" w14:textId="77777777" w:rsidR="00C4454D" w:rsidRPr="00A735B4" w:rsidRDefault="00C4454D" w:rsidP="00C4454D">
            <w:pPr>
              <w:spacing w:before="60" w:after="60"/>
            </w:pPr>
            <w:r w:rsidRPr="00A735B4">
              <w:t>$75 - $562</w:t>
            </w:r>
          </w:p>
        </w:tc>
        <w:tc>
          <w:tcPr>
            <w:tcW w:w="2023" w:type="dxa"/>
          </w:tcPr>
          <w:p w14:paraId="7BC5DD7B" w14:textId="77777777" w:rsidR="00C4454D" w:rsidRPr="00A735B4" w:rsidRDefault="00C4454D" w:rsidP="00C4454D">
            <w:pPr>
              <w:spacing w:before="60" w:after="60"/>
            </w:pPr>
            <w:r w:rsidRPr="00A735B4">
              <w:t>$36 - $735</w:t>
            </w:r>
          </w:p>
        </w:tc>
        <w:tc>
          <w:tcPr>
            <w:tcW w:w="2019" w:type="dxa"/>
          </w:tcPr>
          <w:p w14:paraId="70CEB87C" w14:textId="77777777" w:rsidR="00C4454D" w:rsidRPr="00A735B4" w:rsidRDefault="00C4454D" w:rsidP="00C4454D">
            <w:pPr>
              <w:spacing w:before="60" w:after="60"/>
              <w:ind w:left="-44" w:firstLine="44"/>
            </w:pPr>
            <w:r w:rsidRPr="00A735B4">
              <w:t>$123 - $492</w:t>
            </w:r>
          </w:p>
        </w:tc>
        <w:tc>
          <w:tcPr>
            <w:tcW w:w="1973" w:type="dxa"/>
          </w:tcPr>
          <w:p w14:paraId="4588502D" w14:textId="77777777" w:rsidR="00C4454D" w:rsidRPr="00A735B4" w:rsidRDefault="00C4454D" w:rsidP="00C4454D">
            <w:pPr>
              <w:spacing w:before="60" w:after="60"/>
              <w:ind w:left="-44" w:firstLine="44"/>
            </w:pPr>
            <w:r w:rsidRPr="00A735B4">
              <w:t>$134 - $ 536</w:t>
            </w:r>
          </w:p>
        </w:tc>
      </w:tr>
    </w:tbl>
    <w:p w14:paraId="46A4F66B" w14:textId="77777777" w:rsidR="00C4454D" w:rsidRPr="00A735B4" w:rsidRDefault="00C4454D" w:rsidP="00C4454D">
      <w:pPr>
        <w:spacing w:after="200" w:line="276" w:lineRule="auto"/>
        <w:jc w:val="both"/>
      </w:pPr>
    </w:p>
    <w:p w14:paraId="418E3911" w14:textId="77777777" w:rsidR="00C4454D" w:rsidRPr="00A735B4" w:rsidRDefault="00C4454D" w:rsidP="00C4454D">
      <w:pPr>
        <w:keepNext/>
        <w:jc w:val="center"/>
      </w:pPr>
    </w:p>
    <w:p w14:paraId="3A0788ED" w14:textId="77777777" w:rsidR="00C4454D" w:rsidRPr="00A735B4" w:rsidRDefault="00C4454D" w:rsidP="00C4454D">
      <w:pPr>
        <w:keepNext/>
        <w:jc w:val="center"/>
      </w:pPr>
    </w:p>
    <w:p w14:paraId="4E1CBA79" w14:textId="2AC7811B" w:rsidR="00C4454D" w:rsidRPr="00A735B4" w:rsidRDefault="00C4454D" w:rsidP="00C4454D">
      <w:pPr>
        <w:jc w:val="center"/>
        <w:rPr>
          <w:color w:val="1F497D" w:themeColor="text2"/>
        </w:rPr>
      </w:pPr>
      <w:bookmarkStart w:id="140" w:name="_Toc410823571"/>
      <w:r w:rsidRPr="00A735B4">
        <w:rPr>
          <w:color w:val="1F497D" w:themeColor="text2"/>
        </w:rPr>
        <w:t>Table C.13 Fees for accountancy services offered to clients with a turnover of US$100,000</w:t>
      </w:r>
      <w:bookmarkEnd w:id="140"/>
    </w:p>
    <w:tbl>
      <w:tblPr>
        <w:tblW w:w="13580" w:type="dxa"/>
        <w:tblInd w:w="10" w:type="dxa"/>
        <w:tblCellMar>
          <w:left w:w="10" w:type="dxa"/>
          <w:right w:w="10" w:type="dxa"/>
        </w:tblCellMar>
        <w:tblLook w:val="04A0" w:firstRow="1" w:lastRow="0" w:firstColumn="1" w:lastColumn="0" w:noHBand="0" w:noVBand="1"/>
      </w:tblPr>
      <w:tblGrid>
        <w:gridCol w:w="2167"/>
        <w:gridCol w:w="2024"/>
        <w:gridCol w:w="2029"/>
        <w:gridCol w:w="1879"/>
        <w:gridCol w:w="2023"/>
        <w:gridCol w:w="2019"/>
        <w:gridCol w:w="1439"/>
      </w:tblGrid>
      <w:tr w:rsidR="00C4454D" w:rsidRPr="00A735B4" w14:paraId="2610694C" w14:textId="77777777" w:rsidTr="00C4454D">
        <w:tc>
          <w:tcPr>
            <w:tcW w:w="2167" w:type="dxa"/>
          </w:tcPr>
          <w:p w14:paraId="3F2A8DA6" w14:textId="7F2EF7A4" w:rsidR="00C4454D" w:rsidRPr="00A735B4" w:rsidRDefault="00C4454D" w:rsidP="00C4454D">
            <w:pPr>
              <w:spacing w:before="60" w:after="60"/>
              <w:ind w:left="-44" w:firstLine="44"/>
            </w:pPr>
            <w:r w:rsidRPr="00A735B4">
              <w:t>Characteristic</w:t>
            </w:r>
          </w:p>
        </w:tc>
        <w:tc>
          <w:tcPr>
            <w:tcW w:w="2024" w:type="dxa"/>
          </w:tcPr>
          <w:p w14:paraId="5E88DD0A" w14:textId="77777777" w:rsidR="00C4454D" w:rsidRPr="00A735B4" w:rsidRDefault="00C4454D" w:rsidP="00C4454D">
            <w:pPr>
              <w:spacing w:before="60" w:after="60"/>
              <w:ind w:left="-44" w:firstLine="44"/>
              <w:jc w:val="center"/>
            </w:pPr>
            <w:r w:rsidRPr="00A735B4">
              <w:t>Kenya</w:t>
            </w:r>
          </w:p>
        </w:tc>
        <w:tc>
          <w:tcPr>
            <w:tcW w:w="2029" w:type="dxa"/>
          </w:tcPr>
          <w:p w14:paraId="4394AA44" w14:textId="40ECC7AD" w:rsidR="00C4454D" w:rsidRPr="00A735B4" w:rsidRDefault="00C4454D" w:rsidP="00C4454D">
            <w:pPr>
              <w:jc w:val="center"/>
              <w:rPr>
                <w:b/>
                <w:color w:val="FFFFFF"/>
                <w:sz w:val="24"/>
                <w:szCs w:val="24"/>
              </w:rPr>
            </w:pPr>
            <w:r w:rsidRPr="00A735B4">
              <w:rPr>
                <w:b/>
                <w:color w:val="FFFFFF"/>
                <w:sz w:val="24"/>
                <w:szCs w:val="24"/>
              </w:rPr>
              <w:t>Tanzania</w:t>
            </w:r>
          </w:p>
        </w:tc>
        <w:tc>
          <w:tcPr>
            <w:tcW w:w="1879" w:type="dxa"/>
          </w:tcPr>
          <w:p w14:paraId="3954C02E" w14:textId="77777777" w:rsidR="00C4454D" w:rsidRPr="00A735B4" w:rsidRDefault="00C4454D" w:rsidP="00C4454D">
            <w:pPr>
              <w:spacing w:before="60" w:after="60"/>
              <w:ind w:left="-44" w:firstLine="44"/>
              <w:jc w:val="center"/>
            </w:pPr>
            <w:r w:rsidRPr="00A735B4">
              <w:t>Uganda</w:t>
            </w:r>
          </w:p>
        </w:tc>
        <w:tc>
          <w:tcPr>
            <w:tcW w:w="2023" w:type="dxa"/>
          </w:tcPr>
          <w:p w14:paraId="035D7783" w14:textId="77777777" w:rsidR="00C4454D" w:rsidRPr="00A735B4" w:rsidRDefault="00C4454D" w:rsidP="00C4454D">
            <w:pPr>
              <w:spacing w:before="60" w:after="60"/>
              <w:ind w:left="-44" w:firstLine="44"/>
              <w:jc w:val="center"/>
            </w:pPr>
            <w:r w:rsidRPr="00A735B4">
              <w:t>Rwanda</w:t>
            </w:r>
          </w:p>
        </w:tc>
        <w:tc>
          <w:tcPr>
            <w:tcW w:w="2019" w:type="dxa"/>
          </w:tcPr>
          <w:p w14:paraId="33BE850D" w14:textId="77777777" w:rsidR="00C4454D" w:rsidRPr="00A735B4" w:rsidRDefault="00C4454D" w:rsidP="00C4454D">
            <w:pPr>
              <w:spacing w:before="60" w:after="60"/>
              <w:ind w:left="-44" w:firstLine="44"/>
              <w:jc w:val="center"/>
            </w:pPr>
            <w:r w:rsidRPr="00A735B4">
              <w:t>Malawi</w:t>
            </w:r>
          </w:p>
        </w:tc>
        <w:tc>
          <w:tcPr>
            <w:tcW w:w="1439" w:type="dxa"/>
          </w:tcPr>
          <w:p w14:paraId="2F0320DC" w14:textId="77777777" w:rsidR="00C4454D" w:rsidRPr="00A735B4" w:rsidRDefault="00C4454D" w:rsidP="00C4454D">
            <w:pPr>
              <w:spacing w:before="60" w:after="60"/>
              <w:ind w:left="-44" w:firstLine="44"/>
              <w:jc w:val="center"/>
            </w:pPr>
            <w:r w:rsidRPr="00A735B4">
              <w:t>Zambia</w:t>
            </w:r>
          </w:p>
        </w:tc>
      </w:tr>
      <w:tr w:rsidR="00C4454D" w:rsidRPr="00A735B4" w14:paraId="272868E9" w14:textId="77777777" w:rsidTr="00C4454D">
        <w:tc>
          <w:tcPr>
            <w:tcW w:w="2167" w:type="dxa"/>
          </w:tcPr>
          <w:p w14:paraId="5EA44620" w14:textId="77777777" w:rsidR="00C4454D" w:rsidRPr="00A735B4" w:rsidRDefault="00C4454D" w:rsidP="00C4454D">
            <w:pPr>
              <w:spacing w:before="60" w:after="60"/>
            </w:pPr>
            <w:r w:rsidRPr="00A735B4">
              <w:t>Verification of solvency</w:t>
            </w:r>
          </w:p>
        </w:tc>
        <w:tc>
          <w:tcPr>
            <w:tcW w:w="2024" w:type="dxa"/>
          </w:tcPr>
          <w:p w14:paraId="5F231855" w14:textId="77777777" w:rsidR="00C4454D" w:rsidRPr="00A735B4" w:rsidRDefault="00C4454D" w:rsidP="00C4454D">
            <w:pPr>
              <w:spacing w:before="60" w:after="60"/>
            </w:pPr>
            <w:r w:rsidRPr="00A735B4">
              <w:t>$230 - $1,150</w:t>
            </w:r>
          </w:p>
        </w:tc>
        <w:tc>
          <w:tcPr>
            <w:tcW w:w="2029" w:type="dxa"/>
          </w:tcPr>
          <w:p w14:paraId="6069657F" w14:textId="77777777" w:rsidR="00C4454D" w:rsidRPr="00A735B4" w:rsidRDefault="00C4454D" w:rsidP="00C4454D">
            <w:pPr>
              <w:spacing w:before="60" w:after="60"/>
            </w:pPr>
            <w:r w:rsidRPr="00A735B4">
              <w:t>$1,030 - $3,900</w:t>
            </w:r>
          </w:p>
        </w:tc>
        <w:tc>
          <w:tcPr>
            <w:tcW w:w="1879" w:type="dxa"/>
          </w:tcPr>
          <w:p w14:paraId="46679333" w14:textId="77777777" w:rsidR="00C4454D" w:rsidRPr="00A735B4" w:rsidRDefault="00C4454D" w:rsidP="00C4454D">
            <w:pPr>
              <w:spacing w:before="60" w:after="60"/>
            </w:pPr>
            <w:r w:rsidRPr="00A735B4">
              <w:t>$562 - $2,630</w:t>
            </w:r>
          </w:p>
        </w:tc>
        <w:tc>
          <w:tcPr>
            <w:tcW w:w="2023" w:type="dxa"/>
          </w:tcPr>
          <w:p w14:paraId="0E86F21C" w14:textId="77777777" w:rsidR="00C4454D" w:rsidRPr="00A735B4" w:rsidRDefault="00C4454D" w:rsidP="00C4454D">
            <w:pPr>
              <w:spacing w:before="60" w:after="60"/>
            </w:pPr>
            <w:r w:rsidRPr="00A735B4">
              <w:t>$520 - $7350</w:t>
            </w:r>
          </w:p>
        </w:tc>
        <w:tc>
          <w:tcPr>
            <w:tcW w:w="2019" w:type="dxa"/>
          </w:tcPr>
          <w:p w14:paraId="6A02C2D5" w14:textId="77777777" w:rsidR="00C4454D" w:rsidRPr="00A735B4" w:rsidRDefault="00C4454D" w:rsidP="00C4454D">
            <w:pPr>
              <w:spacing w:before="60" w:after="60"/>
              <w:ind w:left="-44" w:firstLine="44"/>
            </w:pPr>
            <w:r w:rsidRPr="00A735B4">
              <w:t>$10,000 - $30,000</w:t>
            </w:r>
          </w:p>
        </w:tc>
        <w:tc>
          <w:tcPr>
            <w:tcW w:w="1439" w:type="dxa"/>
          </w:tcPr>
          <w:p w14:paraId="06F95B18" w14:textId="77777777" w:rsidR="00C4454D" w:rsidRPr="00A735B4" w:rsidRDefault="00C4454D" w:rsidP="00C4454D">
            <w:pPr>
              <w:spacing w:before="60" w:after="60"/>
            </w:pPr>
            <w:r w:rsidRPr="00A735B4">
              <w:t>$1,100 - $5,500</w:t>
            </w:r>
          </w:p>
        </w:tc>
      </w:tr>
      <w:tr w:rsidR="00C4454D" w:rsidRPr="00A735B4" w14:paraId="4EC1345A" w14:textId="77777777" w:rsidTr="00C4454D">
        <w:tc>
          <w:tcPr>
            <w:tcW w:w="2167" w:type="dxa"/>
          </w:tcPr>
          <w:p w14:paraId="544D672B" w14:textId="77777777" w:rsidR="00C4454D" w:rsidRPr="00A735B4" w:rsidRDefault="00C4454D" w:rsidP="00C4454D">
            <w:pPr>
              <w:spacing w:before="60" w:after="60"/>
              <w:ind w:left="-44"/>
            </w:pPr>
            <w:r w:rsidRPr="00A735B4">
              <w:t>Support loan application</w:t>
            </w:r>
          </w:p>
        </w:tc>
        <w:tc>
          <w:tcPr>
            <w:tcW w:w="2024" w:type="dxa"/>
          </w:tcPr>
          <w:p w14:paraId="387BC320" w14:textId="77777777" w:rsidR="00C4454D" w:rsidRPr="00A735B4" w:rsidRDefault="00C4454D" w:rsidP="00C4454D">
            <w:pPr>
              <w:spacing w:before="60" w:after="60"/>
            </w:pPr>
            <w:r w:rsidRPr="00A735B4">
              <w:t>$290 - $580</w:t>
            </w:r>
          </w:p>
        </w:tc>
        <w:tc>
          <w:tcPr>
            <w:tcW w:w="2029" w:type="dxa"/>
          </w:tcPr>
          <w:p w14:paraId="7EF968AE" w14:textId="77777777" w:rsidR="00C4454D" w:rsidRPr="00A735B4" w:rsidRDefault="00C4454D" w:rsidP="00C4454D">
            <w:pPr>
              <w:spacing w:before="60" w:after="60"/>
            </w:pPr>
            <w:r w:rsidRPr="00A735B4">
              <w:t>$1,030 - $3,900</w:t>
            </w:r>
          </w:p>
        </w:tc>
        <w:tc>
          <w:tcPr>
            <w:tcW w:w="1879" w:type="dxa"/>
          </w:tcPr>
          <w:p w14:paraId="4131D50B" w14:textId="77777777" w:rsidR="00C4454D" w:rsidRPr="00A735B4" w:rsidRDefault="00C4454D" w:rsidP="00C4454D">
            <w:pPr>
              <w:spacing w:before="60" w:after="60"/>
            </w:pPr>
            <w:r w:rsidRPr="00A735B4">
              <w:t>$940 - $1,900</w:t>
            </w:r>
          </w:p>
        </w:tc>
        <w:tc>
          <w:tcPr>
            <w:tcW w:w="2023" w:type="dxa"/>
          </w:tcPr>
          <w:p w14:paraId="2FC6EE53" w14:textId="77777777" w:rsidR="00C4454D" w:rsidRPr="00A735B4" w:rsidRDefault="00C4454D" w:rsidP="00C4454D">
            <w:pPr>
              <w:spacing w:before="60" w:after="60"/>
            </w:pPr>
            <w:r w:rsidRPr="00A735B4">
              <w:t>$520 - $10,000</w:t>
            </w:r>
          </w:p>
        </w:tc>
        <w:tc>
          <w:tcPr>
            <w:tcW w:w="2019" w:type="dxa"/>
          </w:tcPr>
          <w:p w14:paraId="7DB1AC22" w14:textId="77777777" w:rsidR="00C4454D" w:rsidRPr="00A735B4" w:rsidRDefault="00C4454D" w:rsidP="00C4454D">
            <w:pPr>
              <w:spacing w:before="60" w:after="60"/>
              <w:ind w:left="-44" w:firstLine="44"/>
            </w:pPr>
            <w:r w:rsidRPr="00A735B4">
              <w:t>$4,250 - $51,250</w:t>
            </w:r>
          </w:p>
        </w:tc>
        <w:tc>
          <w:tcPr>
            <w:tcW w:w="1439" w:type="dxa"/>
          </w:tcPr>
          <w:p w14:paraId="24258738" w14:textId="77777777" w:rsidR="00C4454D" w:rsidRPr="00A735B4" w:rsidRDefault="00C4454D" w:rsidP="00C4454D">
            <w:pPr>
              <w:spacing w:before="60" w:after="60"/>
            </w:pPr>
            <w:r w:rsidRPr="00A735B4">
              <w:t>$890 - $5,500</w:t>
            </w:r>
          </w:p>
        </w:tc>
      </w:tr>
      <w:tr w:rsidR="00C4454D" w:rsidRPr="00A735B4" w14:paraId="38CEE730" w14:textId="77777777" w:rsidTr="00C4454D">
        <w:tc>
          <w:tcPr>
            <w:tcW w:w="2167" w:type="dxa"/>
          </w:tcPr>
          <w:p w14:paraId="650245B2" w14:textId="77777777" w:rsidR="00C4454D" w:rsidRPr="00A735B4" w:rsidRDefault="00C4454D" w:rsidP="00C4454D">
            <w:pPr>
              <w:spacing w:before="60" w:after="60"/>
              <w:ind w:left="-44" w:firstLine="44"/>
            </w:pPr>
            <w:r w:rsidRPr="00A735B4">
              <w:t>Audit</w:t>
            </w:r>
          </w:p>
        </w:tc>
        <w:tc>
          <w:tcPr>
            <w:tcW w:w="2024" w:type="dxa"/>
          </w:tcPr>
          <w:p w14:paraId="2338B82D" w14:textId="77777777" w:rsidR="00C4454D" w:rsidRPr="00A735B4" w:rsidRDefault="00C4454D" w:rsidP="00C4454D">
            <w:pPr>
              <w:spacing w:before="60" w:after="60"/>
            </w:pPr>
            <w:r w:rsidRPr="00A735B4">
              <w:t>$290 - $920</w:t>
            </w:r>
          </w:p>
        </w:tc>
        <w:tc>
          <w:tcPr>
            <w:tcW w:w="2029" w:type="dxa"/>
          </w:tcPr>
          <w:p w14:paraId="51FE4926" w14:textId="77777777" w:rsidR="00C4454D" w:rsidRPr="00A735B4" w:rsidRDefault="00C4454D" w:rsidP="00C4454D">
            <w:pPr>
              <w:spacing w:before="60" w:after="60"/>
            </w:pPr>
            <w:r w:rsidRPr="00A735B4">
              <w:t>$12,100 - $29,500</w:t>
            </w:r>
          </w:p>
        </w:tc>
        <w:tc>
          <w:tcPr>
            <w:tcW w:w="1879" w:type="dxa"/>
          </w:tcPr>
          <w:p w14:paraId="2349167D" w14:textId="77777777" w:rsidR="00C4454D" w:rsidRPr="00A735B4" w:rsidRDefault="00C4454D" w:rsidP="00C4454D">
            <w:pPr>
              <w:spacing w:before="60" w:after="60"/>
            </w:pPr>
            <w:r w:rsidRPr="00A735B4">
              <w:t>$1,125 - $1,900</w:t>
            </w:r>
          </w:p>
        </w:tc>
        <w:tc>
          <w:tcPr>
            <w:tcW w:w="2023" w:type="dxa"/>
          </w:tcPr>
          <w:p w14:paraId="45F09187" w14:textId="77777777" w:rsidR="00C4454D" w:rsidRPr="00A735B4" w:rsidRDefault="00C4454D" w:rsidP="00C4454D">
            <w:pPr>
              <w:spacing w:before="60" w:after="60"/>
            </w:pPr>
            <w:r w:rsidRPr="00A735B4">
              <w:t>$294 - $10,300</w:t>
            </w:r>
          </w:p>
        </w:tc>
        <w:tc>
          <w:tcPr>
            <w:tcW w:w="2019" w:type="dxa"/>
          </w:tcPr>
          <w:p w14:paraId="390BB2E6" w14:textId="77777777" w:rsidR="00C4454D" w:rsidRPr="00A735B4" w:rsidRDefault="00C4454D" w:rsidP="00C4454D">
            <w:pPr>
              <w:spacing w:before="60" w:after="60"/>
              <w:ind w:left="-44" w:firstLine="44"/>
            </w:pPr>
            <w:r w:rsidRPr="00A735B4">
              <w:t>$6,900 - $ 37,500</w:t>
            </w:r>
          </w:p>
        </w:tc>
        <w:tc>
          <w:tcPr>
            <w:tcW w:w="1439" w:type="dxa"/>
          </w:tcPr>
          <w:p w14:paraId="10DAE6A4" w14:textId="77777777" w:rsidR="00C4454D" w:rsidRPr="00A735B4" w:rsidRDefault="00C4454D" w:rsidP="00C4454D">
            <w:pPr>
              <w:spacing w:before="60" w:after="60"/>
            </w:pPr>
            <w:r w:rsidRPr="00A735B4">
              <w:t>$1,100 - $8,850</w:t>
            </w:r>
          </w:p>
        </w:tc>
      </w:tr>
      <w:tr w:rsidR="00C4454D" w:rsidRPr="00A735B4" w14:paraId="2E3E7A1A" w14:textId="77777777" w:rsidTr="00C4454D">
        <w:tc>
          <w:tcPr>
            <w:tcW w:w="2167" w:type="dxa"/>
          </w:tcPr>
          <w:p w14:paraId="7487EC75" w14:textId="77777777" w:rsidR="00C4454D" w:rsidRPr="00A735B4" w:rsidRDefault="00C4454D" w:rsidP="00C4454D">
            <w:pPr>
              <w:spacing w:before="60" w:after="60"/>
              <w:ind w:left="-44" w:firstLine="44"/>
            </w:pPr>
            <w:r w:rsidRPr="00A735B4">
              <w:t>File tax returns</w:t>
            </w:r>
          </w:p>
        </w:tc>
        <w:tc>
          <w:tcPr>
            <w:tcW w:w="2024" w:type="dxa"/>
          </w:tcPr>
          <w:p w14:paraId="1D874469" w14:textId="77777777" w:rsidR="00C4454D" w:rsidRPr="00A735B4" w:rsidRDefault="00C4454D" w:rsidP="00C4454D">
            <w:pPr>
              <w:spacing w:before="60" w:after="60"/>
            </w:pPr>
            <w:r w:rsidRPr="00A735B4">
              <w:t>$115 - $920</w:t>
            </w:r>
          </w:p>
        </w:tc>
        <w:tc>
          <w:tcPr>
            <w:tcW w:w="2029" w:type="dxa"/>
          </w:tcPr>
          <w:p w14:paraId="69582604" w14:textId="77777777" w:rsidR="00C4454D" w:rsidRPr="00A735B4" w:rsidRDefault="00C4454D" w:rsidP="00C4454D">
            <w:pPr>
              <w:spacing w:before="60" w:after="60"/>
              <w:ind w:left="-44" w:firstLine="44"/>
            </w:pPr>
            <w:r w:rsidRPr="00A735B4">
              <w:t>$600 - $2,400</w:t>
            </w:r>
          </w:p>
        </w:tc>
        <w:tc>
          <w:tcPr>
            <w:tcW w:w="1879" w:type="dxa"/>
          </w:tcPr>
          <w:p w14:paraId="75B7584B" w14:textId="77777777" w:rsidR="00C4454D" w:rsidRPr="00A735B4" w:rsidRDefault="00C4454D" w:rsidP="00C4454D">
            <w:pPr>
              <w:spacing w:before="60" w:after="60"/>
            </w:pPr>
            <w:r w:rsidRPr="00A735B4">
              <w:t>$187 - $3,750</w:t>
            </w:r>
          </w:p>
        </w:tc>
        <w:tc>
          <w:tcPr>
            <w:tcW w:w="2023" w:type="dxa"/>
          </w:tcPr>
          <w:p w14:paraId="15C32438" w14:textId="77777777" w:rsidR="00C4454D" w:rsidRPr="00A735B4" w:rsidRDefault="00C4454D" w:rsidP="00C4454D">
            <w:pPr>
              <w:spacing w:before="60" w:after="60"/>
            </w:pPr>
            <w:r w:rsidRPr="00A735B4">
              <w:t>$220 - $2,940</w:t>
            </w:r>
          </w:p>
        </w:tc>
        <w:tc>
          <w:tcPr>
            <w:tcW w:w="2019" w:type="dxa"/>
          </w:tcPr>
          <w:p w14:paraId="7A512C44" w14:textId="77777777" w:rsidR="00C4454D" w:rsidRPr="00A735B4" w:rsidRDefault="00C4454D" w:rsidP="00C4454D">
            <w:pPr>
              <w:spacing w:before="60" w:after="60"/>
              <w:ind w:left="-44" w:firstLine="44"/>
            </w:pPr>
            <w:r w:rsidRPr="00A735B4">
              <w:t>$2,460 - $9,850</w:t>
            </w:r>
          </w:p>
        </w:tc>
        <w:tc>
          <w:tcPr>
            <w:tcW w:w="1439" w:type="dxa"/>
          </w:tcPr>
          <w:p w14:paraId="171C2830" w14:textId="77777777" w:rsidR="00C4454D" w:rsidRPr="00A735B4" w:rsidRDefault="00C4454D" w:rsidP="00C4454D">
            <w:pPr>
              <w:spacing w:before="60" w:after="60"/>
            </w:pPr>
            <w:r w:rsidRPr="00A735B4">
              <w:t>$1,100 - 3,870</w:t>
            </w:r>
          </w:p>
        </w:tc>
      </w:tr>
    </w:tbl>
    <w:p w14:paraId="2DDF07EB" w14:textId="77777777" w:rsidR="00C4454D" w:rsidRPr="00A735B4" w:rsidRDefault="00C4454D" w:rsidP="00C4454D"/>
    <w:p w14:paraId="603F9F5B" w14:textId="77777777" w:rsidR="00C4454D" w:rsidRPr="00A735B4" w:rsidRDefault="00C4454D" w:rsidP="00C4454D">
      <w:pPr>
        <w:numPr>
          <w:ilvl w:val="0"/>
          <w:numId w:val="16"/>
        </w:numPr>
        <w:sectPr w:rsidR="00C4454D" w:rsidRPr="00A735B4" w:rsidSect="00C4454D">
          <w:pgSz w:w="16839" w:h="11907" w:orient="landscape" w:code="9"/>
          <w:pgMar w:top="1440" w:right="1629" w:bottom="1440" w:left="1170" w:header="720" w:footer="580" w:gutter="0"/>
          <w:cols w:space="720"/>
          <w:docGrid w:linePitch="360"/>
        </w:sectPr>
      </w:pPr>
    </w:p>
    <w:p w14:paraId="03D14FDD" w14:textId="5EDD3380" w:rsidR="00C4454D" w:rsidRPr="00A735B4" w:rsidRDefault="00C4454D" w:rsidP="00C4454D">
      <w:bookmarkStart w:id="141" w:name="_Toc419565272"/>
      <w:r w:rsidRPr="00A735B4">
        <w:lastRenderedPageBreak/>
        <w:t>C.8  Conclusion and next steps</w:t>
      </w:r>
      <w:bookmarkEnd w:id="141"/>
    </w:p>
    <w:p w14:paraId="0FF170AF" w14:textId="77777777" w:rsidR="00C4454D" w:rsidRPr="00A735B4" w:rsidRDefault="00C4454D" w:rsidP="00C4454D">
      <w:pPr>
        <w:spacing w:after="200" w:line="276" w:lineRule="auto"/>
        <w:rPr>
          <w:b/>
        </w:rPr>
      </w:pPr>
    </w:p>
    <w:p w14:paraId="3C7CA12C" w14:textId="6555C304" w:rsidR="00C4454D" w:rsidRPr="00A735B4" w:rsidRDefault="00C4454D" w:rsidP="00C4454D">
      <w:pPr>
        <w:spacing w:after="200" w:line="276" w:lineRule="auto"/>
        <w:ind w:left="360"/>
        <w:jc w:val="both"/>
      </w:pPr>
      <w:r w:rsidRPr="00A735B4">
        <w:t xml:space="preserve">The pilot survey, which aimed to gather data on the usage and prices of standardized services, delivered valuable insights into the three examined sectors. The banking survey results seem to be the most reliable outcomes. By contrast, it seems that the insurance and accounting survey results are less dependable. For example, there was a wide variation in the responses of accountancy firms, possibly driven by different underlying assumptions regarding the services offered to clients. And although the survey looked at the formal supply side, in practice many MSMEs will use a local accountant informally, paying much lower prices than those quoted here. </w:t>
      </w:r>
    </w:p>
    <w:p w14:paraId="143FE649" w14:textId="77777777" w:rsidR="00C4454D" w:rsidRPr="00A735B4" w:rsidRDefault="00C4454D" w:rsidP="00C4454D">
      <w:pPr>
        <w:spacing w:after="200" w:line="276" w:lineRule="auto"/>
        <w:ind w:left="360"/>
        <w:jc w:val="both"/>
      </w:pPr>
    </w:p>
    <w:p w14:paraId="06467B50" w14:textId="77777777" w:rsidR="00C4454D" w:rsidRPr="00A735B4" w:rsidRDefault="00C4454D" w:rsidP="00C4454D">
      <w:pPr>
        <w:spacing w:after="200" w:line="276" w:lineRule="auto"/>
        <w:ind w:left="360"/>
        <w:jc w:val="both"/>
        <w:sectPr w:rsidR="00C4454D" w:rsidRPr="00A735B4" w:rsidSect="00C4454D">
          <w:footerReference w:type="default" r:id="rId40"/>
          <w:pgSz w:w="12240" w:h="15840"/>
          <w:pgMar w:top="1440" w:right="1440" w:bottom="1440" w:left="1440" w:header="720" w:footer="720" w:gutter="0"/>
          <w:cols w:space="720"/>
          <w:docGrid w:linePitch="360"/>
        </w:sectPr>
      </w:pPr>
    </w:p>
    <w:p w14:paraId="72723511" w14:textId="5F6379DA" w:rsidR="00C4454D" w:rsidRPr="00A735B4" w:rsidRDefault="00C4454D" w:rsidP="00C4454D">
      <w:pPr>
        <w:spacing w:after="200" w:line="276" w:lineRule="auto"/>
        <w:ind w:left="360"/>
        <w:jc w:val="both"/>
      </w:pPr>
      <w:r w:rsidRPr="00A735B4">
        <w:lastRenderedPageBreak/>
        <w:t>To increase the reliability of the data, it is therefore proposed to focus any follow-up surveys on banking services and concentrate on the key areas of interest in the following table:</w:t>
      </w:r>
      <w:r w:rsidRPr="00A735B4">
        <w:endnoteReference w:id="20"/>
      </w:r>
      <w:r w:rsidRPr="00A735B4">
        <w:t xml:space="preserve"> </w:t>
      </w:r>
    </w:p>
    <w:p w14:paraId="226AB002" w14:textId="77777777" w:rsidR="00C4454D" w:rsidRPr="00A735B4" w:rsidRDefault="00C4454D" w:rsidP="00C4454D">
      <w:pPr>
        <w:spacing w:after="200" w:line="276" w:lineRule="auto"/>
        <w:ind w:left="360"/>
        <w:jc w:val="both"/>
      </w:pPr>
    </w:p>
    <w:p w14:paraId="71EF06AE" w14:textId="77777777" w:rsidR="00C4454D" w:rsidRPr="00A735B4" w:rsidRDefault="00C4454D" w:rsidP="00C4454D">
      <w:pPr>
        <w:spacing w:after="200" w:line="276" w:lineRule="auto"/>
        <w:ind w:left="360"/>
        <w:jc w:val="both"/>
      </w:pPr>
      <w:r w:rsidRPr="00A735B4">
        <w:rPr>
          <w:noProof/>
        </w:rPr>
        <w:drawing>
          <wp:inline distT="0" distB="0" distL="0" distR="0" wp14:anchorId="514F92AB" wp14:editId="74BA8BAD">
            <wp:extent cx="5732145" cy="2496010"/>
            <wp:effectExtent l="0" t="0" r="1905" b="0"/>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32145" cy="2496010"/>
                    </a:xfrm>
                    <a:prstGeom prst="rect">
                      <a:avLst/>
                    </a:prstGeom>
                    <a:noFill/>
                    <a:ln>
                      <a:noFill/>
                    </a:ln>
                  </pic:spPr>
                </pic:pic>
              </a:graphicData>
            </a:graphic>
          </wp:inline>
        </w:drawing>
      </w:r>
    </w:p>
    <w:p w14:paraId="79E025C3" w14:textId="77777777" w:rsidR="00C4454D" w:rsidRPr="00A735B4" w:rsidRDefault="00C4454D" w:rsidP="00C4454D">
      <w:pPr>
        <w:autoSpaceDE w:val="0"/>
        <w:autoSpaceDN w:val="0"/>
        <w:adjustRightInd w:val="0"/>
        <w:rPr>
          <w:bCs/>
        </w:rPr>
      </w:pPr>
      <w:r w:rsidRPr="00A735B4">
        <w:rPr>
          <w:bCs/>
        </w:rPr>
        <w:t xml:space="preserve">In addition, the following issues would need to be factored in: </w:t>
      </w:r>
    </w:p>
    <w:p w14:paraId="2715A10D" w14:textId="77777777" w:rsidR="00C4454D" w:rsidRPr="00A735B4" w:rsidRDefault="00C4454D" w:rsidP="00C4454D">
      <w:pPr>
        <w:autoSpaceDE w:val="0"/>
        <w:autoSpaceDN w:val="0"/>
        <w:adjustRightInd w:val="0"/>
      </w:pPr>
    </w:p>
    <w:p w14:paraId="03D04944" w14:textId="181FE8F5" w:rsidR="00C4454D" w:rsidRPr="00A735B4" w:rsidRDefault="00C4454D" w:rsidP="00C4454D">
      <w:pPr>
        <w:numPr>
          <w:ilvl w:val="0"/>
          <w:numId w:val="17"/>
        </w:numPr>
        <w:autoSpaceDE w:val="0"/>
        <w:autoSpaceDN w:val="0"/>
        <w:adjustRightInd w:val="0"/>
        <w:spacing w:after="259"/>
        <w:ind w:firstLine="0"/>
        <w:jc w:val="both"/>
      </w:pPr>
      <w:r w:rsidRPr="00A735B4">
        <w:t xml:space="preserve">Minimum opening and/or monthly balance requirements provide a useful indicator regarding the banks’ interest in providing services to MSMEs. </w:t>
      </w:r>
    </w:p>
    <w:p w14:paraId="68976B80" w14:textId="53033E6F" w:rsidR="00C4454D" w:rsidRPr="00A735B4" w:rsidRDefault="00C4454D" w:rsidP="00C4454D">
      <w:pPr>
        <w:numPr>
          <w:ilvl w:val="0"/>
          <w:numId w:val="17"/>
        </w:numPr>
        <w:autoSpaceDE w:val="0"/>
        <w:autoSpaceDN w:val="0"/>
        <w:adjustRightInd w:val="0"/>
        <w:spacing w:after="259"/>
        <w:ind w:firstLine="0"/>
        <w:jc w:val="both"/>
      </w:pPr>
      <w:r w:rsidRPr="00A735B4">
        <w:t xml:space="preserve">Transaction fees provide probably the most critical data for SMEs (RTGS, domestic and foreign transfers, spread on buying and selling US$500 foreign exchange) and MMEs (cost of mobile money transfers). </w:t>
      </w:r>
    </w:p>
    <w:p w14:paraId="1403F760" w14:textId="77777777" w:rsidR="00C4454D" w:rsidRPr="00A735B4" w:rsidRDefault="00C4454D" w:rsidP="00C4454D">
      <w:pPr>
        <w:numPr>
          <w:ilvl w:val="0"/>
          <w:numId w:val="17"/>
        </w:numPr>
        <w:autoSpaceDE w:val="0"/>
        <w:autoSpaceDN w:val="0"/>
        <w:adjustRightInd w:val="0"/>
        <w:spacing w:after="259"/>
        <w:ind w:firstLine="0"/>
        <w:jc w:val="both"/>
      </w:pPr>
      <w:r w:rsidRPr="00A735B4">
        <w:lastRenderedPageBreak/>
        <w:t xml:space="preserve">A major factor that frequently inhibits MSMEs’ access to credit are the requirements for collateral, which the majority of MSMEs are unable to provide. The surveys should therefore include specific queries relating to the following: </w:t>
      </w:r>
    </w:p>
    <w:p w14:paraId="7735EA99" w14:textId="4C7DE4BB" w:rsidR="00C4454D" w:rsidRPr="00A735B4" w:rsidRDefault="00C4454D" w:rsidP="00C4454D">
      <w:pPr>
        <w:numPr>
          <w:ilvl w:val="1"/>
          <w:numId w:val="17"/>
        </w:numPr>
        <w:autoSpaceDE w:val="0"/>
        <w:autoSpaceDN w:val="0"/>
        <w:adjustRightInd w:val="0"/>
        <w:spacing w:after="259"/>
        <w:ind w:firstLine="0"/>
        <w:jc w:val="both"/>
      </w:pPr>
      <w:r w:rsidRPr="00A735B4">
        <w:t xml:space="preserve">Loans: typical, collateral required </w:t>
      </w:r>
    </w:p>
    <w:p w14:paraId="6A75EFC8" w14:textId="418870E2" w:rsidR="00C4454D" w:rsidRPr="00A735B4" w:rsidRDefault="00C4454D" w:rsidP="00C4454D">
      <w:pPr>
        <w:numPr>
          <w:ilvl w:val="1"/>
          <w:numId w:val="17"/>
        </w:numPr>
        <w:autoSpaceDE w:val="0"/>
        <w:autoSpaceDN w:val="0"/>
        <w:adjustRightInd w:val="0"/>
        <w:spacing w:after="259"/>
        <w:ind w:firstLine="0"/>
        <w:jc w:val="both"/>
      </w:pPr>
      <w:r w:rsidRPr="00A735B4">
        <w:t>Working capital: what collateral is required and/or what other risk mitigation is undertaken</w:t>
      </w:r>
    </w:p>
    <w:p w14:paraId="497CC3C4" w14:textId="27E44894" w:rsidR="00C4454D" w:rsidRPr="00A735B4" w:rsidRDefault="00C4454D" w:rsidP="00C4454D">
      <w:pPr>
        <w:numPr>
          <w:ilvl w:val="1"/>
          <w:numId w:val="17"/>
        </w:numPr>
        <w:autoSpaceDE w:val="0"/>
        <w:autoSpaceDN w:val="0"/>
        <w:adjustRightInd w:val="0"/>
        <w:spacing w:after="259"/>
        <w:ind w:firstLine="0"/>
        <w:jc w:val="both"/>
      </w:pPr>
      <w:r w:rsidRPr="00A735B4">
        <w:t xml:space="preserve">Unsecured lending: if this is offered, the risk mitigation undertaken. </w:t>
      </w:r>
    </w:p>
    <w:p w14:paraId="526F168F" w14:textId="77777777" w:rsidR="00C4454D" w:rsidRPr="00A735B4" w:rsidRDefault="00C4454D" w:rsidP="00C4454D">
      <w:pPr>
        <w:numPr>
          <w:ilvl w:val="0"/>
          <w:numId w:val="17"/>
        </w:numPr>
        <w:autoSpaceDE w:val="0"/>
        <w:autoSpaceDN w:val="0"/>
        <w:adjustRightInd w:val="0"/>
        <w:spacing w:after="259"/>
        <w:ind w:firstLine="0"/>
        <w:jc w:val="both"/>
      </w:pPr>
      <w:r w:rsidRPr="00A735B4">
        <w:t xml:space="preserve">The survey questions about bank lending elicited little useful information. One possible explanation is that any individual lending transaction will depend on the specific characteristics of the loan application (quality of client, type of application, industry or sector, amount, collateral, existing client relationship, etc.) It is therefore difficult, or impossible, to provide meaningful responses on lending to a generic survey questionnaire. </w:t>
      </w:r>
    </w:p>
    <w:p w14:paraId="0AC15C6C" w14:textId="77777777" w:rsidR="00C4454D" w:rsidRPr="00A735B4" w:rsidRDefault="00C4454D" w:rsidP="00C4454D">
      <w:pPr>
        <w:numPr>
          <w:ilvl w:val="0"/>
          <w:numId w:val="17"/>
        </w:numPr>
        <w:autoSpaceDE w:val="0"/>
        <w:autoSpaceDN w:val="0"/>
        <w:adjustRightInd w:val="0"/>
        <w:spacing w:after="259"/>
        <w:ind w:firstLine="0"/>
        <w:jc w:val="both"/>
      </w:pPr>
      <w:r w:rsidRPr="00A735B4">
        <w:t xml:space="preserve">However, it would be possible to obtain useful information on the cost of lending, real lending rates, by collecting the following data: </w:t>
      </w:r>
    </w:p>
    <w:p w14:paraId="37034100" w14:textId="77777777" w:rsidR="00C4454D" w:rsidRPr="00A735B4" w:rsidRDefault="00C4454D" w:rsidP="00C4454D">
      <w:pPr>
        <w:numPr>
          <w:ilvl w:val="1"/>
          <w:numId w:val="17"/>
        </w:numPr>
        <w:autoSpaceDE w:val="0"/>
        <w:autoSpaceDN w:val="0"/>
        <w:adjustRightInd w:val="0"/>
        <w:spacing w:after="259"/>
        <w:ind w:firstLine="0"/>
        <w:jc w:val="both"/>
      </w:pPr>
      <w:r w:rsidRPr="00A735B4">
        <w:t xml:space="preserve">Bank base rate for each bank in the country (perhaps calculate the weighted average) </w:t>
      </w:r>
    </w:p>
    <w:p w14:paraId="12E16575" w14:textId="49ECBF91" w:rsidR="00C4454D" w:rsidRPr="00A735B4" w:rsidRDefault="00C4454D" w:rsidP="00C4454D">
      <w:pPr>
        <w:numPr>
          <w:ilvl w:val="1"/>
          <w:numId w:val="17"/>
        </w:numPr>
        <w:autoSpaceDE w:val="0"/>
        <w:autoSpaceDN w:val="0"/>
        <w:adjustRightInd w:val="0"/>
        <w:spacing w:after="259"/>
        <w:ind w:firstLine="0"/>
        <w:jc w:val="both"/>
      </w:pPr>
      <w:r w:rsidRPr="00A735B4">
        <w:t xml:space="preserve">An indication obtained from each bank on the range of margins they might charge over the base rate.  </w:t>
      </w:r>
    </w:p>
    <w:p w14:paraId="6BFE05C7" w14:textId="4ED4A969" w:rsidR="00C4454D" w:rsidRPr="00A735B4" w:rsidRDefault="00C4454D" w:rsidP="00C4454D">
      <w:pPr>
        <w:numPr>
          <w:ilvl w:val="0"/>
          <w:numId w:val="17"/>
        </w:numPr>
        <w:autoSpaceDE w:val="0"/>
        <w:autoSpaceDN w:val="0"/>
        <w:adjustRightInd w:val="0"/>
        <w:spacing w:after="265"/>
        <w:ind w:firstLine="0"/>
        <w:jc w:val="both"/>
      </w:pPr>
      <w:r w:rsidRPr="00A735B4">
        <w:t xml:space="preserve">To obtain more useful information on how banks deal with MSMEs, it is suggested to develop “standard situation” surveys. For example, a survey would ask </w:t>
      </w:r>
      <w:r w:rsidRPr="00A735B4">
        <w:rPr>
          <w:iCs/>
        </w:rPr>
        <w:t xml:space="preserve">how the bank would respond to a small enterprise (existing client with no real estate assets) for the following: (i) interest rate, (ii) collateral requirements, (iii) fees, and (iv) time required to process and approve the support requested, where the client enterprise: </w:t>
      </w:r>
    </w:p>
    <w:p w14:paraId="0B30A00D" w14:textId="4F73F7E9" w:rsidR="00C4454D" w:rsidRPr="00A735B4" w:rsidRDefault="00C4454D" w:rsidP="00C4454D">
      <w:pPr>
        <w:numPr>
          <w:ilvl w:val="1"/>
          <w:numId w:val="17"/>
        </w:numPr>
        <w:autoSpaceDE w:val="0"/>
        <w:autoSpaceDN w:val="0"/>
        <w:adjustRightInd w:val="0"/>
        <w:spacing w:after="265"/>
        <w:ind w:firstLine="0"/>
        <w:jc w:val="both"/>
      </w:pPr>
      <w:r w:rsidRPr="00A735B4">
        <w:rPr>
          <w:iCs/>
        </w:rPr>
        <w:t xml:space="preserve">Seeks working capital of US$50,000 </w:t>
      </w:r>
    </w:p>
    <w:p w14:paraId="6378D6D5" w14:textId="5CEDB337" w:rsidR="00C4454D" w:rsidRPr="00A735B4" w:rsidRDefault="00C4454D" w:rsidP="00C4454D">
      <w:pPr>
        <w:numPr>
          <w:ilvl w:val="1"/>
          <w:numId w:val="17"/>
        </w:numPr>
        <w:autoSpaceDE w:val="0"/>
        <w:autoSpaceDN w:val="0"/>
        <w:adjustRightInd w:val="0"/>
        <w:spacing w:after="265"/>
        <w:ind w:firstLine="0"/>
        <w:jc w:val="both"/>
      </w:pPr>
      <w:r w:rsidRPr="00A735B4">
        <w:rPr>
          <w:iCs/>
        </w:rPr>
        <w:t xml:space="preserve">Seeks to open a letter of credit (LC) for imports of US$100,000 </w:t>
      </w:r>
    </w:p>
    <w:p w14:paraId="2DD6877E" w14:textId="26012A36" w:rsidR="00C4454D" w:rsidRPr="00A735B4" w:rsidRDefault="00C4454D" w:rsidP="00C4454D">
      <w:pPr>
        <w:numPr>
          <w:ilvl w:val="1"/>
          <w:numId w:val="17"/>
        </w:numPr>
        <w:autoSpaceDE w:val="0"/>
        <w:autoSpaceDN w:val="0"/>
        <w:adjustRightInd w:val="0"/>
        <w:spacing w:after="265"/>
        <w:ind w:firstLine="0"/>
        <w:jc w:val="both"/>
      </w:pPr>
      <w:r w:rsidRPr="00A735B4">
        <w:rPr>
          <w:iCs/>
        </w:rPr>
        <w:t xml:space="preserve">Asks for document financing for goods of US$100,000 to be imported under the LC </w:t>
      </w:r>
    </w:p>
    <w:p w14:paraId="1A18A5A6" w14:textId="15BD1C4E" w:rsidR="00C4454D" w:rsidRPr="00A735B4" w:rsidRDefault="00C4454D" w:rsidP="00C4454D">
      <w:pPr>
        <w:numPr>
          <w:ilvl w:val="1"/>
          <w:numId w:val="17"/>
        </w:numPr>
        <w:autoSpaceDE w:val="0"/>
        <w:autoSpaceDN w:val="0"/>
        <w:adjustRightInd w:val="0"/>
        <w:spacing w:after="265"/>
        <w:ind w:firstLine="0"/>
        <w:jc w:val="both"/>
      </w:pPr>
      <w:r w:rsidRPr="00A735B4">
        <w:rPr>
          <w:iCs/>
        </w:rPr>
        <w:t xml:space="preserve">Asks for export finance (shipment under LC to, say, the Middle East). </w:t>
      </w:r>
    </w:p>
    <w:p w14:paraId="3E977F9C" w14:textId="28AC8486" w:rsidR="00C4454D" w:rsidRPr="00A735B4" w:rsidRDefault="00C4454D" w:rsidP="00C4454D">
      <w:pPr>
        <w:numPr>
          <w:ilvl w:val="0"/>
          <w:numId w:val="17"/>
        </w:numPr>
        <w:autoSpaceDE w:val="0"/>
        <w:autoSpaceDN w:val="0"/>
        <w:adjustRightInd w:val="0"/>
        <w:spacing w:after="265"/>
        <w:ind w:firstLine="0"/>
        <w:jc w:val="both"/>
      </w:pPr>
      <w:r w:rsidRPr="00A735B4">
        <w:t>For future collection of data, it is recommended to continue to use a mix of mystery visits and face-to-face interviews.</w:t>
      </w:r>
    </w:p>
    <w:p w14:paraId="13D1B51F" w14:textId="008B96B8" w:rsidR="00C4454D" w:rsidRPr="00A735B4" w:rsidRDefault="00C4454D" w:rsidP="00C4454D">
      <w:pPr>
        <w:spacing w:after="200" w:line="276" w:lineRule="auto"/>
        <w:rPr>
          <w:b/>
        </w:rPr>
      </w:pPr>
      <w:r w:rsidRPr="00A735B4">
        <w:rPr>
          <w:b/>
        </w:rPr>
        <w:lastRenderedPageBreak/>
        <w:t>Pilot</w:t>
      </w:r>
    </w:p>
    <w:p w14:paraId="6F1E2E1E" w14:textId="649F393E" w:rsidR="00C4454D" w:rsidRPr="00A735B4" w:rsidRDefault="00C4454D" w:rsidP="00C4454D">
      <w:pPr>
        <w:tabs>
          <w:tab w:val="num" w:pos="720"/>
        </w:tabs>
        <w:spacing w:after="200" w:line="276" w:lineRule="auto"/>
        <w:jc w:val="both"/>
      </w:pPr>
      <w:r w:rsidRPr="00A735B4">
        <w:t>Prior to the fieldwork, a pilot was done in Kenya, targeting 15 businesses (5 banks, 5 insurance companies, and 5 accounting firms). The pilot was used for the following:</w:t>
      </w:r>
    </w:p>
    <w:p w14:paraId="73DC1627" w14:textId="4B63DF5B" w:rsidR="00C4454D" w:rsidRPr="00A735B4" w:rsidRDefault="00C4454D" w:rsidP="00C4454D">
      <w:pPr>
        <w:numPr>
          <w:ilvl w:val="0"/>
          <w:numId w:val="18"/>
        </w:numPr>
        <w:spacing w:after="200" w:line="276" w:lineRule="auto"/>
        <w:jc w:val="both"/>
      </w:pPr>
      <w:r w:rsidRPr="00A735B4">
        <w:t>The pilot tested the questionnaires and evaluated which information should be collected and whether the questions were designed correctly to capture complete and essential information.</w:t>
      </w:r>
    </w:p>
    <w:p w14:paraId="5D4ACDAD" w14:textId="5C7132A3" w:rsidR="00C4454D" w:rsidRPr="00A735B4" w:rsidRDefault="00C4454D" w:rsidP="00C4454D">
      <w:pPr>
        <w:numPr>
          <w:ilvl w:val="0"/>
          <w:numId w:val="18"/>
        </w:numPr>
        <w:spacing w:after="200" w:line="276" w:lineRule="auto"/>
        <w:jc w:val="both"/>
      </w:pPr>
      <w:r w:rsidRPr="00A735B4">
        <w:t>The pilot identified the right target respondents. Which firm representatives should be approached for an interview, and what was the most efficient way to get price information?</w:t>
      </w:r>
    </w:p>
    <w:p w14:paraId="19C15B43" w14:textId="7697649D" w:rsidR="00C4454D" w:rsidRPr="00A735B4" w:rsidRDefault="00C4454D" w:rsidP="00C4454D">
      <w:pPr>
        <w:numPr>
          <w:ilvl w:val="0"/>
          <w:numId w:val="18"/>
        </w:numPr>
        <w:spacing w:after="200" w:line="276" w:lineRule="auto"/>
        <w:jc w:val="both"/>
      </w:pPr>
      <w:r w:rsidRPr="00A735B4">
        <w:t xml:space="preserve">The pilot checked the comparability of the data. Which products and services are standard and which values (transaction values, insurance covers, turnover, etc.) should be used to compare products and services across providers and countries? </w:t>
      </w:r>
    </w:p>
    <w:p w14:paraId="29D6E505" w14:textId="77777777" w:rsidR="00C4454D" w:rsidRPr="00A735B4" w:rsidRDefault="00C4454D" w:rsidP="00C4454D">
      <w:pPr>
        <w:tabs>
          <w:tab w:val="num" w:pos="720"/>
        </w:tabs>
        <w:spacing w:after="200" w:line="276" w:lineRule="auto"/>
        <w:jc w:val="both"/>
      </w:pPr>
      <w:r w:rsidRPr="00A735B4">
        <w:t>After the pilot, the tools were revised and best practices were implemented.</w:t>
      </w:r>
    </w:p>
    <w:p w14:paraId="341CB5D4" w14:textId="77777777" w:rsidR="00C4454D" w:rsidRPr="00A735B4" w:rsidRDefault="00C4454D" w:rsidP="00C4454D">
      <w:pPr>
        <w:tabs>
          <w:tab w:val="num" w:pos="720"/>
        </w:tabs>
        <w:spacing w:after="200" w:line="276" w:lineRule="auto"/>
        <w:jc w:val="both"/>
        <w:rPr>
          <w:b/>
        </w:rPr>
      </w:pPr>
      <w:r w:rsidRPr="00A735B4">
        <w:rPr>
          <w:b/>
        </w:rPr>
        <w:t>Fieldwork</w:t>
      </w:r>
    </w:p>
    <w:p w14:paraId="4C7844A8" w14:textId="28FBDED6" w:rsidR="00C4454D" w:rsidRPr="00A735B4" w:rsidRDefault="00C4454D" w:rsidP="00C4454D">
      <w:pPr>
        <w:tabs>
          <w:tab w:val="num" w:pos="720"/>
        </w:tabs>
        <w:spacing w:after="200" w:line="276" w:lineRule="auto"/>
        <w:jc w:val="both"/>
      </w:pPr>
      <w:r w:rsidRPr="00A735B4">
        <w:t>During the extended rollout, some of the providers were visited twice. In addition to the regular interviews at the main branches, mystery visits as well as interviews at other branches were undertaken. During mystery visits, enumerators posed as clients (MSME businessmen) and collected similar information to those who conducted the regular interviews to cross check the validity of the replies.</w:t>
      </w:r>
    </w:p>
    <w:p w14:paraId="3CEEB52D" w14:textId="6B8BDD70" w:rsidR="00C4454D" w:rsidRPr="00A735B4" w:rsidRDefault="00C4454D" w:rsidP="00C4454D">
      <w:pPr>
        <w:tabs>
          <w:tab w:val="num" w:pos="720"/>
        </w:tabs>
        <w:spacing w:after="200" w:line="276" w:lineRule="auto"/>
        <w:jc w:val="both"/>
      </w:pPr>
      <w:r w:rsidRPr="00A735B4">
        <w:t xml:space="preserve">Table C.14 is an overview of the sample. Because of local market conditions in some countries, the sample is smaller than initially planned. Malawi, Rwanda, and Zambia have fewer banks compared with the other three countries. And there are fewer insurance firms in some of the countries. </w:t>
      </w:r>
    </w:p>
    <w:p w14:paraId="2CA95884" w14:textId="6FEA4A37" w:rsidR="00C4454D" w:rsidRPr="00A735B4" w:rsidRDefault="00C4454D" w:rsidP="00C4454D">
      <w:pPr>
        <w:jc w:val="center"/>
        <w:rPr>
          <w:color w:val="1F497D" w:themeColor="text2"/>
        </w:rPr>
      </w:pPr>
      <w:bookmarkStart w:id="142" w:name="_Toc410823572"/>
      <w:r w:rsidRPr="00A735B4">
        <w:rPr>
          <w:color w:val="1F497D" w:themeColor="text2"/>
        </w:rPr>
        <w:t>Table C.14 Crosschecks by mystery visits and branch interviews</w:t>
      </w:r>
      <w:bookmarkEnd w:id="142"/>
    </w:p>
    <w:p w14:paraId="77B57945" w14:textId="77777777" w:rsidR="00C4454D" w:rsidRPr="00A735B4" w:rsidRDefault="00C4454D" w:rsidP="00C4454D">
      <w:pPr>
        <w:tabs>
          <w:tab w:val="num" w:pos="720"/>
        </w:tabs>
        <w:spacing w:after="200" w:line="276" w:lineRule="auto"/>
        <w:jc w:val="both"/>
        <w:rPr>
          <w:color w:val="FF0000"/>
        </w:rPr>
      </w:pPr>
      <w:r w:rsidRPr="00A735B4">
        <w:rPr>
          <w:noProof/>
          <w:sz w:val="20"/>
          <w:szCs w:val="20"/>
        </w:rPr>
        <w:drawing>
          <wp:inline distT="0" distB="0" distL="0" distR="0" wp14:anchorId="74632428" wp14:editId="1A6F156F">
            <wp:extent cx="5730221" cy="1790700"/>
            <wp:effectExtent l="0" t="0" r="4445" b="0"/>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732145" cy="1791301"/>
                    </a:xfrm>
                    <a:prstGeom prst="rect">
                      <a:avLst/>
                    </a:prstGeom>
                  </pic:spPr>
                </pic:pic>
              </a:graphicData>
            </a:graphic>
          </wp:inline>
        </w:drawing>
      </w:r>
    </w:p>
    <w:p w14:paraId="07FA4A8D" w14:textId="77777777" w:rsidR="00C4454D" w:rsidRPr="00A735B4" w:rsidRDefault="00C4454D" w:rsidP="00C4454D">
      <w:pPr>
        <w:autoSpaceDE w:val="0"/>
        <w:autoSpaceDN w:val="0"/>
        <w:adjustRightInd w:val="0"/>
        <w:rPr>
          <w:rFonts w:ascii="Calibri" w:hAnsi="Calibri" w:cs="Calibri"/>
          <w:color w:val="000000"/>
        </w:rPr>
      </w:pPr>
    </w:p>
    <w:p w14:paraId="280AA7B7" w14:textId="146E65C0" w:rsidR="00C4454D" w:rsidRPr="00A735B4" w:rsidRDefault="00C4454D" w:rsidP="00C4454D">
      <w:pPr>
        <w:autoSpaceDE w:val="0"/>
        <w:autoSpaceDN w:val="0"/>
        <w:adjustRightInd w:val="0"/>
        <w:rPr>
          <w:b/>
          <w:bCs/>
        </w:rPr>
      </w:pPr>
      <w:r w:rsidRPr="00A735B4">
        <w:rPr>
          <w:b/>
          <w:bCs/>
        </w:rPr>
        <w:t>Methodologies used</w:t>
      </w:r>
    </w:p>
    <w:p w14:paraId="3BD0DC91" w14:textId="247298AF" w:rsidR="00C4454D" w:rsidRPr="00A735B4" w:rsidRDefault="00C4454D" w:rsidP="00C4454D">
      <w:pPr>
        <w:autoSpaceDE w:val="0"/>
        <w:autoSpaceDN w:val="0"/>
        <w:adjustRightInd w:val="0"/>
      </w:pPr>
      <w:r w:rsidRPr="00A735B4">
        <w:rPr>
          <w:bCs/>
        </w:rPr>
        <w:lastRenderedPageBreak/>
        <w:t>We used f</w:t>
      </w:r>
      <w:r w:rsidRPr="00A735B4">
        <w:t xml:space="preserve">ace-to-face interviews with pen and paper questionnaires and mystery visits at main branches and sub-branches. </w:t>
      </w:r>
    </w:p>
    <w:p w14:paraId="56AA6C48" w14:textId="77777777" w:rsidR="00C4454D" w:rsidRPr="00A735B4" w:rsidRDefault="00C4454D" w:rsidP="00C4454D">
      <w:pPr>
        <w:autoSpaceDE w:val="0"/>
        <w:autoSpaceDN w:val="0"/>
        <w:adjustRightInd w:val="0"/>
      </w:pPr>
    </w:p>
    <w:p w14:paraId="6308FC8B" w14:textId="01227A83" w:rsidR="00C4454D" w:rsidRPr="00A735B4" w:rsidRDefault="00C4454D" w:rsidP="00C4454D">
      <w:pPr>
        <w:autoSpaceDE w:val="0"/>
        <w:autoSpaceDN w:val="0"/>
        <w:adjustRightInd w:val="0"/>
      </w:pPr>
      <w:r w:rsidRPr="00A735B4">
        <w:t xml:space="preserve">The advantages and disadvantages of the mystery visits compared with face-to-face interviews are summarized in the following table: </w:t>
      </w:r>
    </w:p>
    <w:p w14:paraId="6ACD3A08" w14:textId="77777777" w:rsidR="00C4454D" w:rsidRPr="00A735B4" w:rsidRDefault="00C4454D">
      <w:r w:rsidRPr="00A735B4">
        <w:rPr>
          <w:noProof/>
          <w:sz w:val="20"/>
          <w:szCs w:val="20"/>
        </w:rPr>
        <w:drawing>
          <wp:inline distT="0" distB="0" distL="0" distR="0" wp14:anchorId="32960364" wp14:editId="400CD26B">
            <wp:extent cx="5734049" cy="2933700"/>
            <wp:effectExtent l="0" t="0" r="635" b="0"/>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32145" cy="2932726"/>
                    </a:xfrm>
                    <a:prstGeom prst="rect">
                      <a:avLst/>
                    </a:prstGeom>
                    <a:noFill/>
                    <a:ln>
                      <a:noFill/>
                    </a:ln>
                  </pic:spPr>
                </pic:pic>
              </a:graphicData>
            </a:graphic>
          </wp:inline>
        </w:drawing>
      </w:r>
    </w:p>
    <w:p w14:paraId="301930FC" w14:textId="570B1FC2" w:rsidR="00C4454D" w:rsidRPr="00A735B4" w:rsidRDefault="00C4454D" w:rsidP="00C4454D">
      <w:pPr>
        <w:spacing w:after="200" w:line="276" w:lineRule="auto"/>
        <w:rPr>
          <w:rFonts w:asciiTheme="majorHAnsi" w:hAnsiTheme="majorHAnsi"/>
          <w:b/>
          <w:color w:val="365F91" w:themeColor="accent1" w:themeShade="BF"/>
          <w:sz w:val="28"/>
          <w:szCs w:val="28"/>
        </w:rPr>
      </w:pPr>
      <w:r w:rsidRPr="00A735B4">
        <w:br w:type="page"/>
      </w:r>
      <w:bookmarkStart w:id="143" w:name="_Toc419565274"/>
      <w:r w:rsidRPr="00A735B4">
        <w:rPr>
          <w:rFonts w:asciiTheme="majorHAnsi" w:hAnsiTheme="majorHAnsi"/>
          <w:b/>
          <w:color w:val="365F91" w:themeColor="accent1" w:themeShade="BF"/>
          <w:sz w:val="28"/>
          <w:szCs w:val="28"/>
        </w:rPr>
        <w:lastRenderedPageBreak/>
        <w:t>Annex D  Crowdsourcing with SMS technology: The case of farmers in Sub-Saharan Africa</w:t>
      </w:r>
      <w:r w:rsidRPr="00A735B4">
        <w:rPr>
          <w:rFonts w:asciiTheme="majorHAnsi" w:hAnsiTheme="majorHAnsi"/>
          <w:b/>
          <w:color w:val="365F91" w:themeColor="accent1" w:themeShade="BF"/>
          <w:sz w:val="28"/>
          <w:szCs w:val="28"/>
        </w:rPr>
        <w:endnoteReference w:id="21"/>
      </w:r>
      <w:bookmarkEnd w:id="143"/>
    </w:p>
    <w:p w14:paraId="51790E36" w14:textId="0EE1C70A" w:rsidR="00C4454D" w:rsidRPr="00A735B4" w:rsidRDefault="00C4454D" w:rsidP="00C4454D">
      <w:bookmarkStart w:id="144" w:name="_Toc419565275"/>
      <w:r w:rsidRPr="00A735B4">
        <w:t>D.1  Introduction</w:t>
      </w:r>
      <w:bookmarkEnd w:id="144"/>
    </w:p>
    <w:p w14:paraId="2C22FF37" w14:textId="77777777" w:rsidR="00C4454D" w:rsidRPr="00A735B4" w:rsidRDefault="00C4454D" w:rsidP="00C445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olor w:val="000000"/>
        </w:rPr>
      </w:pPr>
    </w:p>
    <w:p w14:paraId="55A5B367" w14:textId="2EBC9BC4" w:rsidR="00C4454D" w:rsidRPr="00A735B4" w:rsidRDefault="00C4454D" w:rsidP="00C4454D">
      <w:pPr>
        <w:jc w:val="both"/>
        <w:rPr>
          <w:rFonts w:eastAsia="Times New Roman"/>
          <w:color w:val="000000"/>
        </w:rPr>
      </w:pPr>
      <w:r w:rsidRPr="00A735B4">
        <w:t>In the past decade, the use of mobile phones has spread rapidly all over the world. In 2013, there were almost as many mobile phone subscribers (6.8 billion) as people in the world (7.1 billion), with more than half of the users coming from developing countries.</w:t>
      </w:r>
      <w:r w:rsidRPr="00A735B4">
        <w:endnoteReference w:id="22"/>
      </w:r>
      <w:r w:rsidRPr="00A735B4">
        <w:t xml:space="preserve"> </w:t>
      </w:r>
      <w:r w:rsidRPr="00A735B4">
        <w:rPr>
          <w:rFonts w:eastAsia="Times New Roman"/>
          <w:color w:val="000000"/>
        </w:rPr>
        <w:t>In regions like Africa, in 2012 there were almost 650 million mobile subscribers, more than in the United States or the European Union, making Africa the fastest growing region in mobile phone users in the world, with a penetration rate of 89 percent.</w:t>
      </w:r>
      <w:r w:rsidRPr="00A735B4">
        <w:rPr>
          <w:rFonts w:eastAsia="Times New Roman"/>
          <w:color w:val="000000"/>
        </w:rPr>
        <w:endnoteReference w:id="23"/>
      </w:r>
    </w:p>
    <w:p w14:paraId="50E048C3" w14:textId="77777777" w:rsidR="00C4454D" w:rsidRPr="00A735B4" w:rsidRDefault="00C4454D" w:rsidP="00C4454D">
      <w:pPr>
        <w:jc w:val="both"/>
        <w:rPr>
          <w:rFonts w:eastAsia="Times New Roman"/>
          <w:color w:val="000000"/>
        </w:rPr>
      </w:pPr>
    </w:p>
    <w:p w14:paraId="47545295" w14:textId="14B08606" w:rsidR="00C4454D" w:rsidRPr="00A735B4" w:rsidRDefault="00C4454D" w:rsidP="00C4454D">
      <w:pPr>
        <w:jc w:val="both"/>
      </w:pPr>
      <w:r w:rsidRPr="00A735B4">
        <w:t>The increasingly hi</w:t>
      </w:r>
      <w:r w:rsidRPr="00A735B4">
        <w:rPr>
          <w:rFonts w:eastAsia="Times New Roman"/>
          <w:color w:val="000000"/>
        </w:rPr>
        <w:t xml:space="preserve">gh rate of penetration and usage of mobile phones in Africa has given the market the opportunity to move the story to a new level. </w:t>
      </w:r>
      <w:r w:rsidRPr="00A735B4">
        <w:t xml:space="preserve">Mobile phones now offer major opportunities to advance economic and social development—from providing basic access to education or health information to making cash payments and even in stimulating citizen involvement in democratic processes. </w:t>
      </w:r>
    </w:p>
    <w:p w14:paraId="08F0EDA2" w14:textId="77777777" w:rsidR="00C4454D" w:rsidRPr="00A735B4" w:rsidRDefault="00C4454D" w:rsidP="00C4454D">
      <w:pPr>
        <w:jc w:val="both"/>
      </w:pPr>
    </w:p>
    <w:p w14:paraId="1DD9089D" w14:textId="046946EA" w:rsidR="00C4454D" w:rsidRPr="00A735B4" w:rsidRDefault="00C4454D" w:rsidP="00C4454D">
      <w:pPr>
        <w:jc w:val="both"/>
      </w:pPr>
      <w:r w:rsidRPr="00A735B4">
        <w:t>In some countries of Sub-Saharan Africa,</w:t>
      </w:r>
      <w:r w:rsidRPr="00A735B4">
        <w:rPr>
          <w:rFonts w:eastAsia="Times New Roman"/>
          <w:color w:val="000000"/>
        </w:rPr>
        <w:t xml:space="preserve"> t</w:t>
      </w:r>
      <w:r w:rsidRPr="00A735B4">
        <w:t xml:space="preserve">he use of mobile phones offers new possibilities for rural agricultural households, as this technology allows users to overcome important barriers related to physical distance and access to information and services. The increasing use of mobile phones has helped disseminate information such as daily prices of agricultural commodities. This type of timely information has improved small farmers’ bargaining position on prices and competition between traders in countries like Ghana. Another interesting case is Kenya, where mobile phones are being used to provide financial services, or South Africa, where this technology is used to show how to file taxes electronically. </w:t>
      </w:r>
    </w:p>
    <w:p w14:paraId="2A2C41AF" w14:textId="77777777" w:rsidR="00C4454D" w:rsidRPr="00A735B4" w:rsidRDefault="00C4454D" w:rsidP="00C4454D"/>
    <w:p w14:paraId="7EE09775" w14:textId="069D7D10" w:rsidR="00C4454D" w:rsidRPr="00A735B4" w:rsidRDefault="00C4454D" w:rsidP="00C4454D">
      <w:bookmarkStart w:id="145" w:name="_Toc419565276"/>
      <w:r w:rsidRPr="00A735B4">
        <w:t>D.2  Mobile phone applications in development</w:t>
      </w:r>
      <w:bookmarkEnd w:id="145"/>
    </w:p>
    <w:p w14:paraId="091F6F40" w14:textId="77777777" w:rsidR="00C4454D" w:rsidRPr="00A735B4" w:rsidRDefault="00C4454D" w:rsidP="00C4454D">
      <w:pPr>
        <w:rPr>
          <w:b/>
        </w:rPr>
      </w:pPr>
    </w:p>
    <w:p w14:paraId="15FB9496" w14:textId="30BE69CD" w:rsidR="00C4454D" w:rsidRPr="00A735B4" w:rsidRDefault="00C4454D" w:rsidP="00C4454D">
      <w:pPr>
        <w:rPr>
          <w:rFonts w:eastAsia="Times New Roman"/>
          <w:color w:val="000000"/>
        </w:rPr>
      </w:pPr>
      <w:r w:rsidRPr="00A735B4">
        <w:t>T</w:t>
      </w:r>
      <w:r w:rsidRPr="00A735B4">
        <w:rPr>
          <w:rFonts w:eastAsia="Times New Roman"/>
          <w:color w:val="000000"/>
        </w:rPr>
        <w:t xml:space="preserve">imely and high-quality information about services, income, education, and health is not readily available in many developing countries. But </w:t>
      </w:r>
      <w:r w:rsidRPr="00A735B4">
        <w:t xml:space="preserve">the application of mobile technology is nowadays helping governments overcome this limitation. </w:t>
      </w:r>
      <w:r w:rsidRPr="00A735B4">
        <w:rPr>
          <w:rFonts w:eastAsia="Times New Roman"/>
          <w:color w:val="000000"/>
        </w:rPr>
        <w:t xml:space="preserve">One reason for the lack of available information is because data are typically collected with face-to-face household surveys. Such surveys are expensive and time-consuming and therefore not implemented very frequently. Since policy makers and the private sector need timely data to monitor development initiatives and make important managerial decisions, the use of mobile technology has extended its impact to new areas of development. </w:t>
      </w:r>
    </w:p>
    <w:p w14:paraId="6F800A04" w14:textId="77777777" w:rsidR="00C4454D" w:rsidRPr="00A735B4" w:rsidRDefault="00C4454D" w:rsidP="00C4454D">
      <w:pPr>
        <w:rPr>
          <w:rFonts w:eastAsia="Times New Roman"/>
          <w:color w:val="000000"/>
        </w:rPr>
      </w:pPr>
    </w:p>
    <w:p w14:paraId="1E0D3F41" w14:textId="0918A59C" w:rsidR="00C4454D" w:rsidRPr="00A735B4" w:rsidRDefault="00C4454D" w:rsidP="00C4454D">
      <w:pPr>
        <w:rPr>
          <w:rFonts w:eastAsia="Times New Roman"/>
          <w:color w:val="000000"/>
        </w:rPr>
      </w:pPr>
      <w:r w:rsidRPr="00A735B4">
        <w:rPr>
          <w:rFonts w:eastAsia="Times New Roman"/>
          <w:color w:val="000000"/>
        </w:rPr>
        <w:t xml:space="preserve">The availability of mobile technology is opening new opportunities to assess the impact of development interventions not only more frequently and at a lower cost, but also with a higher level of accuracy. For </w:t>
      </w:r>
      <w:r w:rsidRPr="00A735B4">
        <w:rPr>
          <w:rFonts w:eastAsia="Times New Roman"/>
          <w:color w:val="000000"/>
        </w:rPr>
        <w:lastRenderedPageBreak/>
        <w:t>instance, McKenzie (2011) argues that when outcome measures are relatively noisy and weakly auto-correlated, such as is the case with business profits, product prices, household incomes, and episodic health outcomes, impact evaluations that use smaller samples and multiple follow-ups are more efficient and accurate than the traditional baseline and follow-up model. This is when the use of mobile phones becomes very handy. The use of this technology is facilitating access to more readily available information at a lower cost than traditional surveys and with higher levels of accuracy.</w:t>
      </w:r>
    </w:p>
    <w:p w14:paraId="7D406791" w14:textId="62D38BA7" w:rsidR="00C4454D" w:rsidRPr="00A735B4" w:rsidRDefault="00C4454D" w:rsidP="00C4454D">
      <w:bookmarkStart w:id="146" w:name="_Toc410125551"/>
      <w:bookmarkStart w:id="147" w:name="_Toc419565277"/>
      <w:r w:rsidRPr="00A735B4">
        <w:t>D.3  Survey research using cell phone technology</w:t>
      </w:r>
      <w:bookmarkEnd w:id="146"/>
      <w:bookmarkEnd w:id="147"/>
    </w:p>
    <w:p w14:paraId="2AD22667" w14:textId="77777777" w:rsidR="00C4454D" w:rsidRPr="00A735B4" w:rsidRDefault="00C4454D" w:rsidP="00C4454D">
      <w:pPr>
        <w:rPr>
          <w:rFonts w:eastAsia="Times New Roman"/>
          <w:color w:val="000000"/>
        </w:rPr>
      </w:pPr>
    </w:p>
    <w:p w14:paraId="5B1819A7" w14:textId="6490B3D9" w:rsidR="00C4454D" w:rsidRPr="00A735B4" w:rsidRDefault="00C4454D" w:rsidP="00C4454D">
      <w:pPr>
        <w:shd w:val="clear" w:color="auto" w:fill="FFFFFF"/>
        <w:spacing w:after="0"/>
        <w:jc w:val="both"/>
        <w:rPr>
          <w:color w:val="000000"/>
        </w:rPr>
      </w:pPr>
      <w:r w:rsidRPr="00A735B4">
        <w:rPr>
          <w:color w:val="000000"/>
        </w:rPr>
        <w:t>More and more researchers who seek to collect data to assess the impact of a specific initiative or to understand the motivations behind decisions and behavior are using short message service (SMS) text messaging as their main tool for data collection. Now research queries can come to the participants in real time through their mobile devices to glean more reliable and complete information.</w:t>
      </w:r>
    </w:p>
    <w:p w14:paraId="469D0C83" w14:textId="77777777" w:rsidR="00C4454D" w:rsidRPr="00A735B4" w:rsidRDefault="00C4454D" w:rsidP="00C4454D">
      <w:pPr>
        <w:shd w:val="clear" w:color="auto" w:fill="FFFFFF"/>
        <w:spacing w:after="0"/>
        <w:jc w:val="both"/>
        <w:rPr>
          <w:color w:val="000000"/>
        </w:rPr>
      </w:pPr>
    </w:p>
    <w:p w14:paraId="11F5C633" w14:textId="77777777" w:rsidR="00C4454D" w:rsidRPr="00A735B4" w:rsidRDefault="00C4454D" w:rsidP="00C4454D">
      <w:pPr>
        <w:shd w:val="clear" w:color="auto" w:fill="FFFFFF"/>
        <w:spacing w:after="0"/>
        <w:jc w:val="both"/>
        <w:rPr>
          <w:color w:val="000000"/>
        </w:rPr>
      </w:pPr>
      <w:r w:rsidRPr="00A735B4">
        <w:rPr>
          <w:color w:val="000000"/>
        </w:rPr>
        <w:t>Researchers and companies around the world have been collecting survey data via mobile phones for almost a decade. Mobile devices are becoming more versatile in their use and features, and consumers are becoming increasingly comfortable using third-party mobile applications, including the ones used by companies specialized in facilitating research using mobile technology.</w:t>
      </w:r>
    </w:p>
    <w:p w14:paraId="1CC14661" w14:textId="77777777" w:rsidR="00C4454D" w:rsidRPr="00A735B4" w:rsidRDefault="00C4454D" w:rsidP="00C4454D">
      <w:pPr>
        <w:shd w:val="clear" w:color="auto" w:fill="FFFFFF"/>
        <w:spacing w:after="0"/>
        <w:jc w:val="both"/>
        <w:rPr>
          <w:color w:val="000000"/>
        </w:rPr>
      </w:pPr>
    </w:p>
    <w:p w14:paraId="3DB5C564" w14:textId="265B176E" w:rsidR="00C4454D" w:rsidRPr="00A735B4" w:rsidRDefault="00C4454D" w:rsidP="00C4454D">
      <w:pPr>
        <w:shd w:val="clear" w:color="auto" w:fill="FFFFFF"/>
        <w:spacing w:after="0"/>
        <w:jc w:val="both"/>
        <w:rPr>
          <w:color w:val="000000"/>
        </w:rPr>
      </w:pPr>
      <w:r w:rsidRPr="00A735B4">
        <w:rPr>
          <w:color w:val="000000"/>
        </w:rPr>
        <w:t xml:space="preserve">Research via mobile phones is generally conducted in three ways, via SMS text messages, Wireless Application Protocol or mobile Internet, or downloading a small application onto the phone that collects survey data. Given that the use of smartphones has not yet proliferated in rural areas of the developing world, among these three methodologies, the one that is being increasingly used in research is SMS text messages. </w:t>
      </w:r>
    </w:p>
    <w:p w14:paraId="0162521E" w14:textId="77777777" w:rsidR="00C4454D" w:rsidRPr="00A735B4" w:rsidRDefault="00C4454D" w:rsidP="00C4454D">
      <w:pPr>
        <w:shd w:val="clear" w:color="auto" w:fill="FFFFFF"/>
        <w:spacing w:after="0"/>
        <w:jc w:val="both"/>
        <w:rPr>
          <w:color w:val="000000"/>
        </w:rPr>
      </w:pPr>
    </w:p>
    <w:p w14:paraId="33F4F2A2" w14:textId="52CC9E5B" w:rsidR="00C4454D" w:rsidRPr="00A735B4" w:rsidRDefault="00C4454D" w:rsidP="00C4454D">
      <w:pPr>
        <w:shd w:val="clear" w:color="auto" w:fill="FFFFFF"/>
        <w:spacing w:after="0"/>
        <w:jc w:val="both"/>
        <w:rPr>
          <w:color w:val="000000"/>
        </w:rPr>
      </w:pPr>
      <w:r w:rsidRPr="00A735B4">
        <w:rPr>
          <w:color w:val="000000"/>
        </w:rPr>
        <w:t>Although there is a lot of debate about the effectiveness of this novel method, many pilot initiatives have shown accurate results in the implementation of surveys using SMS. In 2009, Ipsos</w:t>
      </w:r>
      <w:r w:rsidRPr="00A735B4">
        <w:t>—</w:t>
      </w:r>
      <w:r w:rsidRPr="00A735B4">
        <w:rPr>
          <w:color w:val="000000"/>
        </w:rPr>
        <w:t>a global research company specialized in marketing, opinion polls, and social research</w:t>
      </w:r>
      <w:r w:rsidRPr="00A735B4">
        <w:t>—</w:t>
      </w:r>
      <w:r w:rsidRPr="00A735B4">
        <w:rPr>
          <w:color w:val="000000"/>
        </w:rPr>
        <w:t>carried out a survey in the United Kingdom via SMS in parallel with a standard survey to understand the survey rate of response and behavior of participants. The results of this study not only showed a higher level of respondents’ acceptance, but also helped establish a list of advantages and disadvantages related to the application of this methodology versus traditional survey methods.</w:t>
      </w:r>
    </w:p>
    <w:p w14:paraId="570D115C" w14:textId="77777777" w:rsidR="00C4454D" w:rsidRPr="00A735B4" w:rsidRDefault="00C4454D" w:rsidP="00C4454D">
      <w:pPr>
        <w:shd w:val="clear" w:color="auto" w:fill="FFFFFF"/>
        <w:spacing w:after="0"/>
        <w:jc w:val="both"/>
        <w:rPr>
          <w:color w:val="000000"/>
        </w:rPr>
      </w:pPr>
    </w:p>
    <w:p w14:paraId="2B5FD9F7" w14:textId="0EE3E573" w:rsidR="00C4454D" w:rsidRPr="00A735B4" w:rsidRDefault="00C4454D" w:rsidP="00C4454D">
      <w:pPr>
        <w:autoSpaceDE w:val="0"/>
        <w:autoSpaceDN w:val="0"/>
        <w:adjustRightInd w:val="0"/>
        <w:jc w:val="both"/>
      </w:pPr>
      <w:r w:rsidRPr="00A735B4">
        <w:t>The disadvantages of applying SMS surveys in research were found to be</w:t>
      </w:r>
    </w:p>
    <w:p w14:paraId="1739AB4E" w14:textId="77777777" w:rsidR="00C4454D" w:rsidRPr="00A735B4" w:rsidRDefault="00C4454D" w:rsidP="00C4454D">
      <w:pPr>
        <w:autoSpaceDE w:val="0"/>
        <w:autoSpaceDN w:val="0"/>
        <w:adjustRightInd w:val="0"/>
        <w:jc w:val="both"/>
        <w:rPr>
          <w:b/>
        </w:rPr>
      </w:pPr>
    </w:p>
    <w:p w14:paraId="1A6D8942" w14:textId="57E61ED4" w:rsidR="00C4454D" w:rsidRPr="00A735B4" w:rsidRDefault="00C4454D" w:rsidP="00C4454D">
      <w:pPr>
        <w:numPr>
          <w:ilvl w:val="0"/>
          <w:numId w:val="19"/>
        </w:numPr>
        <w:autoSpaceDE w:val="0"/>
        <w:autoSpaceDN w:val="0"/>
        <w:adjustRightInd w:val="0"/>
        <w:jc w:val="both"/>
      </w:pPr>
      <w:r w:rsidRPr="00A735B4">
        <w:t>Typing through a keypad is slow in comparison with the implementation of traditional paper-based surveys.</w:t>
      </w:r>
    </w:p>
    <w:p w14:paraId="77376C1C" w14:textId="77777777" w:rsidR="00C4454D" w:rsidRPr="00A735B4" w:rsidRDefault="00C4454D" w:rsidP="00C4454D">
      <w:pPr>
        <w:numPr>
          <w:ilvl w:val="0"/>
          <w:numId w:val="19"/>
        </w:numPr>
        <w:autoSpaceDE w:val="0"/>
        <w:autoSpaceDN w:val="0"/>
        <w:adjustRightInd w:val="0"/>
        <w:jc w:val="both"/>
      </w:pPr>
      <w:r w:rsidRPr="00A735B4">
        <w:t>Given the difficulty of typing complete words or sets of numbers using a keypad, the possibility to make typos is high.</w:t>
      </w:r>
    </w:p>
    <w:p w14:paraId="243B64C9" w14:textId="323991BE" w:rsidR="00C4454D" w:rsidRPr="00A735B4" w:rsidRDefault="00C4454D" w:rsidP="00C4454D">
      <w:pPr>
        <w:numPr>
          <w:ilvl w:val="0"/>
          <w:numId w:val="19"/>
        </w:numPr>
        <w:autoSpaceDE w:val="0"/>
        <w:autoSpaceDN w:val="0"/>
        <w:adjustRightInd w:val="0"/>
        <w:jc w:val="both"/>
      </w:pPr>
      <w:r w:rsidRPr="00A735B4">
        <w:lastRenderedPageBreak/>
        <w:t>Although acceptance rates to answer these surveys are higher than in traditional surveys, completion rates are lower.</w:t>
      </w:r>
    </w:p>
    <w:p w14:paraId="15963B2E" w14:textId="39C7B105" w:rsidR="00C4454D" w:rsidRPr="00A735B4" w:rsidRDefault="00C4454D" w:rsidP="00C4454D">
      <w:pPr>
        <w:numPr>
          <w:ilvl w:val="0"/>
          <w:numId w:val="19"/>
        </w:numPr>
        <w:autoSpaceDE w:val="0"/>
        <w:autoSpaceDN w:val="0"/>
        <w:adjustRightInd w:val="0"/>
        <w:jc w:val="both"/>
      </w:pPr>
      <w:r w:rsidRPr="00A735B4">
        <w:t>It takes a longer time for respondents to complete a full survey on their own in comparison with a traditional method of data collections, where surveyors are walking the respondent through all the questions in the survey.</w:t>
      </w:r>
    </w:p>
    <w:p w14:paraId="3F69041D" w14:textId="77777777" w:rsidR="00C4454D" w:rsidRPr="00A735B4" w:rsidRDefault="00C4454D" w:rsidP="00C4454D">
      <w:pPr>
        <w:autoSpaceDE w:val="0"/>
        <w:autoSpaceDN w:val="0"/>
        <w:adjustRightInd w:val="0"/>
        <w:jc w:val="both"/>
      </w:pPr>
    </w:p>
    <w:p w14:paraId="3ACFB36A" w14:textId="77777777" w:rsidR="00C4454D" w:rsidRPr="00A735B4" w:rsidRDefault="00C4454D" w:rsidP="00C4454D">
      <w:pPr>
        <w:autoSpaceDE w:val="0"/>
        <w:autoSpaceDN w:val="0"/>
        <w:adjustRightInd w:val="0"/>
      </w:pPr>
    </w:p>
    <w:p w14:paraId="4D22AC0B" w14:textId="77777777" w:rsidR="00C4454D" w:rsidRPr="00A735B4" w:rsidRDefault="00C4454D" w:rsidP="00C4454D">
      <w:pPr>
        <w:autoSpaceDE w:val="0"/>
        <w:autoSpaceDN w:val="0"/>
        <w:adjustRightInd w:val="0"/>
      </w:pPr>
    </w:p>
    <w:p w14:paraId="462F0739" w14:textId="77777777" w:rsidR="00C4454D" w:rsidRPr="00A735B4" w:rsidRDefault="00C4454D" w:rsidP="00C4454D">
      <w:pPr>
        <w:autoSpaceDE w:val="0"/>
        <w:autoSpaceDN w:val="0"/>
        <w:adjustRightInd w:val="0"/>
        <w:jc w:val="both"/>
        <w:rPr>
          <w:b/>
        </w:rPr>
      </w:pPr>
    </w:p>
    <w:p w14:paraId="1534FEC2" w14:textId="3CDECEC1" w:rsidR="00C4454D" w:rsidRPr="00A735B4" w:rsidRDefault="00C4454D" w:rsidP="00C4454D">
      <w:pPr>
        <w:autoSpaceDE w:val="0"/>
        <w:autoSpaceDN w:val="0"/>
        <w:adjustRightInd w:val="0"/>
        <w:jc w:val="both"/>
      </w:pPr>
      <w:r w:rsidRPr="00A735B4">
        <w:t>The advantages of applying SMS surveys in research are the following:</w:t>
      </w:r>
    </w:p>
    <w:p w14:paraId="2D1E2548" w14:textId="77777777" w:rsidR="00C4454D" w:rsidRPr="00A735B4" w:rsidRDefault="00C4454D" w:rsidP="00C4454D">
      <w:pPr>
        <w:autoSpaceDE w:val="0"/>
        <w:autoSpaceDN w:val="0"/>
        <w:adjustRightInd w:val="0"/>
        <w:jc w:val="both"/>
        <w:rPr>
          <w:b/>
        </w:rPr>
      </w:pPr>
    </w:p>
    <w:p w14:paraId="7888F599" w14:textId="26BBBBA9" w:rsidR="00C4454D" w:rsidRPr="00A735B4" w:rsidRDefault="00C4454D" w:rsidP="00C4454D">
      <w:pPr>
        <w:numPr>
          <w:ilvl w:val="0"/>
          <w:numId w:val="20"/>
        </w:numPr>
        <w:autoSpaceDE w:val="0"/>
        <w:autoSpaceDN w:val="0"/>
        <w:adjustRightInd w:val="0"/>
        <w:jc w:val="both"/>
      </w:pPr>
      <w:r w:rsidRPr="00A735B4">
        <w:t xml:space="preserve">Costs are lower. Surveys can be sent directly to mobile phones remotely without the need of deploying surveyors in the field. </w:t>
      </w:r>
    </w:p>
    <w:p w14:paraId="3942E27F" w14:textId="77777777" w:rsidR="00C4454D" w:rsidRPr="00A735B4" w:rsidRDefault="00C4454D" w:rsidP="00C4454D">
      <w:pPr>
        <w:numPr>
          <w:ilvl w:val="0"/>
          <w:numId w:val="20"/>
        </w:numPr>
        <w:autoSpaceDE w:val="0"/>
        <w:autoSpaceDN w:val="0"/>
        <w:adjustRightInd w:val="0"/>
        <w:jc w:val="both"/>
      </w:pPr>
      <w:r w:rsidRPr="00A735B4">
        <w:t>Survey quality and progress can be tracked in real time.</w:t>
      </w:r>
    </w:p>
    <w:p w14:paraId="55F7FBFA" w14:textId="77777777" w:rsidR="00C4454D" w:rsidRPr="00A735B4" w:rsidRDefault="00C4454D" w:rsidP="00C4454D">
      <w:pPr>
        <w:numPr>
          <w:ilvl w:val="0"/>
          <w:numId w:val="20"/>
        </w:numPr>
        <w:autoSpaceDE w:val="0"/>
        <w:autoSpaceDN w:val="0"/>
        <w:adjustRightInd w:val="0"/>
        <w:jc w:val="both"/>
        <w:rPr>
          <w:rFonts w:eastAsia="Times New Roman"/>
        </w:rPr>
      </w:pPr>
      <w:r w:rsidRPr="00A735B4">
        <w:t>If necessary, questions can be changed remotely and in real time.</w:t>
      </w:r>
    </w:p>
    <w:p w14:paraId="258A777E" w14:textId="0B1B0C34" w:rsidR="00C4454D" w:rsidRPr="00A735B4" w:rsidRDefault="00C4454D" w:rsidP="00C4454D">
      <w:pPr>
        <w:numPr>
          <w:ilvl w:val="0"/>
          <w:numId w:val="20"/>
        </w:numPr>
        <w:autoSpaceDE w:val="0"/>
        <w:autoSpaceDN w:val="0"/>
        <w:adjustRightInd w:val="0"/>
        <w:jc w:val="both"/>
      </w:pPr>
      <w:r w:rsidRPr="00A735B4">
        <w:t>Data cleaning can be completed automatically with the features built into the survey platform.</w:t>
      </w:r>
    </w:p>
    <w:p w14:paraId="4C16F62A" w14:textId="77777777" w:rsidR="00C4454D" w:rsidRPr="00A735B4" w:rsidRDefault="00C4454D" w:rsidP="00C4454D">
      <w:pPr>
        <w:numPr>
          <w:ilvl w:val="0"/>
          <w:numId w:val="20"/>
        </w:numPr>
        <w:autoSpaceDE w:val="0"/>
        <w:autoSpaceDN w:val="0"/>
        <w:adjustRightInd w:val="0"/>
        <w:jc w:val="both"/>
      </w:pPr>
      <w:r w:rsidRPr="00A735B4">
        <w:t>Results can be analyzed almost immediately.</w:t>
      </w:r>
    </w:p>
    <w:p w14:paraId="27EE777C" w14:textId="6D7B65E9" w:rsidR="00C4454D" w:rsidRPr="00A735B4" w:rsidRDefault="00C4454D" w:rsidP="00C4454D">
      <w:pPr>
        <w:numPr>
          <w:ilvl w:val="0"/>
          <w:numId w:val="20"/>
        </w:numPr>
        <w:autoSpaceDE w:val="0"/>
        <w:autoSpaceDN w:val="0"/>
        <w:adjustRightInd w:val="0"/>
        <w:jc w:val="both"/>
      </w:pPr>
      <w:r w:rsidRPr="00A735B4">
        <w:t xml:space="preserve">The use of mobile technology permits the researcher to obtain geographic data consisting of the latitude, longitude, and altitude of a point, allowing the analysis of: (i) </w:t>
      </w:r>
      <w:r w:rsidRPr="00A735B4">
        <w:rPr>
          <w:bCs/>
          <w:i/>
        </w:rPr>
        <w:t xml:space="preserve">locations and verifications: </w:t>
      </w:r>
      <w:r w:rsidRPr="00A735B4">
        <w:t xml:space="preserve">mapping the location, path, area, or boundary to a geographical region at the time of the survey and showing on a district-level map; (ii) </w:t>
      </w:r>
      <w:r w:rsidRPr="00A735B4">
        <w:rPr>
          <w:bCs/>
          <w:i/>
        </w:rPr>
        <w:t>prevalence and density:</w:t>
      </w:r>
      <w:r w:rsidRPr="00A735B4">
        <w:rPr>
          <w:b/>
          <w:bCs/>
        </w:rPr>
        <w:t xml:space="preserve"> </w:t>
      </w:r>
      <w:r w:rsidRPr="00A735B4">
        <w:t xml:space="preserve">presence of certain activities within a geographical boundary, for example, the number of farmers concentrated in a specific area; (iii) </w:t>
      </w:r>
      <w:r w:rsidRPr="00A735B4">
        <w:rPr>
          <w:bCs/>
          <w:i/>
        </w:rPr>
        <w:t>areas:</w:t>
      </w:r>
      <w:r w:rsidRPr="00A735B4">
        <w:rPr>
          <w:b/>
          <w:bCs/>
        </w:rPr>
        <w:t xml:space="preserve"> </w:t>
      </w:r>
      <w:r w:rsidRPr="00A735B4">
        <w:t xml:space="preserve">physical space occupied by certain structures, land, or activities; (iv) </w:t>
      </w:r>
      <w:r w:rsidRPr="00A735B4">
        <w:rPr>
          <w:bCs/>
          <w:i/>
        </w:rPr>
        <w:t>proximity and spread:</w:t>
      </w:r>
      <w:r w:rsidRPr="00A735B4">
        <w:rPr>
          <w:b/>
          <w:bCs/>
        </w:rPr>
        <w:t xml:space="preserve"> </w:t>
      </w:r>
      <w:r w:rsidRPr="00A735B4">
        <w:t xml:space="preserve">distance between locations, respondents, and activities; (v) </w:t>
      </w:r>
      <w:r w:rsidRPr="00A735B4">
        <w:rPr>
          <w:bCs/>
          <w:i/>
        </w:rPr>
        <w:t>terrain:</w:t>
      </w:r>
      <w:r w:rsidRPr="00A735B4">
        <w:rPr>
          <w:b/>
          <w:bCs/>
        </w:rPr>
        <w:t xml:space="preserve"> </w:t>
      </w:r>
      <w:r w:rsidRPr="00A735B4">
        <w:t xml:space="preserve">geographical attributes of locations and regions, such as average rainfall in areas with high production of specific agricultural products; (vi) </w:t>
      </w:r>
      <w:r w:rsidRPr="00A735B4">
        <w:rPr>
          <w:bCs/>
          <w:i/>
        </w:rPr>
        <w:t>networks:</w:t>
      </w:r>
      <w:r w:rsidRPr="00A735B4">
        <w:rPr>
          <w:b/>
          <w:bCs/>
        </w:rPr>
        <w:t xml:space="preserve"> </w:t>
      </w:r>
      <w:r w:rsidRPr="00A735B4">
        <w:t xml:space="preserve">identifying and quantifying connectivity, for instance, the duration and distance measuring road connectivity and density in total length and crossings; and (vii) </w:t>
      </w:r>
      <w:r w:rsidRPr="00A735B4">
        <w:rPr>
          <w:bCs/>
          <w:i/>
        </w:rPr>
        <w:t>change and progression:</w:t>
      </w:r>
      <w:r w:rsidRPr="00A735B4">
        <w:rPr>
          <w:b/>
          <w:bCs/>
        </w:rPr>
        <w:t xml:space="preserve"> </w:t>
      </w:r>
      <w:r w:rsidRPr="00A735B4">
        <w:t>changes over time in (or between) a given location or group of respondents like rural-urban migration during the year, progression of students from primary school to university vis-à-vis location, etc.</w:t>
      </w:r>
    </w:p>
    <w:p w14:paraId="026A9BCE" w14:textId="77777777" w:rsidR="00C4454D" w:rsidRPr="00A735B4" w:rsidRDefault="00C4454D" w:rsidP="00C4454D">
      <w:pPr>
        <w:autoSpaceDE w:val="0"/>
        <w:autoSpaceDN w:val="0"/>
        <w:adjustRightInd w:val="0"/>
        <w:jc w:val="both"/>
        <w:rPr>
          <w:rFonts w:eastAsia="Times New Roman"/>
        </w:rPr>
      </w:pPr>
    </w:p>
    <w:p w14:paraId="4EE7D373" w14:textId="0123D869" w:rsidR="00C4454D" w:rsidRPr="00A735B4" w:rsidRDefault="00C4454D" w:rsidP="00C4454D">
      <w:pPr>
        <w:shd w:val="clear" w:color="auto" w:fill="FFFFFF"/>
        <w:spacing w:after="0"/>
        <w:jc w:val="both"/>
        <w:rPr>
          <w:color w:val="000000"/>
        </w:rPr>
      </w:pPr>
      <w:r w:rsidRPr="00A735B4">
        <w:rPr>
          <w:color w:val="000000"/>
        </w:rPr>
        <w:t>Although SMS may have some limitations, the advantages and new features that it offers are considerable and it represents an opportunity for rapid collection of a rich set of accurate information at a much lower cost than traditional surveys.</w:t>
      </w:r>
    </w:p>
    <w:p w14:paraId="2EA7C3AA" w14:textId="68A17263" w:rsidR="00C4454D" w:rsidRPr="00A735B4" w:rsidRDefault="00C4454D" w:rsidP="00C4454D">
      <w:pPr>
        <w:jc w:val="both"/>
        <w:rPr>
          <w:rFonts w:eastAsia="Times New Roman"/>
        </w:rPr>
      </w:pPr>
      <w:bookmarkStart w:id="148" w:name="_Toc419565278"/>
      <w:r w:rsidRPr="00A735B4">
        <w:rPr>
          <w:rFonts w:eastAsia="Times New Roman"/>
        </w:rPr>
        <w:t>D.4  Farmers’ pilot study using SMS survey</w:t>
      </w:r>
      <w:bookmarkEnd w:id="148"/>
    </w:p>
    <w:p w14:paraId="750A15EA" w14:textId="77777777" w:rsidR="00C4454D" w:rsidRPr="00A735B4" w:rsidRDefault="00C4454D" w:rsidP="00C445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rPr>
      </w:pPr>
    </w:p>
    <w:p w14:paraId="1EF7A4F3" w14:textId="2A771846" w:rsidR="00C4454D" w:rsidRPr="00A735B4" w:rsidRDefault="00C4454D" w:rsidP="00C4454D">
      <w:pPr>
        <w:autoSpaceDE w:val="0"/>
        <w:autoSpaceDN w:val="0"/>
        <w:adjustRightInd w:val="0"/>
        <w:jc w:val="both"/>
        <w:rPr>
          <w:rFonts w:eastAsia="Times New Roman"/>
          <w:color w:val="000000"/>
        </w:rPr>
      </w:pPr>
      <w:r w:rsidRPr="00A735B4">
        <w:t xml:space="preserve">This pilot study focused on obtaining information on the downstream outcomes of intraregional trade in Africa. </w:t>
      </w:r>
      <w:r w:rsidRPr="00A735B4">
        <w:rPr>
          <w:rFonts w:eastAsia="Times New Roman"/>
          <w:color w:val="000000"/>
        </w:rPr>
        <w:t>It aimed to obtain novel and real-time data on the prices and quality of maize, seeds, and fertilizers through the implementation of an SMS survey. To obtain these data, our team hired the services of Text to Change</w:t>
      </w:r>
      <w:r w:rsidRPr="00A735B4">
        <w:rPr>
          <w:rFonts w:eastAsia="Times New Roman"/>
          <w:color w:val="000000"/>
        </w:rPr>
        <w:endnoteReference w:id="24"/>
      </w:r>
      <w:r w:rsidRPr="00A735B4">
        <w:rPr>
          <w:rFonts w:eastAsia="Times New Roman"/>
          <w:color w:val="000000"/>
        </w:rPr>
        <w:t xml:space="preserve">, a company specialized in the implementation of surveys applying a mobile technology platform. In this pilot study, farmers from Burkina Faso, Cameroon, Ghana, Kenya, Malawi, Mali, Tanzania, Uganda, and Zambia were targeted with an 11-question SMS survey. </w:t>
      </w:r>
    </w:p>
    <w:p w14:paraId="1D7FCA55" w14:textId="77777777" w:rsidR="00C4454D" w:rsidRPr="00A735B4" w:rsidRDefault="00C4454D" w:rsidP="00C4454D">
      <w:pPr>
        <w:autoSpaceDE w:val="0"/>
        <w:autoSpaceDN w:val="0"/>
        <w:adjustRightInd w:val="0"/>
        <w:jc w:val="both"/>
        <w:rPr>
          <w:rFonts w:eastAsia="Times New Roman"/>
          <w:color w:val="000000"/>
        </w:rPr>
      </w:pPr>
    </w:p>
    <w:p w14:paraId="4A81E05E" w14:textId="1196AB34" w:rsidR="00C4454D" w:rsidRPr="00A735B4" w:rsidRDefault="00C4454D" w:rsidP="00C4454D">
      <w:pPr>
        <w:autoSpaceDE w:val="0"/>
        <w:autoSpaceDN w:val="0"/>
        <w:adjustRightInd w:val="0"/>
        <w:jc w:val="both"/>
        <w:rPr>
          <w:rFonts w:eastAsia="Times New Roman"/>
          <w:color w:val="000000"/>
        </w:rPr>
      </w:pPr>
      <w:r w:rsidRPr="00A735B4">
        <w:rPr>
          <w:rFonts w:eastAsia="Times New Roman"/>
          <w:color w:val="000000"/>
        </w:rPr>
        <w:t>The survey was divided into four main groups of questions. The first one aimed to obtain information about the unit price of maize sold in the open market (US$/kg). The second group aimed to obtain information about unitary price of seeds, taking into account the type of seed sold in the open market (e.g. OPV, hybrid, etc.) and the type of venue where the seeds were sold (e.g. licensed store, open market, etc.). The third set of questions identified the unitary prices of fertilizers also by type of fertilizer (e.g. urea, basal, etc.). And the last group of questions aimed to identify the level of satisfaction of customers with the variety and quality of seeds and fertilizers available for them in the market, with a scale that ranged from 1 to 5, being 5 the highest level of satisfaction and 1 the lowest.</w:t>
      </w:r>
    </w:p>
    <w:p w14:paraId="7389468B" w14:textId="77777777" w:rsidR="00C4454D" w:rsidRPr="00A735B4" w:rsidRDefault="00C4454D" w:rsidP="00C4454D">
      <w:pPr>
        <w:autoSpaceDE w:val="0"/>
        <w:autoSpaceDN w:val="0"/>
        <w:adjustRightInd w:val="0"/>
        <w:jc w:val="both"/>
        <w:rPr>
          <w:rFonts w:eastAsia="Times New Roman"/>
          <w:color w:val="000000"/>
        </w:rPr>
      </w:pPr>
    </w:p>
    <w:p w14:paraId="74643EE0" w14:textId="77777777" w:rsidR="00C4454D" w:rsidRPr="00A735B4" w:rsidRDefault="00C4454D" w:rsidP="00C4454D">
      <w:pPr>
        <w:autoSpaceDE w:val="0"/>
        <w:autoSpaceDN w:val="0"/>
        <w:adjustRightInd w:val="0"/>
        <w:jc w:val="both"/>
        <w:rPr>
          <w:rFonts w:eastAsia="Times New Roman"/>
          <w:color w:val="000000"/>
        </w:rPr>
      </w:pPr>
      <w:r w:rsidRPr="00A735B4">
        <w:rPr>
          <w:rFonts w:eastAsia="Times New Roman"/>
          <w:color w:val="000000"/>
        </w:rPr>
        <w:t xml:space="preserve">The two end goals of this pilot survey are: (1) Verify the accuracy of this novel, low-cost and rapid turnaround data collection methodology; and (2) fill the gaps in available information. To do so, we compared these novel results with official data of market prices for these products in the countries where this data is available. Additionally, we used qualitative information from country reports and experts’ knowledge to analyze the story behind the variability of the results we found applying this methodology. </w:t>
      </w:r>
    </w:p>
    <w:p w14:paraId="44CD054B" w14:textId="77777777" w:rsidR="00C4454D" w:rsidRPr="00A735B4" w:rsidRDefault="00C4454D" w:rsidP="00C4454D">
      <w:pPr>
        <w:autoSpaceDE w:val="0"/>
        <w:autoSpaceDN w:val="0"/>
        <w:adjustRightInd w:val="0"/>
        <w:jc w:val="both"/>
        <w:rPr>
          <w:rFonts w:eastAsia="Times New Roman"/>
          <w:color w:val="000000"/>
        </w:rPr>
      </w:pPr>
    </w:p>
    <w:p w14:paraId="0850FA12" w14:textId="14AE2F50" w:rsidR="00C4454D" w:rsidRPr="00A735B4" w:rsidRDefault="00C4454D" w:rsidP="00C4454D">
      <w:pPr>
        <w:rPr>
          <w:rFonts w:eastAsia="Times New Roman"/>
        </w:rPr>
      </w:pPr>
      <w:bookmarkStart w:id="149" w:name="_Toc419565279"/>
      <w:r w:rsidRPr="00A735B4">
        <w:rPr>
          <w:rFonts w:eastAsia="Times New Roman"/>
        </w:rPr>
        <w:t>D.5  Results</w:t>
      </w:r>
      <w:bookmarkEnd w:id="149"/>
    </w:p>
    <w:p w14:paraId="259646A1" w14:textId="77777777" w:rsidR="00C4454D" w:rsidRPr="00A735B4" w:rsidRDefault="00C4454D" w:rsidP="00C4454D">
      <w:pPr>
        <w:autoSpaceDE w:val="0"/>
        <w:autoSpaceDN w:val="0"/>
        <w:adjustRightInd w:val="0"/>
        <w:jc w:val="both"/>
        <w:rPr>
          <w:rFonts w:eastAsia="Times New Roman"/>
          <w:color w:val="000000"/>
        </w:rPr>
      </w:pPr>
    </w:p>
    <w:p w14:paraId="112049E9" w14:textId="77777777" w:rsidR="00C4454D" w:rsidRPr="00A735B4" w:rsidRDefault="00C4454D" w:rsidP="00C445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b/>
        </w:rPr>
      </w:pPr>
      <w:r w:rsidRPr="00A735B4">
        <w:rPr>
          <w:rFonts w:eastAsia="Times New Roman"/>
          <w:b/>
        </w:rPr>
        <w:t>D.5 1 Maize</w:t>
      </w:r>
    </w:p>
    <w:p w14:paraId="1EC024B2" w14:textId="045E4FB6" w:rsidR="00C4454D" w:rsidRPr="00A735B4" w:rsidRDefault="00C4454D" w:rsidP="00C445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rPr>
      </w:pPr>
      <w:r w:rsidRPr="00A735B4">
        <w:rPr>
          <w:rFonts w:eastAsia="Times New Roman"/>
        </w:rPr>
        <w:t>After cleaning the database of outliers,</w:t>
      </w:r>
      <w:r w:rsidRPr="00A735B4">
        <w:rPr>
          <w:rFonts w:eastAsia="Times New Roman"/>
        </w:rPr>
        <w:endnoteReference w:id="25"/>
      </w:r>
      <w:r w:rsidRPr="00A735B4">
        <w:rPr>
          <w:rFonts w:eastAsia="Times New Roman"/>
        </w:rPr>
        <w:t xml:space="preserve"> the results showed that the median prices of maize for all countries (except Mali) remained within reasonable margins. Malawi had the most affordable price per kilogram of maize (US$0.26), whereas Ghana had the highest price (US$0.44 per kg). When comparing these results with official data from the </w:t>
      </w:r>
      <w:r w:rsidRPr="00A735B4">
        <w:t>Food and Agriculture Organization Global Information and Early Warning System (</w:t>
      </w:r>
      <w:r w:rsidRPr="00A735B4">
        <w:rPr>
          <w:rFonts w:eastAsia="Times New Roman"/>
        </w:rPr>
        <w:t>FAO/GIEWS) database,</w:t>
      </w:r>
      <w:r w:rsidRPr="00A735B4">
        <w:rPr>
          <w:rFonts w:eastAsia="Times New Roman"/>
        </w:rPr>
        <w:endnoteReference w:id="26"/>
      </w:r>
      <w:r w:rsidRPr="00A735B4">
        <w:rPr>
          <w:rFonts w:eastAsia="Times New Roman"/>
        </w:rPr>
        <w:t xml:space="preserve"> the values were practically the same in the five countries where official data were available (see figures D.1 and D.2).</w:t>
      </w:r>
    </w:p>
    <w:p w14:paraId="4C4C8B38" w14:textId="77777777" w:rsidR="00C4454D" w:rsidRPr="00A735B4" w:rsidRDefault="00C4454D" w:rsidP="00C445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rPr>
      </w:pPr>
    </w:p>
    <w:p w14:paraId="2F85B2EB" w14:textId="77777777" w:rsidR="00C4454D" w:rsidRPr="00A735B4" w:rsidRDefault="00C4454D" w:rsidP="00C445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rPr>
      </w:pPr>
    </w:p>
    <w:p w14:paraId="372DB777" w14:textId="77777777" w:rsidR="00C4454D" w:rsidRPr="00A735B4" w:rsidRDefault="00C4454D" w:rsidP="00C445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rPr>
      </w:pPr>
    </w:p>
    <w:p w14:paraId="6FE41EC1" w14:textId="5D6F4E28" w:rsidR="00C4454D" w:rsidRPr="00A735B4" w:rsidRDefault="00C4454D" w:rsidP="00C4454D">
      <w:pPr>
        <w:rPr>
          <w:color w:val="1F497D" w:themeColor="text2"/>
        </w:rPr>
      </w:pPr>
      <w:r w:rsidRPr="00A735B4">
        <w:lastRenderedPageBreak/>
        <w:t xml:space="preserve"> </w:t>
      </w:r>
      <w:bookmarkStart w:id="150" w:name="_Toc410823502"/>
      <w:r w:rsidRPr="00A735B4">
        <w:rPr>
          <w:color w:val="1F497D" w:themeColor="text2"/>
        </w:rPr>
        <w:t xml:space="preserve">Figure D.1 Price of maize (US$/kg)       </w:t>
      </w:r>
      <w:r w:rsidRPr="00A735B4">
        <w:t xml:space="preserve"> </w:t>
      </w:r>
      <w:r w:rsidRPr="00A735B4">
        <w:tab/>
      </w:r>
      <w:r w:rsidRPr="00A735B4">
        <w:rPr>
          <w:color w:val="1F497D" w:themeColor="text2"/>
        </w:rPr>
        <w:t>Figure D.2 Maize: Average country price (US$/kg</w:t>
      </w:r>
      <w:bookmarkEnd w:id="150"/>
      <w:r w:rsidRPr="00A735B4">
        <w:rPr>
          <w:color w:val="1F497D" w:themeColor="text2"/>
        </w:rPr>
        <w:t>)</w:t>
      </w:r>
    </w:p>
    <w:p w14:paraId="1D7CB9BE" w14:textId="77777777" w:rsidR="00C4454D" w:rsidRPr="00A735B4" w:rsidRDefault="00C4454D" w:rsidP="00C445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noProof/>
          <w:lang w:eastAsia="es-ES"/>
        </w:rPr>
      </w:pPr>
      <w:r w:rsidRPr="00A735B4">
        <w:rPr>
          <w:noProof/>
        </w:rPr>
        <w:drawing>
          <wp:inline distT="0" distB="0" distL="0" distR="0" wp14:anchorId="46F12A76" wp14:editId="2CF6D7AC">
            <wp:extent cx="2735885" cy="1909267"/>
            <wp:effectExtent l="0" t="0" r="7620" b="0"/>
            <wp:docPr id="493" name="Chart 493"/>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r w:rsidRPr="00A735B4">
        <w:rPr>
          <w:noProof/>
        </w:rPr>
        <w:drawing>
          <wp:inline distT="0" distB="0" distL="0" distR="0" wp14:anchorId="14BC9D0E" wp14:editId="22E1E513">
            <wp:extent cx="2735885" cy="1923898"/>
            <wp:effectExtent l="0" t="0" r="7620" b="635"/>
            <wp:docPr id="494" name="Chart 494"/>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54EE6997" w14:textId="381ECA91" w:rsidR="00C4454D" w:rsidRPr="00A735B4" w:rsidRDefault="00C4454D" w:rsidP="00C445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sz w:val="18"/>
          <w:szCs w:val="18"/>
        </w:rPr>
      </w:pPr>
      <w:r w:rsidRPr="00A735B4">
        <w:rPr>
          <w:i/>
          <w:noProof/>
          <w:sz w:val="18"/>
          <w:szCs w:val="18"/>
          <w:lang w:eastAsia="es-ES"/>
        </w:rPr>
        <w:t>Source:</w:t>
      </w:r>
      <w:r w:rsidRPr="00A735B4">
        <w:rPr>
          <w:noProof/>
          <w:sz w:val="18"/>
          <w:szCs w:val="18"/>
          <w:lang w:eastAsia="es-ES"/>
        </w:rPr>
        <w:t xml:space="preserve"> Authors’ calculations. </w:t>
      </w:r>
      <w:r w:rsidRPr="00A735B4">
        <w:rPr>
          <w:noProof/>
          <w:sz w:val="18"/>
          <w:szCs w:val="18"/>
          <w:lang w:eastAsia="es-ES"/>
        </w:rPr>
        <w:tab/>
      </w:r>
      <w:r w:rsidRPr="00A735B4">
        <w:rPr>
          <w:noProof/>
          <w:sz w:val="18"/>
          <w:szCs w:val="18"/>
          <w:lang w:eastAsia="es-ES"/>
        </w:rPr>
        <w:tab/>
      </w:r>
      <w:r w:rsidRPr="00A735B4">
        <w:rPr>
          <w:noProof/>
          <w:sz w:val="18"/>
          <w:szCs w:val="18"/>
          <w:lang w:eastAsia="es-ES"/>
        </w:rPr>
        <w:tab/>
      </w:r>
      <w:r w:rsidRPr="00A735B4">
        <w:rPr>
          <w:noProof/>
          <w:sz w:val="18"/>
          <w:szCs w:val="18"/>
          <w:lang w:eastAsia="es-ES"/>
        </w:rPr>
        <w:tab/>
      </w:r>
      <w:r w:rsidRPr="00A735B4">
        <w:rPr>
          <w:i/>
          <w:noProof/>
          <w:sz w:val="18"/>
          <w:szCs w:val="18"/>
          <w:lang w:eastAsia="es-ES"/>
        </w:rPr>
        <w:t>Source:</w:t>
      </w:r>
      <w:r w:rsidRPr="00A735B4">
        <w:rPr>
          <w:noProof/>
          <w:sz w:val="18"/>
          <w:szCs w:val="18"/>
          <w:lang w:eastAsia="es-ES"/>
        </w:rPr>
        <w:t xml:space="preserve"> FAO/GIEWS official food price data.</w:t>
      </w:r>
    </w:p>
    <w:p w14:paraId="1216459A" w14:textId="77777777" w:rsidR="00C4454D" w:rsidRPr="00A735B4" w:rsidRDefault="00C4454D" w:rsidP="00C445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rPr>
      </w:pPr>
    </w:p>
    <w:p w14:paraId="5DCA7279" w14:textId="77777777" w:rsidR="00C4454D" w:rsidRPr="00A735B4" w:rsidRDefault="00C4454D" w:rsidP="00C445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b/>
        </w:rPr>
      </w:pPr>
      <w:r w:rsidRPr="00A735B4">
        <w:rPr>
          <w:rFonts w:eastAsia="Times New Roman"/>
          <w:b/>
        </w:rPr>
        <w:t>D.5.2 Fertilizers</w:t>
      </w:r>
    </w:p>
    <w:p w14:paraId="3A967E4C" w14:textId="77777777" w:rsidR="00C4454D" w:rsidRPr="00A735B4" w:rsidRDefault="00C4454D" w:rsidP="00C445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rPr>
      </w:pPr>
    </w:p>
    <w:p w14:paraId="3A780A7E" w14:textId="13E30179" w:rsidR="00C4454D" w:rsidRPr="00A735B4" w:rsidRDefault="00C4454D" w:rsidP="00C445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rPr>
      </w:pPr>
      <w:r w:rsidRPr="00A735B4">
        <w:rPr>
          <w:rFonts w:eastAsia="Times New Roman"/>
        </w:rPr>
        <w:t>Statistics on prices, quality, and consumption of fertilizers in Sub-Saharan Africa are poor. This pilot study gives us the possibility to fill this information gap. Although some studies have shown that consumption of fertilizers has markedly increased since 2003, reaching a maximum of almost 1.6 million tons in 2010,</w:t>
      </w:r>
      <w:r w:rsidRPr="00A735B4">
        <w:rPr>
          <w:rFonts w:eastAsia="Times New Roman"/>
        </w:rPr>
        <w:endnoteReference w:id="27"/>
      </w:r>
      <w:r w:rsidRPr="00A735B4">
        <w:rPr>
          <w:rFonts w:eastAsia="Times New Roman"/>
        </w:rPr>
        <w:t xml:space="preserve"> possibly due to the introduction of fertilizer subsidies in many countries, overall consumption remains low. Sub-Saharan Africa accounts for less than 1 percent of global fertilizer consumption, mainly because of the high prices in comparison with other regions.</w:t>
      </w:r>
    </w:p>
    <w:p w14:paraId="2A37584B" w14:textId="77777777" w:rsidR="00C4454D" w:rsidRPr="00A735B4" w:rsidRDefault="00C4454D" w:rsidP="00C445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rPr>
      </w:pPr>
    </w:p>
    <w:p w14:paraId="28430AE4" w14:textId="68A70572" w:rsidR="00C4454D" w:rsidRPr="00A735B4" w:rsidRDefault="00C4454D" w:rsidP="00C445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rPr>
      </w:pPr>
      <w:r w:rsidRPr="00A735B4">
        <w:rPr>
          <w:rFonts w:eastAsia="Times New Roman"/>
        </w:rPr>
        <w:t>Since the majority of Sub-Saharan African countries are not producers of fertilizers, importers have to face a number of constraints. First, given the size of their markets, they usually acquire relatively small quantities compared with the size of global trade flows. Therefore, their bargaining power to negotiate better rates is very limited. And high financial charges associated with letters of credit and interest can limit the ability of importers to secure additional volume or larger loads. In addition, freight rates to most of these countries are high, mainly because of limited port capacity, which causes delays of 7–10 days, increasing the prices for consumers by almost 100 percent.</w:t>
      </w:r>
      <w:r w:rsidRPr="00A735B4">
        <w:rPr>
          <w:rFonts w:eastAsia="Times New Roman"/>
        </w:rPr>
        <w:endnoteReference w:id="28"/>
      </w:r>
    </w:p>
    <w:p w14:paraId="2F0597E8" w14:textId="77777777" w:rsidR="00C4454D" w:rsidRPr="00A735B4" w:rsidRDefault="00C4454D" w:rsidP="00C445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rPr>
      </w:pPr>
    </w:p>
    <w:p w14:paraId="04A17946" w14:textId="78C952CE" w:rsidR="00C4454D" w:rsidRPr="00A735B4" w:rsidRDefault="00C4454D" w:rsidP="00C445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rPr>
      </w:pPr>
      <w:r w:rsidRPr="00A735B4">
        <w:rPr>
          <w:rFonts w:eastAsia="Times New Roman"/>
        </w:rPr>
        <w:t xml:space="preserve">Data from IDFC for 2013 shows that imports of urea for local consumption gave the market a total price of US$620/ton or US$0.62/kg. When we analyze the price of fertilizers obtained for Tanzania applying our SMS survey, the results show very similar values. Figures D.3 and D.4 show a total price of US$0.6/kg for the average price of fertilizers as well as for the price of urea. </w:t>
      </w:r>
    </w:p>
    <w:p w14:paraId="41B62BAD" w14:textId="77777777" w:rsidR="00C4454D" w:rsidRPr="00A735B4" w:rsidRDefault="00C4454D" w:rsidP="00C445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rPr>
      </w:pPr>
    </w:p>
    <w:p w14:paraId="04B65D00" w14:textId="03350FC2" w:rsidR="00C4454D" w:rsidRPr="00A735B4" w:rsidRDefault="00C4454D" w:rsidP="00C445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rPr>
      </w:pPr>
      <w:r w:rsidRPr="00A735B4">
        <w:rPr>
          <w:rFonts w:eastAsia="Times New Roman"/>
        </w:rPr>
        <w:lastRenderedPageBreak/>
        <w:t xml:space="preserve">Given the limited volatility in the results presented in all the countries, it can be assumed that prices obtained in our pilot project could be used as a reference or proxy for market price. Having said that, we can also observe that Ghana, one of the few countries in Sub-Saharan Africa that produces fertilizers, has one of the lowest prices for this product (see figure D.3). </w:t>
      </w:r>
    </w:p>
    <w:p w14:paraId="239AFE4C" w14:textId="77777777" w:rsidR="00C4454D" w:rsidRPr="00A735B4" w:rsidRDefault="00C4454D" w:rsidP="00C4454D"/>
    <w:p w14:paraId="0C1A5D04" w14:textId="0459BDF1" w:rsidR="00C4454D" w:rsidRPr="00A735B4" w:rsidRDefault="00C4454D" w:rsidP="00C4454D">
      <w:pPr>
        <w:rPr>
          <w:color w:val="1F497D" w:themeColor="text2"/>
        </w:rPr>
      </w:pPr>
      <w:bookmarkStart w:id="151" w:name="_Toc410823503"/>
      <w:r w:rsidRPr="00A735B4">
        <w:rPr>
          <w:color w:val="1F497D" w:themeColor="text2"/>
        </w:rPr>
        <w:t>Figure D.3 Prices of fertilizers (US$/kg)</w:t>
      </w:r>
      <w:r w:rsidRPr="00A735B4">
        <w:rPr>
          <w:color w:val="1F497D" w:themeColor="text2"/>
        </w:rPr>
        <w:tab/>
        <w:t>Figure D.4 Prices of basal and urea (US$/kg)</w:t>
      </w:r>
      <w:bookmarkEnd w:id="151"/>
    </w:p>
    <w:p w14:paraId="6A6F06CB" w14:textId="77777777" w:rsidR="00C4454D" w:rsidRPr="00A735B4" w:rsidRDefault="00C4454D" w:rsidP="00C445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rPr>
      </w:pPr>
      <w:r w:rsidRPr="00A735B4">
        <w:rPr>
          <w:noProof/>
        </w:rPr>
        <w:drawing>
          <wp:inline distT="0" distB="0" distL="0" distR="0" wp14:anchorId="4F1DCC37" wp14:editId="45302A4E">
            <wp:extent cx="2838298" cy="1945844"/>
            <wp:effectExtent l="0" t="0" r="635" b="0"/>
            <wp:docPr id="495" name="Chart 495"/>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r w:rsidRPr="00A735B4">
        <w:rPr>
          <w:noProof/>
        </w:rPr>
        <w:drawing>
          <wp:inline distT="0" distB="0" distL="0" distR="0" wp14:anchorId="63D3C162" wp14:editId="4DAEBEA4">
            <wp:extent cx="2874873" cy="1901952"/>
            <wp:effectExtent l="0" t="0" r="1905" b="3175"/>
            <wp:docPr id="497" name="Chart 497"/>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40647742" w14:textId="77777777" w:rsidR="00C4454D" w:rsidRPr="00A735B4" w:rsidRDefault="00C4454D" w:rsidP="00C445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rPr>
      </w:pPr>
      <w:r w:rsidRPr="00A735B4">
        <w:rPr>
          <w:i/>
          <w:noProof/>
          <w:sz w:val="18"/>
          <w:szCs w:val="18"/>
          <w:lang w:eastAsia="es-ES"/>
        </w:rPr>
        <w:t>Source:</w:t>
      </w:r>
      <w:r w:rsidRPr="00A735B4">
        <w:rPr>
          <w:noProof/>
          <w:sz w:val="18"/>
          <w:szCs w:val="18"/>
          <w:lang w:eastAsia="es-ES"/>
        </w:rPr>
        <w:t xml:space="preserve"> Authors’ calculations.</w:t>
      </w:r>
      <w:r w:rsidRPr="00A735B4">
        <w:rPr>
          <w:noProof/>
          <w:sz w:val="18"/>
          <w:szCs w:val="18"/>
          <w:lang w:eastAsia="es-ES"/>
        </w:rPr>
        <w:tab/>
      </w:r>
      <w:r w:rsidRPr="00A735B4">
        <w:rPr>
          <w:noProof/>
          <w:sz w:val="18"/>
          <w:szCs w:val="18"/>
          <w:lang w:eastAsia="es-ES"/>
        </w:rPr>
        <w:tab/>
      </w:r>
      <w:r w:rsidRPr="00A735B4">
        <w:rPr>
          <w:noProof/>
          <w:sz w:val="18"/>
          <w:szCs w:val="18"/>
          <w:lang w:eastAsia="es-ES"/>
        </w:rPr>
        <w:tab/>
      </w:r>
      <w:r w:rsidRPr="00A735B4">
        <w:rPr>
          <w:i/>
          <w:noProof/>
          <w:sz w:val="18"/>
          <w:szCs w:val="18"/>
          <w:lang w:eastAsia="es-ES"/>
        </w:rPr>
        <w:t>Source:</w:t>
      </w:r>
      <w:r w:rsidRPr="00A735B4">
        <w:rPr>
          <w:noProof/>
          <w:sz w:val="18"/>
          <w:szCs w:val="18"/>
          <w:lang w:eastAsia="es-ES"/>
        </w:rPr>
        <w:t xml:space="preserve"> Authors’ calculations.</w:t>
      </w:r>
    </w:p>
    <w:p w14:paraId="693FECD3" w14:textId="77777777" w:rsidR="00C4454D" w:rsidRPr="00A735B4" w:rsidRDefault="00C4454D" w:rsidP="00C445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rPr>
      </w:pPr>
    </w:p>
    <w:p w14:paraId="546D504A" w14:textId="77777777" w:rsidR="00C4454D" w:rsidRPr="00A735B4" w:rsidRDefault="00C4454D" w:rsidP="00C445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b/>
        </w:rPr>
      </w:pPr>
      <w:r w:rsidRPr="00A735B4">
        <w:rPr>
          <w:rFonts w:eastAsia="Times New Roman"/>
          <w:b/>
        </w:rPr>
        <w:t>D.5.3 Seeds</w:t>
      </w:r>
    </w:p>
    <w:p w14:paraId="00AE0778" w14:textId="7174E6D3" w:rsidR="00C4454D" w:rsidRPr="00A735B4" w:rsidRDefault="00C4454D" w:rsidP="00C445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rPr>
      </w:pPr>
      <w:r w:rsidRPr="00A735B4">
        <w:rPr>
          <w:rFonts w:eastAsia="Times New Roman"/>
        </w:rPr>
        <w:t>The average price of seeds per country shows a high level of volatility (see figure D.5). Since the nature and characteristics of the various types of seeds available in each market are very different, it is difficult to have an average price similar for every country. However, it is important to note that some differences in our results might be strongly associated with a low number of valid observations in some countries. In table D.1, when we analyze the price of new OPV seeds</w:t>
      </w:r>
      <w:r w:rsidRPr="00A735B4">
        <w:t>—</w:t>
      </w:r>
      <w:r w:rsidRPr="00A735B4">
        <w:rPr>
          <w:rFonts w:eastAsia="Times New Roman"/>
        </w:rPr>
        <w:t>one of the types of seed with the fewest observations in our database</w:t>
      </w:r>
      <w:r w:rsidRPr="00A735B4">
        <w:t>—</w:t>
      </w:r>
      <w:r w:rsidRPr="00A735B4">
        <w:rPr>
          <w:rFonts w:eastAsia="Times New Roman"/>
        </w:rPr>
        <w:t xml:space="preserve">we observe an important difference between Zambia, the country with the highest seed price (US$2.33/kg) and Cameroon (US$0.53/kg). </w:t>
      </w:r>
    </w:p>
    <w:p w14:paraId="2F613F3E" w14:textId="77777777" w:rsidR="00C4454D" w:rsidRPr="00A735B4" w:rsidRDefault="00C4454D" w:rsidP="00C445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rPr>
      </w:pPr>
    </w:p>
    <w:p w14:paraId="40C3ED4A" w14:textId="77777777" w:rsidR="00C4454D" w:rsidRPr="00A735B4" w:rsidRDefault="00C4454D" w:rsidP="00C445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rPr>
      </w:pPr>
    </w:p>
    <w:p w14:paraId="377304F7" w14:textId="40EA55C7" w:rsidR="00C4454D" w:rsidRPr="00A735B4" w:rsidRDefault="00C4454D" w:rsidP="00C4454D">
      <w:pPr>
        <w:jc w:val="center"/>
        <w:rPr>
          <w:color w:val="1F497D" w:themeColor="text2"/>
        </w:rPr>
      </w:pPr>
      <w:bookmarkStart w:id="152" w:name="_Toc410823504"/>
      <w:r w:rsidRPr="00A735B4">
        <w:rPr>
          <w:color w:val="1F497D" w:themeColor="text2"/>
        </w:rPr>
        <w:t>Figure D.5 Price of seeds (US$/kg</w:t>
      </w:r>
      <w:bookmarkEnd w:id="152"/>
      <w:r w:rsidRPr="00A735B4">
        <w:rPr>
          <w:color w:val="1F497D" w:themeColor="text2"/>
        </w:rPr>
        <w:t>)</w:t>
      </w:r>
    </w:p>
    <w:p w14:paraId="5292480E" w14:textId="77777777" w:rsidR="00C4454D" w:rsidRPr="00A735B4" w:rsidRDefault="00C4454D" w:rsidP="00C445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rPr>
      </w:pPr>
      <w:r w:rsidRPr="00A735B4">
        <w:rPr>
          <w:noProof/>
        </w:rPr>
        <w:lastRenderedPageBreak/>
        <w:drawing>
          <wp:inline distT="0" distB="0" distL="0" distR="0" wp14:anchorId="43D484F3" wp14:editId="4AFD4348">
            <wp:extent cx="2896819" cy="1945844"/>
            <wp:effectExtent l="0" t="0" r="0" b="0"/>
            <wp:docPr id="498" name="Chart 498"/>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50E31022" w14:textId="77777777" w:rsidR="00C4454D" w:rsidRPr="00A735B4" w:rsidRDefault="00C4454D" w:rsidP="00C445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b/>
        </w:rPr>
      </w:pPr>
    </w:p>
    <w:p w14:paraId="35562326" w14:textId="60EBD0DC" w:rsidR="00C4454D" w:rsidRPr="00A735B4" w:rsidRDefault="00C4454D" w:rsidP="00C4454D">
      <w:pPr>
        <w:jc w:val="center"/>
        <w:rPr>
          <w:color w:val="1F497D" w:themeColor="text2"/>
        </w:rPr>
      </w:pPr>
      <w:bookmarkStart w:id="153" w:name="_Toc410823573"/>
      <w:r w:rsidRPr="00A735B4">
        <w:rPr>
          <w:color w:val="1F497D" w:themeColor="text2"/>
        </w:rPr>
        <w:t>Table D.1 Price of seeds by type of seed (US$/kg</w:t>
      </w:r>
      <w:bookmarkEnd w:id="153"/>
      <w:r w:rsidRPr="00A735B4">
        <w:rPr>
          <w:color w:val="1F497D" w:themeColor="text2"/>
        </w:rPr>
        <w:t>)</w:t>
      </w:r>
    </w:p>
    <w:tbl>
      <w:tblPr>
        <w:tblW w:w="0" w:type="auto"/>
        <w:jc w:val="center"/>
        <w:tblCellMar>
          <w:left w:w="70" w:type="dxa"/>
          <w:right w:w="70" w:type="dxa"/>
        </w:tblCellMar>
        <w:tblLook w:val="04A0" w:firstRow="1" w:lastRow="0" w:firstColumn="1" w:lastColumn="0" w:noHBand="0" w:noVBand="1"/>
      </w:tblPr>
      <w:tblGrid>
        <w:gridCol w:w="971"/>
        <w:gridCol w:w="424"/>
        <w:gridCol w:w="146"/>
        <w:gridCol w:w="971"/>
        <w:gridCol w:w="424"/>
        <w:gridCol w:w="146"/>
        <w:gridCol w:w="971"/>
        <w:gridCol w:w="424"/>
        <w:gridCol w:w="146"/>
        <w:gridCol w:w="971"/>
        <w:gridCol w:w="424"/>
      </w:tblGrid>
      <w:tr w:rsidR="00C4454D" w:rsidRPr="00A735B4" w14:paraId="21EBC0CE" w14:textId="77777777" w:rsidTr="00C4454D">
        <w:trPr>
          <w:trHeight w:val="315"/>
          <w:jc w:val="center"/>
        </w:trPr>
        <w:tc>
          <w:tcPr>
            <w:tcW w:w="0" w:type="auto"/>
            <w:gridSpan w:val="2"/>
            <w:tcBorders>
              <w:top w:val="nil"/>
              <w:left w:val="nil"/>
              <w:bottom w:val="single" w:sz="8" w:space="0" w:color="auto"/>
              <w:right w:val="nil"/>
            </w:tcBorders>
            <w:shd w:val="clear" w:color="auto" w:fill="auto"/>
            <w:noWrap/>
            <w:vAlign w:val="bottom"/>
            <w:hideMark/>
          </w:tcPr>
          <w:p w14:paraId="448F40EC" w14:textId="77777777" w:rsidR="00C4454D" w:rsidRPr="00A735B4" w:rsidRDefault="00C4454D" w:rsidP="00C4454D">
            <w:pPr>
              <w:jc w:val="center"/>
              <w:rPr>
                <w:rFonts w:ascii="Calibri" w:eastAsia="Times New Roman" w:hAnsi="Calibri"/>
                <w:b/>
                <w:bCs/>
                <w:color w:val="000000"/>
                <w:sz w:val="16"/>
                <w:szCs w:val="16"/>
                <w:lang w:eastAsia="es-ES"/>
              </w:rPr>
            </w:pPr>
            <w:r w:rsidRPr="00A735B4">
              <w:rPr>
                <w:rFonts w:ascii="Calibri" w:eastAsia="Times New Roman" w:hAnsi="Calibri"/>
                <w:b/>
                <w:bCs/>
                <w:color w:val="000000"/>
                <w:sz w:val="16"/>
                <w:szCs w:val="16"/>
                <w:lang w:eastAsia="es-ES"/>
              </w:rPr>
              <w:t>New OPV</w:t>
            </w:r>
          </w:p>
        </w:tc>
        <w:tc>
          <w:tcPr>
            <w:tcW w:w="0" w:type="auto"/>
            <w:tcBorders>
              <w:top w:val="nil"/>
              <w:left w:val="nil"/>
              <w:bottom w:val="nil"/>
              <w:right w:val="nil"/>
            </w:tcBorders>
            <w:shd w:val="clear" w:color="auto" w:fill="auto"/>
            <w:noWrap/>
            <w:vAlign w:val="bottom"/>
            <w:hideMark/>
          </w:tcPr>
          <w:p w14:paraId="46BA6896" w14:textId="77777777" w:rsidR="00C4454D" w:rsidRPr="00A735B4" w:rsidRDefault="00C4454D" w:rsidP="00C4454D">
            <w:pPr>
              <w:rPr>
                <w:rFonts w:ascii="Calibri" w:eastAsia="Times New Roman" w:hAnsi="Calibri"/>
                <w:color w:val="000000"/>
                <w:sz w:val="16"/>
                <w:szCs w:val="16"/>
                <w:lang w:eastAsia="es-ES"/>
              </w:rPr>
            </w:pPr>
          </w:p>
        </w:tc>
        <w:tc>
          <w:tcPr>
            <w:tcW w:w="0" w:type="auto"/>
            <w:gridSpan w:val="2"/>
            <w:tcBorders>
              <w:top w:val="nil"/>
              <w:left w:val="nil"/>
              <w:bottom w:val="single" w:sz="8" w:space="0" w:color="auto"/>
              <w:right w:val="nil"/>
            </w:tcBorders>
            <w:shd w:val="clear" w:color="auto" w:fill="auto"/>
            <w:noWrap/>
            <w:vAlign w:val="bottom"/>
            <w:hideMark/>
          </w:tcPr>
          <w:p w14:paraId="784B2DF0" w14:textId="77777777" w:rsidR="00C4454D" w:rsidRPr="00A735B4" w:rsidRDefault="00C4454D" w:rsidP="00C4454D">
            <w:pPr>
              <w:jc w:val="center"/>
              <w:rPr>
                <w:rFonts w:ascii="Calibri" w:eastAsia="Times New Roman" w:hAnsi="Calibri"/>
                <w:b/>
                <w:bCs/>
                <w:color w:val="000000"/>
                <w:sz w:val="16"/>
                <w:szCs w:val="16"/>
                <w:lang w:eastAsia="es-ES"/>
              </w:rPr>
            </w:pPr>
            <w:r w:rsidRPr="00A735B4">
              <w:rPr>
                <w:rFonts w:ascii="Calibri" w:eastAsia="Times New Roman" w:hAnsi="Calibri"/>
                <w:b/>
                <w:bCs/>
                <w:color w:val="000000"/>
                <w:sz w:val="16"/>
                <w:szCs w:val="16"/>
                <w:lang w:eastAsia="es-ES"/>
              </w:rPr>
              <w:t>New hybrid</w:t>
            </w:r>
          </w:p>
        </w:tc>
        <w:tc>
          <w:tcPr>
            <w:tcW w:w="0" w:type="auto"/>
            <w:tcBorders>
              <w:top w:val="nil"/>
              <w:left w:val="nil"/>
              <w:bottom w:val="nil"/>
              <w:right w:val="nil"/>
            </w:tcBorders>
            <w:shd w:val="clear" w:color="auto" w:fill="auto"/>
            <w:noWrap/>
            <w:vAlign w:val="bottom"/>
            <w:hideMark/>
          </w:tcPr>
          <w:p w14:paraId="772E3C28" w14:textId="77777777" w:rsidR="00C4454D" w:rsidRPr="00A735B4" w:rsidRDefault="00C4454D" w:rsidP="00C4454D">
            <w:pPr>
              <w:jc w:val="center"/>
              <w:rPr>
                <w:rFonts w:ascii="Calibri" w:eastAsia="Times New Roman" w:hAnsi="Calibri"/>
                <w:color w:val="000000"/>
                <w:sz w:val="16"/>
                <w:szCs w:val="16"/>
                <w:lang w:eastAsia="es-ES"/>
              </w:rPr>
            </w:pPr>
          </w:p>
        </w:tc>
        <w:tc>
          <w:tcPr>
            <w:tcW w:w="0" w:type="auto"/>
            <w:gridSpan w:val="2"/>
            <w:tcBorders>
              <w:top w:val="nil"/>
              <w:left w:val="nil"/>
              <w:bottom w:val="single" w:sz="8" w:space="0" w:color="auto"/>
              <w:right w:val="nil"/>
            </w:tcBorders>
            <w:shd w:val="clear" w:color="auto" w:fill="auto"/>
            <w:noWrap/>
            <w:vAlign w:val="bottom"/>
            <w:hideMark/>
          </w:tcPr>
          <w:p w14:paraId="43C6C0FE" w14:textId="77777777" w:rsidR="00C4454D" w:rsidRPr="00A735B4" w:rsidRDefault="00C4454D" w:rsidP="00C4454D">
            <w:pPr>
              <w:jc w:val="center"/>
              <w:rPr>
                <w:rFonts w:ascii="Calibri" w:eastAsia="Times New Roman" w:hAnsi="Calibri"/>
                <w:b/>
                <w:bCs/>
                <w:color w:val="000000"/>
                <w:sz w:val="16"/>
                <w:szCs w:val="16"/>
                <w:lang w:eastAsia="es-ES"/>
              </w:rPr>
            </w:pPr>
            <w:r w:rsidRPr="00A735B4">
              <w:rPr>
                <w:rFonts w:ascii="Calibri" w:eastAsia="Times New Roman" w:hAnsi="Calibri"/>
                <w:b/>
                <w:bCs/>
                <w:color w:val="000000"/>
                <w:sz w:val="16"/>
                <w:szCs w:val="16"/>
                <w:lang w:eastAsia="es-ES"/>
              </w:rPr>
              <w:t>Recycled OPV</w:t>
            </w:r>
          </w:p>
        </w:tc>
        <w:tc>
          <w:tcPr>
            <w:tcW w:w="0" w:type="auto"/>
            <w:tcBorders>
              <w:top w:val="nil"/>
              <w:left w:val="nil"/>
              <w:bottom w:val="nil"/>
              <w:right w:val="nil"/>
            </w:tcBorders>
            <w:shd w:val="clear" w:color="auto" w:fill="auto"/>
            <w:noWrap/>
            <w:vAlign w:val="bottom"/>
            <w:hideMark/>
          </w:tcPr>
          <w:p w14:paraId="3AE6B0DB" w14:textId="77777777" w:rsidR="00C4454D" w:rsidRPr="00A735B4" w:rsidRDefault="00C4454D" w:rsidP="00C4454D">
            <w:pPr>
              <w:jc w:val="center"/>
              <w:rPr>
                <w:rFonts w:ascii="Calibri" w:eastAsia="Times New Roman" w:hAnsi="Calibri"/>
                <w:color w:val="000000"/>
                <w:sz w:val="16"/>
                <w:szCs w:val="16"/>
                <w:lang w:eastAsia="es-ES"/>
              </w:rPr>
            </w:pPr>
          </w:p>
        </w:tc>
        <w:tc>
          <w:tcPr>
            <w:tcW w:w="0" w:type="auto"/>
            <w:gridSpan w:val="2"/>
            <w:tcBorders>
              <w:top w:val="nil"/>
              <w:left w:val="nil"/>
              <w:bottom w:val="single" w:sz="8" w:space="0" w:color="auto"/>
              <w:right w:val="nil"/>
            </w:tcBorders>
            <w:shd w:val="clear" w:color="auto" w:fill="auto"/>
            <w:noWrap/>
            <w:vAlign w:val="bottom"/>
            <w:hideMark/>
          </w:tcPr>
          <w:p w14:paraId="3F1BA091" w14:textId="77777777" w:rsidR="00C4454D" w:rsidRPr="00A735B4" w:rsidRDefault="00C4454D" w:rsidP="00C4454D">
            <w:pPr>
              <w:jc w:val="center"/>
              <w:rPr>
                <w:rFonts w:ascii="Calibri" w:eastAsia="Times New Roman" w:hAnsi="Calibri"/>
                <w:b/>
                <w:bCs/>
                <w:color w:val="000000"/>
                <w:sz w:val="16"/>
                <w:szCs w:val="16"/>
                <w:lang w:eastAsia="es-ES"/>
              </w:rPr>
            </w:pPr>
            <w:r w:rsidRPr="00A735B4">
              <w:rPr>
                <w:rFonts w:ascii="Calibri" w:eastAsia="Times New Roman" w:hAnsi="Calibri"/>
                <w:b/>
                <w:bCs/>
                <w:color w:val="000000"/>
                <w:sz w:val="16"/>
                <w:szCs w:val="16"/>
                <w:lang w:eastAsia="es-ES"/>
              </w:rPr>
              <w:t>Recycled hybrid</w:t>
            </w:r>
          </w:p>
        </w:tc>
      </w:tr>
      <w:tr w:rsidR="00C4454D" w:rsidRPr="00A735B4" w14:paraId="5ADBEA0E" w14:textId="77777777" w:rsidTr="00C4454D">
        <w:trPr>
          <w:trHeight w:val="300"/>
          <w:jc w:val="center"/>
        </w:trPr>
        <w:tc>
          <w:tcPr>
            <w:tcW w:w="0" w:type="auto"/>
            <w:tcBorders>
              <w:top w:val="nil"/>
              <w:left w:val="nil"/>
              <w:bottom w:val="nil"/>
              <w:right w:val="nil"/>
            </w:tcBorders>
            <w:shd w:val="clear" w:color="auto" w:fill="auto"/>
            <w:noWrap/>
            <w:vAlign w:val="bottom"/>
            <w:hideMark/>
          </w:tcPr>
          <w:p w14:paraId="6C50686A" w14:textId="77777777" w:rsidR="00C4454D" w:rsidRPr="00A735B4" w:rsidRDefault="00C4454D" w:rsidP="00C4454D">
            <w:pPr>
              <w:jc w:val="center"/>
              <w:rPr>
                <w:rFonts w:ascii="Calibri" w:eastAsia="Times New Roman" w:hAnsi="Calibri"/>
                <w:color w:val="000000"/>
                <w:sz w:val="16"/>
                <w:szCs w:val="16"/>
                <w:lang w:eastAsia="es-ES"/>
              </w:rPr>
            </w:pPr>
            <w:r w:rsidRPr="00A735B4">
              <w:rPr>
                <w:rFonts w:ascii="Calibri" w:eastAsia="Times New Roman" w:hAnsi="Calibri"/>
                <w:color w:val="000000"/>
                <w:sz w:val="16"/>
                <w:szCs w:val="16"/>
                <w:lang w:eastAsia="es-ES"/>
              </w:rPr>
              <w:t>Zambia</w:t>
            </w:r>
          </w:p>
        </w:tc>
        <w:tc>
          <w:tcPr>
            <w:tcW w:w="0" w:type="auto"/>
            <w:tcBorders>
              <w:top w:val="nil"/>
              <w:left w:val="nil"/>
              <w:bottom w:val="nil"/>
              <w:right w:val="nil"/>
            </w:tcBorders>
            <w:shd w:val="clear" w:color="auto" w:fill="auto"/>
            <w:noWrap/>
            <w:vAlign w:val="bottom"/>
            <w:hideMark/>
          </w:tcPr>
          <w:p w14:paraId="63C29295" w14:textId="77777777" w:rsidR="00C4454D" w:rsidRPr="00A735B4" w:rsidRDefault="00C4454D" w:rsidP="00C4454D">
            <w:pPr>
              <w:jc w:val="center"/>
              <w:rPr>
                <w:rFonts w:ascii="Calibri" w:eastAsia="Times New Roman" w:hAnsi="Calibri"/>
                <w:color w:val="000000"/>
                <w:sz w:val="16"/>
                <w:szCs w:val="16"/>
                <w:lang w:eastAsia="es-ES"/>
              </w:rPr>
            </w:pPr>
            <w:r w:rsidRPr="00A735B4">
              <w:rPr>
                <w:rFonts w:ascii="Calibri" w:eastAsia="Times New Roman" w:hAnsi="Calibri"/>
                <w:color w:val="000000"/>
                <w:sz w:val="16"/>
                <w:szCs w:val="16"/>
                <w:lang w:eastAsia="es-ES"/>
              </w:rPr>
              <w:t>2.33</w:t>
            </w:r>
          </w:p>
        </w:tc>
        <w:tc>
          <w:tcPr>
            <w:tcW w:w="0" w:type="auto"/>
            <w:tcBorders>
              <w:top w:val="nil"/>
              <w:left w:val="nil"/>
              <w:bottom w:val="nil"/>
              <w:right w:val="nil"/>
            </w:tcBorders>
            <w:shd w:val="clear" w:color="auto" w:fill="auto"/>
            <w:noWrap/>
            <w:vAlign w:val="bottom"/>
            <w:hideMark/>
          </w:tcPr>
          <w:p w14:paraId="3A7E4382" w14:textId="77777777" w:rsidR="00C4454D" w:rsidRPr="00A735B4" w:rsidRDefault="00C4454D" w:rsidP="00C4454D">
            <w:pPr>
              <w:rPr>
                <w:rFonts w:ascii="Calibri" w:eastAsia="Times New Roman" w:hAnsi="Calibri"/>
                <w:color w:val="000000"/>
                <w:sz w:val="16"/>
                <w:szCs w:val="16"/>
                <w:lang w:eastAsia="es-ES"/>
              </w:rPr>
            </w:pPr>
          </w:p>
        </w:tc>
        <w:tc>
          <w:tcPr>
            <w:tcW w:w="0" w:type="auto"/>
            <w:tcBorders>
              <w:top w:val="nil"/>
              <w:left w:val="nil"/>
              <w:bottom w:val="nil"/>
              <w:right w:val="nil"/>
            </w:tcBorders>
            <w:shd w:val="clear" w:color="auto" w:fill="auto"/>
            <w:noWrap/>
            <w:vAlign w:val="bottom"/>
            <w:hideMark/>
          </w:tcPr>
          <w:p w14:paraId="18F0A2DA" w14:textId="77777777" w:rsidR="00C4454D" w:rsidRPr="00A735B4" w:rsidRDefault="00C4454D" w:rsidP="00C4454D">
            <w:pPr>
              <w:jc w:val="center"/>
              <w:rPr>
                <w:rFonts w:ascii="Calibri" w:eastAsia="Times New Roman" w:hAnsi="Calibri"/>
                <w:color w:val="000000"/>
                <w:sz w:val="16"/>
                <w:szCs w:val="16"/>
                <w:lang w:eastAsia="es-ES"/>
              </w:rPr>
            </w:pPr>
            <w:r w:rsidRPr="00A735B4">
              <w:rPr>
                <w:rFonts w:ascii="Calibri" w:eastAsia="Times New Roman" w:hAnsi="Calibri"/>
                <w:color w:val="000000"/>
                <w:sz w:val="16"/>
                <w:szCs w:val="16"/>
                <w:lang w:eastAsia="es-ES"/>
              </w:rPr>
              <w:t>Mali</w:t>
            </w:r>
          </w:p>
        </w:tc>
        <w:tc>
          <w:tcPr>
            <w:tcW w:w="0" w:type="auto"/>
            <w:tcBorders>
              <w:top w:val="nil"/>
              <w:left w:val="nil"/>
              <w:bottom w:val="nil"/>
              <w:right w:val="nil"/>
            </w:tcBorders>
            <w:shd w:val="clear" w:color="auto" w:fill="auto"/>
            <w:noWrap/>
            <w:vAlign w:val="bottom"/>
            <w:hideMark/>
          </w:tcPr>
          <w:p w14:paraId="62A449C1" w14:textId="77777777" w:rsidR="00C4454D" w:rsidRPr="00A735B4" w:rsidRDefault="00C4454D" w:rsidP="00C4454D">
            <w:pPr>
              <w:jc w:val="center"/>
              <w:rPr>
                <w:rFonts w:ascii="Calibri" w:eastAsia="Times New Roman" w:hAnsi="Calibri"/>
                <w:color w:val="000000"/>
                <w:sz w:val="16"/>
                <w:szCs w:val="16"/>
                <w:lang w:eastAsia="es-ES"/>
              </w:rPr>
            </w:pPr>
            <w:r w:rsidRPr="00A735B4">
              <w:rPr>
                <w:rFonts w:ascii="Calibri" w:eastAsia="Times New Roman" w:hAnsi="Calibri"/>
                <w:color w:val="000000"/>
                <w:sz w:val="16"/>
                <w:szCs w:val="16"/>
                <w:lang w:eastAsia="es-ES"/>
              </w:rPr>
              <w:t>2.99</w:t>
            </w:r>
          </w:p>
        </w:tc>
        <w:tc>
          <w:tcPr>
            <w:tcW w:w="0" w:type="auto"/>
            <w:tcBorders>
              <w:top w:val="nil"/>
              <w:left w:val="nil"/>
              <w:bottom w:val="nil"/>
              <w:right w:val="nil"/>
            </w:tcBorders>
            <w:shd w:val="clear" w:color="auto" w:fill="auto"/>
            <w:noWrap/>
            <w:vAlign w:val="bottom"/>
            <w:hideMark/>
          </w:tcPr>
          <w:p w14:paraId="53AE52AB" w14:textId="77777777" w:rsidR="00C4454D" w:rsidRPr="00A735B4" w:rsidRDefault="00C4454D" w:rsidP="00C4454D">
            <w:pPr>
              <w:jc w:val="center"/>
              <w:rPr>
                <w:rFonts w:ascii="Calibri" w:eastAsia="Times New Roman" w:hAnsi="Calibri"/>
                <w:color w:val="000000"/>
                <w:sz w:val="16"/>
                <w:szCs w:val="16"/>
                <w:lang w:eastAsia="es-ES"/>
              </w:rPr>
            </w:pPr>
          </w:p>
        </w:tc>
        <w:tc>
          <w:tcPr>
            <w:tcW w:w="0" w:type="auto"/>
            <w:tcBorders>
              <w:top w:val="nil"/>
              <w:left w:val="nil"/>
              <w:bottom w:val="nil"/>
              <w:right w:val="nil"/>
            </w:tcBorders>
            <w:shd w:val="clear" w:color="auto" w:fill="auto"/>
            <w:noWrap/>
            <w:vAlign w:val="bottom"/>
            <w:hideMark/>
          </w:tcPr>
          <w:p w14:paraId="61A656FD" w14:textId="77777777" w:rsidR="00C4454D" w:rsidRPr="00A735B4" w:rsidRDefault="00C4454D" w:rsidP="00C4454D">
            <w:pPr>
              <w:jc w:val="center"/>
              <w:rPr>
                <w:rFonts w:ascii="Calibri" w:eastAsia="Times New Roman" w:hAnsi="Calibri"/>
                <w:color w:val="000000"/>
                <w:sz w:val="16"/>
                <w:szCs w:val="16"/>
                <w:lang w:eastAsia="es-ES"/>
              </w:rPr>
            </w:pPr>
            <w:r w:rsidRPr="00A735B4">
              <w:rPr>
                <w:rFonts w:ascii="Calibri" w:eastAsia="Times New Roman" w:hAnsi="Calibri"/>
                <w:color w:val="000000"/>
                <w:sz w:val="16"/>
                <w:szCs w:val="16"/>
                <w:lang w:eastAsia="es-ES"/>
              </w:rPr>
              <w:t>Kenya</w:t>
            </w:r>
          </w:p>
        </w:tc>
        <w:tc>
          <w:tcPr>
            <w:tcW w:w="0" w:type="auto"/>
            <w:tcBorders>
              <w:top w:val="nil"/>
              <w:left w:val="nil"/>
              <w:bottom w:val="nil"/>
              <w:right w:val="nil"/>
            </w:tcBorders>
            <w:shd w:val="clear" w:color="auto" w:fill="auto"/>
            <w:noWrap/>
            <w:vAlign w:val="bottom"/>
            <w:hideMark/>
          </w:tcPr>
          <w:p w14:paraId="45642531" w14:textId="77777777" w:rsidR="00C4454D" w:rsidRPr="00A735B4" w:rsidRDefault="00C4454D" w:rsidP="00C4454D">
            <w:pPr>
              <w:jc w:val="center"/>
              <w:rPr>
                <w:rFonts w:ascii="Calibri" w:eastAsia="Times New Roman" w:hAnsi="Calibri"/>
                <w:color w:val="000000"/>
                <w:sz w:val="16"/>
                <w:szCs w:val="16"/>
                <w:lang w:eastAsia="es-ES"/>
              </w:rPr>
            </w:pPr>
            <w:r w:rsidRPr="00A735B4">
              <w:rPr>
                <w:rFonts w:ascii="Calibri" w:eastAsia="Times New Roman" w:hAnsi="Calibri"/>
                <w:color w:val="000000"/>
                <w:sz w:val="16"/>
                <w:szCs w:val="16"/>
                <w:lang w:eastAsia="es-ES"/>
              </w:rPr>
              <w:t>2.30</w:t>
            </w:r>
          </w:p>
        </w:tc>
        <w:tc>
          <w:tcPr>
            <w:tcW w:w="0" w:type="auto"/>
            <w:tcBorders>
              <w:top w:val="nil"/>
              <w:left w:val="nil"/>
              <w:bottom w:val="nil"/>
              <w:right w:val="nil"/>
            </w:tcBorders>
            <w:shd w:val="clear" w:color="auto" w:fill="auto"/>
            <w:noWrap/>
            <w:vAlign w:val="bottom"/>
            <w:hideMark/>
          </w:tcPr>
          <w:p w14:paraId="2DF39741" w14:textId="77777777" w:rsidR="00C4454D" w:rsidRPr="00A735B4" w:rsidRDefault="00C4454D" w:rsidP="00C4454D">
            <w:pPr>
              <w:jc w:val="center"/>
              <w:rPr>
                <w:rFonts w:ascii="Calibri" w:eastAsia="Times New Roman" w:hAnsi="Calibri"/>
                <w:color w:val="000000"/>
                <w:sz w:val="16"/>
                <w:szCs w:val="16"/>
                <w:lang w:eastAsia="es-ES"/>
              </w:rPr>
            </w:pPr>
          </w:p>
        </w:tc>
        <w:tc>
          <w:tcPr>
            <w:tcW w:w="0" w:type="auto"/>
            <w:tcBorders>
              <w:top w:val="nil"/>
              <w:left w:val="nil"/>
              <w:bottom w:val="nil"/>
              <w:right w:val="nil"/>
            </w:tcBorders>
            <w:shd w:val="clear" w:color="auto" w:fill="auto"/>
            <w:noWrap/>
            <w:vAlign w:val="bottom"/>
            <w:hideMark/>
          </w:tcPr>
          <w:p w14:paraId="74FE52E8" w14:textId="77777777" w:rsidR="00C4454D" w:rsidRPr="00A735B4" w:rsidRDefault="00C4454D" w:rsidP="00C4454D">
            <w:pPr>
              <w:jc w:val="center"/>
              <w:rPr>
                <w:rFonts w:ascii="Calibri" w:eastAsia="Times New Roman" w:hAnsi="Calibri"/>
                <w:color w:val="000000"/>
                <w:sz w:val="16"/>
                <w:szCs w:val="16"/>
                <w:lang w:eastAsia="es-ES"/>
              </w:rPr>
            </w:pPr>
            <w:r w:rsidRPr="00A735B4">
              <w:rPr>
                <w:rFonts w:ascii="Calibri" w:eastAsia="Times New Roman" w:hAnsi="Calibri"/>
                <w:color w:val="000000"/>
                <w:sz w:val="16"/>
                <w:szCs w:val="16"/>
                <w:lang w:eastAsia="es-ES"/>
              </w:rPr>
              <w:t>Zambia</w:t>
            </w:r>
          </w:p>
        </w:tc>
        <w:tc>
          <w:tcPr>
            <w:tcW w:w="0" w:type="auto"/>
            <w:tcBorders>
              <w:top w:val="nil"/>
              <w:left w:val="nil"/>
              <w:bottom w:val="nil"/>
              <w:right w:val="nil"/>
            </w:tcBorders>
            <w:shd w:val="clear" w:color="auto" w:fill="auto"/>
            <w:noWrap/>
            <w:vAlign w:val="bottom"/>
            <w:hideMark/>
          </w:tcPr>
          <w:p w14:paraId="5BBF7442" w14:textId="77777777" w:rsidR="00C4454D" w:rsidRPr="00A735B4" w:rsidRDefault="00C4454D" w:rsidP="00C4454D">
            <w:pPr>
              <w:jc w:val="center"/>
              <w:rPr>
                <w:rFonts w:ascii="Calibri" w:eastAsia="Times New Roman" w:hAnsi="Calibri"/>
                <w:color w:val="000000"/>
                <w:sz w:val="16"/>
                <w:szCs w:val="16"/>
                <w:lang w:eastAsia="es-ES"/>
              </w:rPr>
            </w:pPr>
            <w:r w:rsidRPr="00A735B4">
              <w:rPr>
                <w:rFonts w:ascii="Calibri" w:eastAsia="Times New Roman" w:hAnsi="Calibri"/>
                <w:color w:val="000000"/>
                <w:sz w:val="16"/>
                <w:szCs w:val="16"/>
                <w:lang w:eastAsia="es-ES"/>
              </w:rPr>
              <w:t>2.47</w:t>
            </w:r>
          </w:p>
        </w:tc>
      </w:tr>
      <w:tr w:rsidR="00C4454D" w:rsidRPr="00A735B4" w14:paraId="62D7B5AB" w14:textId="77777777" w:rsidTr="00C4454D">
        <w:trPr>
          <w:trHeight w:val="300"/>
          <w:jc w:val="center"/>
        </w:trPr>
        <w:tc>
          <w:tcPr>
            <w:tcW w:w="0" w:type="auto"/>
            <w:tcBorders>
              <w:top w:val="nil"/>
              <w:left w:val="nil"/>
              <w:bottom w:val="nil"/>
              <w:right w:val="nil"/>
            </w:tcBorders>
            <w:shd w:val="clear" w:color="auto" w:fill="auto"/>
            <w:noWrap/>
            <w:vAlign w:val="bottom"/>
            <w:hideMark/>
          </w:tcPr>
          <w:p w14:paraId="41AF125F" w14:textId="77777777" w:rsidR="00C4454D" w:rsidRPr="00A735B4" w:rsidRDefault="00C4454D" w:rsidP="00C4454D">
            <w:pPr>
              <w:jc w:val="center"/>
              <w:rPr>
                <w:rFonts w:ascii="Calibri" w:eastAsia="Times New Roman" w:hAnsi="Calibri"/>
                <w:color w:val="000000"/>
                <w:sz w:val="16"/>
                <w:szCs w:val="16"/>
                <w:lang w:eastAsia="es-ES"/>
              </w:rPr>
            </w:pPr>
            <w:r w:rsidRPr="00A735B4">
              <w:rPr>
                <w:rFonts w:ascii="Calibri" w:eastAsia="Times New Roman" w:hAnsi="Calibri"/>
                <w:color w:val="000000"/>
                <w:sz w:val="16"/>
                <w:szCs w:val="16"/>
                <w:lang w:eastAsia="es-ES"/>
              </w:rPr>
              <w:t>Tanzania</w:t>
            </w:r>
          </w:p>
        </w:tc>
        <w:tc>
          <w:tcPr>
            <w:tcW w:w="0" w:type="auto"/>
            <w:tcBorders>
              <w:top w:val="nil"/>
              <w:left w:val="nil"/>
              <w:bottom w:val="nil"/>
              <w:right w:val="nil"/>
            </w:tcBorders>
            <w:shd w:val="clear" w:color="auto" w:fill="auto"/>
            <w:noWrap/>
            <w:vAlign w:val="bottom"/>
            <w:hideMark/>
          </w:tcPr>
          <w:p w14:paraId="7460A6F1" w14:textId="77777777" w:rsidR="00C4454D" w:rsidRPr="00A735B4" w:rsidRDefault="00C4454D" w:rsidP="00C4454D">
            <w:pPr>
              <w:jc w:val="center"/>
              <w:rPr>
                <w:rFonts w:ascii="Calibri" w:eastAsia="Times New Roman" w:hAnsi="Calibri"/>
                <w:color w:val="000000"/>
                <w:sz w:val="16"/>
                <w:szCs w:val="16"/>
                <w:lang w:eastAsia="es-ES"/>
              </w:rPr>
            </w:pPr>
            <w:r w:rsidRPr="00A735B4">
              <w:rPr>
                <w:rFonts w:ascii="Calibri" w:eastAsia="Times New Roman" w:hAnsi="Calibri"/>
                <w:color w:val="000000"/>
                <w:sz w:val="16"/>
                <w:szCs w:val="16"/>
                <w:lang w:eastAsia="es-ES"/>
              </w:rPr>
              <w:t>2.28</w:t>
            </w:r>
          </w:p>
        </w:tc>
        <w:tc>
          <w:tcPr>
            <w:tcW w:w="0" w:type="auto"/>
            <w:tcBorders>
              <w:top w:val="nil"/>
              <w:left w:val="nil"/>
              <w:bottom w:val="nil"/>
              <w:right w:val="nil"/>
            </w:tcBorders>
            <w:shd w:val="clear" w:color="auto" w:fill="auto"/>
            <w:noWrap/>
            <w:vAlign w:val="bottom"/>
            <w:hideMark/>
          </w:tcPr>
          <w:p w14:paraId="3AF162FD" w14:textId="77777777" w:rsidR="00C4454D" w:rsidRPr="00A735B4" w:rsidRDefault="00C4454D" w:rsidP="00C4454D">
            <w:pPr>
              <w:rPr>
                <w:rFonts w:ascii="Calibri" w:eastAsia="Times New Roman" w:hAnsi="Calibri"/>
                <w:color w:val="000000"/>
                <w:sz w:val="16"/>
                <w:szCs w:val="16"/>
                <w:lang w:eastAsia="es-ES"/>
              </w:rPr>
            </w:pPr>
          </w:p>
        </w:tc>
        <w:tc>
          <w:tcPr>
            <w:tcW w:w="0" w:type="auto"/>
            <w:tcBorders>
              <w:top w:val="nil"/>
              <w:left w:val="nil"/>
              <w:bottom w:val="nil"/>
              <w:right w:val="nil"/>
            </w:tcBorders>
            <w:shd w:val="clear" w:color="auto" w:fill="auto"/>
            <w:noWrap/>
            <w:vAlign w:val="bottom"/>
            <w:hideMark/>
          </w:tcPr>
          <w:p w14:paraId="596F4C11" w14:textId="77777777" w:rsidR="00C4454D" w:rsidRPr="00A735B4" w:rsidRDefault="00C4454D" w:rsidP="00C4454D">
            <w:pPr>
              <w:jc w:val="center"/>
              <w:rPr>
                <w:rFonts w:ascii="Calibri" w:eastAsia="Times New Roman" w:hAnsi="Calibri"/>
                <w:color w:val="000000"/>
                <w:sz w:val="16"/>
                <w:szCs w:val="16"/>
                <w:lang w:eastAsia="es-ES"/>
              </w:rPr>
            </w:pPr>
            <w:r w:rsidRPr="00A735B4">
              <w:rPr>
                <w:rFonts w:ascii="Calibri" w:eastAsia="Times New Roman" w:hAnsi="Calibri"/>
                <w:color w:val="000000"/>
                <w:sz w:val="16"/>
                <w:szCs w:val="16"/>
                <w:lang w:eastAsia="es-ES"/>
              </w:rPr>
              <w:t>Zambia</w:t>
            </w:r>
          </w:p>
        </w:tc>
        <w:tc>
          <w:tcPr>
            <w:tcW w:w="0" w:type="auto"/>
            <w:tcBorders>
              <w:top w:val="nil"/>
              <w:left w:val="nil"/>
              <w:bottom w:val="nil"/>
              <w:right w:val="nil"/>
            </w:tcBorders>
            <w:shd w:val="clear" w:color="auto" w:fill="auto"/>
            <w:noWrap/>
            <w:vAlign w:val="bottom"/>
            <w:hideMark/>
          </w:tcPr>
          <w:p w14:paraId="1DC5FEF2" w14:textId="77777777" w:rsidR="00C4454D" w:rsidRPr="00A735B4" w:rsidRDefault="00C4454D" w:rsidP="00C4454D">
            <w:pPr>
              <w:jc w:val="center"/>
              <w:rPr>
                <w:rFonts w:ascii="Calibri" w:eastAsia="Times New Roman" w:hAnsi="Calibri"/>
                <w:color w:val="000000"/>
                <w:sz w:val="16"/>
                <w:szCs w:val="16"/>
                <w:lang w:eastAsia="es-ES"/>
              </w:rPr>
            </w:pPr>
            <w:r w:rsidRPr="00A735B4">
              <w:rPr>
                <w:rFonts w:ascii="Calibri" w:eastAsia="Times New Roman" w:hAnsi="Calibri"/>
                <w:color w:val="000000"/>
                <w:sz w:val="16"/>
                <w:szCs w:val="16"/>
                <w:lang w:eastAsia="es-ES"/>
              </w:rPr>
              <w:t>2.47</w:t>
            </w:r>
          </w:p>
        </w:tc>
        <w:tc>
          <w:tcPr>
            <w:tcW w:w="0" w:type="auto"/>
            <w:tcBorders>
              <w:top w:val="nil"/>
              <w:left w:val="nil"/>
              <w:bottom w:val="nil"/>
              <w:right w:val="nil"/>
            </w:tcBorders>
            <w:shd w:val="clear" w:color="auto" w:fill="auto"/>
            <w:noWrap/>
            <w:vAlign w:val="bottom"/>
            <w:hideMark/>
          </w:tcPr>
          <w:p w14:paraId="4FD24A6D" w14:textId="77777777" w:rsidR="00C4454D" w:rsidRPr="00A735B4" w:rsidRDefault="00C4454D" w:rsidP="00C4454D">
            <w:pPr>
              <w:jc w:val="center"/>
              <w:rPr>
                <w:rFonts w:ascii="Calibri" w:eastAsia="Times New Roman" w:hAnsi="Calibri"/>
                <w:color w:val="000000"/>
                <w:sz w:val="16"/>
                <w:szCs w:val="16"/>
                <w:lang w:eastAsia="es-ES"/>
              </w:rPr>
            </w:pPr>
          </w:p>
        </w:tc>
        <w:tc>
          <w:tcPr>
            <w:tcW w:w="0" w:type="auto"/>
            <w:tcBorders>
              <w:top w:val="nil"/>
              <w:left w:val="nil"/>
              <w:bottom w:val="nil"/>
              <w:right w:val="nil"/>
            </w:tcBorders>
            <w:shd w:val="clear" w:color="auto" w:fill="auto"/>
            <w:noWrap/>
            <w:vAlign w:val="bottom"/>
            <w:hideMark/>
          </w:tcPr>
          <w:p w14:paraId="517E207F" w14:textId="77777777" w:rsidR="00C4454D" w:rsidRPr="00A735B4" w:rsidRDefault="00C4454D" w:rsidP="00C4454D">
            <w:pPr>
              <w:jc w:val="center"/>
              <w:rPr>
                <w:rFonts w:ascii="Calibri" w:eastAsia="Times New Roman" w:hAnsi="Calibri"/>
                <w:color w:val="000000"/>
                <w:sz w:val="16"/>
                <w:szCs w:val="16"/>
                <w:lang w:eastAsia="es-ES"/>
              </w:rPr>
            </w:pPr>
            <w:r w:rsidRPr="00A735B4">
              <w:rPr>
                <w:rFonts w:ascii="Calibri" w:eastAsia="Times New Roman" w:hAnsi="Calibri"/>
                <w:color w:val="000000"/>
                <w:sz w:val="16"/>
                <w:szCs w:val="16"/>
                <w:lang w:eastAsia="es-ES"/>
              </w:rPr>
              <w:t>Tanzania</w:t>
            </w:r>
          </w:p>
        </w:tc>
        <w:tc>
          <w:tcPr>
            <w:tcW w:w="0" w:type="auto"/>
            <w:tcBorders>
              <w:top w:val="nil"/>
              <w:left w:val="nil"/>
              <w:bottom w:val="nil"/>
              <w:right w:val="nil"/>
            </w:tcBorders>
            <w:shd w:val="clear" w:color="auto" w:fill="auto"/>
            <w:noWrap/>
            <w:vAlign w:val="bottom"/>
            <w:hideMark/>
          </w:tcPr>
          <w:p w14:paraId="6EB18D5D" w14:textId="77777777" w:rsidR="00C4454D" w:rsidRPr="00A735B4" w:rsidRDefault="00C4454D" w:rsidP="00C4454D">
            <w:pPr>
              <w:jc w:val="center"/>
              <w:rPr>
                <w:rFonts w:ascii="Calibri" w:eastAsia="Times New Roman" w:hAnsi="Calibri"/>
                <w:color w:val="000000"/>
                <w:sz w:val="16"/>
                <w:szCs w:val="16"/>
                <w:lang w:eastAsia="es-ES"/>
              </w:rPr>
            </w:pPr>
            <w:r w:rsidRPr="00A735B4">
              <w:rPr>
                <w:rFonts w:ascii="Calibri" w:eastAsia="Times New Roman" w:hAnsi="Calibri"/>
                <w:color w:val="000000"/>
                <w:sz w:val="16"/>
                <w:szCs w:val="16"/>
                <w:lang w:eastAsia="es-ES"/>
              </w:rPr>
              <w:t>2.28</w:t>
            </w:r>
          </w:p>
        </w:tc>
        <w:tc>
          <w:tcPr>
            <w:tcW w:w="0" w:type="auto"/>
            <w:tcBorders>
              <w:top w:val="nil"/>
              <w:left w:val="nil"/>
              <w:bottom w:val="nil"/>
              <w:right w:val="nil"/>
            </w:tcBorders>
            <w:shd w:val="clear" w:color="auto" w:fill="auto"/>
            <w:noWrap/>
            <w:vAlign w:val="bottom"/>
            <w:hideMark/>
          </w:tcPr>
          <w:p w14:paraId="2C8911D6" w14:textId="77777777" w:rsidR="00C4454D" w:rsidRPr="00A735B4" w:rsidRDefault="00C4454D" w:rsidP="00C4454D">
            <w:pPr>
              <w:jc w:val="center"/>
              <w:rPr>
                <w:rFonts w:ascii="Calibri" w:eastAsia="Times New Roman" w:hAnsi="Calibri"/>
                <w:color w:val="000000"/>
                <w:sz w:val="16"/>
                <w:szCs w:val="16"/>
                <w:lang w:eastAsia="es-ES"/>
              </w:rPr>
            </w:pPr>
          </w:p>
        </w:tc>
        <w:tc>
          <w:tcPr>
            <w:tcW w:w="0" w:type="auto"/>
            <w:tcBorders>
              <w:top w:val="nil"/>
              <w:left w:val="nil"/>
              <w:bottom w:val="nil"/>
              <w:right w:val="nil"/>
            </w:tcBorders>
            <w:shd w:val="clear" w:color="auto" w:fill="auto"/>
            <w:noWrap/>
            <w:vAlign w:val="bottom"/>
            <w:hideMark/>
          </w:tcPr>
          <w:p w14:paraId="217E0BB2" w14:textId="77777777" w:rsidR="00C4454D" w:rsidRPr="00A735B4" w:rsidRDefault="00C4454D" w:rsidP="00C4454D">
            <w:pPr>
              <w:jc w:val="center"/>
              <w:rPr>
                <w:rFonts w:ascii="Calibri" w:eastAsia="Times New Roman" w:hAnsi="Calibri"/>
                <w:color w:val="000000"/>
                <w:sz w:val="16"/>
                <w:szCs w:val="16"/>
                <w:lang w:eastAsia="es-ES"/>
              </w:rPr>
            </w:pPr>
            <w:r w:rsidRPr="00A735B4">
              <w:rPr>
                <w:rFonts w:ascii="Calibri" w:eastAsia="Times New Roman" w:hAnsi="Calibri"/>
                <w:color w:val="000000"/>
                <w:sz w:val="16"/>
                <w:szCs w:val="16"/>
                <w:lang w:eastAsia="es-ES"/>
              </w:rPr>
              <w:t>Malawi</w:t>
            </w:r>
          </w:p>
        </w:tc>
        <w:tc>
          <w:tcPr>
            <w:tcW w:w="0" w:type="auto"/>
            <w:tcBorders>
              <w:top w:val="nil"/>
              <w:left w:val="nil"/>
              <w:bottom w:val="nil"/>
              <w:right w:val="nil"/>
            </w:tcBorders>
            <w:shd w:val="clear" w:color="auto" w:fill="auto"/>
            <w:noWrap/>
            <w:vAlign w:val="bottom"/>
            <w:hideMark/>
          </w:tcPr>
          <w:p w14:paraId="7B93740B" w14:textId="77777777" w:rsidR="00C4454D" w:rsidRPr="00A735B4" w:rsidRDefault="00C4454D" w:rsidP="00C4454D">
            <w:pPr>
              <w:jc w:val="center"/>
              <w:rPr>
                <w:rFonts w:ascii="Calibri" w:eastAsia="Times New Roman" w:hAnsi="Calibri"/>
                <w:color w:val="000000"/>
                <w:sz w:val="16"/>
                <w:szCs w:val="16"/>
                <w:lang w:eastAsia="es-ES"/>
              </w:rPr>
            </w:pPr>
            <w:r w:rsidRPr="00A735B4">
              <w:rPr>
                <w:rFonts w:ascii="Calibri" w:eastAsia="Times New Roman" w:hAnsi="Calibri"/>
                <w:color w:val="000000"/>
                <w:sz w:val="16"/>
                <w:szCs w:val="16"/>
                <w:lang w:eastAsia="es-ES"/>
              </w:rPr>
              <w:t>1.95</w:t>
            </w:r>
          </w:p>
        </w:tc>
      </w:tr>
      <w:tr w:rsidR="00C4454D" w:rsidRPr="00A735B4" w14:paraId="038B484E" w14:textId="77777777" w:rsidTr="00C4454D">
        <w:trPr>
          <w:trHeight w:val="300"/>
          <w:jc w:val="center"/>
        </w:trPr>
        <w:tc>
          <w:tcPr>
            <w:tcW w:w="0" w:type="auto"/>
            <w:tcBorders>
              <w:top w:val="nil"/>
              <w:left w:val="nil"/>
              <w:bottom w:val="nil"/>
              <w:right w:val="nil"/>
            </w:tcBorders>
            <w:shd w:val="clear" w:color="auto" w:fill="auto"/>
            <w:noWrap/>
            <w:vAlign w:val="bottom"/>
            <w:hideMark/>
          </w:tcPr>
          <w:p w14:paraId="08613BB7" w14:textId="77777777" w:rsidR="00C4454D" w:rsidRPr="00A735B4" w:rsidRDefault="00C4454D" w:rsidP="00C4454D">
            <w:pPr>
              <w:jc w:val="center"/>
              <w:rPr>
                <w:rFonts w:ascii="Calibri" w:eastAsia="Times New Roman" w:hAnsi="Calibri"/>
                <w:color w:val="000000"/>
                <w:sz w:val="16"/>
                <w:szCs w:val="16"/>
                <w:lang w:eastAsia="es-ES"/>
              </w:rPr>
            </w:pPr>
            <w:r w:rsidRPr="00A735B4">
              <w:rPr>
                <w:rFonts w:ascii="Calibri" w:eastAsia="Times New Roman" w:hAnsi="Calibri"/>
                <w:color w:val="000000"/>
                <w:sz w:val="16"/>
                <w:szCs w:val="16"/>
                <w:lang w:eastAsia="es-ES"/>
              </w:rPr>
              <w:t>Kenya</w:t>
            </w:r>
          </w:p>
        </w:tc>
        <w:tc>
          <w:tcPr>
            <w:tcW w:w="0" w:type="auto"/>
            <w:tcBorders>
              <w:top w:val="nil"/>
              <w:left w:val="nil"/>
              <w:bottom w:val="nil"/>
              <w:right w:val="nil"/>
            </w:tcBorders>
            <w:shd w:val="clear" w:color="auto" w:fill="auto"/>
            <w:noWrap/>
            <w:vAlign w:val="bottom"/>
            <w:hideMark/>
          </w:tcPr>
          <w:p w14:paraId="153C7FC0" w14:textId="77777777" w:rsidR="00C4454D" w:rsidRPr="00A735B4" w:rsidRDefault="00C4454D" w:rsidP="00C4454D">
            <w:pPr>
              <w:jc w:val="center"/>
              <w:rPr>
                <w:rFonts w:ascii="Calibri" w:eastAsia="Times New Roman" w:hAnsi="Calibri"/>
                <w:color w:val="000000"/>
                <w:sz w:val="16"/>
                <w:szCs w:val="16"/>
                <w:lang w:eastAsia="es-ES"/>
              </w:rPr>
            </w:pPr>
            <w:r w:rsidRPr="00A735B4">
              <w:rPr>
                <w:rFonts w:ascii="Calibri" w:eastAsia="Times New Roman" w:hAnsi="Calibri"/>
                <w:color w:val="000000"/>
                <w:sz w:val="16"/>
                <w:szCs w:val="16"/>
                <w:lang w:eastAsia="es-ES"/>
              </w:rPr>
              <w:t>1.73</w:t>
            </w:r>
          </w:p>
        </w:tc>
        <w:tc>
          <w:tcPr>
            <w:tcW w:w="0" w:type="auto"/>
            <w:tcBorders>
              <w:top w:val="nil"/>
              <w:left w:val="nil"/>
              <w:bottom w:val="nil"/>
              <w:right w:val="nil"/>
            </w:tcBorders>
            <w:shd w:val="clear" w:color="auto" w:fill="auto"/>
            <w:noWrap/>
            <w:vAlign w:val="bottom"/>
            <w:hideMark/>
          </w:tcPr>
          <w:p w14:paraId="4CFD98EE" w14:textId="77777777" w:rsidR="00C4454D" w:rsidRPr="00A735B4" w:rsidRDefault="00C4454D" w:rsidP="00C4454D">
            <w:pPr>
              <w:rPr>
                <w:rFonts w:ascii="Calibri" w:eastAsia="Times New Roman" w:hAnsi="Calibri"/>
                <w:color w:val="000000"/>
                <w:sz w:val="16"/>
                <w:szCs w:val="16"/>
                <w:lang w:eastAsia="es-ES"/>
              </w:rPr>
            </w:pPr>
          </w:p>
        </w:tc>
        <w:tc>
          <w:tcPr>
            <w:tcW w:w="0" w:type="auto"/>
            <w:tcBorders>
              <w:top w:val="nil"/>
              <w:left w:val="nil"/>
              <w:bottom w:val="nil"/>
              <w:right w:val="nil"/>
            </w:tcBorders>
            <w:shd w:val="clear" w:color="auto" w:fill="auto"/>
            <w:noWrap/>
            <w:vAlign w:val="bottom"/>
            <w:hideMark/>
          </w:tcPr>
          <w:p w14:paraId="37E0B46F" w14:textId="77777777" w:rsidR="00C4454D" w:rsidRPr="00A735B4" w:rsidRDefault="00C4454D" w:rsidP="00C4454D">
            <w:pPr>
              <w:jc w:val="center"/>
              <w:rPr>
                <w:rFonts w:ascii="Calibri" w:eastAsia="Times New Roman" w:hAnsi="Calibri"/>
                <w:color w:val="000000"/>
                <w:sz w:val="16"/>
                <w:szCs w:val="16"/>
                <w:lang w:eastAsia="es-ES"/>
              </w:rPr>
            </w:pPr>
            <w:r w:rsidRPr="00A735B4">
              <w:rPr>
                <w:rFonts w:ascii="Calibri" w:eastAsia="Times New Roman" w:hAnsi="Calibri"/>
                <w:color w:val="000000"/>
                <w:sz w:val="16"/>
                <w:szCs w:val="16"/>
                <w:lang w:eastAsia="es-ES"/>
              </w:rPr>
              <w:t>Tanzania</w:t>
            </w:r>
          </w:p>
        </w:tc>
        <w:tc>
          <w:tcPr>
            <w:tcW w:w="0" w:type="auto"/>
            <w:tcBorders>
              <w:top w:val="nil"/>
              <w:left w:val="nil"/>
              <w:bottom w:val="nil"/>
              <w:right w:val="nil"/>
            </w:tcBorders>
            <w:shd w:val="clear" w:color="auto" w:fill="auto"/>
            <w:noWrap/>
            <w:vAlign w:val="bottom"/>
            <w:hideMark/>
          </w:tcPr>
          <w:p w14:paraId="4276D539" w14:textId="77777777" w:rsidR="00C4454D" w:rsidRPr="00A735B4" w:rsidRDefault="00C4454D" w:rsidP="00C4454D">
            <w:pPr>
              <w:jc w:val="center"/>
              <w:rPr>
                <w:rFonts w:ascii="Calibri" w:eastAsia="Times New Roman" w:hAnsi="Calibri"/>
                <w:color w:val="000000"/>
                <w:sz w:val="16"/>
                <w:szCs w:val="16"/>
                <w:lang w:eastAsia="es-ES"/>
              </w:rPr>
            </w:pPr>
            <w:r w:rsidRPr="00A735B4">
              <w:rPr>
                <w:rFonts w:ascii="Calibri" w:eastAsia="Times New Roman" w:hAnsi="Calibri"/>
                <w:color w:val="000000"/>
                <w:sz w:val="16"/>
                <w:szCs w:val="16"/>
                <w:lang w:eastAsia="es-ES"/>
              </w:rPr>
              <w:t>1.97</w:t>
            </w:r>
          </w:p>
        </w:tc>
        <w:tc>
          <w:tcPr>
            <w:tcW w:w="0" w:type="auto"/>
            <w:tcBorders>
              <w:top w:val="nil"/>
              <w:left w:val="nil"/>
              <w:bottom w:val="nil"/>
              <w:right w:val="nil"/>
            </w:tcBorders>
            <w:shd w:val="clear" w:color="auto" w:fill="auto"/>
            <w:noWrap/>
            <w:vAlign w:val="bottom"/>
            <w:hideMark/>
          </w:tcPr>
          <w:p w14:paraId="63DECFCF" w14:textId="77777777" w:rsidR="00C4454D" w:rsidRPr="00A735B4" w:rsidRDefault="00C4454D" w:rsidP="00C4454D">
            <w:pPr>
              <w:jc w:val="center"/>
              <w:rPr>
                <w:rFonts w:ascii="Calibri" w:eastAsia="Times New Roman" w:hAnsi="Calibri"/>
                <w:color w:val="000000"/>
                <w:sz w:val="16"/>
                <w:szCs w:val="16"/>
                <w:lang w:eastAsia="es-ES"/>
              </w:rPr>
            </w:pPr>
          </w:p>
        </w:tc>
        <w:tc>
          <w:tcPr>
            <w:tcW w:w="0" w:type="auto"/>
            <w:tcBorders>
              <w:top w:val="nil"/>
              <w:left w:val="nil"/>
              <w:bottom w:val="nil"/>
              <w:right w:val="nil"/>
            </w:tcBorders>
            <w:shd w:val="clear" w:color="auto" w:fill="auto"/>
            <w:noWrap/>
            <w:vAlign w:val="bottom"/>
            <w:hideMark/>
          </w:tcPr>
          <w:p w14:paraId="75D72BD0" w14:textId="77777777" w:rsidR="00C4454D" w:rsidRPr="00A735B4" w:rsidRDefault="00C4454D" w:rsidP="00C4454D">
            <w:pPr>
              <w:jc w:val="center"/>
              <w:rPr>
                <w:rFonts w:ascii="Calibri" w:eastAsia="Times New Roman" w:hAnsi="Calibri"/>
                <w:color w:val="000000"/>
                <w:sz w:val="16"/>
                <w:szCs w:val="16"/>
                <w:lang w:eastAsia="es-ES"/>
              </w:rPr>
            </w:pPr>
            <w:r w:rsidRPr="00A735B4">
              <w:rPr>
                <w:rFonts w:ascii="Calibri" w:eastAsia="Times New Roman" w:hAnsi="Calibri"/>
                <w:color w:val="000000"/>
                <w:sz w:val="16"/>
                <w:szCs w:val="16"/>
                <w:lang w:eastAsia="es-ES"/>
              </w:rPr>
              <w:t>Burkina Faso</w:t>
            </w:r>
          </w:p>
        </w:tc>
        <w:tc>
          <w:tcPr>
            <w:tcW w:w="0" w:type="auto"/>
            <w:tcBorders>
              <w:top w:val="nil"/>
              <w:left w:val="nil"/>
              <w:bottom w:val="nil"/>
              <w:right w:val="nil"/>
            </w:tcBorders>
            <w:shd w:val="clear" w:color="auto" w:fill="auto"/>
            <w:noWrap/>
            <w:vAlign w:val="bottom"/>
            <w:hideMark/>
          </w:tcPr>
          <w:p w14:paraId="5AB8AED1" w14:textId="77777777" w:rsidR="00C4454D" w:rsidRPr="00A735B4" w:rsidRDefault="00C4454D" w:rsidP="00C4454D">
            <w:pPr>
              <w:jc w:val="center"/>
              <w:rPr>
                <w:rFonts w:ascii="Calibri" w:eastAsia="Times New Roman" w:hAnsi="Calibri"/>
                <w:color w:val="000000"/>
                <w:sz w:val="16"/>
                <w:szCs w:val="16"/>
                <w:lang w:eastAsia="es-ES"/>
              </w:rPr>
            </w:pPr>
            <w:r w:rsidRPr="00A735B4">
              <w:rPr>
                <w:rFonts w:ascii="Calibri" w:eastAsia="Times New Roman" w:hAnsi="Calibri"/>
                <w:color w:val="000000"/>
                <w:sz w:val="16"/>
                <w:szCs w:val="16"/>
                <w:lang w:eastAsia="es-ES"/>
              </w:rPr>
              <w:t>1.26</w:t>
            </w:r>
          </w:p>
        </w:tc>
        <w:tc>
          <w:tcPr>
            <w:tcW w:w="0" w:type="auto"/>
            <w:tcBorders>
              <w:top w:val="nil"/>
              <w:left w:val="nil"/>
              <w:bottom w:val="nil"/>
              <w:right w:val="nil"/>
            </w:tcBorders>
            <w:shd w:val="clear" w:color="auto" w:fill="auto"/>
            <w:noWrap/>
            <w:vAlign w:val="bottom"/>
            <w:hideMark/>
          </w:tcPr>
          <w:p w14:paraId="7A176343" w14:textId="77777777" w:rsidR="00C4454D" w:rsidRPr="00A735B4" w:rsidRDefault="00C4454D" w:rsidP="00C4454D">
            <w:pPr>
              <w:jc w:val="center"/>
              <w:rPr>
                <w:rFonts w:ascii="Calibri" w:eastAsia="Times New Roman" w:hAnsi="Calibri"/>
                <w:color w:val="000000"/>
                <w:sz w:val="16"/>
                <w:szCs w:val="16"/>
                <w:lang w:eastAsia="es-ES"/>
              </w:rPr>
            </w:pPr>
          </w:p>
        </w:tc>
        <w:tc>
          <w:tcPr>
            <w:tcW w:w="0" w:type="auto"/>
            <w:tcBorders>
              <w:top w:val="nil"/>
              <w:left w:val="nil"/>
              <w:bottom w:val="nil"/>
              <w:right w:val="nil"/>
            </w:tcBorders>
            <w:shd w:val="clear" w:color="auto" w:fill="auto"/>
            <w:noWrap/>
            <w:vAlign w:val="bottom"/>
            <w:hideMark/>
          </w:tcPr>
          <w:p w14:paraId="6E47EB49" w14:textId="77777777" w:rsidR="00C4454D" w:rsidRPr="00A735B4" w:rsidRDefault="00C4454D" w:rsidP="00C4454D">
            <w:pPr>
              <w:jc w:val="center"/>
              <w:rPr>
                <w:rFonts w:ascii="Calibri" w:eastAsia="Times New Roman" w:hAnsi="Calibri"/>
                <w:color w:val="000000"/>
                <w:sz w:val="16"/>
                <w:szCs w:val="16"/>
                <w:lang w:eastAsia="es-ES"/>
              </w:rPr>
            </w:pPr>
            <w:r w:rsidRPr="00A735B4">
              <w:rPr>
                <w:rFonts w:ascii="Calibri" w:eastAsia="Times New Roman" w:hAnsi="Calibri"/>
                <w:color w:val="000000"/>
                <w:sz w:val="16"/>
                <w:szCs w:val="16"/>
                <w:lang w:eastAsia="es-ES"/>
              </w:rPr>
              <w:t>Tanzania</w:t>
            </w:r>
          </w:p>
        </w:tc>
        <w:tc>
          <w:tcPr>
            <w:tcW w:w="0" w:type="auto"/>
            <w:tcBorders>
              <w:top w:val="nil"/>
              <w:left w:val="nil"/>
              <w:bottom w:val="nil"/>
              <w:right w:val="nil"/>
            </w:tcBorders>
            <w:shd w:val="clear" w:color="auto" w:fill="auto"/>
            <w:noWrap/>
            <w:vAlign w:val="bottom"/>
            <w:hideMark/>
          </w:tcPr>
          <w:p w14:paraId="581A49BA" w14:textId="77777777" w:rsidR="00C4454D" w:rsidRPr="00A735B4" w:rsidRDefault="00C4454D" w:rsidP="00C4454D">
            <w:pPr>
              <w:jc w:val="center"/>
              <w:rPr>
                <w:rFonts w:ascii="Calibri" w:eastAsia="Times New Roman" w:hAnsi="Calibri"/>
                <w:color w:val="000000"/>
                <w:sz w:val="16"/>
                <w:szCs w:val="16"/>
                <w:lang w:eastAsia="es-ES"/>
              </w:rPr>
            </w:pPr>
            <w:r w:rsidRPr="00A735B4">
              <w:rPr>
                <w:rFonts w:ascii="Calibri" w:eastAsia="Times New Roman" w:hAnsi="Calibri"/>
                <w:color w:val="000000"/>
                <w:sz w:val="16"/>
                <w:szCs w:val="16"/>
                <w:lang w:eastAsia="es-ES"/>
              </w:rPr>
              <w:t>1.83</w:t>
            </w:r>
          </w:p>
        </w:tc>
      </w:tr>
      <w:tr w:rsidR="00C4454D" w:rsidRPr="00A735B4" w14:paraId="5920A8E5" w14:textId="77777777" w:rsidTr="00C4454D">
        <w:trPr>
          <w:trHeight w:val="300"/>
          <w:jc w:val="center"/>
        </w:trPr>
        <w:tc>
          <w:tcPr>
            <w:tcW w:w="0" w:type="auto"/>
            <w:tcBorders>
              <w:top w:val="nil"/>
              <w:left w:val="nil"/>
              <w:bottom w:val="nil"/>
              <w:right w:val="nil"/>
            </w:tcBorders>
            <w:shd w:val="clear" w:color="auto" w:fill="auto"/>
            <w:noWrap/>
            <w:vAlign w:val="bottom"/>
            <w:hideMark/>
          </w:tcPr>
          <w:p w14:paraId="116182C0" w14:textId="77777777" w:rsidR="00C4454D" w:rsidRPr="00A735B4" w:rsidRDefault="00C4454D" w:rsidP="00C4454D">
            <w:pPr>
              <w:jc w:val="center"/>
              <w:rPr>
                <w:rFonts w:ascii="Calibri" w:eastAsia="Times New Roman" w:hAnsi="Calibri"/>
                <w:color w:val="000000"/>
                <w:sz w:val="16"/>
                <w:szCs w:val="16"/>
                <w:lang w:eastAsia="es-ES"/>
              </w:rPr>
            </w:pPr>
            <w:r w:rsidRPr="00A735B4">
              <w:rPr>
                <w:rFonts w:ascii="Calibri" w:eastAsia="Times New Roman" w:hAnsi="Calibri"/>
                <w:color w:val="000000"/>
                <w:sz w:val="16"/>
                <w:szCs w:val="16"/>
                <w:lang w:eastAsia="es-ES"/>
              </w:rPr>
              <w:t>Ghana</w:t>
            </w:r>
          </w:p>
        </w:tc>
        <w:tc>
          <w:tcPr>
            <w:tcW w:w="0" w:type="auto"/>
            <w:tcBorders>
              <w:top w:val="nil"/>
              <w:left w:val="nil"/>
              <w:bottom w:val="nil"/>
              <w:right w:val="nil"/>
            </w:tcBorders>
            <w:shd w:val="clear" w:color="auto" w:fill="auto"/>
            <w:noWrap/>
            <w:vAlign w:val="bottom"/>
            <w:hideMark/>
          </w:tcPr>
          <w:p w14:paraId="64E1ABE1" w14:textId="77777777" w:rsidR="00C4454D" w:rsidRPr="00A735B4" w:rsidRDefault="00C4454D" w:rsidP="00C4454D">
            <w:pPr>
              <w:jc w:val="center"/>
              <w:rPr>
                <w:rFonts w:ascii="Calibri" w:eastAsia="Times New Roman" w:hAnsi="Calibri"/>
                <w:color w:val="000000"/>
                <w:sz w:val="16"/>
                <w:szCs w:val="16"/>
                <w:lang w:eastAsia="es-ES"/>
              </w:rPr>
            </w:pPr>
            <w:r w:rsidRPr="00A735B4">
              <w:rPr>
                <w:rFonts w:ascii="Calibri" w:eastAsia="Times New Roman" w:hAnsi="Calibri"/>
                <w:color w:val="000000"/>
                <w:sz w:val="16"/>
                <w:szCs w:val="16"/>
                <w:lang w:eastAsia="es-ES"/>
              </w:rPr>
              <w:t>1.28</w:t>
            </w:r>
          </w:p>
        </w:tc>
        <w:tc>
          <w:tcPr>
            <w:tcW w:w="0" w:type="auto"/>
            <w:tcBorders>
              <w:top w:val="nil"/>
              <w:left w:val="nil"/>
              <w:bottom w:val="nil"/>
              <w:right w:val="nil"/>
            </w:tcBorders>
            <w:shd w:val="clear" w:color="auto" w:fill="auto"/>
            <w:noWrap/>
            <w:vAlign w:val="bottom"/>
            <w:hideMark/>
          </w:tcPr>
          <w:p w14:paraId="408BD66B" w14:textId="77777777" w:rsidR="00C4454D" w:rsidRPr="00A735B4" w:rsidRDefault="00C4454D" w:rsidP="00C4454D">
            <w:pPr>
              <w:rPr>
                <w:rFonts w:ascii="Calibri" w:eastAsia="Times New Roman" w:hAnsi="Calibri"/>
                <w:color w:val="000000"/>
                <w:sz w:val="16"/>
                <w:szCs w:val="16"/>
                <w:lang w:eastAsia="es-ES"/>
              </w:rPr>
            </w:pPr>
          </w:p>
        </w:tc>
        <w:tc>
          <w:tcPr>
            <w:tcW w:w="0" w:type="auto"/>
            <w:tcBorders>
              <w:top w:val="nil"/>
              <w:left w:val="nil"/>
              <w:bottom w:val="nil"/>
              <w:right w:val="nil"/>
            </w:tcBorders>
            <w:shd w:val="clear" w:color="auto" w:fill="auto"/>
            <w:noWrap/>
            <w:vAlign w:val="bottom"/>
            <w:hideMark/>
          </w:tcPr>
          <w:p w14:paraId="4FAD8E21" w14:textId="77777777" w:rsidR="00C4454D" w:rsidRPr="00A735B4" w:rsidRDefault="00C4454D" w:rsidP="00C4454D">
            <w:pPr>
              <w:jc w:val="center"/>
              <w:rPr>
                <w:rFonts w:ascii="Calibri" w:eastAsia="Times New Roman" w:hAnsi="Calibri"/>
                <w:color w:val="000000"/>
                <w:sz w:val="16"/>
                <w:szCs w:val="16"/>
                <w:lang w:eastAsia="es-ES"/>
              </w:rPr>
            </w:pPr>
            <w:r w:rsidRPr="00A735B4">
              <w:rPr>
                <w:rFonts w:ascii="Calibri" w:eastAsia="Times New Roman" w:hAnsi="Calibri"/>
                <w:color w:val="000000"/>
                <w:sz w:val="16"/>
                <w:szCs w:val="16"/>
                <w:lang w:eastAsia="es-ES"/>
              </w:rPr>
              <w:t>Kenya</w:t>
            </w:r>
          </w:p>
        </w:tc>
        <w:tc>
          <w:tcPr>
            <w:tcW w:w="0" w:type="auto"/>
            <w:tcBorders>
              <w:top w:val="nil"/>
              <w:left w:val="nil"/>
              <w:bottom w:val="nil"/>
              <w:right w:val="nil"/>
            </w:tcBorders>
            <w:shd w:val="clear" w:color="auto" w:fill="auto"/>
            <w:noWrap/>
            <w:vAlign w:val="bottom"/>
            <w:hideMark/>
          </w:tcPr>
          <w:p w14:paraId="503257DC" w14:textId="77777777" w:rsidR="00C4454D" w:rsidRPr="00A735B4" w:rsidRDefault="00C4454D" w:rsidP="00C4454D">
            <w:pPr>
              <w:jc w:val="center"/>
              <w:rPr>
                <w:rFonts w:ascii="Calibri" w:eastAsia="Times New Roman" w:hAnsi="Calibri"/>
                <w:color w:val="000000"/>
                <w:sz w:val="16"/>
                <w:szCs w:val="16"/>
                <w:lang w:eastAsia="es-ES"/>
              </w:rPr>
            </w:pPr>
            <w:r w:rsidRPr="00A735B4">
              <w:rPr>
                <w:rFonts w:ascii="Calibri" w:eastAsia="Times New Roman" w:hAnsi="Calibri"/>
                <w:color w:val="000000"/>
                <w:sz w:val="16"/>
                <w:szCs w:val="16"/>
                <w:lang w:eastAsia="es-ES"/>
              </w:rPr>
              <w:t>1.73</w:t>
            </w:r>
          </w:p>
        </w:tc>
        <w:tc>
          <w:tcPr>
            <w:tcW w:w="0" w:type="auto"/>
            <w:tcBorders>
              <w:top w:val="nil"/>
              <w:left w:val="nil"/>
              <w:bottom w:val="nil"/>
              <w:right w:val="nil"/>
            </w:tcBorders>
            <w:shd w:val="clear" w:color="auto" w:fill="auto"/>
            <w:noWrap/>
            <w:vAlign w:val="bottom"/>
            <w:hideMark/>
          </w:tcPr>
          <w:p w14:paraId="366184E4" w14:textId="77777777" w:rsidR="00C4454D" w:rsidRPr="00A735B4" w:rsidRDefault="00C4454D" w:rsidP="00C4454D">
            <w:pPr>
              <w:jc w:val="center"/>
              <w:rPr>
                <w:rFonts w:ascii="Calibri" w:eastAsia="Times New Roman" w:hAnsi="Calibri"/>
                <w:color w:val="000000"/>
                <w:sz w:val="16"/>
                <w:szCs w:val="16"/>
                <w:lang w:eastAsia="es-ES"/>
              </w:rPr>
            </w:pPr>
          </w:p>
        </w:tc>
        <w:tc>
          <w:tcPr>
            <w:tcW w:w="0" w:type="auto"/>
            <w:tcBorders>
              <w:top w:val="nil"/>
              <w:left w:val="nil"/>
              <w:bottom w:val="nil"/>
              <w:right w:val="nil"/>
            </w:tcBorders>
            <w:shd w:val="clear" w:color="auto" w:fill="auto"/>
            <w:noWrap/>
            <w:vAlign w:val="bottom"/>
            <w:hideMark/>
          </w:tcPr>
          <w:p w14:paraId="5633DCDE" w14:textId="77777777" w:rsidR="00C4454D" w:rsidRPr="00A735B4" w:rsidRDefault="00C4454D" w:rsidP="00C4454D">
            <w:pPr>
              <w:jc w:val="center"/>
              <w:rPr>
                <w:rFonts w:ascii="Calibri" w:eastAsia="Times New Roman" w:hAnsi="Calibri"/>
                <w:color w:val="000000"/>
                <w:sz w:val="16"/>
                <w:szCs w:val="16"/>
                <w:lang w:eastAsia="es-ES"/>
              </w:rPr>
            </w:pPr>
            <w:r w:rsidRPr="00A735B4">
              <w:rPr>
                <w:rFonts w:ascii="Calibri" w:eastAsia="Times New Roman" w:hAnsi="Calibri"/>
                <w:color w:val="000000"/>
                <w:sz w:val="16"/>
                <w:szCs w:val="16"/>
                <w:lang w:eastAsia="es-ES"/>
              </w:rPr>
              <w:t>Ghana</w:t>
            </w:r>
          </w:p>
        </w:tc>
        <w:tc>
          <w:tcPr>
            <w:tcW w:w="0" w:type="auto"/>
            <w:tcBorders>
              <w:top w:val="nil"/>
              <w:left w:val="nil"/>
              <w:bottom w:val="nil"/>
              <w:right w:val="nil"/>
            </w:tcBorders>
            <w:shd w:val="clear" w:color="auto" w:fill="auto"/>
            <w:noWrap/>
            <w:vAlign w:val="bottom"/>
            <w:hideMark/>
          </w:tcPr>
          <w:p w14:paraId="1EAD19C6" w14:textId="77777777" w:rsidR="00C4454D" w:rsidRPr="00A735B4" w:rsidRDefault="00C4454D" w:rsidP="00C4454D">
            <w:pPr>
              <w:jc w:val="center"/>
              <w:rPr>
                <w:rFonts w:ascii="Calibri" w:eastAsia="Times New Roman" w:hAnsi="Calibri"/>
                <w:color w:val="000000"/>
                <w:sz w:val="16"/>
                <w:szCs w:val="16"/>
                <w:lang w:eastAsia="es-ES"/>
              </w:rPr>
            </w:pPr>
            <w:r w:rsidRPr="00A735B4">
              <w:rPr>
                <w:rFonts w:ascii="Calibri" w:eastAsia="Times New Roman" w:hAnsi="Calibri"/>
                <w:color w:val="000000"/>
                <w:sz w:val="16"/>
                <w:szCs w:val="16"/>
                <w:lang w:eastAsia="es-ES"/>
              </w:rPr>
              <w:t>1.07</w:t>
            </w:r>
          </w:p>
        </w:tc>
        <w:tc>
          <w:tcPr>
            <w:tcW w:w="0" w:type="auto"/>
            <w:tcBorders>
              <w:top w:val="nil"/>
              <w:left w:val="nil"/>
              <w:bottom w:val="nil"/>
              <w:right w:val="nil"/>
            </w:tcBorders>
            <w:shd w:val="clear" w:color="auto" w:fill="auto"/>
            <w:noWrap/>
            <w:vAlign w:val="bottom"/>
            <w:hideMark/>
          </w:tcPr>
          <w:p w14:paraId="71C294B2" w14:textId="77777777" w:rsidR="00C4454D" w:rsidRPr="00A735B4" w:rsidRDefault="00C4454D" w:rsidP="00C4454D">
            <w:pPr>
              <w:jc w:val="center"/>
              <w:rPr>
                <w:rFonts w:ascii="Calibri" w:eastAsia="Times New Roman" w:hAnsi="Calibri"/>
                <w:color w:val="000000"/>
                <w:sz w:val="16"/>
                <w:szCs w:val="16"/>
                <w:lang w:eastAsia="es-ES"/>
              </w:rPr>
            </w:pPr>
          </w:p>
        </w:tc>
        <w:tc>
          <w:tcPr>
            <w:tcW w:w="0" w:type="auto"/>
            <w:tcBorders>
              <w:top w:val="nil"/>
              <w:left w:val="nil"/>
              <w:bottom w:val="nil"/>
              <w:right w:val="nil"/>
            </w:tcBorders>
            <w:shd w:val="clear" w:color="auto" w:fill="auto"/>
            <w:noWrap/>
            <w:vAlign w:val="bottom"/>
            <w:hideMark/>
          </w:tcPr>
          <w:p w14:paraId="50CF73B7" w14:textId="77777777" w:rsidR="00C4454D" w:rsidRPr="00A735B4" w:rsidRDefault="00C4454D" w:rsidP="00C4454D">
            <w:pPr>
              <w:jc w:val="center"/>
              <w:rPr>
                <w:rFonts w:ascii="Calibri" w:eastAsia="Times New Roman" w:hAnsi="Calibri"/>
                <w:color w:val="000000"/>
                <w:sz w:val="16"/>
                <w:szCs w:val="16"/>
                <w:lang w:eastAsia="es-ES"/>
              </w:rPr>
            </w:pPr>
            <w:r w:rsidRPr="00A735B4">
              <w:rPr>
                <w:rFonts w:ascii="Calibri" w:eastAsia="Times New Roman" w:hAnsi="Calibri"/>
                <w:color w:val="000000"/>
                <w:sz w:val="16"/>
                <w:szCs w:val="16"/>
                <w:lang w:eastAsia="es-ES"/>
              </w:rPr>
              <w:t>Kenya</w:t>
            </w:r>
          </w:p>
        </w:tc>
        <w:tc>
          <w:tcPr>
            <w:tcW w:w="0" w:type="auto"/>
            <w:tcBorders>
              <w:top w:val="nil"/>
              <w:left w:val="nil"/>
              <w:bottom w:val="nil"/>
              <w:right w:val="nil"/>
            </w:tcBorders>
            <w:shd w:val="clear" w:color="auto" w:fill="auto"/>
            <w:noWrap/>
            <w:vAlign w:val="bottom"/>
            <w:hideMark/>
          </w:tcPr>
          <w:p w14:paraId="4197017B" w14:textId="77777777" w:rsidR="00C4454D" w:rsidRPr="00A735B4" w:rsidRDefault="00C4454D" w:rsidP="00C4454D">
            <w:pPr>
              <w:jc w:val="center"/>
              <w:rPr>
                <w:rFonts w:ascii="Calibri" w:eastAsia="Times New Roman" w:hAnsi="Calibri"/>
                <w:color w:val="000000"/>
                <w:sz w:val="16"/>
                <w:szCs w:val="16"/>
                <w:lang w:eastAsia="es-ES"/>
              </w:rPr>
            </w:pPr>
            <w:r w:rsidRPr="00A735B4">
              <w:rPr>
                <w:rFonts w:ascii="Calibri" w:eastAsia="Times New Roman" w:hAnsi="Calibri"/>
                <w:color w:val="000000"/>
                <w:sz w:val="16"/>
                <w:szCs w:val="16"/>
                <w:lang w:eastAsia="es-ES"/>
              </w:rPr>
              <w:t>1.73</w:t>
            </w:r>
          </w:p>
        </w:tc>
      </w:tr>
      <w:tr w:rsidR="00C4454D" w:rsidRPr="00A735B4" w14:paraId="26CDB0E8" w14:textId="77777777" w:rsidTr="00C4454D">
        <w:trPr>
          <w:trHeight w:val="300"/>
          <w:jc w:val="center"/>
        </w:trPr>
        <w:tc>
          <w:tcPr>
            <w:tcW w:w="0" w:type="auto"/>
            <w:tcBorders>
              <w:top w:val="nil"/>
              <w:left w:val="nil"/>
              <w:bottom w:val="nil"/>
              <w:right w:val="nil"/>
            </w:tcBorders>
            <w:shd w:val="clear" w:color="auto" w:fill="auto"/>
            <w:noWrap/>
            <w:vAlign w:val="bottom"/>
            <w:hideMark/>
          </w:tcPr>
          <w:p w14:paraId="54FC3188" w14:textId="77777777" w:rsidR="00C4454D" w:rsidRPr="00A735B4" w:rsidRDefault="00C4454D" w:rsidP="00C4454D">
            <w:pPr>
              <w:jc w:val="center"/>
              <w:rPr>
                <w:rFonts w:ascii="Calibri" w:eastAsia="Times New Roman" w:hAnsi="Calibri"/>
                <w:color w:val="000000"/>
                <w:sz w:val="16"/>
                <w:szCs w:val="16"/>
                <w:lang w:eastAsia="es-ES"/>
              </w:rPr>
            </w:pPr>
            <w:r w:rsidRPr="00A735B4">
              <w:rPr>
                <w:rFonts w:ascii="Calibri" w:eastAsia="Times New Roman" w:hAnsi="Calibri"/>
                <w:color w:val="000000"/>
                <w:sz w:val="16"/>
                <w:szCs w:val="16"/>
                <w:lang w:eastAsia="es-ES"/>
              </w:rPr>
              <w:t>Malawi</w:t>
            </w:r>
          </w:p>
        </w:tc>
        <w:tc>
          <w:tcPr>
            <w:tcW w:w="0" w:type="auto"/>
            <w:tcBorders>
              <w:top w:val="nil"/>
              <w:left w:val="nil"/>
              <w:bottom w:val="nil"/>
              <w:right w:val="nil"/>
            </w:tcBorders>
            <w:shd w:val="clear" w:color="auto" w:fill="auto"/>
            <w:noWrap/>
            <w:vAlign w:val="bottom"/>
            <w:hideMark/>
          </w:tcPr>
          <w:p w14:paraId="6A050E2A" w14:textId="77777777" w:rsidR="00C4454D" w:rsidRPr="00A735B4" w:rsidRDefault="00C4454D" w:rsidP="00C4454D">
            <w:pPr>
              <w:jc w:val="center"/>
              <w:rPr>
                <w:rFonts w:ascii="Calibri" w:eastAsia="Times New Roman" w:hAnsi="Calibri"/>
                <w:color w:val="000000"/>
                <w:sz w:val="16"/>
                <w:szCs w:val="16"/>
                <w:lang w:eastAsia="es-ES"/>
              </w:rPr>
            </w:pPr>
            <w:r w:rsidRPr="00A735B4">
              <w:rPr>
                <w:rFonts w:ascii="Calibri" w:eastAsia="Times New Roman" w:hAnsi="Calibri"/>
                <w:color w:val="000000"/>
                <w:sz w:val="16"/>
                <w:szCs w:val="16"/>
                <w:lang w:eastAsia="es-ES"/>
              </w:rPr>
              <w:t>1.20</w:t>
            </w:r>
          </w:p>
        </w:tc>
        <w:tc>
          <w:tcPr>
            <w:tcW w:w="0" w:type="auto"/>
            <w:tcBorders>
              <w:top w:val="nil"/>
              <w:left w:val="nil"/>
              <w:bottom w:val="nil"/>
              <w:right w:val="nil"/>
            </w:tcBorders>
            <w:shd w:val="clear" w:color="auto" w:fill="auto"/>
            <w:noWrap/>
            <w:vAlign w:val="bottom"/>
            <w:hideMark/>
          </w:tcPr>
          <w:p w14:paraId="5EFD4057" w14:textId="77777777" w:rsidR="00C4454D" w:rsidRPr="00A735B4" w:rsidRDefault="00C4454D" w:rsidP="00C4454D">
            <w:pPr>
              <w:rPr>
                <w:rFonts w:ascii="Calibri" w:eastAsia="Times New Roman" w:hAnsi="Calibri"/>
                <w:color w:val="000000"/>
                <w:sz w:val="16"/>
                <w:szCs w:val="16"/>
                <w:lang w:eastAsia="es-ES"/>
              </w:rPr>
            </w:pPr>
          </w:p>
        </w:tc>
        <w:tc>
          <w:tcPr>
            <w:tcW w:w="0" w:type="auto"/>
            <w:tcBorders>
              <w:top w:val="nil"/>
              <w:left w:val="nil"/>
              <w:bottom w:val="nil"/>
              <w:right w:val="nil"/>
            </w:tcBorders>
            <w:shd w:val="clear" w:color="auto" w:fill="auto"/>
            <w:noWrap/>
            <w:vAlign w:val="bottom"/>
            <w:hideMark/>
          </w:tcPr>
          <w:p w14:paraId="349A36B4" w14:textId="77777777" w:rsidR="00C4454D" w:rsidRPr="00A735B4" w:rsidRDefault="00C4454D" w:rsidP="00C4454D">
            <w:pPr>
              <w:jc w:val="center"/>
              <w:rPr>
                <w:rFonts w:ascii="Calibri" w:eastAsia="Times New Roman" w:hAnsi="Calibri"/>
                <w:color w:val="000000"/>
                <w:sz w:val="16"/>
                <w:szCs w:val="16"/>
                <w:lang w:eastAsia="es-ES"/>
              </w:rPr>
            </w:pPr>
            <w:r w:rsidRPr="00A735B4">
              <w:rPr>
                <w:rFonts w:ascii="Calibri" w:eastAsia="Times New Roman" w:hAnsi="Calibri"/>
                <w:color w:val="000000"/>
                <w:sz w:val="16"/>
                <w:szCs w:val="16"/>
                <w:lang w:eastAsia="es-ES"/>
              </w:rPr>
              <w:t>Ghana</w:t>
            </w:r>
          </w:p>
        </w:tc>
        <w:tc>
          <w:tcPr>
            <w:tcW w:w="0" w:type="auto"/>
            <w:tcBorders>
              <w:top w:val="nil"/>
              <w:left w:val="nil"/>
              <w:bottom w:val="nil"/>
              <w:right w:val="nil"/>
            </w:tcBorders>
            <w:shd w:val="clear" w:color="auto" w:fill="auto"/>
            <w:noWrap/>
            <w:vAlign w:val="bottom"/>
            <w:hideMark/>
          </w:tcPr>
          <w:p w14:paraId="1B315CDA" w14:textId="77777777" w:rsidR="00C4454D" w:rsidRPr="00A735B4" w:rsidRDefault="00C4454D" w:rsidP="00C4454D">
            <w:pPr>
              <w:jc w:val="center"/>
              <w:rPr>
                <w:rFonts w:ascii="Calibri" w:eastAsia="Times New Roman" w:hAnsi="Calibri"/>
                <w:color w:val="000000"/>
                <w:sz w:val="16"/>
                <w:szCs w:val="16"/>
                <w:lang w:eastAsia="es-ES"/>
              </w:rPr>
            </w:pPr>
            <w:r w:rsidRPr="00A735B4">
              <w:rPr>
                <w:rFonts w:ascii="Calibri" w:eastAsia="Times New Roman" w:hAnsi="Calibri"/>
                <w:color w:val="000000"/>
                <w:sz w:val="16"/>
                <w:szCs w:val="16"/>
                <w:lang w:eastAsia="es-ES"/>
              </w:rPr>
              <w:t>1.52</w:t>
            </w:r>
          </w:p>
        </w:tc>
        <w:tc>
          <w:tcPr>
            <w:tcW w:w="0" w:type="auto"/>
            <w:tcBorders>
              <w:top w:val="nil"/>
              <w:left w:val="nil"/>
              <w:bottom w:val="nil"/>
              <w:right w:val="nil"/>
            </w:tcBorders>
            <w:shd w:val="clear" w:color="auto" w:fill="auto"/>
            <w:noWrap/>
            <w:vAlign w:val="bottom"/>
            <w:hideMark/>
          </w:tcPr>
          <w:p w14:paraId="4FC3D948" w14:textId="77777777" w:rsidR="00C4454D" w:rsidRPr="00A735B4" w:rsidRDefault="00C4454D" w:rsidP="00C4454D">
            <w:pPr>
              <w:jc w:val="center"/>
              <w:rPr>
                <w:rFonts w:ascii="Calibri" w:eastAsia="Times New Roman" w:hAnsi="Calibri"/>
                <w:color w:val="000000"/>
                <w:sz w:val="16"/>
                <w:szCs w:val="16"/>
                <w:lang w:eastAsia="es-ES"/>
              </w:rPr>
            </w:pPr>
          </w:p>
        </w:tc>
        <w:tc>
          <w:tcPr>
            <w:tcW w:w="0" w:type="auto"/>
            <w:tcBorders>
              <w:top w:val="nil"/>
              <w:left w:val="nil"/>
              <w:bottom w:val="nil"/>
              <w:right w:val="nil"/>
            </w:tcBorders>
            <w:shd w:val="clear" w:color="auto" w:fill="auto"/>
            <w:noWrap/>
            <w:vAlign w:val="bottom"/>
            <w:hideMark/>
          </w:tcPr>
          <w:p w14:paraId="277380F1" w14:textId="77777777" w:rsidR="00C4454D" w:rsidRPr="00A735B4" w:rsidRDefault="00C4454D" w:rsidP="00C4454D">
            <w:pPr>
              <w:jc w:val="center"/>
              <w:rPr>
                <w:rFonts w:ascii="Calibri" w:eastAsia="Times New Roman" w:hAnsi="Calibri"/>
                <w:color w:val="000000"/>
                <w:sz w:val="16"/>
                <w:szCs w:val="16"/>
                <w:lang w:eastAsia="es-ES"/>
              </w:rPr>
            </w:pPr>
            <w:r w:rsidRPr="00A735B4">
              <w:rPr>
                <w:rFonts w:ascii="Calibri" w:eastAsia="Times New Roman" w:hAnsi="Calibri"/>
                <w:color w:val="000000"/>
                <w:sz w:val="16"/>
                <w:szCs w:val="16"/>
                <w:lang w:eastAsia="es-ES"/>
              </w:rPr>
              <w:t>Zambia</w:t>
            </w:r>
          </w:p>
        </w:tc>
        <w:tc>
          <w:tcPr>
            <w:tcW w:w="0" w:type="auto"/>
            <w:tcBorders>
              <w:top w:val="nil"/>
              <w:left w:val="nil"/>
              <w:bottom w:val="nil"/>
              <w:right w:val="nil"/>
            </w:tcBorders>
            <w:shd w:val="clear" w:color="auto" w:fill="auto"/>
            <w:noWrap/>
            <w:vAlign w:val="bottom"/>
            <w:hideMark/>
          </w:tcPr>
          <w:p w14:paraId="1526529A" w14:textId="77777777" w:rsidR="00C4454D" w:rsidRPr="00A735B4" w:rsidRDefault="00C4454D" w:rsidP="00C4454D">
            <w:pPr>
              <w:jc w:val="center"/>
              <w:rPr>
                <w:rFonts w:ascii="Calibri" w:eastAsia="Times New Roman" w:hAnsi="Calibri"/>
                <w:color w:val="000000"/>
                <w:sz w:val="16"/>
                <w:szCs w:val="16"/>
                <w:lang w:eastAsia="es-ES"/>
              </w:rPr>
            </w:pPr>
            <w:r w:rsidRPr="00A735B4">
              <w:rPr>
                <w:rFonts w:ascii="Calibri" w:eastAsia="Times New Roman" w:hAnsi="Calibri"/>
                <w:color w:val="000000"/>
                <w:sz w:val="16"/>
                <w:szCs w:val="16"/>
                <w:lang w:eastAsia="es-ES"/>
              </w:rPr>
              <w:t>0.95</w:t>
            </w:r>
          </w:p>
        </w:tc>
        <w:tc>
          <w:tcPr>
            <w:tcW w:w="0" w:type="auto"/>
            <w:tcBorders>
              <w:top w:val="nil"/>
              <w:left w:val="nil"/>
              <w:bottom w:val="nil"/>
              <w:right w:val="nil"/>
            </w:tcBorders>
            <w:shd w:val="clear" w:color="auto" w:fill="auto"/>
            <w:noWrap/>
            <w:vAlign w:val="bottom"/>
            <w:hideMark/>
          </w:tcPr>
          <w:p w14:paraId="7A3BA87F" w14:textId="77777777" w:rsidR="00C4454D" w:rsidRPr="00A735B4" w:rsidRDefault="00C4454D" w:rsidP="00C4454D">
            <w:pPr>
              <w:jc w:val="center"/>
              <w:rPr>
                <w:rFonts w:ascii="Calibri" w:eastAsia="Times New Roman" w:hAnsi="Calibri"/>
                <w:color w:val="000000"/>
                <w:sz w:val="16"/>
                <w:szCs w:val="16"/>
                <w:lang w:eastAsia="es-ES"/>
              </w:rPr>
            </w:pPr>
          </w:p>
        </w:tc>
        <w:tc>
          <w:tcPr>
            <w:tcW w:w="0" w:type="auto"/>
            <w:tcBorders>
              <w:top w:val="nil"/>
              <w:left w:val="nil"/>
              <w:bottom w:val="nil"/>
              <w:right w:val="nil"/>
            </w:tcBorders>
            <w:shd w:val="clear" w:color="auto" w:fill="auto"/>
            <w:noWrap/>
            <w:vAlign w:val="bottom"/>
            <w:hideMark/>
          </w:tcPr>
          <w:p w14:paraId="5DBC0613" w14:textId="77777777" w:rsidR="00C4454D" w:rsidRPr="00A735B4" w:rsidRDefault="00C4454D" w:rsidP="00C4454D">
            <w:pPr>
              <w:jc w:val="center"/>
              <w:rPr>
                <w:rFonts w:ascii="Calibri" w:eastAsia="Times New Roman" w:hAnsi="Calibri"/>
                <w:color w:val="000000"/>
                <w:sz w:val="16"/>
                <w:szCs w:val="16"/>
                <w:lang w:eastAsia="es-ES"/>
              </w:rPr>
            </w:pPr>
            <w:r w:rsidRPr="00A735B4">
              <w:rPr>
                <w:rFonts w:ascii="Calibri" w:eastAsia="Times New Roman" w:hAnsi="Calibri"/>
                <w:color w:val="000000"/>
                <w:sz w:val="16"/>
                <w:szCs w:val="16"/>
                <w:lang w:eastAsia="es-ES"/>
              </w:rPr>
              <w:t>Burkina Faso</w:t>
            </w:r>
          </w:p>
        </w:tc>
        <w:tc>
          <w:tcPr>
            <w:tcW w:w="0" w:type="auto"/>
            <w:tcBorders>
              <w:top w:val="nil"/>
              <w:left w:val="nil"/>
              <w:bottom w:val="nil"/>
              <w:right w:val="nil"/>
            </w:tcBorders>
            <w:shd w:val="clear" w:color="auto" w:fill="auto"/>
            <w:noWrap/>
            <w:vAlign w:val="bottom"/>
            <w:hideMark/>
          </w:tcPr>
          <w:p w14:paraId="1141DD26" w14:textId="77777777" w:rsidR="00C4454D" w:rsidRPr="00A735B4" w:rsidRDefault="00C4454D" w:rsidP="00C4454D">
            <w:pPr>
              <w:jc w:val="center"/>
              <w:rPr>
                <w:rFonts w:ascii="Calibri" w:eastAsia="Times New Roman" w:hAnsi="Calibri"/>
                <w:color w:val="000000"/>
                <w:sz w:val="16"/>
                <w:szCs w:val="16"/>
                <w:lang w:eastAsia="es-ES"/>
              </w:rPr>
            </w:pPr>
            <w:r w:rsidRPr="00A735B4">
              <w:rPr>
                <w:rFonts w:ascii="Calibri" w:eastAsia="Times New Roman" w:hAnsi="Calibri"/>
                <w:color w:val="000000"/>
                <w:sz w:val="16"/>
                <w:szCs w:val="16"/>
                <w:lang w:eastAsia="es-ES"/>
              </w:rPr>
              <w:t>1.16</w:t>
            </w:r>
          </w:p>
        </w:tc>
      </w:tr>
      <w:tr w:rsidR="00C4454D" w:rsidRPr="00A735B4" w14:paraId="1571BA47" w14:textId="77777777" w:rsidTr="00C4454D">
        <w:trPr>
          <w:trHeight w:val="300"/>
          <w:jc w:val="center"/>
        </w:trPr>
        <w:tc>
          <w:tcPr>
            <w:tcW w:w="0" w:type="auto"/>
            <w:tcBorders>
              <w:top w:val="nil"/>
              <w:left w:val="nil"/>
              <w:bottom w:val="nil"/>
              <w:right w:val="nil"/>
            </w:tcBorders>
            <w:shd w:val="clear" w:color="auto" w:fill="auto"/>
            <w:noWrap/>
            <w:vAlign w:val="bottom"/>
            <w:hideMark/>
          </w:tcPr>
          <w:p w14:paraId="3C086D4D" w14:textId="77777777" w:rsidR="00C4454D" w:rsidRPr="00A735B4" w:rsidRDefault="00C4454D" w:rsidP="00C4454D">
            <w:pPr>
              <w:jc w:val="center"/>
              <w:rPr>
                <w:rFonts w:ascii="Calibri" w:eastAsia="Times New Roman" w:hAnsi="Calibri"/>
                <w:color w:val="000000"/>
                <w:sz w:val="16"/>
                <w:szCs w:val="16"/>
                <w:lang w:eastAsia="es-ES"/>
              </w:rPr>
            </w:pPr>
            <w:r w:rsidRPr="00A735B4">
              <w:rPr>
                <w:rFonts w:ascii="Calibri" w:eastAsia="Times New Roman" w:hAnsi="Calibri"/>
                <w:color w:val="000000"/>
                <w:sz w:val="16"/>
                <w:szCs w:val="16"/>
                <w:lang w:eastAsia="es-ES"/>
              </w:rPr>
              <w:t>Uganda</w:t>
            </w:r>
          </w:p>
        </w:tc>
        <w:tc>
          <w:tcPr>
            <w:tcW w:w="0" w:type="auto"/>
            <w:tcBorders>
              <w:top w:val="nil"/>
              <w:left w:val="nil"/>
              <w:bottom w:val="nil"/>
              <w:right w:val="nil"/>
            </w:tcBorders>
            <w:shd w:val="clear" w:color="auto" w:fill="auto"/>
            <w:noWrap/>
            <w:vAlign w:val="bottom"/>
            <w:hideMark/>
          </w:tcPr>
          <w:p w14:paraId="2A560594" w14:textId="77777777" w:rsidR="00C4454D" w:rsidRPr="00A735B4" w:rsidRDefault="00C4454D" w:rsidP="00C4454D">
            <w:pPr>
              <w:jc w:val="center"/>
              <w:rPr>
                <w:rFonts w:ascii="Calibri" w:eastAsia="Times New Roman" w:hAnsi="Calibri"/>
                <w:color w:val="000000"/>
                <w:sz w:val="16"/>
                <w:szCs w:val="16"/>
                <w:lang w:eastAsia="es-ES"/>
              </w:rPr>
            </w:pPr>
            <w:r w:rsidRPr="00A735B4">
              <w:rPr>
                <w:rFonts w:ascii="Calibri" w:eastAsia="Times New Roman" w:hAnsi="Calibri"/>
                <w:color w:val="000000"/>
                <w:sz w:val="16"/>
                <w:szCs w:val="16"/>
                <w:lang w:eastAsia="es-ES"/>
              </w:rPr>
              <w:t>1.19</w:t>
            </w:r>
          </w:p>
        </w:tc>
        <w:tc>
          <w:tcPr>
            <w:tcW w:w="0" w:type="auto"/>
            <w:tcBorders>
              <w:top w:val="nil"/>
              <w:left w:val="nil"/>
              <w:bottom w:val="nil"/>
              <w:right w:val="nil"/>
            </w:tcBorders>
            <w:shd w:val="clear" w:color="auto" w:fill="auto"/>
            <w:noWrap/>
            <w:vAlign w:val="bottom"/>
            <w:hideMark/>
          </w:tcPr>
          <w:p w14:paraId="4120DA1A" w14:textId="77777777" w:rsidR="00C4454D" w:rsidRPr="00A735B4" w:rsidRDefault="00C4454D" w:rsidP="00C4454D">
            <w:pPr>
              <w:rPr>
                <w:rFonts w:ascii="Calibri" w:eastAsia="Times New Roman" w:hAnsi="Calibri"/>
                <w:color w:val="000000"/>
                <w:sz w:val="16"/>
                <w:szCs w:val="16"/>
                <w:lang w:eastAsia="es-ES"/>
              </w:rPr>
            </w:pPr>
          </w:p>
        </w:tc>
        <w:tc>
          <w:tcPr>
            <w:tcW w:w="0" w:type="auto"/>
            <w:tcBorders>
              <w:top w:val="nil"/>
              <w:left w:val="nil"/>
              <w:bottom w:val="nil"/>
              <w:right w:val="nil"/>
            </w:tcBorders>
            <w:shd w:val="clear" w:color="auto" w:fill="auto"/>
            <w:noWrap/>
            <w:vAlign w:val="bottom"/>
            <w:hideMark/>
          </w:tcPr>
          <w:p w14:paraId="245C0165" w14:textId="77777777" w:rsidR="00C4454D" w:rsidRPr="00A735B4" w:rsidRDefault="00C4454D" w:rsidP="00C4454D">
            <w:pPr>
              <w:jc w:val="center"/>
              <w:rPr>
                <w:rFonts w:ascii="Calibri" w:eastAsia="Times New Roman" w:hAnsi="Calibri"/>
                <w:color w:val="000000"/>
                <w:sz w:val="16"/>
                <w:szCs w:val="16"/>
                <w:lang w:eastAsia="es-ES"/>
              </w:rPr>
            </w:pPr>
            <w:r w:rsidRPr="00A735B4">
              <w:rPr>
                <w:rFonts w:ascii="Calibri" w:eastAsia="Times New Roman" w:hAnsi="Calibri"/>
                <w:color w:val="000000"/>
                <w:sz w:val="16"/>
                <w:szCs w:val="16"/>
                <w:lang w:eastAsia="es-ES"/>
              </w:rPr>
              <w:t>Uganda</w:t>
            </w:r>
          </w:p>
        </w:tc>
        <w:tc>
          <w:tcPr>
            <w:tcW w:w="0" w:type="auto"/>
            <w:tcBorders>
              <w:top w:val="nil"/>
              <w:left w:val="nil"/>
              <w:bottom w:val="nil"/>
              <w:right w:val="nil"/>
            </w:tcBorders>
            <w:shd w:val="clear" w:color="auto" w:fill="auto"/>
            <w:noWrap/>
            <w:vAlign w:val="bottom"/>
            <w:hideMark/>
          </w:tcPr>
          <w:p w14:paraId="78AE5362" w14:textId="77777777" w:rsidR="00C4454D" w:rsidRPr="00A735B4" w:rsidRDefault="00C4454D" w:rsidP="00C4454D">
            <w:pPr>
              <w:jc w:val="center"/>
              <w:rPr>
                <w:rFonts w:ascii="Calibri" w:eastAsia="Times New Roman" w:hAnsi="Calibri"/>
                <w:color w:val="000000"/>
                <w:sz w:val="16"/>
                <w:szCs w:val="16"/>
                <w:lang w:eastAsia="es-ES"/>
              </w:rPr>
            </w:pPr>
            <w:r w:rsidRPr="00A735B4">
              <w:rPr>
                <w:rFonts w:ascii="Calibri" w:eastAsia="Times New Roman" w:hAnsi="Calibri"/>
                <w:color w:val="000000"/>
                <w:sz w:val="16"/>
                <w:szCs w:val="16"/>
                <w:lang w:eastAsia="es-ES"/>
              </w:rPr>
              <w:t>1.39</w:t>
            </w:r>
          </w:p>
        </w:tc>
        <w:tc>
          <w:tcPr>
            <w:tcW w:w="0" w:type="auto"/>
            <w:tcBorders>
              <w:top w:val="nil"/>
              <w:left w:val="nil"/>
              <w:bottom w:val="nil"/>
              <w:right w:val="nil"/>
            </w:tcBorders>
            <w:shd w:val="clear" w:color="auto" w:fill="auto"/>
            <w:noWrap/>
            <w:vAlign w:val="bottom"/>
            <w:hideMark/>
          </w:tcPr>
          <w:p w14:paraId="52C1D2AF" w14:textId="77777777" w:rsidR="00C4454D" w:rsidRPr="00A735B4" w:rsidRDefault="00C4454D" w:rsidP="00C4454D">
            <w:pPr>
              <w:jc w:val="center"/>
              <w:rPr>
                <w:rFonts w:ascii="Calibri" w:eastAsia="Times New Roman" w:hAnsi="Calibri"/>
                <w:color w:val="000000"/>
                <w:sz w:val="16"/>
                <w:szCs w:val="16"/>
                <w:lang w:eastAsia="es-ES"/>
              </w:rPr>
            </w:pPr>
          </w:p>
        </w:tc>
        <w:tc>
          <w:tcPr>
            <w:tcW w:w="0" w:type="auto"/>
            <w:tcBorders>
              <w:top w:val="nil"/>
              <w:left w:val="nil"/>
              <w:bottom w:val="nil"/>
              <w:right w:val="nil"/>
            </w:tcBorders>
            <w:shd w:val="clear" w:color="auto" w:fill="auto"/>
            <w:noWrap/>
            <w:vAlign w:val="bottom"/>
            <w:hideMark/>
          </w:tcPr>
          <w:p w14:paraId="70BC559E" w14:textId="77777777" w:rsidR="00C4454D" w:rsidRPr="00A735B4" w:rsidRDefault="00C4454D" w:rsidP="00C4454D">
            <w:pPr>
              <w:jc w:val="center"/>
              <w:rPr>
                <w:rFonts w:ascii="Calibri" w:eastAsia="Times New Roman" w:hAnsi="Calibri"/>
                <w:color w:val="000000"/>
                <w:sz w:val="16"/>
                <w:szCs w:val="16"/>
                <w:lang w:eastAsia="es-ES"/>
              </w:rPr>
            </w:pPr>
            <w:r w:rsidRPr="00A735B4">
              <w:rPr>
                <w:rFonts w:ascii="Calibri" w:eastAsia="Times New Roman" w:hAnsi="Calibri"/>
                <w:color w:val="000000"/>
                <w:sz w:val="16"/>
                <w:szCs w:val="16"/>
                <w:lang w:eastAsia="es-ES"/>
              </w:rPr>
              <w:t>Uganda</w:t>
            </w:r>
          </w:p>
        </w:tc>
        <w:tc>
          <w:tcPr>
            <w:tcW w:w="0" w:type="auto"/>
            <w:tcBorders>
              <w:top w:val="nil"/>
              <w:left w:val="nil"/>
              <w:bottom w:val="nil"/>
              <w:right w:val="nil"/>
            </w:tcBorders>
            <w:shd w:val="clear" w:color="auto" w:fill="auto"/>
            <w:noWrap/>
            <w:vAlign w:val="bottom"/>
            <w:hideMark/>
          </w:tcPr>
          <w:p w14:paraId="042D8AA2" w14:textId="77777777" w:rsidR="00C4454D" w:rsidRPr="00A735B4" w:rsidRDefault="00C4454D" w:rsidP="00C4454D">
            <w:pPr>
              <w:jc w:val="center"/>
              <w:rPr>
                <w:rFonts w:ascii="Calibri" w:eastAsia="Times New Roman" w:hAnsi="Calibri"/>
                <w:color w:val="000000"/>
                <w:sz w:val="16"/>
                <w:szCs w:val="16"/>
                <w:lang w:eastAsia="es-ES"/>
              </w:rPr>
            </w:pPr>
            <w:r w:rsidRPr="00A735B4">
              <w:rPr>
                <w:rFonts w:ascii="Calibri" w:eastAsia="Times New Roman" w:hAnsi="Calibri"/>
                <w:color w:val="000000"/>
                <w:sz w:val="16"/>
                <w:szCs w:val="16"/>
                <w:lang w:eastAsia="es-ES"/>
              </w:rPr>
              <w:t>0.79</w:t>
            </w:r>
          </w:p>
        </w:tc>
        <w:tc>
          <w:tcPr>
            <w:tcW w:w="0" w:type="auto"/>
            <w:tcBorders>
              <w:top w:val="nil"/>
              <w:left w:val="nil"/>
              <w:bottom w:val="nil"/>
              <w:right w:val="nil"/>
            </w:tcBorders>
            <w:shd w:val="clear" w:color="auto" w:fill="auto"/>
            <w:noWrap/>
            <w:vAlign w:val="bottom"/>
            <w:hideMark/>
          </w:tcPr>
          <w:p w14:paraId="622C229F" w14:textId="77777777" w:rsidR="00C4454D" w:rsidRPr="00A735B4" w:rsidRDefault="00C4454D" w:rsidP="00C4454D">
            <w:pPr>
              <w:jc w:val="center"/>
              <w:rPr>
                <w:rFonts w:ascii="Calibri" w:eastAsia="Times New Roman" w:hAnsi="Calibri"/>
                <w:color w:val="000000"/>
                <w:sz w:val="16"/>
                <w:szCs w:val="16"/>
                <w:lang w:eastAsia="es-ES"/>
              </w:rPr>
            </w:pPr>
          </w:p>
        </w:tc>
        <w:tc>
          <w:tcPr>
            <w:tcW w:w="0" w:type="auto"/>
            <w:tcBorders>
              <w:top w:val="nil"/>
              <w:left w:val="nil"/>
              <w:bottom w:val="nil"/>
              <w:right w:val="nil"/>
            </w:tcBorders>
            <w:shd w:val="clear" w:color="auto" w:fill="auto"/>
            <w:noWrap/>
            <w:vAlign w:val="bottom"/>
            <w:hideMark/>
          </w:tcPr>
          <w:p w14:paraId="52390953" w14:textId="77777777" w:rsidR="00C4454D" w:rsidRPr="00A735B4" w:rsidRDefault="00C4454D" w:rsidP="00C4454D">
            <w:pPr>
              <w:jc w:val="center"/>
              <w:rPr>
                <w:rFonts w:ascii="Calibri" w:eastAsia="Times New Roman" w:hAnsi="Calibri"/>
                <w:color w:val="000000"/>
                <w:sz w:val="16"/>
                <w:szCs w:val="16"/>
                <w:lang w:eastAsia="es-ES"/>
              </w:rPr>
            </w:pPr>
            <w:r w:rsidRPr="00A735B4">
              <w:rPr>
                <w:rFonts w:ascii="Calibri" w:eastAsia="Times New Roman" w:hAnsi="Calibri"/>
                <w:color w:val="000000"/>
                <w:sz w:val="16"/>
                <w:szCs w:val="16"/>
                <w:lang w:eastAsia="es-ES"/>
              </w:rPr>
              <w:t>Ghana</w:t>
            </w:r>
          </w:p>
        </w:tc>
        <w:tc>
          <w:tcPr>
            <w:tcW w:w="0" w:type="auto"/>
            <w:tcBorders>
              <w:top w:val="nil"/>
              <w:left w:val="nil"/>
              <w:bottom w:val="nil"/>
              <w:right w:val="nil"/>
            </w:tcBorders>
            <w:shd w:val="clear" w:color="auto" w:fill="auto"/>
            <w:noWrap/>
            <w:vAlign w:val="bottom"/>
            <w:hideMark/>
          </w:tcPr>
          <w:p w14:paraId="71278DA4" w14:textId="77777777" w:rsidR="00C4454D" w:rsidRPr="00A735B4" w:rsidRDefault="00C4454D" w:rsidP="00C4454D">
            <w:pPr>
              <w:jc w:val="center"/>
              <w:rPr>
                <w:rFonts w:ascii="Calibri" w:eastAsia="Times New Roman" w:hAnsi="Calibri"/>
                <w:color w:val="000000"/>
                <w:sz w:val="16"/>
                <w:szCs w:val="16"/>
                <w:lang w:eastAsia="es-ES"/>
              </w:rPr>
            </w:pPr>
            <w:r w:rsidRPr="00A735B4">
              <w:rPr>
                <w:rFonts w:ascii="Calibri" w:eastAsia="Times New Roman" w:hAnsi="Calibri"/>
                <w:color w:val="000000"/>
                <w:sz w:val="16"/>
                <w:szCs w:val="16"/>
                <w:lang w:eastAsia="es-ES"/>
              </w:rPr>
              <w:t>1.07</w:t>
            </w:r>
          </w:p>
        </w:tc>
      </w:tr>
      <w:tr w:rsidR="00C4454D" w:rsidRPr="00A735B4" w14:paraId="147F8A6F" w14:textId="77777777" w:rsidTr="00C4454D">
        <w:trPr>
          <w:trHeight w:val="300"/>
          <w:jc w:val="center"/>
        </w:trPr>
        <w:tc>
          <w:tcPr>
            <w:tcW w:w="0" w:type="auto"/>
            <w:tcBorders>
              <w:top w:val="nil"/>
              <w:left w:val="nil"/>
              <w:bottom w:val="nil"/>
              <w:right w:val="nil"/>
            </w:tcBorders>
            <w:shd w:val="clear" w:color="auto" w:fill="auto"/>
            <w:noWrap/>
            <w:vAlign w:val="bottom"/>
            <w:hideMark/>
          </w:tcPr>
          <w:p w14:paraId="4703E645" w14:textId="77777777" w:rsidR="00C4454D" w:rsidRPr="00A735B4" w:rsidRDefault="00C4454D" w:rsidP="00C4454D">
            <w:pPr>
              <w:jc w:val="center"/>
              <w:rPr>
                <w:rFonts w:ascii="Calibri" w:eastAsia="Times New Roman" w:hAnsi="Calibri"/>
                <w:color w:val="000000"/>
                <w:sz w:val="16"/>
                <w:szCs w:val="16"/>
                <w:lang w:eastAsia="es-ES"/>
              </w:rPr>
            </w:pPr>
            <w:r w:rsidRPr="00A735B4">
              <w:rPr>
                <w:rFonts w:ascii="Calibri" w:eastAsia="Times New Roman" w:hAnsi="Calibri"/>
                <w:color w:val="000000"/>
                <w:sz w:val="16"/>
                <w:szCs w:val="16"/>
                <w:lang w:eastAsia="es-ES"/>
              </w:rPr>
              <w:t>Burkina Faso</w:t>
            </w:r>
          </w:p>
        </w:tc>
        <w:tc>
          <w:tcPr>
            <w:tcW w:w="0" w:type="auto"/>
            <w:tcBorders>
              <w:top w:val="nil"/>
              <w:left w:val="nil"/>
              <w:bottom w:val="nil"/>
              <w:right w:val="nil"/>
            </w:tcBorders>
            <w:shd w:val="clear" w:color="auto" w:fill="auto"/>
            <w:noWrap/>
            <w:vAlign w:val="bottom"/>
            <w:hideMark/>
          </w:tcPr>
          <w:p w14:paraId="7BA5D2E8" w14:textId="77777777" w:rsidR="00C4454D" w:rsidRPr="00A735B4" w:rsidRDefault="00C4454D" w:rsidP="00C4454D">
            <w:pPr>
              <w:jc w:val="center"/>
              <w:rPr>
                <w:rFonts w:ascii="Calibri" w:eastAsia="Times New Roman" w:hAnsi="Calibri"/>
                <w:color w:val="000000"/>
                <w:sz w:val="16"/>
                <w:szCs w:val="16"/>
                <w:lang w:eastAsia="es-ES"/>
              </w:rPr>
            </w:pPr>
            <w:r w:rsidRPr="00A735B4">
              <w:rPr>
                <w:rFonts w:ascii="Calibri" w:eastAsia="Times New Roman" w:hAnsi="Calibri"/>
                <w:color w:val="000000"/>
                <w:sz w:val="16"/>
                <w:szCs w:val="16"/>
                <w:lang w:eastAsia="es-ES"/>
              </w:rPr>
              <w:t>0.95</w:t>
            </w:r>
          </w:p>
        </w:tc>
        <w:tc>
          <w:tcPr>
            <w:tcW w:w="0" w:type="auto"/>
            <w:tcBorders>
              <w:top w:val="nil"/>
              <w:left w:val="nil"/>
              <w:bottom w:val="nil"/>
              <w:right w:val="nil"/>
            </w:tcBorders>
            <w:shd w:val="clear" w:color="auto" w:fill="auto"/>
            <w:noWrap/>
            <w:vAlign w:val="bottom"/>
            <w:hideMark/>
          </w:tcPr>
          <w:p w14:paraId="2399196D" w14:textId="77777777" w:rsidR="00C4454D" w:rsidRPr="00A735B4" w:rsidRDefault="00C4454D" w:rsidP="00C4454D">
            <w:pPr>
              <w:rPr>
                <w:rFonts w:ascii="Calibri" w:eastAsia="Times New Roman" w:hAnsi="Calibri"/>
                <w:color w:val="000000"/>
                <w:sz w:val="16"/>
                <w:szCs w:val="16"/>
                <w:lang w:eastAsia="es-ES"/>
              </w:rPr>
            </w:pPr>
          </w:p>
        </w:tc>
        <w:tc>
          <w:tcPr>
            <w:tcW w:w="0" w:type="auto"/>
            <w:tcBorders>
              <w:top w:val="nil"/>
              <w:left w:val="nil"/>
              <w:bottom w:val="nil"/>
              <w:right w:val="nil"/>
            </w:tcBorders>
            <w:shd w:val="clear" w:color="auto" w:fill="auto"/>
            <w:noWrap/>
            <w:vAlign w:val="bottom"/>
            <w:hideMark/>
          </w:tcPr>
          <w:p w14:paraId="437129EA" w14:textId="77777777" w:rsidR="00C4454D" w:rsidRPr="00A735B4" w:rsidRDefault="00C4454D" w:rsidP="00C4454D">
            <w:pPr>
              <w:jc w:val="center"/>
              <w:rPr>
                <w:rFonts w:ascii="Calibri" w:eastAsia="Times New Roman" w:hAnsi="Calibri"/>
                <w:color w:val="000000"/>
                <w:sz w:val="16"/>
                <w:szCs w:val="16"/>
                <w:lang w:eastAsia="es-ES"/>
              </w:rPr>
            </w:pPr>
            <w:r w:rsidRPr="00A735B4">
              <w:rPr>
                <w:rFonts w:ascii="Calibri" w:eastAsia="Times New Roman" w:hAnsi="Calibri"/>
                <w:color w:val="000000"/>
                <w:sz w:val="16"/>
                <w:szCs w:val="16"/>
                <w:lang w:eastAsia="es-ES"/>
              </w:rPr>
              <w:t>Malawi</w:t>
            </w:r>
          </w:p>
        </w:tc>
        <w:tc>
          <w:tcPr>
            <w:tcW w:w="0" w:type="auto"/>
            <w:tcBorders>
              <w:top w:val="nil"/>
              <w:left w:val="nil"/>
              <w:bottom w:val="nil"/>
              <w:right w:val="nil"/>
            </w:tcBorders>
            <w:shd w:val="clear" w:color="auto" w:fill="auto"/>
            <w:noWrap/>
            <w:vAlign w:val="bottom"/>
            <w:hideMark/>
          </w:tcPr>
          <w:p w14:paraId="6761BC23" w14:textId="77777777" w:rsidR="00C4454D" w:rsidRPr="00A735B4" w:rsidRDefault="00C4454D" w:rsidP="00C4454D">
            <w:pPr>
              <w:jc w:val="center"/>
              <w:rPr>
                <w:rFonts w:ascii="Calibri" w:eastAsia="Times New Roman" w:hAnsi="Calibri"/>
                <w:color w:val="000000"/>
                <w:sz w:val="16"/>
                <w:szCs w:val="16"/>
                <w:lang w:eastAsia="es-ES"/>
              </w:rPr>
            </w:pPr>
            <w:r w:rsidRPr="00A735B4">
              <w:rPr>
                <w:rFonts w:ascii="Calibri" w:eastAsia="Times New Roman" w:hAnsi="Calibri"/>
                <w:color w:val="000000"/>
                <w:sz w:val="16"/>
                <w:szCs w:val="16"/>
                <w:lang w:eastAsia="es-ES"/>
              </w:rPr>
              <w:t>1.28</w:t>
            </w:r>
          </w:p>
        </w:tc>
        <w:tc>
          <w:tcPr>
            <w:tcW w:w="0" w:type="auto"/>
            <w:tcBorders>
              <w:top w:val="nil"/>
              <w:left w:val="nil"/>
              <w:bottom w:val="nil"/>
              <w:right w:val="nil"/>
            </w:tcBorders>
            <w:shd w:val="clear" w:color="auto" w:fill="auto"/>
            <w:noWrap/>
            <w:vAlign w:val="bottom"/>
            <w:hideMark/>
          </w:tcPr>
          <w:p w14:paraId="2B7B8B85" w14:textId="77777777" w:rsidR="00C4454D" w:rsidRPr="00A735B4" w:rsidRDefault="00C4454D" w:rsidP="00C4454D">
            <w:pPr>
              <w:jc w:val="center"/>
              <w:rPr>
                <w:rFonts w:ascii="Calibri" w:eastAsia="Times New Roman" w:hAnsi="Calibri"/>
                <w:color w:val="000000"/>
                <w:sz w:val="16"/>
                <w:szCs w:val="16"/>
                <w:lang w:eastAsia="es-ES"/>
              </w:rPr>
            </w:pPr>
          </w:p>
        </w:tc>
        <w:tc>
          <w:tcPr>
            <w:tcW w:w="0" w:type="auto"/>
            <w:tcBorders>
              <w:top w:val="nil"/>
              <w:left w:val="nil"/>
              <w:bottom w:val="nil"/>
              <w:right w:val="nil"/>
            </w:tcBorders>
            <w:shd w:val="clear" w:color="auto" w:fill="auto"/>
            <w:noWrap/>
            <w:vAlign w:val="bottom"/>
            <w:hideMark/>
          </w:tcPr>
          <w:p w14:paraId="3DA42A02" w14:textId="77777777" w:rsidR="00C4454D" w:rsidRPr="00A735B4" w:rsidRDefault="00C4454D" w:rsidP="00C4454D">
            <w:pPr>
              <w:jc w:val="center"/>
              <w:rPr>
                <w:rFonts w:ascii="Calibri" w:eastAsia="Times New Roman" w:hAnsi="Calibri"/>
                <w:color w:val="000000"/>
                <w:sz w:val="16"/>
                <w:szCs w:val="16"/>
                <w:lang w:eastAsia="es-ES"/>
              </w:rPr>
            </w:pPr>
          </w:p>
        </w:tc>
        <w:tc>
          <w:tcPr>
            <w:tcW w:w="0" w:type="auto"/>
            <w:tcBorders>
              <w:top w:val="nil"/>
              <w:left w:val="nil"/>
              <w:bottom w:val="nil"/>
              <w:right w:val="nil"/>
            </w:tcBorders>
            <w:shd w:val="clear" w:color="auto" w:fill="auto"/>
            <w:noWrap/>
            <w:vAlign w:val="bottom"/>
            <w:hideMark/>
          </w:tcPr>
          <w:p w14:paraId="5DEC6D82" w14:textId="77777777" w:rsidR="00C4454D" w:rsidRPr="00A735B4" w:rsidRDefault="00C4454D" w:rsidP="00C4454D">
            <w:pPr>
              <w:jc w:val="center"/>
              <w:rPr>
                <w:rFonts w:ascii="Calibri" w:eastAsia="Times New Roman" w:hAnsi="Calibri"/>
                <w:color w:val="000000"/>
                <w:sz w:val="16"/>
                <w:szCs w:val="16"/>
                <w:lang w:eastAsia="es-ES"/>
              </w:rPr>
            </w:pPr>
          </w:p>
        </w:tc>
        <w:tc>
          <w:tcPr>
            <w:tcW w:w="0" w:type="auto"/>
            <w:tcBorders>
              <w:top w:val="nil"/>
              <w:left w:val="nil"/>
              <w:bottom w:val="nil"/>
              <w:right w:val="nil"/>
            </w:tcBorders>
            <w:shd w:val="clear" w:color="auto" w:fill="auto"/>
            <w:noWrap/>
            <w:vAlign w:val="bottom"/>
            <w:hideMark/>
          </w:tcPr>
          <w:p w14:paraId="52320BD0" w14:textId="77777777" w:rsidR="00C4454D" w:rsidRPr="00A735B4" w:rsidRDefault="00C4454D" w:rsidP="00C4454D">
            <w:pPr>
              <w:jc w:val="center"/>
              <w:rPr>
                <w:rFonts w:ascii="Calibri" w:eastAsia="Times New Roman" w:hAnsi="Calibri"/>
                <w:color w:val="000000"/>
                <w:sz w:val="16"/>
                <w:szCs w:val="16"/>
                <w:lang w:eastAsia="es-ES"/>
              </w:rPr>
            </w:pPr>
          </w:p>
        </w:tc>
        <w:tc>
          <w:tcPr>
            <w:tcW w:w="0" w:type="auto"/>
            <w:tcBorders>
              <w:top w:val="nil"/>
              <w:left w:val="nil"/>
              <w:bottom w:val="nil"/>
              <w:right w:val="nil"/>
            </w:tcBorders>
            <w:shd w:val="clear" w:color="auto" w:fill="auto"/>
            <w:noWrap/>
            <w:vAlign w:val="bottom"/>
            <w:hideMark/>
          </w:tcPr>
          <w:p w14:paraId="64FC0081" w14:textId="77777777" w:rsidR="00C4454D" w:rsidRPr="00A735B4" w:rsidRDefault="00C4454D" w:rsidP="00C4454D">
            <w:pPr>
              <w:jc w:val="center"/>
              <w:rPr>
                <w:rFonts w:ascii="Calibri" w:eastAsia="Times New Roman" w:hAnsi="Calibri"/>
                <w:color w:val="000000"/>
                <w:sz w:val="16"/>
                <w:szCs w:val="16"/>
                <w:lang w:eastAsia="es-ES"/>
              </w:rPr>
            </w:pPr>
            <w:r w:rsidRPr="00A735B4">
              <w:rPr>
                <w:rFonts w:ascii="Calibri" w:eastAsia="Times New Roman" w:hAnsi="Calibri"/>
                <w:color w:val="000000"/>
                <w:sz w:val="16"/>
                <w:szCs w:val="16"/>
                <w:lang w:eastAsia="es-ES"/>
              </w:rPr>
              <w:t>Uganda</w:t>
            </w:r>
          </w:p>
        </w:tc>
        <w:tc>
          <w:tcPr>
            <w:tcW w:w="0" w:type="auto"/>
            <w:tcBorders>
              <w:top w:val="nil"/>
              <w:left w:val="nil"/>
              <w:bottom w:val="nil"/>
              <w:right w:val="nil"/>
            </w:tcBorders>
            <w:shd w:val="clear" w:color="auto" w:fill="auto"/>
            <w:noWrap/>
            <w:vAlign w:val="bottom"/>
            <w:hideMark/>
          </w:tcPr>
          <w:p w14:paraId="32AC3BD1" w14:textId="77777777" w:rsidR="00C4454D" w:rsidRPr="00A735B4" w:rsidRDefault="00C4454D" w:rsidP="00C4454D">
            <w:pPr>
              <w:jc w:val="center"/>
              <w:rPr>
                <w:rFonts w:ascii="Calibri" w:eastAsia="Times New Roman" w:hAnsi="Calibri"/>
                <w:color w:val="000000"/>
                <w:sz w:val="16"/>
                <w:szCs w:val="16"/>
                <w:lang w:eastAsia="es-ES"/>
              </w:rPr>
            </w:pPr>
            <w:r w:rsidRPr="00A735B4">
              <w:rPr>
                <w:rFonts w:ascii="Calibri" w:eastAsia="Times New Roman" w:hAnsi="Calibri"/>
                <w:color w:val="000000"/>
                <w:sz w:val="16"/>
                <w:szCs w:val="16"/>
                <w:lang w:eastAsia="es-ES"/>
              </w:rPr>
              <w:t>1.00</w:t>
            </w:r>
          </w:p>
        </w:tc>
      </w:tr>
      <w:tr w:rsidR="00C4454D" w:rsidRPr="00A735B4" w14:paraId="02B3673C" w14:textId="77777777" w:rsidTr="00C4454D">
        <w:trPr>
          <w:trHeight w:val="300"/>
          <w:jc w:val="center"/>
        </w:trPr>
        <w:tc>
          <w:tcPr>
            <w:tcW w:w="0" w:type="auto"/>
            <w:tcBorders>
              <w:top w:val="nil"/>
              <w:left w:val="nil"/>
              <w:bottom w:val="nil"/>
              <w:right w:val="nil"/>
            </w:tcBorders>
            <w:shd w:val="clear" w:color="auto" w:fill="auto"/>
            <w:noWrap/>
            <w:vAlign w:val="bottom"/>
            <w:hideMark/>
          </w:tcPr>
          <w:p w14:paraId="7BEE7F11" w14:textId="77777777" w:rsidR="00C4454D" w:rsidRPr="00A735B4" w:rsidRDefault="00C4454D" w:rsidP="00C4454D">
            <w:pPr>
              <w:jc w:val="center"/>
              <w:rPr>
                <w:rFonts w:ascii="Calibri" w:eastAsia="Times New Roman" w:hAnsi="Calibri"/>
                <w:color w:val="000000"/>
                <w:sz w:val="16"/>
                <w:szCs w:val="16"/>
                <w:lang w:eastAsia="es-ES"/>
              </w:rPr>
            </w:pPr>
            <w:r w:rsidRPr="00A735B4">
              <w:rPr>
                <w:rFonts w:ascii="Calibri" w:eastAsia="Times New Roman" w:hAnsi="Calibri"/>
                <w:color w:val="000000"/>
                <w:sz w:val="16"/>
                <w:szCs w:val="16"/>
                <w:lang w:eastAsia="es-ES"/>
              </w:rPr>
              <w:t>Cameroon</w:t>
            </w:r>
          </w:p>
        </w:tc>
        <w:tc>
          <w:tcPr>
            <w:tcW w:w="0" w:type="auto"/>
            <w:tcBorders>
              <w:top w:val="nil"/>
              <w:left w:val="nil"/>
              <w:bottom w:val="nil"/>
              <w:right w:val="nil"/>
            </w:tcBorders>
            <w:shd w:val="clear" w:color="auto" w:fill="auto"/>
            <w:noWrap/>
            <w:vAlign w:val="bottom"/>
            <w:hideMark/>
          </w:tcPr>
          <w:p w14:paraId="078D989B" w14:textId="77777777" w:rsidR="00C4454D" w:rsidRPr="00A735B4" w:rsidRDefault="00C4454D" w:rsidP="00C4454D">
            <w:pPr>
              <w:jc w:val="center"/>
              <w:rPr>
                <w:rFonts w:ascii="Calibri" w:eastAsia="Times New Roman" w:hAnsi="Calibri"/>
                <w:color w:val="000000"/>
                <w:sz w:val="16"/>
                <w:szCs w:val="16"/>
                <w:lang w:eastAsia="es-ES"/>
              </w:rPr>
            </w:pPr>
            <w:r w:rsidRPr="00A735B4">
              <w:rPr>
                <w:rFonts w:ascii="Calibri" w:eastAsia="Times New Roman" w:hAnsi="Calibri"/>
                <w:color w:val="000000"/>
                <w:sz w:val="16"/>
                <w:szCs w:val="16"/>
                <w:lang w:eastAsia="es-ES"/>
              </w:rPr>
              <w:t>0.53</w:t>
            </w:r>
          </w:p>
        </w:tc>
        <w:tc>
          <w:tcPr>
            <w:tcW w:w="0" w:type="auto"/>
            <w:tcBorders>
              <w:top w:val="nil"/>
              <w:left w:val="nil"/>
              <w:bottom w:val="nil"/>
              <w:right w:val="nil"/>
            </w:tcBorders>
            <w:shd w:val="clear" w:color="auto" w:fill="auto"/>
            <w:noWrap/>
            <w:vAlign w:val="bottom"/>
            <w:hideMark/>
          </w:tcPr>
          <w:p w14:paraId="5E24154C" w14:textId="77777777" w:rsidR="00C4454D" w:rsidRPr="00A735B4" w:rsidRDefault="00C4454D" w:rsidP="00C4454D">
            <w:pPr>
              <w:rPr>
                <w:rFonts w:ascii="Calibri" w:eastAsia="Times New Roman" w:hAnsi="Calibri"/>
                <w:color w:val="000000"/>
                <w:sz w:val="16"/>
                <w:szCs w:val="16"/>
                <w:lang w:eastAsia="es-ES"/>
              </w:rPr>
            </w:pPr>
          </w:p>
        </w:tc>
        <w:tc>
          <w:tcPr>
            <w:tcW w:w="0" w:type="auto"/>
            <w:tcBorders>
              <w:top w:val="nil"/>
              <w:left w:val="nil"/>
              <w:bottom w:val="nil"/>
              <w:right w:val="nil"/>
            </w:tcBorders>
            <w:shd w:val="clear" w:color="auto" w:fill="auto"/>
            <w:noWrap/>
            <w:vAlign w:val="bottom"/>
            <w:hideMark/>
          </w:tcPr>
          <w:p w14:paraId="2951FE25" w14:textId="77777777" w:rsidR="00C4454D" w:rsidRPr="00A735B4" w:rsidRDefault="00C4454D" w:rsidP="00C4454D">
            <w:pPr>
              <w:jc w:val="center"/>
              <w:rPr>
                <w:rFonts w:ascii="Calibri" w:eastAsia="Times New Roman" w:hAnsi="Calibri"/>
                <w:color w:val="000000"/>
                <w:sz w:val="16"/>
                <w:szCs w:val="16"/>
                <w:lang w:eastAsia="es-ES"/>
              </w:rPr>
            </w:pPr>
            <w:r w:rsidRPr="00A735B4">
              <w:rPr>
                <w:rFonts w:ascii="Calibri" w:eastAsia="Times New Roman" w:hAnsi="Calibri"/>
                <w:color w:val="000000"/>
                <w:sz w:val="16"/>
                <w:szCs w:val="16"/>
                <w:lang w:eastAsia="es-ES"/>
              </w:rPr>
              <w:t>Burkina Faso</w:t>
            </w:r>
          </w:p>
        </w:tc>
        <w:tc>
          <w:tcPr>
            <w:tcW w:w="0" w:type="auto"/>
            <w:tcBorders>
              <w:top w:val="nil"/>
              <w:left w:val="nil"/>
              <w:bottom w:val="nil"/>
              <w:right w:val="nil"/>
            </w:tcBorders>
            <w:shd w:val="clear" w:color="auto" w:fill="auto"/>
            <w:noWrap/>
            <w:vAlign w:val="bottom"/>
            <w:hideMark/>
          </w:tcPr>
          <w:p w14:paraId="498F9CBE" w14:textId="77777777" w:rsidR="00C4454D" w:rsidRPr="00A735B4" w:rsidRDefault="00C4454D" w:rsidP="00C4454D">
            <w:pPr>
              <w:jc w:val="center"/>
              <w:rPr>
                <w:rFonts w:ascii="Calibri" w:eastAsia="Times New Roman" w:hAnsi="Calibri"/>
                <w:color w:val="000000"/>
                <w:sz w:val="16"/>
                <w:szCs w:val="16"/>
                <w:lang w:eastAsia="es-ES"/>
              </w:rPr>
            </w:pPr>
            <w:r w:rsidRPr="00A735B4">
              <w:rPr>
                <w:rFonts w:ascii="Calibri" w:eastAsia="Times New Roman" w:hAnsi="Calibri"/>
                <w:color w:val="000000"/>
                <w:sz w:val="16"/>
                <w:szCs w:val="16"/>
                <w:lang w:eastAsia="es-ES"/>
              </w:rPr>
              <w:t>1.05</w:t>
            </w:r>
          </w:p>
        </w:tc>
        <w:tc>
          <w:tcPr>
            <w:tcW w:w="0" w:type="auto"/>
            <w:tcBorders>
              <w:top w:val="nil"/>
              <w:left w:val="nil"/>
              <w:bottom w:val="nil"/>
              <w:right w:val="nil"/>
            </w:tcBorders>
            <w:shd w:val="clear" w:color="auto" w:fill="auto"/>
            <w:noWrap/>
            <w:vAlign w:val="bottom"/>
            <w:hideMark/>
          </w:tcPr>
          <w:p w14:paraId="257D13EB" w14:textId="77777777" w:rsidR="00C4454D" w:rsidRPr="00A735B4" w:rsidRDefault="00C4454D" w:rsidP="00C4454D">
            <w:pPr>
              <w:jc w:val="center"/>
              <w:rPr>
                <w:rFonts w:ascii="Calibri" w:eastAsia="Times New Roman" w:hAnsi="Calibri"/>
                <w:color w:val="000000"/>
                <w:sz w:val="16"/>
                <w:szCs w:val="16"/>
                <w:lang w:eastAsia="es-ES"/>
              </w:rPr>
            </w:pPr>
          </w:p>
        </w:tc>
        <w:tc>
          <w:tcPr>
            <w:tcW w:w="0" w:type="auto"/>
            <w:tcBorders>
              <w:top w:val="nil"/>
              <w:left w:val="nil"/>
              <w:bottom w:val="nil"/>
              <w:right w:val="nil"/>
            </w:tcBorders>
            <w:shd w:val="clear" w:color="auto" w:fill="auto"/>
            <w:noWrap/>
            <w:vAlign w:val="bottom"/>
            <w:hideMark/>
          </w:tcPr>
          <w:p w14:paraId="4A71F19E" w14:textId="77777777" w:rsidR="00C4454D" w:rsidRPr="00A735B4" w:rsidRDefault="00C4454D" w:rsidP="00C4454D">
            <w:pPr>
              <w:jc w:val="center"/>
              <w:rPr>
                <w:rFonts w:ascii="Calibri" w:eastAsia="Times New Roman" w:hAnsi="Calibri"/>
                <w:color w:val="000000"/>
                <w:sz w:val="16"/>
                <w:szCs w:val="16"/>
                <w:lang w:eastAsia="es-ES"/>
              </w:rPr>
            </w:pPr>
          </w:p>
        </w:tc>
        <w:tc>
          <w:tcPr>
            <w:tcW w:w="0" w:type="auto"/>
            <w:tcBorders>
              <w:top w:val="nil"/>
              <w:left w:val="nil"/>
              <w:bottom w:val="nil"/>
              <w:right w:val="nil"/>
            </w:tcBorders>
            <w:shd w:val="clear" w:color="auto" w:fill="auto"/>
            <w:noWrap/>
            <w:vAlign w:val="bottom"/>
            <w:hideMark/>
          </w:tcPr>
          <w:p w14:paraId="104F0CAC" w14:textId="77777777" w:rsidR="00C4454D" w:rsidRPr="00A735B4" w:rsidRDefault="00C4454D" w:rsidP="00C4454D">
            <w:pPr>
              <w:jc w:val="center"/>
              <w:rPr>
                <w:rFonts w:ascii="Calibri" w:eastAsia="Times New Roman" w:hAnsi="Calibri"/>
                <w:color w:val="000000"/>
                <w:sz w:val="16"/>
                <w:szCs w:val="16"/>
                <w:lang w:eastAsia="es-ES"/>
              </w:rPr>
            </w:pPr>
          </w:p>
        </w:tc>
        <w:tc>
          <w:tcPr>
            <w:tcW w:w="0" w:type="auto"/>
            <w:tcBorders>
              <w:top w:val="nil"/>
              <w:left w:val="nil"/>
              <w:bottom w:val="nil"/>
              <w:right w:val="nil"/>
            </w:tcBorders>
            <w:shd w:val="clear" w:color="auto" w:fill="auto"/>
            <w:noWrap/>
            <w:vAlign w:val="bottom"/>
            <w:hideMark/>
          </w:tcPr>
          <w:p w14:paraId="43A5E6E5" w14:textId="77777777" w:rsidR="00C4454D" w:rsidRPr="00A735B4" w:rsidRDefault="00C4454D" w:rsidP="00C4454D">
            <w:pPr>
              <w:jc w:val="center"/>
              <w:rPr>
                <w:rFonts w:ascii="Calibri" w:eastAsia="Times New Roman" w:hAnsi="Calibri"/>
                <w:color w:val="000000"/>
                <w:sz w:val="16"/>
                <w:szCs w:val="16"/>
                <w:lang w:eastAsia="es-ES"/>
              </w:rPr>
            </w:pPr>
          </w:p>
        </w:tc>
        <w:tc>
          <w:tcPr>
            <w:tcW w:w="0" w:type="auto"/>
            <w:tcBorders>
              <w:top w:val="nil"/>
              <w:left w:val="nil"/>
              <w:bottom w:val="nil"/>
              <w:right w:val="nil"/>
            </w:tcBorders>
            <w:shd w:val="clear" w:color="auto" w:fill="auto"/>
            <w:noWrap/>
            <w:vAlign w:val="bottom"/>
            <w:hideMark/>
          </w:tcPr>
          <w:p w14:paraId="4E97B2D0" w14:textId="77777777" w:rsidR="00C4454D" w:rsidRPr="00A735B4" w:rsidRDefault="00C4454D" w:rsidP="00C4454D">
            <w:pPr>
              <w:jc w:val="center"/>
              <w:rPr>
                <w:rFonts w:ascii="Calibri" w:eastAsia="Times New Roman" w:hAnsi="Calibri"/>
                <w:color w:val="000000"/>
                <w:sz w:val="16"/>
                <w:szCs w:val="16"/>
                <w:lang w:eastAsia="es-ES"/>
              </w:rPr>
            </w:pPr>
          </w:p>
        </w:tc>
        <w:tc>
          <w:tcPr>
            <w:tcW w:w="0" w:type="auto"/>
            <w:tcBorders>
              <w:top w:val="nil"/>
              <w:left w:val="nil"/>
              <w:bottom w:val="nil"/>
              <w:right w:val="nil"/>
            </w:tcBorders>
            <w:shd w:val="clear" w:color="auto" w:fill="auto"/>
            <w:noWrap/>
            <w:vAlign w:val="bottom"/>
            <w:hideMark/>
          </w:tcPr>
          <w:p w14:paraId="2CB3A450" w14:textId="77777777" w:rsidR="00C4454D" w:rsidRPr="00A735B4" w:rsidRDefault="00C4454D" w:rsidP="00C4454D">
            <w:pPr>
              <w:jc w:val="center"/>
              <w:rPr>
                <w:rFonts w:ascii="Calibri" w:eastAsia="Times New Roman" w:hAnsi="Calibri"/>
                <w:color w:val="000000"/>
                <w:sz w:val="16"/>
                <w:szCs w:val="16"/>
                <w:lang w:eastAsia="es-ES"/>
              </w:rPr>
            </w:pPr>
          </w:p>
        </w:tc>
      </w:tr>
      <w:tr w:rsidR="00C4454D" w:rsidRPr="00A735B4" w14:paraId="316B5539" w14:textId="77777777" w:rsidTr="00C4454D">
        <w:trPr>
          <w:trHeight w:val="300"/>
          <w:jc w:val="center"/>
        </w:trPr>
        <w:tc>
          <w:tcPr>
            <w:tcW w:w="0" w:type="auto"/>
            <w:tcBorders>
              <w:top w:val="nil"/>
              <w:left w:val="nil"/>
              <w:bottom w:val="nil"/>
              <w:right w:val="nil"/>
            </w:tcBorders>
            <w:shd w:val="clear" w:color="auto" w:fill="auto"/>
            <w:noWrap/>
            <w:vAlign w:val="bottom"/>
            <w:hideMark/>
          </w:tcPr>
          <w:p w14:paraId="378C17ED" w14:textId="77777777" w:rsidR="00C4454D" w:rsidRPr="00A735B4" w:rsidRDefault="00C4454D" w:rsidP="00C4454D">
            <w:pPr>
              <w:jc w:val="center"/>
              <w:rPr>
                <w:rFonts w:ascii="Calibri" w:eastAsia="Times New Roman" w:hAnsi="Calibri"/>
                <w:color w:val="000000"/>
                <w:sz w:val="16"/>
                <w:szCs w:val="16"/>
                <w:lang w:eastAsia="es-ES"/>
              </w:rPr>
            </w:pPr>
          </w:p>
        </w:tc>
        <w:tc>
          <w:tcPr>
            <w:tcW w:w="0" w:type="auto"/>
            <w:tcBorders>
              <w:top w:val="nil"/>
              <w:left w:val="nil"/>
              <w:bottom w:val="nil"/>
              <w:right w:val="nil"/>
            </w:tcBorders>
            <w:shd w:val="clear" w:color="auto" w:fill="auto"/>
            <w:noWrap/>
            <w:vAlign w:val="bottom"/>
            <w:hideMark/>
          </w:tcPr>
          <w:p w14:paraId="147EC29C" w14:textId="77777777" w:rsidR="00C4454D" w:rsidRPr="00A735B4" w:rsidRDefault="00C4454D" w:rsidP="00C4454D">
            <w:pPr>
              <w:jc w:val="center"/>
              <w:rPr>
                <w:rFonts w:ascii="Calibri" w:eastAsia="Times New Roman" w:hAnsi="Calibri"/>
                <w:color w:val="000000"/>
                <w:sz w:val="16"/>
                <w:szCs w:val="16"/>
                <w:lang w:eastAsia="es-ES"/>
              </w:rPr>
            </w:pPr>
          </w:p>
        </w:tc>
        <w:tc>
          <w:tcPr>
            <w:tcW w:w="0" w:type="auto"/>
            <w:tcBorders>
              <w:top w:val="nil"/>
              <w:left w:val="nil"/>
              <w:bottom w:val="nil"/>
              <w:right w:val="nil"/>
            </w:tcBorders>
            <w:shd w:val="clear" w:color="auto" w:fill="auto"/>
            <w:noWrap/>
            <w:vAlign w:val="bottom"/>
            <w:hideMark/>
          </w:tcPr>
          <w:p w14:paraId="5DFC872E" w14:textId="77777777" w:rsidR="00C4454D" w:rsidRPr="00A735B4" w:rsidRDefault="00C4454D" w:rsidP="00C4454D">
            <w:pPr>
              <w:rPr>
                <w:rFonts w:ascii="Calibri" w:eastAsia="Times New Roman" w:hAnsi="Calibri"/>
                <w:color w:val="000000"/>
                <w:sz w:val="16"/>
                <w:szCs w:val="16"/>
                <w:lang w:eastAsia="es-ES"/>
              </w:rPr>
            </w:pPr>
          </w:p>
        </w:tc>
        <w:tc>
          <w:tcPr>
            <w:tcW w:w="0" w:type="auto"/>
            <w:tcBorders>
              <w:top w:val="nil"/>
              <w:left w:val="nil"/>
              <w:bottom w:val="nil"/>
              <w:right w:val="nil"/>
            </w:tcBorders>
            <w:shd w:val="clear" w:color="auto" w:fill="auto"/>
            <w:noWrap/>
            <w:vAlign w:val="bottom"/>
            <w:hideMark/>
          </w:tcPr>
          <w:p w14:paraId="3BDAC581" w14:textId="77777777" w:rsidR="00C4454D" w:rsidRPr="00A735B4" w:rsidRDefault="00C4454D" w:rsidP="00C4454D">
            <w:pPr>
              <w:jc w:val="center"/>
              <w:rPr>
                <w:rFonts w:ascii="Calibri" w:eastAsia="Times New Roman" w:hAnsi="Calibri"/>
                <w:color w:val="000000"/>
                <w:sz w:val="16"/>
                <w:szCs w:val="16"/>
                <w:lang w:eastAsia="es-ES"/>
              </w:rPr>
            </w:pPr>
            <w:r w:rsidRPr="00A735B4">
              <w:rPr>
                <w:rFonts w:ascii="Calibri" w:eastAsia="Times New Roman" w:hAnsi="Calibri"/>
                <w:color w:val="000000"/>
                <w:sz w:val="16"/>
                <w:szCs w:val="16"/>
                <w:lang w:eastAsia="es-ES"/>
              </w:rPr>
              <w:t>Cameroon</w:t>
            </w:r>
          </w:p>
        </w:tc>
        <w:tc>
          <w:tcPr>
            <w:tcW w:w="0" w:type="auto"/>
            <w:tcBorders>
              <w:top w:val="nil"/>
              <w:left w:val="nil"/>
              <w:bottom w:val="nil"/>
              <w:right w:val="nil"/>
            </w:tcBorders>
            <w:shd w:val="clear" w:color="auto" w:fill="auto"/>
            <w:noWrap/>
            <w:vAlign w:val="bottom"/>
            <w:hideMark/>
          </w:tcPr>
          <w:p w14:paraId="52D7BEE1" w14:textId="77777777" w:rsidR="00C4454D" w:rsidRPr="00A735B4" w:rsidRDefault="00C4454D" w:rsidP="00C4454D">
            <w:pPr>
              <w:jc w:val="center"/>
              <w:rPr>
                <w:rFonts w:ascii="Calibri" w:eastAsia="Times New Roman" w:hAnsi="Calibri"/>
                <w:color w:val="000000"/>
                <w:sz w:val="16"/>
                <w:szCs w:val="16"/>
                <w:lang w:eastAsia="es-ES"/>
              </w:rPr>
            </w:pPr>
            <w:r w:rsidRPr="00A735B4">
              <w:rPr>
                <w:rFonts w:ascii="Calibri" w:eastAsia="Times New Roman" w:hAnsi="Calibri"/>
                <w:color w:val="000000"/>
                <w:sz w:val="16"/>
                <w:szCs w:val="16"/>
                <w:lang w:eastAsia="es-ES"/>
              </w:rPr>
              <w:t>0.39</w:t>
            </w:r>
          </w:p>
        </w:tc>
        <w:tc>
          <w:tcPr>
            <w:tcW w:w="0" w:type="auto"/>
            <w:tcBorders>
              <w:top w:val="nil"/>
              <w:left w:val="nil"/>
              <w:bottom w:val="nil"/>
              <w:right w:val="nil"/>
            </w:tcBorders>
            <w:shd w:val="clear" w:color="auto" w:fill="auto"/>
            <w:noWrap/>
            <w:vAlign w:val="bottom"/>
            <w:hideMark/>
          </w:tcPr>
          <w:p w14:paraId="39C28F7C" w14:textId="77777777" w:rsidR="00C4454D" w:rsidRPr="00A735B4" w:rsidRDefault="00C4454D" w:rsidP="00C4454D">
            <w:pPr>
              <w:jc w:val="center"/>
              <w:rPr>
                <w:rFonts w:ascii="Calibri" w:eastAsia="Times New Roman" w:hAnsi="Calibri"/>
                <w:color w:val="000000"/>
                <w:sz w:val="16"/>
                <w:szCs w:val="16"/>
                <w:lang w:eastAsia="es-ES"/>
              </w:rPr>
            </w:pPr>
          </w:p>
        </w:tc>
        <w:tc>
          <w:tcPr>
            <w:tcW w:w="0" w:type="auto"/>
            <w:tcBorders>
              <w:top w:val="nil"/>
              <w:left w:val="nil"/>
              <w:bottom w:val="nil"/>
              <w:right w:val="nil"/>
            </w:tcBorders>
            <w:shd w:val="clear" w:color="auto" w:fill="auto"/>
            <w:noWrap/>
            <w:vAlign w:val="bottom"/>
            <w:hideMark/>
          </w:tcPr>
          <w:p w14:paraId="78076867" w14:textId="77777777" w:rsidR="00C4454D" w:rsidRPr="00A735B4" w:rsidRDefault="00C4454D" w:rsidP="00C4454D">
            <w:pPr>
              <w:jc w:val="center"/>
              <w:rPr>
                <w:rFonts w:ascii="Calibri" w:eastAsia="Times New Roman" w:hAnsi="Calibri"/>
                <w:color w:val="000000"/>
                <w:sz w:val="16"/>
                <w:szCs w:val="16"/>
                <w:lang w:eastAsia="es-ES"/>
              </w:rPr>
            </w:pPr>
          </w:p>
        </w:tc>
        <w:tc>
          <w:tcPr>
            <w:tcW w:w="0" w:type="auto"/>
            <w:tcBorders>
              <w:top w:val="nil"/>
              <w:left w:val="nil"/>
              <w:bottom w:val="nil"/>
              <w:right w:val="nil"/>
            </w:tcBorders>
            <w:shd w:val="clear" w:color="auto" w:fill="auto"/>
            <w:noWrap/>
            <w:vAlign w:val="bottom"/>
            <w:hideMark/>
          </w:tcPr>
          <w:p w14:paraId="4F3D27E2" w14:textId="77777777" w:rsidR="00C4454D" w:rsidRPr="00A735B4" w:rsidRDefault="00C4454D" w:rsidP="00C4454D">
            <w:pPr>
              <w:jc w:val="center"/>
              <w:rPr>
                <w:rFonts w:ascii="Calibri" w:eastAsia="Times New Roman" w:hAnsi="Calibri"/>
                <w:color w:val="000000"/>
                <w:sz w:val="16"/>
                <w:szCs w:val="16"/>
                <w:lang w:eastAsia="es-ES"/>
              </w:rPr>
            </w:pPr>
          </w:p>
        </w:tc>
        <w:tc>
          <w:tcPr>
            <w:tcW w:w="0" w:type="auto"/>
            <w:tcBorders>
              <w:top w:val="nil"/>
              <w:left w:val="nil"/>
              <w:bottom w:val="nil"/>
              <w:right w:val="nil"/>
            </w:tcBorders>
            <w:shd w:val="clear" w:color="auto" w:fill="auto"/>
            <w:noWrap/>
            <w:vAlign w:val="bottom"/>
            <w:hideMark/>
          </w:tcPr>
          <w:p w14:paraId="782FFBAA" w14:textId="77777777" w:rsidR="00C4454D" w:rsidRPr="00A735B4" w:rsidRDefault="00C4454D" w:rsidP="00C4454D">
            <w:pPr>
              <w:jc w:val="center"/>
              <w:rPr>
                <w:rFonts w:ascii="Calibri" w:eastAsia="Times New Roman" w:hAnsi="Calibri"/>
                <w:color w:val="000000"/>
                <w:sz w:val="16"/>
                <w:szCs w:val="16"/>
                <w:lang w:eastAsia="es-ES"/>
              </w:rPr>
            </w:pPr>
          </w:p>
        </w:tc>
        <w:tc>
          <w:tcPr>
            <w:tcW w:w="0" w:type="auto"/>
            <w:tcBorders>
              <w:top w:val="nil"/>
              <w:left w:val="nil"/>
              <w:bottom w:val="nil"/>
              <w:right w:val="nil"/>
            </w:tcBorders>
            <w:shd w:val="clear" w:color="auto" w:fill="auto"/>
            <w:noWrap/>
            <w:vAlign w:val="bottom"/>
            <w:hideMark/>
          </w:tcPr>
          <w:p w14:paraId="63D69E8B" w14:textId="77777777" w:rsidR="00C4454D" w:rsidRPr="00A735B4" w:rsidRDefault="00C4454D" w:rsidP="00C4454D">
            <w:pPr>
              <w:jc w:val="center"/>
              <w:rPr>
                <w:rFonts w:ascii="Calibri" w:eastAsia="Times New Roman" w:hAnsi="Calibri"/>
                <w:color w:val="000000"/>
                <w:sz w:val="16"/>
                <w:szCs w:val="16"/>
                <w:lang w:eastAsia="es-ES"/>
              </w:rPr>
            </w:pPr>
          </w:p>
        </w:tc>
        <w:tc>
          <w:tcPr>
            <w:tcW w:w="0" w:type="auto"/>
            <w:tcBorders>
              <w:top w:val="nil"/>
              <w:left w:val="nil"/>
              <w:bottom w:val="nil"/>
              <w:right w:val="nil"/>
            </w:tcBorders>
            <w:shd w:val="clear" w:color="auto" w:fill="auto"/>
            <w:noWrap/>
            <w:vAlign w:val="bottom"/>
            <w:hideMark/>
          </w:tcPr>
          <w:p w14:paraId="3B8D2904" w14:textId="77777777" w:rsidR="00C4454D" w:rsidRPr="00A735B4" w:rsidRDefault="00C4454D" w:rsidP="00C4454D">
            <w:pPr>
              <w:jc w:val="center"/>
              <w:rPr>
                <w:rFonts w:ascii="Calibri" w:eastAsia="Times New Roman" w:hAnsi="Calibri"/>
                <w:color w:val="000000"/>
                <w:sz w:val="16"/>
                <w:szCs w:val="16"/>
                <w:lang w:eastAsia="es-ES"/>
              </w:rPr>
            </w:pPr>
          </w:p>
        </w:tc>
      </w:tr>
    </w:tbl>
    <w:p w14:paraId="7DB12C38" w14:textId="77777777" w:rsidR="00C4454D" w:rsidRPr="00A735B4" w:rsidRDefault="00C4454D" w:rsidP="00C445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noProof/>
          <w:sz w:val="18"/>
          <w:szCs w:val="18"/>
          <w:lang w:eastAsia="es-ES"/>
        </w:rPr>
      </w:pPr>
    </w:p>
    <w:p w14:paraId="10FA493F" w14:textId="77777777" w:rsidR="00C4454D" w:rsidRPr="00A735B4" w:rsidRDefault="00C4454D" w:rsidP="00C445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540" w:hanging="8540"/>
        <w:rPr>
          <w:noProof/>
          <w:sz w:val="18"/>
          <w:szCs w:val="18"/>
          <w:lang w:eastAsia="es-ES"/>
        </w:rPr>
      </w:pPr>
      <w:r w:rsidRPr="00A735B4">
        <w:rPr>
          <w:noProof/>
          <w:sz w:val="18"/>
          <w:szCs w:val="18"/>
          <w:lang w:eastAsia="es-ES"/>
        </w:rPr>
        <w:t xml:space="preserve">                    Source: Authors’ calculations. </w:t>
      </w:r>
    </w:p>
    <w:p w14:paraId="6CD8B4C0" w14:textId="77777777" w:rsidR="00C4454D" w:rsidRPr="00A735B4" w:rsidRDefault="00C4454D" w:rsidP="00C445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noProof/>
          <w:sz w:val="18"/>
          <w:szCs w:val="18"/>
          <w:lang w:eastAsia="es-ES"/>
        </w:rPr>
      </w:pPr>
    </w:p>
    <w:p w14:paraId="682D0F6C" w14:textId="77777777" w:rsidR="00C4454D" w:rsidRPr="00A735B4" w:rsidRDefault="00C4454D" w:rsidP="00C445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noProof/>
          <w:sz w:val="18"/>
          <w:szCs w:val="18"/>
          <w:lang w:eastAsia="es-ES"/>
        </w:rPr>
      </w:pPr>
    </w:p>
    <w:p w14:paraId="23B590FB" w14:textId="77777777" w:rsidR="00C4454D" w:rsidRPr="00A735B4" w:rsidRDefault="00C4454D" w:rsidP="00C445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noProof/>
          <w:sz w:val="18"/>
          <w:szCs w:val="18"/>
          <w:lang w:eastAsia="es-ES"/>
        </w:rPr>
      </w:pPr>
    </w:p>
    <w:p w14:paraId="0787B27F" w14:textId="77777777" w:rsidR="00C4454D" w:rsidRPr="00A735B4" w:rsidRDefault="00C4454D" w:rsidP="00C445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b/>
        </w:rPr>
      </w:pPr>
      <w:r w:rsidRPr="00A735B4">
        <w:rPr>
          <w:rFonts w:eastAsia="Times New Roman"/>
          <w:b/>
        </w:rPr>
        <w:t>D.5.4 Seed prices by type of venue</w:t>
      </w:r>
    </w:p>
    <w:p w14:paraId="7BD76649" w14:textId="77777777" w:rsidR="00C4454D" w:rsidRPr="00A735B4" w:rsidRDefault="00C4454D" w:rsidP="00C445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rPr>
      </w:pPr>
    </w:p>
    <w:p w14:paraId="117BE88C" w14:textId="10A69C89" w:rsidR="00C4454D" w:rsidRPr="00A735B4" w:rsidRDefault="00C4454D" w:rsidP="00C445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rPr>
      </w:pPr>
      <w:r w:rsidRPr="00A735B4">
        <w:rPr>
          <w:rFonts w:eastAsia="Times New Roman"/>
        </w:rPr>
        <w:t xml:space="preserve">When we analyze seed prices by type of venue where seeds were bought, we also observe a high level of volatility (see figure D.6 and table D.2). As expected, seed prices in licensed shops tended to be among the highest. When farmers traded their seeds with another farmer, prices tended to be on average 20 percent lower than in licensed shops. This difference seems to be rational, given the logically higher price in licensed stores associated with the costs of running a formal business. Our results show </w:t>
      </w:r>
      <w:r w:rsidRPr="00A735B4">
        <w:rPr>
          <w:rFonts w:eastAsia="Times New Roman"/>
        </w:rPr>
        <w:lastRenderedPageBreak/>
        <w:t>that Malawi, Tanzania, and Zambia have the highest prices when seeds are purchased in a licensed store (US$2.5/kg on average), whereas Burkina Faso, Ghana, Kenya, and Uganda have the lowest prices.</w:t>
      </w:r>
      <w:r w:rsidRPr="00A735B4">
        <w:rPr>
          <w:rFonts w:eastAsia="Times New Roman"/>
        </w:rPr>
        <w:endnoteReference w:id="29"/>
      </w:r>
    </w:p>
    <w:p w14:paraId="5994F73C" w14:textId="77777777" w:rsidR="00C4454D" w:rsidRPr="00A735B4" w:rsidRDefault="00C4454D" w:rsidP="00C445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rPr>
      </w:pPr>
    </w:p>
    <w:p w14:paraId="42DD915D" w14:textId="77777777" w:rsidR="00C4454D" w:rsidRPr="00A735B4" w:rsidRDefault="00C4454D" w:rsidP="00C445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olor w:val="1F497D" w:themeColor="text2"/>
        </w:rPr>
      </w:pPr>
    </w:p>
    <w:p w14:paraId="54E497A7" w14:textId="77777777" w:rsidR="00C4454D" w:rsidRPr="00A735B4" w:rsidRDefault="00C4454D" w:rsidP="00C445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olor w:val="1F497D" w:themeColor="text2"/>
        </w:rPr>
      </w:pPr>
    </w:p>
    <w:p w14:paraId="609AC505" w14:textId="77777777" w:rsidR="00C4454D" w:rsidRPr="00A735B4" w:rsidRDefault="00C4454D" w:rsidP="00C445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olor w:val="1F497D" w:themeColor="text2"/>
        </w:rPr>
      </w:pPr>
    </w:p>
    <w:p w14:paraId="2C854B7A" w14:textId="77777777" w:rsidR="00C4454D" w:rsidRPr="00A735B4" w:rsidRDefault="00C4454D" w:rsidP="00C445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olor w:val="1F497D" w:themeColor="text2"/>
        </w:rPr>
      </w:pPr>
    </w:p>
    <w:p w14:paraId="491E6B16" w14:textId="294D935C" w:rsidR="00C4454D" w:rsidRPr="00A735B4" w:rsidRDefault="00C4454D" w:rsidP="00C4454D">
      <w:pPr>
        <w:jc w:val="center"/>
        <w:rPr>
          <w:color w:val="1F497D" w:themeColor="text2"/>
        </w:rPr>
      </w:pPr>
      <w:bookmarkStart w:id="154" w:name="_Toc410823505"/>
      <w:r w:rsidRPr="00A735B4">
        <w:rPr>
          <w:color w:val="1F497D" w:themeColor="text2"/>
        </w:rPr>
        <w:t>Figure D.6 Price of seeds, by type of venue for purchase</w:t>
      </w:r>
      <w:bookmarkEnd w:id="154"/>
      <w:r w:rsidRPr="00A735B4">
        <w:rPr>
          <w:color w:val="1F497D" w:themeColor="text2"/>
        </w:rPr>
        <w:t xml:space="preserve"> (US$/kg)</w:t>
      </w:r>
    </w:p>
    <w:p w14:paraId="2EFEFDB7" w14:textId="77777777" w:rsidR="00C4454D" w:rsidRPr="00A735B4" w:rsidRDefault="00C4454D" w:rsidP="00C445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rPr>
      </w:pPr>
      <w:r w:rsidRPr="00A735B4">
        <w:rPr>
          <w:noProof/>
        </w:rPr>
        <w:drawing>
          <wp:inline distT="0" distB="0" distL="0" distR="0" wp14:anchorId="710AF54C" wp14:editId="4C716423">
            <wp:extent cx="3160166" cy="2157984"/>
            <wp:effectExtent l="0" t="0" r="2540" b="0"/>
            <wp:docPr id="499" name="Chart 499"/>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07581D57" w14:textId="77777777" w:rsidR="00C4454D" w:rsidRPr="00A735B4" w:rsidRDefault="00C4454D" w:rsidP="00C445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rPr>
      </w:pPr>
    </w:p>
    <w:p w14:paraId="5A6A4D7F" w14:textId="77777777" w:rsidR="00C4454D" w:rsidRPr="00A735B4" w:rsidRDefault="00C4454D" w:rsidP="00C445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rPr>
      </w:pPr>
    </w:p>
    <w:p w14:paraId="3B2BF880" w14:textId="002D89BC" w:rsidR="00C4454D" w:rsidRPr="00A735B4" w:rsidRDefault="00C4454D" w:rsidP="00C445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Bold" w:eastAsia="Times New Roman" w:hAnsi="Times New Roman Bold"/>
          <w:b/>
          <w:color w:val="4F81BD" w:themeColor="accent1"/>
        </w:rPr>
      </w:pPr>
      <w:r w:rsidRPr="00A735B4">
        <w:rPr>
          <w:rFonts w:ascii="Times New Roman Bold" w:eastAsia="Times New Roman" w:hAnsi="Times New Roman Bold"/>
          <w:b/>
          <w:color w:val="4F81BD" w:themeColor="accent1"/>
        </w:rPr>
        <w:t>Table D.2 Seed price by location of purchase</w:t>
      </w:r>
    </w:p>
    <w:tbl>
      <w:tblPr>
        <w:tblW w:w="0" w:type="auto"/>
        <w:jc w:val="center"/>
        <w:tblCellMar>
          <w:left w:w="70" w:type="dxa"/>
          <w:right w:w="70" w:type="dxa"/>
        </w:tblCellMar>
        <w:tblLook w:val="04A0" w:firstRow="1" w:lastRow="0" w:firstColumn="1" w:lastColumn="0" w:noHBand="0" w:noVBand="1"/>
      </w:tblPr>
      <w:tblGrid>
        <w:gridCol w:w="1321"/>
        <w:gridCol w:w="971"/>
        <w:gridCol w:w="818"/>
        <w:gridCol w:w="563"/>
        <w:gridCol w:w="146"/>
        <w:gridCol w:w="146"/>
        <w:gridCol w:w="536"/>
        <w:gridCol w:w="618"/>
        <w:gridCol w:w="716"/>
        <w:gridCol w:w="640"/>
        <w:gridCol w:w="617"/>
        <w:gridCol w:w="427"/>
      </w:tblGrid>
      <w:tr w:rsidR="00C4454D" w:rsidRPr="00A735B4" w14:paraId="28465F95" w14:textId="77777777" w:rsidTr="00C4454D">
        <w:trPr>
          <w:trHeight w:val="315"/>
          <w:jc w:val="center"/>
        </w:trPr>
        <w:tc>
          <w:tcPr>
            <w:tcW w:w="0" w:type="auto"/>
            <w:tcBorders>
              <w:top w:val="nil"/>
              <w:left w:val="nil"/>
              <w:bottom w:val="single" w:sz="8" w:space="0" w:color="auto"/>
              <w:right w:val="nil"/>
            </w:tcBorders>
            <w:shd w:val="clear" w:color="auto" w:fill="auto"/>
            <w:noWrap/>
            <w:vAlign w:val="bottom"/>
            <w:hideMark/>
          </w:tcPr>
          <w:p w14:paraId="20E9078A" w14:textId="77777777" w:rsidR="00C4454D" w:rsidRPr="00A735B4" w:rsidRDefault="00C4454D" w:rsidP="00C4454D">
            <w:pPr>
              <w:rPr>
                <w:rFonts w:ascii="Calibri" w:eastAsia="Times New Roman" w:hAnsi="Calibri"/>
                <w:color w:val="000000"/>
                <w:sz w:val="16"/>
                <w:szCs w:val="16"/>
                <w:lang w:eastAsia="es-ES"/>
              </w:rPr>
            </w:pPr>
            <w:r w:rsidRPr="00A735B4">
              <w:rPr>
                <w:rFonts w:ascii="Calibri" w:eastAsia="Times New Roman" w:hAnsi="Calibri"/>
                <w:color w:val="000000"/>
                <w:sz w:val="16"/>
                <w:szCs w:val="16"/>
                <w:lang w:eastAsia="es-ES"/>
              </w:rPr>
              <w:t> </w:t>
            </w:r>
          </w:p>
        </w:tc>
        <w:tc>
          <w:tcPr>
            <w:tcW w:w="0" w:type="auto"/>
            <w:tcBorders>
              <w:top w:val="nil"/>
              <w:left w:val="nil"/>
              <w:bottom w:val="single" w:sz="8" w:space="0" w:color="auto"/>
              <w:right w:val="nil"/>
            </w:tcBorders>
            <w:shd w:val="clear" w:color="auto" w:fill="auto"/>
            <w:noWrap/>
            <w:vAlign w:val="bottom"/>
            <w:hideMark/>
          </w:tcPr>
          <w:p w14:paraId="26D30616" w14:textId="77777777" w:rsidR="00C4454D" w:rsidRPr="00A735B4" w:rsidRDefault="00C4454D" w:rsidP="00C4454D">
            <w:pPr>
              <w:jc w:val="center"/>
              <w:rPr>
                <w:rFonts w:ascii="Calibri" w:eastAsia="Times New Roman" w:hAnsi="Calibri"/>
                <w:color w:val="000000"/>
                <w:sz w:val="16"/>
                <w:szCs w:val="16"/>
                <w:lang w:eastAsia="es-ES"/>
              </w:rPr>
            </w:pPr>
            <w:r w:rsidRPr="00A735B4">
              <w:rPr>
                <w:rFonts w:ascii="Calibri" w:eastAsia="Times New Roman" w:hAnsi="Calibri"/>
                <w:color w:val="000000"/>
                <w:sz w:val="16"/>
                <w:szCs w:val="16"/>
                <w:lang w:eastAsia="es-ES"/>
              </w:rPr>
              <w:t>Burkina Faso</w:t>
            </w:r>
          </w:p>
        </w:tc>
        <w:tc>
          <w:tcPr>
            <w:tcW w:w="0" w:type="auto"/>
            <w:tcBorders>
              <w:top w:val="nil"/>
              <w:left w:val="nil"/>
              <w:bottom w:val="single" w:sz="8" w:space="0" w:color="auto"/>
              <w:right w:val="nil"/>
            </w:tcBorders>
            <w:shd w:val="clear" w:color="auto" w:fill="auto"/>
            <w:noWrap/>
            <w:vAlign w:val="bottom"/>
            <w:hideMark/>
          </w:tcPr>
          <w:p w14:paraId="089D4260" w14:textId="77777777" w:rsidR="00C4454D" w:rsidRPr="00A735B4" w:rsidRDefault="00C4454D" w:rsidP="00C4454D">
            <w:pPr>
              <w:jc w:val="center"/>
              <w:rPr>
                <w:rFonts w:ascii="Calibri" w:eastAsia="Times New Roman" w:hAnsi="Calibri"/>
                <w:color w:val="000000"/>
                <w:sz w:val="16"/>
                <w:szCs w:val="16"/>
                <w:lang w:eastAsia="es-ES"/>
              </w:rPr>
            </w:pPr>
            <w:r w:rsidRPr="00A735B4">
              <w:rPr>
                <w:rFonts w:ascii="Calibri" w:eastAsia="Times New Roman" w:hAnsi="Calibri"/>
                <w:color w:val="000000"/>
                <w:sz w:val="16"/>
                <w:szCs w:val="16"/>
                <w:lang w:eastAsia="es-ES"/>
              </w:rPr>
              <w:t>Cameroon</w:t>
            </w:r>
          </w:p>
        </w:tc>
        <w:tc>
          <w:tcPr>
            <w:tcW w:w="0" w:type="auto"/>
            <w:tcBorders>
              <w:top w:val="nil"/>
              <w:left w:val="nil"/>
              <w:bottom w:val="single" w:sz="8" w:space="0" w:color="auto"/>
              <w:right w:val="nil"/>
            </w:tcBorders>
            <w:shd w:val="clear" w:color="auto" w:fill="auto"/>
            <w:noWrap/>
            <w:vAlign w:val="bottom"/>
            <w:hideMark/>
          </w:tcPr>
          <w:p w14:paraId="14082230" w14:textId="77777777" w:rsidR="00C4454D" w:rsidRPr="00A735B4" w:rsidRDefault="00C4454D" w:rsidP="00C4454D">
            <w:pPr>
              <w:jc w:val="center"/>
              <w:rPr>
                <w:rFonts w:ascii="Calibri" w:eastAsia="Times New Roman" w:hAnsi="Calibri"/>
                <w:color w:val="000000"/>
                <w:sz w:val="16"/>
                <w:szCs w:val="16"/>
                <w:lang w:eastAsia="es-ES"/>
              </w:rPr>
            </w:pPr>
            <w:r w:rsidRPr="00A735B4">
              <w:rPr>
                <w:rFonts w:ascii="Calibri" w:eastAsia="Times New Roman" w:hAnsi="Calibri"/>
                <w:color w:val="000000"/>
                <w:sz w:val="16"/>
                <w:szCs w:val="16"/>
                <w:lang w:eastAsia="es-ES"/>
              </w:rPr>
              <w:t>Ghana</w:t>
            </w:r>
          </w:p>
        </w:tc>
        <w:tc>
          <w:tcPr>
            <w:tcW w:w="0" w:type="auto"/>
            <w:tcBorders>
              <w:top w:val="nil"/>
              <w:left w:val="nil"/>
              <w:bottom w:val="single" w:sz="8" w:space="0" w:color="auto"/>
              <w:right w:val="nil"/>
            </w:tcBorders>
          </w:tcPr>
          <w:p w14:paraId="17143F97" w14:textId="77777777" w:rsidR="00C4454D" w:rsidRPr="00A735B4" w:rsidRDefault="00C4454D" w:rsidP="00C4454D">
            <w:pPr>
              <w:jc w:val="center"/>
              <w:rPr>
                <w:rFonts w:ascii="Calibri" w:eastAsia="Times New Roman" w:hAnsi="Calibri"/>
                <w:color w:val="000000"/>
                <w:sz w:val="16"/>
                <w:szCs w:val="16"/>
                <w:lang w:eastAsia="es-ES"/>
              </w:rPr>
            </w:pPr>
          </w:p>
        </w:tc>
        <w:tc>
          <w:tcPr>
            <w:tcW w:w="0" w:type="auto"/>
            <w:tcBorders>
              <w:top w:val="nil"/>
              <w:left w:val="nil"/>
              <w:bottom w:val="single" w:sz="8" w:space="0" w:color="auto"/>
              <w:right w:val="nil"/>
            </w:tcBorders>
          </w:tcPr>
          <w:p w14:paraId="7ED84783" w14:textId="77777777" w:rsidR="00C4454D" w:rsidRPr="00A735B4" w:rsidRDefault="00C4454D" w:rsidP="00C4454D">
            <w:pPr>
              <w:jc w:val="center"/>
              <w:rPr>
                <w:rFonts w:ascii="Calibri" w:eastAsia="Times New Roman" w:hAnsi="Calibri"/>
                <w:color w:val="000000"/>
                <w:sz w:val="16"/>
                <w:szCs w:val="16"/>
                <w:lang w:eastAsia="es-ES"/>
              </w:rPr>
            </w:pPr>
          </w:p>
        </w:tc>
        <w:tc>
          <w:tcPr>
            <w:tcW w:w="0" w:type="auto"/>
            <w:tcBorders>
              <w:top w:val="nil"/>
              <w:left w:val="nil"/>
              <w:bottom w:val="single" w:sz="8" w:space="0" w:color="auto"/>
              <w:right w:val="nil"/>
            </w:tcBorders>
            <w:shd w:val="clear" w:color="auto" w:fill="auto"/>
            <w:noWrap/>
            <w:vAlign w:val="bottom"/>
            <w:hideMark/>
          </w:tcPr>
          <w:p w14:paraId="4A3C6D9E" w14:textId="77777777" w:rsidR="00C4454D" w:rsidRPr="00A735B4" w:rsidRDefault="00C4454D" w:rsidP="00C4454D">
            <w:pPr>
              <w:jc w:val="center"/>
              <w:rPr>
                <w:rFonts w:ascii="Calibri" w:eastAsia="Times New Roman" w:hAnsi="Calibri"/>
                <w:color w:val="000000"/>
                <w:sz w:val="16"/>
                <w:szCs w:val="16"/>
                <w:lang w:eastAsia="es-ES"/>
              </w:rPr>
            </w:pPr>
            <w:r w:rsidRPr="00A735B4">
              <w:rPr>
                <w:rFonts w:ascii="Calibri" w:eastAsia="Times New Roman" w:hAnsi="Calibri"/>
                <w:color w:val="000000"/>
                <w:sz w:val="16"/>
                <w:szCs w:val="16"/>
                <w:lang w:eastAsia="es-ES"/>
              </w:rPr>
              <w:t>Kenya</w:t>
            </w:r>
          </w:p>
        </w:tc>
        <w:tc>
          <w:tcPr>
            <w:tcW w:w="0" w:type="auto"/>
            <w:tcBorders>
              <w:top w:val="nil"/>
              <w:left w:val="nil"/>
              <w:bottom w:val="single" w:sz="8" w:space="0" w:color="auto"/>
              <w:right w:val="nil"/>
            </w:tcBorders>
            <w:shd w:val="clear" w:color="auto" w:fill="auto"/>
            <w:noWrap/>
            <w:vAlign w:val="bottom"/>
            <w:hideMark/>
          </w:tcPr>
          <w:p w14:paraId="0B461826" w14:textId="77777777" w:rsidR="00C4454D" w:rsidRPr="00A735B4" w:rsidRDefault="00C4454D" w:rsidP="00C4454D">
            <w:pPr>
              <w:jc w:val="center"/>
              <w:rPr>
                <w:rFonts w:ascii="Calibri" w:eastAsia="Times New Roman" w:hAnsi="Calibri"/>
                <w:color w:val="000000"/>
                <w:sz w:val="16"/>
                <w:szCs w:val="16"/>
                <w:lang w:eastAsia="es-ES"/>
              </w:rPr>
            </w:pPr>
            <w:r w:rsidRPr="00A735B4">
              <w:rPr>
                <w:rFonts w:ascii="Calibri" w:eastAsia="Times New Roman" w:hAnsi="Calibri"/>
                <w:color w:val="000000"/>
                <w:sz w:val="16"/>
                <w:szCs w:val="16"/>
                <w:lang w:eastAsia="es-ES"/>
              </w:rPr>
              <w:t>Malawi</w:t>
            </w:r>
          </w:p>
        </w:tc>
        <w:tc>
          <w:tcPr>
            <w:tcW w:w="0" w:type="auto"/>
            <w:tcBorders>
              <w:top w:val="nil"/>
              <w:left w:val="nil"/>
              <w:bottom w:val="single" w:sz="8" w:space="0" w:color="auto"/>
              <w:right w:val="nil"/>
            </w:tcBorders>
            <w:shd w:val="clear" w:color="auto" w:fill="auto"/>
            <w:noWrap/>
            <w:vAlign w:val="bottom"/>
            <w:hideMark/>
          </w:tcPr>
          <w:p w14:paraId="1B1923CD" w14:textId="77777777" w:rsidR="00C4454D" w:rsidRPr="00A735B4" w:rsidRDefault="00C4454D" w:rsidP="00C4454D">
            <w:pPr>
              <w:jc w:val="center"/>
              <w:rPr>
                <w:rFonts w:ascii="Calibri" w:eastAsia="Times New Roman" w:hAnsi="Calibri"/>
                <w:color w:val="000000"/>
                <w:sz w:val="16"/>
                <w:szCs w:val="16"/>
                <w:lang w:eastAsia="es-ES"/>
              </w:rPr>
            </w:pPr>
            <w:r w:rsidRPr="00A735B4">
              <w:rPr>
                <w:rFonts w:ascii="Calibri" w:eastAsia="Times New Roman" w:hAnsi="Calibri"/>
                <w:color w:val="000000"/>
                <w:sz w:val="16"/>
                <w:szCs w:val="16"/>
                <w:lang w:eastAsia="es-ES"/>
              </w:rPr>
              <w:t>Tanzania</w:t>
            </w:r>
          </w:p>
        </w:tc>
        <w:tc>
          <w:tcPr>
            <w:tcW w:w="0" w:type="auto"/>
            <w:tcBorders>
              <w:top w:val="nil"/>
              <w:left w:val="nil"/>
              <w:bottom w:val="single" w:sz="8" w:space="0" w:color="auto"/>
              <w:right w:val="nil"/>
            </w:tcBorders>
            <w:shd w:val="clear" w:color="auto" w:fill="auto"/>
            <w:noWrap/>
            <w:vAlign w:val="bottom"/>
            <w:hideMark/>
          </w:tcPr>
          <w:p w14:paraId="2E7F3994" w14:textId="77777777" w:rsidR="00C4454D" w:rsidRPr="00A735B4" w:rsidRDefault="00C4454D" w:rsidP="00C4454D">
            <w:pPr>
              <w:jc w:val="center"/>
              <w:rPr>
                <w:rFonts w:ascii="Calibri" w:eastAsia="Times New Roman" w:hAnsi="Calibri"/>
                <w:color w:val="000000"/>
                <w:sz w:val="16"/>
                <w:szCs w:val="16"/>
                <w:lang w:eastAsia="es-ES"/>
              </w:rPr>
            </w:pPr>
            <w:r w:rsidRPr="00A735B4">
              <w:rPr>
                <w:rFonts w:ascii="Calibri" w:eastAsia="Times New Roman" w:hAnsi="Calibri"/>
                <w:color w:val="000000"/>
                <w:sz w:val="16"/>
                <w:szCs w:val="16"/>
                <w:lang w:eastAsia="es-ES"/>
              </w:rPr>
              <w:t>Uganda</w:t>
            </w:r>
          </w:p>
        </w:tc>
        <w:tc>
          <w:tcPr>
            <w:tcW w:w="0" w:type="auto"/>
            <w:tcBorders>
              <w:top w:val="nil"/>
              <w:left w:val="nil"/>
              <w:bottom w:val="single" w:sz="8" w:space="0" w:color="auto"/>
              <w:right w:val="nil"/>
            </w:tcBorders>
            <w:shd w:val="clear" w:color="auto" w:fill="auto"/>
            <w:noWrap/>
            <w:vAlign w:val="bottom"/>
            <w:hideMark/>
          </w:tcPr>
          <w:p w14:paraId="61D0AEE4" w14:textId="77777777" w:rsidR="00C4454D" w:rsidRPr="00A735B4" w:rsidRDefault="00C4454D" w:rsidP="00C4454D">
            <w:pPr>
              <w:jc w:val="center"/>
              <w:rPr>
                <w:rFonts w:ascii="Calibri" w:eastAsia="Times New Roman" w:hAnsi="Calibri"/>
                <w:color w:val="000000"/>
                <w:sz w:val="16"/>
                <w:szCs w:val="16"/>
                <w:lang w:eastAsia="es-ES"/>
              </w:rPr>
            </w:pPr>
            <w:r w:rsidRPr="00A735B4">
              <w:rPr>
                <w:rFonts w:ascii="Calibri" w:eastAsia="Times New Roman" w:hAnsi="Calibri"/>
                <w:color w:val="000000"/>
                <w:sz w:val="16"/>
                <w:szCs w:val="16"/>
                <w:lang w:eastAsia="es-ES"/>
              </w:rPr>
              <w:t>Zambia</w:t>
            </w:r>
          </w:p>
        </w:tc>
        <w:tc>
          <w:tcPr>
            <w:tcW w:w="0" w:type="auto"/>
            <w:tcBorders>
              <w:top w:val="nil"/>
              <w:left w:val="nil"/>
              <w:bottom w:val="single" w:sz="8" w:space="0" w:color="auto"/>
              <w:right w:val="nil"/>
            </w:tcBorders>
            <w:shd w:val="clear" w:color="auto" w:fill="auto"/>
            <w:noWrap/>
            <w:vAlign w:val="bottom"/>
            <w:hideMark/>
          </w:tcPr>
          <w:p w14:paraId="1DD24FA6" w14:textId="77777777" w:rsidR="00C4454D" w:rsidRPr="00A735B4" w:rsidRDefault="00C4454D" w:rsidP="00C4454D">
            <w:pPr>
              <w:jc w:val="center"/>
              <w:rPr>
                <w:rFonts w:ascii="Calibri" w:eastAsia="Times New Roman" w:hAnsi="Calibri"/>
                <w:color w:val="000000"/>
                <w:sz w:val="16"/>
                <w:szCs w:val="16"/>
                <w:lang w:eastAsia="es-ES"/>
              </w:rPr>
            </w:pPr>
            <w:r w:rsidRPr="00A735B4">
              <w:rPr>
                <w:rFonts w:ascii="Calibri" w:eastAsia="Times New Roman" w:hAnsi="Calibri"/>
                <w:color w:val="000000"/>
                <w:sz w:val="16"/>
                <w:szCs w:val="16"/>
                <w:lang w:eastAsia="es-ES"/>
              </w:rPr>
              <w:t>Mali</w:t>
            </w:r>
          </w:p>
        </w:tc>
      </w:tr>
      <w:tr w:rsidR="00C4454D" w:rsidRPr="00A735B4" w14:paraId="3B48627C" w14:textId="77777777" w:rsidTr="00C4454D">
        <w:trPr>
          <w:trHeight w:val="300"/>
          <w:jc w:val="center"/>
        </w:trPr>
        <w:tc>
          <w:tcPr>
            <w:tcW w:w="0" w:type="auto"/>
            <w:tcBorders>
              <w:top w:val="nil"/>
              <w:left w:val="nil"/>
              <w:bottom w:val="nil"/>
              <w:right w:val="nil"/>
            </w:tcBorders>
            <w:shd w:val="clear" w:color="auto" w:fill="auto"/>
            <w:noWrap/>
            <w:vAlign w:val="bottom"/>
            <w:hideMark/>
          </w:tcPr>
          <w:p w14:paraId="2ECDAD86" w14:textId="77777777" w:rsidR="00C4454D" w:rsidRPr="00A735B4" w:rsidRDefault="00C4454D" w:rsidP="00C4454D">
            <w:pPr>
              <w:rPr>
                <w:rFonts w:ascii="Calibri" w:eastAsia="Times New Roman" w:hAnsi="Calibri"/>
                <w:color w:val="000000"/>
                <w:sz w:val="16"/>
                <w:szCs w:val="16"/>
                <w:lang w:eastAsia="es-ES"/>
              </w:rPr>
            </w:pPr>
            <w:r w:rsidRPr="00A735B4">
              <w:rPr>
                <w:rFonts w:ascii="Calibri" w:eastAsia="Times New Roman" w:hAnsi="Calibri"/>
                <w:color w:val="000000"/>
                <w:sz w:val="16"/>
                <w:szCs w:val="16"/>
                <w:lang w:eastAsia="es-ES"/>
              </w:rPr>
              <w:t>Licensed shop</w:t>
            </w:r>
          </w:p>
        </w:tc>
        <w:tc>
          <w:tcPr>
            <w:tcW w:w="0" w:type="auto"/>
            <w:tcBorders>
              <w:top w:val="nil"/>
              <w:left w:val="nil"/>
              <w:bottom w:val="nil"/>
              <w:right w:val="nil"/>
            </w:tcBorders>
            <w:shd w:val="clear" w:color="auto" w:fill="auto"/>
            <w:noWrap/>
            <w:vAlign w:val="bottom"/>
            <w:hideMark/>
          </w:tcPr>
          <w:p w14:paraId="2386B1B7" w14:textId="77777777" w:rsidR="00C4454D" w:rsidRPr="00A735B4" w:rsidRDefault="00C4454D" w:rsidP="00C4454D">
            <w:pPr>
              <w:jc w:val="center"/>
              <w:rPr>
                <w:rFonts w:ascii="Calibri" w:eastAsia="Times New Roman" w:hAnsi="Calibri"/>
                <w:color w:val="000000"/>
                <w:sz w:val="16"/>
                <w:szCs w:val="16"/>
                <w:lang w:eastAsia="es-ES"/>
              </w:rPr>
            </w:pPr>
            <w:r w:rsidRPr="00A735B4">
              <w:rPr>
                <w:rFonts w:ascii="Calibri" w:eastAsia="Times New Roman" w:hAnsi="Calibri"/>
                <w:color w:val="000000"/>
                <w:sz w:val="16"/>
                <w:szCs w:val="16"/>
                <w:lang w:eastAsia="es-ES"/>
              </w:rPr>
              <w:t>1.26</w:t>
            </w:r>
          </w:p>
        </w:tc>
        <w:tc>
          <w:tcPr>
            <w:tcW w:w="0" w:type="auto"/>
            <w:tcBorders>
              <w:top w:val="nil"/>
              <w:left w:val="nil"/>
              <w:bottom w:val="nil"/>
              <w:right w:val="nil"/>
            </w:tcBorders>
            <w:shd w:val="clear" w:color="auto" w:fill="auto"/>
            <w:noWrap/>
            <w:vAlign w:val="bottom"/>
            <w:hideMark/>
          </w:tcPr>
          <w:p w14:paraId="015C90A0" w14:textId="77777777" w:rsidR="00C4454D" w:rsidRPr="00A735B4" w:rsidRDefault="00C4454D" w:rsidP="00C4454D">
            <w:pPr>
              <w:jc w:val="center"/>
              <w:rPr>
                <w:rFonts w:ascii="Calibri" w:eastAsia="Times New Roman" w:hAnsi="Calibri"/>
                <w:color w:val="000000"/>
                <w:sz w:val="16"/>
                <w:szCs w:val="16"/>
                <w:lang w:eastAsia="es-ES"/>
              </w:rPr>
            </w:pPr>
            <w:r w:rsidRPr="00A735B4">
              <w:rPr>
                <w:rFonts w:ascii="Calibri" w:eastAsia="Times New Roman" w:hAnsi="Calibri"/>
                <w:color w:val="000000"/>
                <w:sz w:val="16"/>
                <w:szCs w:val="16"/>
                <w:lang w:eastAsia="es-ES"/>
              </w:rPr>
              <w:t>0.59</w:t>
            </w:r>
          </w:p>
        </w:tc>
        <w:tc>
          <w:tcPr>
            <w:tcW w:w="0" w:type="auto"/>
            <w:tcBorders>
              <w:top w:val="nil"/>
              <w:left w:val="nil"/>
              <w:bottom w:val="nil"/>
              <w:right w:val="nil"/>
            </w:tcBorders>
            <w:shd w:val="clear" w:color="auto" w:fill="auto"/>
            <w:noWrap/>
            <w:vAlign w:val="bottom"/>
            <w:hideMark/>
          </w:tcPr>
          <w:p w14:paraId="5725071E" w14:textId="77777777" w:rsidR="00C4454D" w:rsidRPr="00A735B4" w:rsidRDefault="00C4454D" w:rsidP="00C4454D">
            <w:pPr>
              <w:jc w:val="center"/>
              <w:rPr>
                <w:rFonts w:ascii="Calibri" w:eastAsia="Times New Roman" w:hAnsi="Calibri"/>
                <w:color w:val="000000"/>
                <w:sz w:val="16"/>
                <w:szCs w:val="16"/>
                <w:lang w:eastAsia="es-ES"/>
              </w:rPr>
            </w:pPr>
            <w:r w:rsidRPr="00A735B4">
              <w:rPr>
                <w:rFonts w:ascii="Calibri" w:eastAsia="Times New Roman" w:hAnsi="Calibri"/>
                <w:color w:val="000000"/>
                <w:sz w:val="16"/>
                <w:szCs w:val="16"/>
                <w:lang w:eastAsia="es-ES"/>
              </w:rPr>
              <w:t>1.28</w:t>
            </w:r>
          </w:p>
        </w:tc>
        <w:tc>
          <w:tcPr>
            <w:tcW w:w="0" w:type="auto"/>
            <w:tcBorders>
              <w:top w:val="nil"/>
              <w:left w:val="nil"/>
              <w:bottom w:val="nil"/>
              <w:right w:val="nil"/>
            </w:tcBorders>
          </w:tcPr>
          <w:p w14:paraId="428EDE32" w14:textId="77777777" w:rsidR="00C4454D" w:rsidRPr="00A735B4" w:rsidRDefault="00C4454D" w:rsidP="00C4454D">
            <w:pPr>
              <w:jc w:val="center"/>
              <w:rPr>
                <w:rFonts w:ascii="Calibri" w:eastAsia="Times New Roman" w:hAnsi="Calibri"/>
                <w:color w:val="000000"/>
                <w:sz w:val="16"/>
                <w:szCs w:val="16"/>
                <w:lang w:eastAsia="es-ES"/>
              </w:rPr>
            </w:pPr>
          </w:p>
        </w:tc>
        <w:tc>
          <w:tcPr>
            <w:tcW w:w="0" w:type="auto"/>
            <w:tcBorders>
              <w:top w:val="nil"/>
              <w:left w:val="nil"/>
              <w:bottom w:val="nil"/>
              <w:right w:val="nil"/>
            </w:tcBorders>
          </w:tcPr>
          <w:p w14:paraId="7DEEF05D" w14:textId="77777777" w:rsidR="00C4454D" w:rsidRPr="00A735B4" w:rsidRDefault="00C4454D" w:rsidP="00C4454D">
            <w:pPr>
              <w:jc w:val="center"/>
              <w:rPr>
                <w:rFonts w:ascii="Calibri" w:eastAsia="Times New Roman" w:hAnsi="Calibri"/>
                <w:color w:val="000000"/>
                <w:sz w:val="16"/>
                <w:szCs w:val="16"/>
                <w:lang w:eastAsia="es-ES"/>
              </w:rPr>
            </w:pPr>
          </w:p>
        </w:tc>
        <w:tc>
          <w:tcPr>
            <w:tcW w:w="0" w:type="auto"/>
            <w:tcBorders>
              <w:top w:val="nil"/>
              <w:left w:val="nil"/>
              <w:bottom w:val="nil"/>
              <w:right w:val="nil"/>
            </w:tcBorders>
            <w:shd w:val="clear" w:color="auto" w:fill="auto"/>
            <w:noWrap/>
            <w:vAlign w:val="bottom"/>
            <w:hideMark/>
          </w:tcPr>
          <w:p w14:paraId="52881592" w14:textId="77777777" w:rsidR="00C4454D" w:rsidRPr="00A735B4" w:rsidRDefault="00C4454D" w:rsidP="00C4454D">
            <w:pPr>
              <w:jc w:val="center"/>
              <w:rPr>
                <w:rFonts w:ascii="Calibri" w:eastAsia="Times New Roman" w:hAnsi="Calibri"/>
                <w:color w:val="000000"/>
                <w:sz w:val="16"/>
                <w:szCs w:val="16"/>
                <w:lang w:eastAsia="es-ES"/>
              </w:rPr>
            </w:pPr>
            <w:r w:rsidRPr="00A735B4">
              <w:rPr>
                <w:rFonts w:ascii="Calibri" w:eastAsia="Times New Roman" w:hAnsi="Calibri"/>
                <w:color w:val="000000"/>
                <w:sz w:val="16"/>
                <w:szCs w:val="16"/>
                <w:lang w:eastAsia="es-ES"/>
              </w:rPr>
              <w:t>1.73</w:t>
            </w:r>
          </w:p>
        </w:tc>
        <w:tc>
          <w:tcPr>
            <w:tcW w:w="0" w:type="auto"/>
            <w:tcBorders>
              <w:top w:val="nil"/>
              <w:left w:val="nil"/>
              <w:bottom w:val="nil"/>
              <w:right w:val="nil"/>
            </w:tcBorders>
            <w:shd w:val="clear" w:color="auto" w:fill="auto"/>
            <w:noWrap/>
            <w:vAlign w:val="bottom"/>
            <w:hideMark/>
          </w:tcPr>
          <w:p w14:paraId="49B0708F" w14:textId="77777777" w:rsidR="00C4454D" w:rsidRPr="00A735B4" w:rsidRDefault="00C4454D" w:rsidP="00C4454D">
            <w:pPr>
              <w:jc w:val="center"/>
              <w:rPr>
                <w:rFonts w:ascii="Calibri" w:eastAsia="Times New Roman" w:hAnsi="Calibri"/>
                <w:color w:val="000000"/>
                <w:sz w:val="16"/>
                <w:szCs w:val="16"/>
                <w:lang w:eastAsia="es-ES"/>
              </w:rPr>
            </w:pPr>
            <w:r w:rsidRPr="00A735B4">
              <w:rPr>
                <w:rFonts w:ascii="Calibri" w:eastAsia="Times New Roman" w:hAnsi="Calibri"/>
                <w:color w:val="000000"/>
                <w:sz w:val="16"/>
                <w:szCs w:val="16"/>
                <w:lang w:eastAsia="es-ES"/>
              </w:rPr>
              <w:t>2.60</w:t>
            </w:r>
          </w:p>
        </w:tc>
        <w:tc>
          <w:tcPr>
            <w:tcW w:w="0" w:type="auto"/>
            <w:tcBorders>
              <w:top w:val="nil"/>
              <w:left w:val="nil"/>
              <w:bottom w:val="nil"/>
              <w:right w:val="nil"/>
            </w:tcBorders>
            <w:shd w:val="clear" w:color="auto" w:fill="auto"/>
            <w:noWrap/>
            <w:vAlign w:val="bottom"/>
            <w:hideMark/>
          </w:tcPr>
          <w:p w14:paraId="10DAF4B8" w14:textId="77777777" w:rsidR="00C4454D" w:rsidRPr="00A735B4" w:rsidRDefault="00C4454D" w:rsidP="00C4454D">
            <w:pPr>
              <w:jc w:val="center"/>
              <w:rPr>
                <w:rFonts w:ascii="Calibri" w:eastAsia="Times New Roman" w:hAnsi="Calibri"/>
                <w:color w:val="000000"/>
                <w:sz w:val="16"/>
                <w:szCs w:val="16"/>
                <w:lang w:eastAsia="es-ES"/>
              </w:rPr>
            </w:pPr>
            <w:r w:rsidRPr="00A735B4">
              <w:rPr>
                <w:rFonts w:ascii="Calibri" w:eastAsia="Times New Roman" w:hAnsi="Calibri"/>
                <w:color w:val="000000"/>
                <w:sz w:val="16"/>
                <w:szCs w:val="16"/>
                <w:lang w:eastAsia="es-ES"/>
              </w:rPr>
              <w:t>2.44</w:t>
            </w:r>
          </w:p>
        </w:tc>
        <w:tc>
          <w:tcPr>
            <w:tcW w:w="0" w:type="auto"/>
            <w:tcBorders>
              <w:top w:val="nil"/>
              <w:left w:val="nil"/>
              <w:bottom w:val="nil"/>
              <w:right w:val="nil"/>
            </w:tcBorders>
            <w:shd w:val="clear" w:color="auto" w:fill="auto"/>
            <w:noWrap/>
            <w:vAlign w:val="bottom"/>
            <w:hideMark/>
          </w:tcPr>
          <w:p w14:paraId="3AEAF75C" w14:textId="77777777" w:rsidR="00C4454D" w:rsidRPr="00A735B4" w:rsidRDefault="00C4454D" w:rsidP="00C4454D">
            <w:pPr>
              <w:jc w:val="center"/>
              <w:rPr>
                <w:rFonts w:ascii="Calibri" w:eastAsia="Times New Roman" w:hAnsi="Calibri"/>
                <w:color w:val="000000"/>
                <w:sz w:val="16"/>
                <w:szCs w:val="16"/>
                <w:lang w:eastAsia="es-ES"/>
              </w:rPr>
            </w:pPr>
            <w:r w:rsidRPr="00A735B4">
              <w:rPr>
                <w:rFonts w:ascii="Calibri" w:eastAsia="Times New Roman" w:hAnsi="Calibri"/>
                <w:color w:val="000000"/>
                <w:sz w:val="16"/>
                <w:szCs w:val="16"/>
                <w:lang w:eastAsia="es-ES"/>
              </w:rPr>
              <w:t>1.19</w:t>
            </w:r>
          </w:p>
        </w:tc>
        <w:tc>
          <w:tcPr>
            <w:tcW w:w="0" w:type="auto"/>
            <w:tcBorders>
              <w:top w:val="nil"/>
              <w:left w:val="nil"/>
              <w:bottom w:val="nil"/>
              <w:right w:val="nil"/>
            </w:tcBorders>
            <w:shd w:val="clear" w:color="auto" w:fill="auto"/>
            <w:noWrap/>
            <w:vAlign w:val="bottom"/>
            <w:hideMark/>
          </w:tcPr>
          <w:p w14:paraId="632046F5" w14:textId="77777777" w:rsidR="00C4454D" w:rsidRPr="00A735B4" w:rsidRDefault="00C4454D" w:rsidP="00C4454D">
            <w:pPr>
              <w:jc w:val="center"/>
              <w:rPr>
                <w:rFonts w:ascii="Calibri" w:eastAsia="Times New Roman" w:hAnsi="Calibri"/>
                <w:color w:val="000000"/>
                <w:sz w:val="16"/>
                <w:szCs w:val="16"/>
                <w:lang w:eastAsia="es-ES"/>
              </w:rPr>
            </w:pPr>
            <w:r w:rsidRPr="00A735B4">
              <w:rPr>
                <w:rFonts w:ascii="Calibri" w:eastAsia="Times New Roman" w:hAnsi="Calibri"/>
                <w:color w:val="000000"/>
                <w:sz w:val="16"/>
                <w:szCs w:val="16"/>
                <w:lang w:eastAsia="es-ES"/>
              </w:rPr>
              <w:t>2.47</w:t>
            </w:r>
          </w:p>
        </w:tc>
        <w:tc>
          <w:tcPr>
            <w:tcW w:w="0" w:type="auto"/>
            <w:tcBorders>
              <w:top w:val="nil"/>
              <w:left w:val="nil"/>
              <w:bottom w:val="nil"/>
              <w:right w:val="nil"/>
            </w:tcBorders>
            <w:shd w:val="clear" w:color="auto" w:fill="auto"/>
            <w:noWrap/>
            <w:vAlign w:val="bottom"/>
            <w:hideMark/>
          </w:tcPr>
          <w:p w14:paraId="684F0A3B" w14:textId="77777777" w:rsidR="00C4454D" w:rsidRPr="00A735B4" w:rsidRDefault="00C4454D" w:rsidP="00C4454D">
            <w:pPr>
              <w:jc w:val="center"/>
              <w:rPr>
                <w:rFonts w:ascii="Calibri" w:eastAsia="Times New Roman" w:hAnsi="Calibri"/>
                <w:color w:val="000000"/>
                <w:sz w:val="16"/>
                <w:szCs w:val="16"/>
                <w:lang w:eastAsia="es-ES"/>
              </w:rPr>
            </w:pPr>
            <w:r w:rsidRPr="00A735B4">
              <w:rPr>
                <w:rFonts w:ascii="Calibri" w:eastAsia="Times New Roman" w:hAnsi="Calibri"/>
                <w:color w:val="000000"/>
                <w:sz w:val="16"/>
                <w:szCs w:val="16"/>
                <w:lang w:eastAsia="es-ES"/>
              </w:rPr>
              <w:t>2.69</w:t>
            </w:r>
          </w:p>
        </w:tc>
      </w:tr>
      <w:tr w:rsidR="00C4454D" w:rsidRPr="00A735B4" w14:paraId="2825C8A4" w14:textId="77777777" w:rsidTr="00C4454D">
        <w:trPr>
          <w:trHeight w:val="300"/>
          <w:jc w:val="center"/>
        </w:trPr>
        <w:tc>
          <w:tcPr>
            <w:tcW w:w="0" w:type="auto"/>
            <w:tcBorders>
              <w:top w:val="nil"/>
              <w:left w:val="nil"/>
              <w:bottom w:val="nil"/>
              <w:right w:val="nil"/>
            </w:tcBorders>
            <w:shd w:val="clear" w:color="auto" w:fill="auto"/>
            <w:noWrap/>
            <w:vAlign w:val="bottom"/>
            <w:hideMark/>
          </w:tcPr>
          <w:p w14:paraId="62F6FBD9" w14:textId="77777777" w:rsidR="00C4454D" w:rsidRPr="00A735B4" w:rsidRDefault="00C4454D" w:rsidP="00C4454D">
            <w:pPr>
              <w:rPr>
                <w:rFonts w:ascii="Calibri" w:eastAsia="Times New Roman" w:hAnsi="Calibri"/>
                <w:color w:val="000000"/>
                <w:sz w:val="16"/>
                <w:szCs w:val="16"/>
                <w:lang w:eastAsia="es-ES"/>
              </w:rPr>
            </w:pPr>
            <w:r w:rsidRPr="00A735B4">
              <w:rPr>
                <w:rFonts w:ascii="Calibri" w:eastAsia="Times New Roman" w:hAnsi="Calibri"/>
                <w:color w:val="000000"/>
                <w:sz w:val="16"/>
                <w:szCs w:val="16"/>
                <w:lang w:eastAsia="es-ES"/>
              </w:rPr>
              <w:t>Open market</w:t>
            </w:r>
          </w:p>
        </w:tc>
        <w:tc>
          <w:tcPr>
            <w:tcW w:w="0" w:type="auto"/>
            <w:tcBorders>
              <w:top w:val="nil"/>
              <w:left w:val="nil"/>
              <w:bottom w:val="nil"/>
              <w:right w:val="nil"/>
            </w:tcBorders>
            <w:shd w:val="clear" w:color="auto" w:fill="auto"/>
            <w:noWrap/>
            <w:vAlign w:val="bottom"/>
            <w:hideMark/>
          </w:tcPr>
          <w:p w14:paraId="382894A4" w14:textId="77777777" w:rsidR="00C4454D" w:rsidRPr="00A735B4" w:rsidRDefault="00C4454D" w:rsidP="00C4454D">
            <w:pPr>
              <w:jc w:val="center"/>
              <w:rPr>
                <w:rFonts w:ascii="Calibri" w:eastAsia="Times New Roman" w:hAnsi="Calibri"/>
                <w:color w:val="000000"/>
                <w:sz w:val="16"/>
                <w:szCs w:val="16"/>
                <w:lang w:eastAsia="es-ES"/>
              </w:rPr>
            </w:pPr>
            <w:r w:rsidRPr="00A735B4">
              <w:rPr>
                <w:rFonts w:ascii="Calibri" w:eastAsia="Times New Roman" w:hAnsi="Calibri"/>
                <w:color w:val="000000"/>
                <w:sz w:val="16"/>
                <w:szCs w:val="16"/>
                <w:lang w:eastAsia="es-ES"/>
              </w:rPr>
              <w:t>1.37</w:t>
            </w:r>
          </w:p>
        </w:tc>
        <w:tc>
          <w:tcPr>
            <w:tcW w:w="0" w:type="auto"/>
            <w:tcBorders>
              <w:top w:val="nil"/>
              <w:left w:val="nil"/>
              <w:bottom w:val="nil"/>
              <w:right w:val="nil"/>
            </w:tcBorders>
            <w:shd w:val="clear" w:color="auto" w:fill="auto"/>
            <w:noWrap/>
            <w:vAlign w:val="bottom"/>
            <w:hideMark/>
          </w:tcPr>
          <w:p w14:paraId="07DB2522" w14:textId="77777777" w:rsidR="00C4454D" w:rsidRPr="00A735B4" w:rsidRDefault="00C4454D" w:rsidP="00C4454D">
            <w:pPr>
              <w:jc w:val="center"/>
              <w:rPr>
                <w:rFonts w:ascii="Calibri" w:eastAsia="Times New Roman" w:hAnsi="Calibri"/>
                <w:color w:val="000000"/>
                <w:sz w:val="16"/>
                <w:szCs w:val="16"/>
                <w:lang w:eastAsia="es-ES"/>
              </w:rPr>
            </w:pPr>
          </w:p>
        </w:tc>
        <w:tc>
          <w:tcPr>
            <w:tcW w:w="0" w:type="auto"/>
            <w:tcBorders>
              <w:top w:val="nil"/>
              <w:left w:val="nil"/>
              <w:bottom w:val="nil"/>
              <w:right w:val="nil"/>
            </w:tcBorders>
            <w:shd w:val="clear" w:color="auto" w:fill="auto"/>
            <w:noWrap/>
            <w:vAlign w:val="bottom"/>
            <w:hideMark/>
          </w:tcPr>
          <w:p w14:paraId="7D2C3CC0" w14:textId="77777777" w:rsidR="00C4454D" w:rsidRPr="00A735B4" w:rsidRDefault="00C4454D" w:rsidP="00C4454D">
            <w:pPr>
              <w:jc w:val="center"/>
              <w:rPr>
                <w:rFonts w:ascii="Calibri" w:eastAsia="Times New Roman" w:hAnsi="Calibri"/>
                <w:color w:val="000000"/>
                <w:sz w:val="16"/>
                <w:szCs w:val="16"/>
                <w:lang w:eastAsia="es-ES"/>
              </w:rPr>
            </w:pPr>
            <w:r w:rsidRPr="00A735B4">
              <w:rPr>
                <w:rFonts w:ascii="Calibri" w:eastAsia="Times New Roman" w:hAnsi="Calibri"/>
                <w:color w:val="000000"/>
                <w:sz w:val="16"/>
                <w:szCs w:val="16"/>
                <w:lang w:eastAsia="es-ES"/>
              </w:rPr>
              <w:t>1.43</w:t>
            </w:r>
          </w:p>
        </w:tc>
        <w:tc>
          <w:tcPr>
            <w:tcW w:w="0" w:type="auto"/>
            <w:tcBorders>
              <w:top w:val="nil"/>
              <w:left w:val="nil"/>
              <w:bottom w:val="nil"/>
              <w:right w:val="nil"/>
            </w:tcBorders>
          </w:tcPr>
          <w:p w14:paraId="252382D2" w14:textId="77777777" w:rsidR="00C4454D" w:rsidRPr="00A735B4" w:rsidRDefault="00C4454D" w:rsidP="00C4454D">
            <w:pPr>
              <w:jc w:val="center"/>
              <w:rPr>
                <w:rFonts w:ascii="Calibri" w:eastAsia="Times New Roman" w:hAnsi="Calibri"/>
                <w:color w:val="000000"/>
                <w:sz w:val="16"/>
                <w:szCs w:val="16"/>
                <w:lang w:eastAsia="es-ES"/>
              </w:rPr>
            </w:pPr>
          </w:p>
        </w:tc>
        <w:tc>
          <w:tcPr>
            <w:tcW w:w="0" w:type="auto"/>
            <w:tcBorders>
              <w:top w:val="nil"/>
              <w:left w:val="nil"/>
              <w:bottom w:val="nil"/>
              <w:right w:val="nil"/>
            </w:tcBorders>
          </w:tcPr>
          <w:p w14:paraId="5E5E6982" w14:textId="77777777" w:rsidR="00C4454D" w:rsidRPr="00A735B4" w:rsidRDefault="00C4454D" w:rsidP="00C4454D">
            <w:pPr>
              <w:jc w:val="center"/>
              <w:rPr>
                <w:rFonts w:ascii="Calibri" w:eastAsia="Times New Roman" w:hAnsi="Calibri"/>
                <w:color w:val="000000"/>
                <w:sz w:val="16"/>
                <w:szCs w:val="16"/>
                <w:lang w:eastAsia="es-ES"/>
              </w:rPr>
            </w:pPr>
          </w:p>
        </w:tc>
        <w:tc>
          <w:tcPr>
            <w:tcW w:w="0" w:type="auto"/>
            <w:tcBorders>
              <w:top w:val="nil"/>
              <w:left w:val="nil"/>
              <w:bottom w:val="nil"/>
              <w:right w:val="nil"/>
            </w:tcBorders>
            <w:shd w:val="clear" w:color="auto" w:fill="auto"/>
            <w:noWrap/>
            <w:vAlign w:val="bottom"/>
            <w:hideMark/>
          </w:tcPr>
          <w:p w14:paraId="67029B68" w14:textId="77777777" w:rsidR="00C4454D" w:rsidRPr="00A735B4" w:rsidRDefault="00C4454D" w:rsidP="00C4454D">
            <w:pPr>
              <w:jc w:val="center"/>
              <w:rPr>
                <w:rFonts w:ascii="Calibri" w:eastAsia="Times New Roman" w:hAnsi="Calibri"/>
                <w:color w:val="000000"/>
                <w:sz w:val="16"/>
                <w:szCs w:val="16"/>
                <w:lang w:eastAsia="es-ES"/>
              </w:rPr>
            </w:pPr>
            <w:r w:rsidRPr="00A735B4">
              <w:rPr>
                <w:rFonts w:ascii="Calibri" w:eastAsia="Times New Roman" w:hAnsi="Calibri"/>
                <w:color w:val="000000"/>
                <w:sz w:val="16"/>
                <w:szCs w:val="16"/>
                <w:lang w:eastAsia="es-ES"/>
              </w:rPr>
              <w:t>1.81</w:t>
            </w:r>
          </w:p>
        </w:tc>
        <w:tc>
          <w:tcPr>
            <w:tcW w:w="0" w:type="auto"/>
            <w:tcBorders>
              <w:top w:val="nil"/>
              <w:left w:val="nil"/>
              <w:bottom w:val="nil"/>
              <w:right w:val="nil"/>
            </w:tcBorders>
            <w:shd w:val="clear" w:color="auto" w:fill="auto"/>
            <w:noWrap/>
            <w:vAlign w:val="bottom"/>
            <w:hideMark/>
          </w:tcPr>
          <w:p w14:paraId="6A10D64C" w14:textId="77777777" w:rsidR="00C4454D" w:rsidRPr="00A735B4" w:rsidRDefault="00C4454D" w:rsidP="00C4454D">
            <w:pPr>
              <w:jc w:val="center"/>
              <w:rPr>
                <w:rFonts w:ascii="Calibri" w:eastAsia="Times New Roman" w:hAnsi="Calibri"/>
                <w:color w:val="000000"/>
                <w:sz w:val="16"/>
                <w:szCs w:val="16"/>
                <w:lang w:eastAsia="es-ES"/>
              </w:rPr>
            </w:pPr>
            <w:r w:rsidRPr="00A735B4">
              <w:rPr>
                <w:rFonts w:ascii="Calibri" w:eastAsia="Times New Roman" w:hAnsi="Calibri"/>
                <w:color w:val="000000"/>
                <w:sz w:val="16"/>
                <w:szCs w:val="16"/>
                <w:lang w:eastAsia="es-ES"/>
              </w:rPr>
              <w:t>1.30</w:t>
            </w:r>
          </w:p>
        </w:tc>
        <w:tc>
          <w:tcPr>
            <w:tcW w:w="0" w:type="auto"/>
            <w:tcBorders>
              <w:top w:val="nil"/>
              <w:left w:val="nil"/>
              <w:bottom w:val="nil"/>
              <w:right w:val="nil"/>
            </w:tcBorders>
            <w:shd w:val="clear" w:color="auto" w:fill="auto"/>
            <w:noWrap/>
            <w:vAlign w:val="bottom"/>
            <w:hideMark/>
          </w:tcPr>
          <w:p w14:paraId="22FA0292" w14:textId="77777777" w:rsidR="00C4454D" w:rsidRPr="00A735B4" w:rsidRDefault="00C4454D" w:rsidP="00C4454D">
            <w:pPr>
              <w:jc w:val="center"/>
              <w:rPr>
                <w:rFonts w:ascii="Calibri" w:eastAsia="Times New Roman" w:hAnsi="Calibri"/>
                <w:color w:val="000000"/>
                <w:sz w:val="16"/>
                <w:szCs w:val="16"/>
                <w:lang w:eastAsia="es-ES"/>
              </w:rPr>
            </w:pPr>
            <w:r w:rsidRPr="00A735B4">
              <w:rPr>
                <w:rFonts w:ascii="Calibri" w:eastAsia="Times New Roman" w:hAnsi="Calibri"/>
                <w:color w:val="000000"/>
                <w:sz w:val="16"/>
                <w:szCs w:val="16"/>
                <w:lang w:eastAsia="es-ES"/>
              </w:rPr>
              <w:t>1.83</w:t>
            </w:r>
          </w:p>
        </w:tc>
        <w:tc>
          <w:tcPr>
            <w:tcW w:w="0" w:type="auto"/>
            <w:tcBorders>
              <w:top w:val="nil"/>
              <w:left w:val="nil"/>
              <w:bottom w:val="nil"/>
              <w:right w:val="nil"/>
            </w:tcBorders>
            <w:shd w:val="clear" w:color="auto" w:fill="auto"/>
            <w:noWrap/>
            <w:vAlign w:val="bottom"/>
            <w:hideMark/>
          </w:tcPr>
          <w:p w14:paraId="6C415029" w14:textId="77777777" w:rsidR="00C4454D" w:rsidRPr="00A735B4" w:rsidRDefault="00C4454D" w:rsidP="00C4454D">
            <w:pPr>
              <w:jc w:val="center"/>
              <w:rPr>
                <w:rFonts w:ascii="Calibri" w:eastAsia="Times New Roman" w:hAnsi="Calibri"/>
                <w:color w:val="000000"/>
                <w:sz w:val="16"/>
                <w:szCs w:val="16"/>
                <w:lang w:eastAsia="es-ES"/>
              </w:rPr>
            </w:pPr>
            <w:r w:rsidRPr="00A735B4">
              <w:rPr>
                <w:rFonts w:ascii="Calibri" w:eastAsia="Times New Roman" w:hAnsi="Calibri"/>
                <w:color w:val="000000"/>
                <w:sz w:val="16"/>
                <w:szCs w:val="16"/>
                <w:lang w:eastAsia="es-ES"/>
              </w:rPr>
              <w:t>1.19</w:t>
            </w:r>
          </w:p>
        </w:tc>
        <w:tc>
          <w:tcPr>
            <w:tcW w:w="0" w:type="auto"/>
            <w:tcBorders>
              <w:top w:val="nil"/>
              <w:left w:val="nil"/>
              <w:bottom w:val="nil"/>
              <w:right w:val="nil"/>
            </w:tcBorders>
            <w:shd w:val="clear" w:color="auto" w:fill="auto"/>
            <w:noWrap/>
            <w:vAlign w:val="bottom"/>
            <w:hideMark/>
          </w:tcPr>
          <w:p w14:paraId="20AD2CC8" w14:textId="77777777" w:rsidR="00C4454D" w:rsidRPr="00A735B4" w:rsidRDefault="00C4454D" w:rsidP="00C4454D">
            <w:pPr>
              <w:jc w:val="center"/>
              <w:rPr>
                <w:rFonts w:ascii="Calibri" w:eastAsia="Times New Roman" w:hAnsi="Calibri"/>
                <w:color w:val="000000"/>
                <w:sz w:val="16"/>
                <w:szCs w:val="16"/>
                <w:lang w:eastAsia="es-ES"/>
              </w:rPr>
            </w:pPr>
            <w:r w:rsidRPr="00A735B4">
              <w:rPr>
                <w:rFonts w:ascii="Calibri" w:eastAsia="Times New Roman" w:hAnsi="Calibri"/>
                <w:color w:val="000000"/>
                <w:sz w:val="16"/>
                <w:szCs w:val="16"/>
                <w:lang w:eastAsia="es-ES"/>
              </w:rPr>
              <w:t>1.54</w:t>
            </w:r>
          </w:p>
        </w:tc>
        <w:tc>
          <w:tcPr>
            <w:tcW w:w="0" w:type="auto"/>
            <w:tcBorders>
              <w:top w:val="nil"/>
              <w:left w:val="nil"/>
              <w:bottom w:val="nil"/>
              <w:right w:val="nil"/>
            </w:tcBorders>
            <w:shd w:val="clear" w:color="auto" w:fill="auto"/>
            <w:noWrap/>
            <w:vAlign w:val="bottom"/>
            <w:hideMark/>
          </w:tcPr>
          <w:p w14:paraId="2E9BC01C" w14:textId="77777777" w:rsidR="00C4454D" w:rsidRPr="00A735B4" w:rsidRDefault="00C4454D" w:rsidP="00C4454D">
            <w:pPr>
              <w:jc w:val="center"/>
              <w:rPr>
                <w:rFonts w:ascii="Calibri" w:eastAsia="Times New Roman" w:hAnsi="Calibri"/>
                <w:color w:val="000000"/>
                <w:sz w:val="16"/>
                <w:szCs w:val="16"/>
                <w:lang w:eastAsia="es-ES"/>
              </w:rPr>
            </w:pPr>
            <w:r w:rsidRPr="00A735B4">
              <w:rPr>
                <w:rFonts w:ascii="Calibri" w:eastAsia="Times New Roman" w:hAnsi="Calibri"/>
                <w:color w:val="000000"/>
                <w:sz w:val="16"/>
                <w:szCs w:val="16"/>
                <w:lang w:eastAsia="es-ES"/>
              </w:rPr>
              <w:t>3.10</w:t>
            </w:r>
          </w:p>
        </w:tc>
      </w:tr>
      <w:tr w:rsidR="00C4454D" w:rsidRPr="00A735B4" w14:paraId="31B55E79" w14:textId="77777777" w:rsidTr="00C4454D">
        <w:trPr>
          <w:trHeight w:val="315"/>
          <w:jc w:val="center"/>
        </w:trPr>
        <w:tc>
          <w:tcPr>
            <w:tcW w:w="0" w:type="auto"/>
            <w:tcBorders>
              <w:top w:val="nil"/>
              <w:left w:val="nil"/>
              <w:bottom w:val="single" w:sz="8" w:space="0" w:color="auto"/>
              <w:right w:val="nil"/>
            </w:tcBorders>
            <w:shd w:val="clear" w:color="auto" w:fill="auto"/>
            <w:noWrap/>
            <w:vAlign w:val="bottom"/>
            <w:hideMark/>
          </w:tcPr>
          <w:p w14:paraId="4C8F0695" w14:textId="77777777" w:rsidR="00C4454D" w:rsidRPr="00A735B4" w:rsidRDefault="00C4454D" w:rsidP="00C4454D">
            <w:pPr>
              <w:rPr>
                <w:rFonts w:ascii="Calibri" w:eastAsia="Times New Roman" w:hAnsi="Calibri"/>
                <w:color w:val="000000"/>
                <w:sz w:val="16"/>
                <w:szCs w:val="16"/>
                <w:lang w:eastAsia="es-ES"/>
              </w:rPr>
            </w:pPr>
            <w:r w:rsidRPr="00A735B4">
              <w:rPr>
                <w:rFonts w:ascii="Calibri" w:eastAsia="Times New Roman" w:hAnsi="Calibri"/>
                <w:color w:val="000000"/>
                <w:sz w:val="16"/>
                <w:szCs w:val="16"/>
                <w:lang w:eastAsia="es-ES"/>
              </w:rPr>
              <w:t>Traded with peers</w:t>
            </w:r>
          </w:p>
        </w:tc>
        <w:tc>
          <w:tcPr>
            <w:tcW w:w="0" w:type="auto"/>
            <w:tcBorders>
              <w:top w:val="nil"/>
              <w:left w:val="nil"/>
              <w:bottom w:val="single" w:sz="8" w:space="0" w:color="auto"/>
              <w:right w:val="nil"/>
            </w:tcBorders>
            <w:shd w:val="clear" w:color="auto" w:fill="auto"/>
            <w:noWrap/>
            <w:vAlign w:val="bottom"/>
            <w:hideMark/>
          </w:tcPr>
          <w:p w14:paraId="25FC5527" w14:textId="77777777" w:rsidR="00C4454D" w:rsidRPr="00A735B4" w:rsidRDefault="00C4454D" w:rsidP="00C4454D">
            <w:pPr>
              <w:jc w:val="center"/>
              <w:rPr>
                <w:rFonts w:ascii="Calibri" w:eastAsia="Times New Roman" w:hAnsi="Calibri"/>
                <w:color w:val="000000"/>
                <w:sz w:val="16"/>
                <w:szCs w:val="16"/>
                <w:lang w:eastAsia="es-ES"/>
              </w:rPr>
            </w:pPr>
            <w:r w:rsidRPr="00A735B4">
              <w:rPr>
                <w:rFonts w:ascii="Calibri" w:eastAsia="Times New Roman" w:hAnsi="Calibri"/>
                <w:color w:val="000000"/>
                <w:sz w:val="16"/>
                <w:szCs w:val="16"/>
                <w:lang w:eastAsia="es-ES"/>
              </w:rPr>
              <w:t>0.84</w:t>
            </w:r>
          </w:p>
        </w:tc>
        <w:tc>
          <w:tcPr>
            <w:tcW w:w="0" w:type="auto"/>
            <w:tcBorders>
              <w:top w:val="nil"/>
              <w:left w:val="nil"/>
              <w:bottom w:val="single" w:sz="8" w:space="0" w:color="auto"/>
              <w:right w:val="nil"/>
            </w:tcBorders>
            <w:shd w:val="clear" w:color="auto" w:fill="auto"/>
            <w:noWrap/>
            <w:vAlign w:val="bottom"/>
            <w:hideMark/>
          </w:tcPr>
          <w:p w14:paraId="5C5B7688" w14:textId="77777777" w:rsidR="00C4454D" w:rsidRPr="00A735B4" w:rsidRDefault="00C4454D" w:rsidP="00C4454D">
            <w:pPr>
              <w:jc w:val="center"/>
              <w:rPr>
                <w:rFonts w:ascii="Calibri" w:eastAsia="Times New Roman" w:hAnsi="Calibri"/>
                <w:color w:val="000000"/>
                <w:sz w:val="16"/>
                <w:szCs w:val="16"/>
                <w:lang w:eastAsia="es-ES"/>
              </w:rPr>
            </w:pPr>
            <w:r w:rsidRPr="00A735B4">
              <w:rPr>
                <w:rFonts w:ascii="Calibri" w:eastAsia="Times New Roman" w:hAnsi="Calibri"/>
                <w:color w:val="000000"/>
                <w:sz w:val="16"/>
                <w:szCs w:val="16"/>
                <w:lang w:eastAsia="es-ES"/>
              </w:rPr>
              <w:t>1.05</w:t>
            </w:r>
          </w:p>
        </w:tc>
        <w:tc>
          <w:tcPr>
            <w:tcW w:w="0" w:type="auto"/>
            <w:tcBorders>
              <w:top w:val="nil"/>
              <w:left w:val="nil"/>
              <w:bottom w:val="single" w:sz="8" w:space="0" w:color="auto"/>
              <w:right w:val="nil"/>
            </w:tcBorders>
            <w:shd w:val="clear" w:color="auto" w:fill="auto"/>
            <w:noWrap/>
            <w:vAlign w:val="bottom"/>
            <w:hideMark/>
          </w:tcPr>
          <w:p w14:paraId="3BDF368B" w14:textId="77777777" w:rsidR="00C4454D" w:rsidRPr="00A735B4" w:rsidRDefault="00C4454D" w:rsidP="00C4454D">
            <w:pPr>
              <w:jc w:val="center"/>
              <w:rPr>
                <w:rFonts w:ascii="Calibri" w:eastAsia="Times New Roman" w:hAnsi="Calibri"/>
                <w:color w:val="000000"/>
                <w:sz w:val="16"/>
                <w:szCs w:val="16"/>
                <w:lang w:eastAsia="es-ES"/>
              </w:rPr>
            </w:pPr>
            <w:r w:rsidRPr="00A735B4">
              <w:rPr>
                <w:rFonts w:ascii="Calibri" w:eastAsia="Times New Roman" w:hAnsi="Calibri"/>
                <w:color w:val="000000"/>
                <w:sz w:val="16"/>
                <w:szCs w:val="16"/>
                <w:lang w:eastAsia="es-ES"/>
              </w:rPr>
              <w:t>1.07</w:t>
            </w:r>
          </w:p>
        </w:tc>
        <w:tc>
          <w:tcPr>
            <w:tcW w:w="0" w:type="auto"/>
            <w:tcBorders>
              <w:top w:val="nil"/>
              <w:left w:val="nil"/>
              <w:bottom w:val="single" w:sz="8" w:space="0" w:color="auto"/>
              <w:right w:val="nil"/>
            </w:tcBorders>
          </w:tcPr>
          <w:p w14:paraId="7D3C44FD" w14:textId="77777777" w:rsidR="00C4454D" w:rsidRPr="00A735B4" w:rsidRDefault="00C4454D" w:rsidP="00C4454D">
            <w:pPr>
              <w:jc w:val="center"/>
              <w:rPr>
                <w:rFonts w:ascii="Calibri" w:eastAsia="Times New Roman" w:hAnsi="Calibri"/>
                <w:color w:val="000000"/>
                <w:sz w:val="16"/>
                <w:szCs w:val="16"/>
                <w:lang w:eastAsia="es-ES"/>
              </w:rPr>
            </w:pPr>
          </w:p>
        </w:tc>
        <w:tc>
          <w:tcPr>
            <w:tcW w:w="0" w:type="auto"/>
            <w:tcBorders>
              <w:top w:val="nil"/>
              <w:left w:val="nil"/>
              <w:bottom w:val="single" w:sz="8" w:space="0" w:color="auto"/>
              <w:right w:val="nil"/>
            </w:tcBorders>
          </w:tcPr>
          <w:p w14:paraId="0C2F9D97" w14:textId="77777777" w:rsidR="00C4454D" w:rsidRPr="00A735B4" w:rsidRDefault="00C4454D" w:rsidP="00C4454D">
            <w:pPr>
              <w:jc w:val="center"/>
              <w:rPr>
                <w:rFonts w:ascii="Calibri" w:eastAsia="Times New Roman" w:hAnsi="Calibri"/>
                <w:color w:val="000000"/>
                <w:sz w:val="16"/>
                <w:szCs w:val="16"/>
                <w:lang w:eastAsia="es-ES"/>
              </w:rPr>
            </w:pPr>
          </w:p>
        </w:tc>
        <w:tc>
          <w:tcPr>
            <w:tcW w:w="0" w:type="auto"/>
            <w:tcBorders>
              <w:top w:val="nil"/>
              <w:left w:val="nil"/>
              <w:bottom w:val="single" w:sz="8" w:space="0" w:color="auto"/>
              <w:right w:val="nil"/>
            </w:tcBorders>
            <w:shd w:val="clear" w:color="auto" w:fill="auto"/>
            <w:noWrap/>
            <w:vAlign w:val="bottom"/>
            <w:hideMark/>
          </w:tcPr>
          <w:p w14:paraId="19BD711D" w14:textId="77777777" w:rsidR="00C4454D" w:rsidRPr="00A735B4" w:rsidRDefault="00C4454D" w:rsidP="00C4454D">
            <w:pPr>
              <w:jc w:val="center"/>
              <w:rPr>
                <w:rFonts w:ascii="Calibri" w:eastAsia="Times New Roman" w:hAnsi="Calibri"/>
                <w:color w:val="000000"/>
                <w:sz w:val="16"/>
                <w:szCs w:val="16"/>
                <w:lang w:eastAsia="es-ES"/>
              </w:rPr>
            </w:pPr>
            <w:r w:rsidRPr="00A735B4">
              <w:rPr>
                <w:rFonts w:ascii="Calibri" w:eastAsia="Times New Roman" w:hAnsi="Calibri"/>
                <w:color w:val="000000"/>
                <w:sz w:val="16"/>
                <w:szCs w:val="16"/>
                <w:lang w:eastAsia="es-ES"/>
              </w:rPr>
              <w:t>1.50</w:t>
            </w:r>
          </w:p>
        </w:tc>
        <w:tc>
          <w:tcPr>
            <w:tcW w:w="0" w:type="auto"/>
            <w:tcBorders>
              <w:top w:val="nil"/>
              <w:left w:val="nil"/>
              <w:bottom w:val="single" w:sz="8" w:space="0" w:color="auto"/>
              <w:right w:val="nil"/>
            </w:tcBorders>
            <w:shd w:val="clear" w:color="auto" w:fill="auto"/>
            <w:noWrap/>
            <w:vAlign w:val="bottom"/>
            <w:hideMark/>
          </w:tcPr>
          <w:p w14:paraId="13A93569" w14:textId="77777777" w:rsidR="00C4454D" w:rsidRPr="00A735B4" w:rsidRDefault="00C4454D" w:rsidP="00C4454D">
            <w:pPr>
              <w:jc w:val="center"/>
              <w:rPr>
                <w:rFonts w:ascii="Calibri" w:eastAsia="Times New Roman" w:hAnsi="Calibri"/>
                <w:color w:val="000000"/>
                <w:sz w:val="16"/>
                <w:szCs w:val="16"/>
                <w:lang w:eastAsia="es-ES"/>
              </w:rPr>
            </w:pPr>
            <w:r w:rsidRPr="00A735B4">
              <w:rPr>
                <w:rFonts w:ascii="Calibri" w:eastAsia="Times New Roman" w:hAnsi="Calibri"/>
                <w:color w:val="000000"/>
                <w:sz w:val="16"/>
                <w:szCs w:val="16"/>
                <w:lang w:eastAsia="es-ES"/>
              </w:rPr>
              <w:t>1.54</w:t>
            </w:r>
          </w:p>
        </w:tc>
        <w:tc>
          <w:tcPr>
            <w:tcW w:w="0" w:type="auto"/>
            <w:tcBorders>
              <w:top w:val="nil"/>
              <w:left w:val="nil"/>
              <w:bottom w:val="single" w:sz="8" w:space="0" w:color="auto"/>
              <w:right w:val="nil"/>
            </w:tcBorders>
            <w:shd w:val="clear" w:color="auto" w:fill="auto"/>
            <w:noWrap/>
            <w:vAlign w:val="bottom"/>
            <w:hideMark/>
          </w:tcPr>
          <w:p w14:paraId="5D72C8BF" w14:textId="77777777" w:rsidR="00C4454D" w:rsidRPr="00A735B4" w:rsidRDefault="00C4454D" w:rsidP="00C4454D">
            <w:pPr>
              <w:jc w:val="center"/>
              <w:rPr>
                <w:rFonts w:ascii="Calibri" w:eastAsia="Times New Roman" w:hAnsi="Calibri"/>
                <w:color w:val="000000"/>
                <w:sz w:val="16"/>
                <w:szCs w:val="16"/>
                <w:lang w:eastAsia="es-ES"/>
              </w:rPr>
            </w:pPr>
            <w:r w:rsidRPr="00A735B4">
              <w:rPr>
                <w:rFonts w:ascii="Calibri" w:eastAsia="Times New Roman" w:hAnsi="Calibri"/>
                <w:color w:val="000000"/>
                <w:sz w:val="16"/>
                <w:szCs w:val="16"/>
                <w:lang w:eastAsia="es-ES"/>
              </w:rPr>
              <w:t>1.83</w:t>
            </w:r>
          </w:p>
        </w:tc>
        <w:tc>
          <w:tcPr>
            <w:tcW w:w="0" w:type="auto"/>
            <w:tcBorders>
              <w:top w:val="nil"/>
              <w:left w:val="nil"/>
              <w:bottom w:val="single" w:sz="8" w:space="0" w:color="auto"/>
              <w:right w:val="nil"/>
            </w:tcBorders>
            <w:shd w:val="clear" w:color="auto" w:fill="auto"/>
            <w:noWrap/>
            <w:vAlign w:val="bottom"/>
            <w:hideMark/>
          </w:tcPr>
          <w:p w14:paraId="178C2BCB" w14:textId="77777777" w:rsidR="00C4454D" w:rsidRPr="00A735B4" w:rsidRDefault="00C4454D" w:rsidP="00C4454D">
            <w:pPr>
              <w:jc w:val="center"/>
              <w:rPr>
                <w:rFonts w:ascii="Calibri" w:eastAsia="Times New Roman" w:hAnsi="Calibri"/>
                <w:color w:val="000000"/>
                <w:sz w:val="16"/>
                <w:szCs w:val="16"/>
                <w:lang w:eastAsia="es-ES"/>
              </w:rPr>
            </w:pPr>
            <w:r w:rsidRPr="00A735B4">
              <w:rPr>
                <w:rFonts w:ascii="Calibri" w:eastAsia="Times New Roman" w:hAnsi="Calibri"/>
                <w:color w:val="000000"/>
                <w:sz w:val="16"/>
                <w:szCs w:val="16"/>
                <w:lang w:eastAsia="es-ES"/>
              </w:rPr>
              <w:t>0.99</w:t>
            </w:r>
          </w:p>
        </w:tc>
        <w:tc>
          <w:tcPr>
            <w:tcW w:w="0" w:type="auto"/>
            <w:tcBorders>
              <w:top w:val="nil"/>
              <w:left w:val="nil"/>
              <w:bottom w:val="single" w:sz="8" w:space="0" w:color="auto"/>
              <w:right w:val="nil"/>
            </w:tcBorders>
            <w:shd w:val="clear" w:color="auto" w:fill="auto"/>
            <w:noWrap/>
            <w:vAlign w:val="bottom"/>
            <w:hideMark/>
          </w:tcPr>
          <w:p w14:paraId="7778CD81" w14:textId="77777777" w:rsidR="00C4454D" w:rsidRPr="00A735B4" w:rsidRDefault="00C4454D" w:rsidP="00C4454D">
            <w:pPr>
              <w:jc w:val="center"/>
              <w:rPr>
                <w:rFonts w:ascii="Calibri" w:eastAsia="Times New Roman" w:hAnsi="Calibri"/>
                <w:color w:val="000000"/>
                <w:sz w:val="16"/>
                <w:szCs w:val="16"/>
                <w:lang w:eastAsia="es-ES"/>
              </w:rPr>
            </w:pPr>
            <w:r w:rsidRPr="00A735B4">
              <w:rPr>
                <w:rFonts w:ascii="Calibri" w:eastAsia="Times New Roman" w:hAnsi="Calibri"/>
                <w:color w:val="000000"/>
                <w:sz w:val="16"/>
                <w:szCs w:val="16"/>
                <w:lang w:eastAsia="es-ES"/>
              </w:rPr>
              <w:t>1.90</w:t>
            </w:r>
          </w:p>
        </w:tc>
        <w:tc>
          <w:tcPr>
            <w:tcW w:w="0" w:type="auto"/>
            <w:tcBorders>
              <w:top w:val="nil"/>
              <w:left w:val="nil"/>
              <w:bottom w:val="single" w:sz="8" w:space="0" w:color="auto"/>
              <w:right w:val="nil"/>
            </w:tcBorders>
            <w:shd w:val="clear" w:color="auto" w:fill="auto"/>
            <w:noWrap/>
            <w:vAlign w:val="bottom"/>
            <w:hideMark/>
          </w:tcPr>
          <w:p w14:paraId="7070C7FE" w14:textId="77777777" w:rsidR="00C4454D" w:rsidRPr="00A735B4" w:rsidRDefault="00C4454D" w:rsidP="00C4454D">
            <w:pPr>
              <w:jc w:val="center"/>
              <w:rPr>
                <w:rFonts w:ascii="Calibri" w:eastAsia="Times New Roman" w:hAnsi="Calibri"/>
                <w:color w:val="000000"/>
                <w:sz w:val="16"/>
                <w:szCs w:val="16"/>
                <w:lang w:eastAsia="es-ES"/>
              </w:rPr>
            </w:pPr>
            <w:r w:rsidRPr="00A735B4">
              <w:rPr>
                <w:rFonts w:ascii="Calibri" w:eastAsia="Times New Roman" w:hAnsi="Calibri"/>
                <w:color w:val="000000"/>
                <w:sz w:val="16"/>
                <w:szCs w:val="16"/>
                <w:lang w:eastAsia="es-ES"/>
              </w:rPr>
              <w:t>2.75</w:t>
            </w:r>
          </w:p>
        </w:tc>
      </w:tr>
    </w:tbl>
    <w:p w14:paraId="15F623E6" w14:textId="77777777" w:rsidR="00C4454D" w:rsidRPr="00A735B4" w:rsidRDefault="00C4454D" w:rsidP="00C445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00" w:hanging="900"/>
        <w:rPr>
          <w:rFonts w:eastAsia="Times New Roman"/>
        </w:rPr>
      </w:pPr>
      <w:r w:rsidRPr="00A735B4">
        <w:rPr>
          <w:noProof/>
          <w:sz w:val="18"/>
          <w:szCs w:val="18"/>
          <w:lang w:eastAsia="es-ES"/>
        </w:rPr>
        <w:t xml:space="preserve">             Source: Authors’ calculations. </w:t>
      </w:r>
    </w:p>
    <w:p w14:paraId="1ECBDD2A" w14:textId="77777777" w:rsidR="00C4454D" w:rsidRPr="00A735B4" w:rsidRDefault="00C4454D" w:rsidP="00C445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eastAsia="Times New Roman"/>
          <w:b/>
        </w:rPr>
      </w:pPr>
    </w:p>
    <w:p w14:paraId="0DF046FD" w14:textId="04522832" w:rsidR="00C4454D" w:rsidRPr="00A735B4" w:rsidRDefault="00C4454D" w:rsidP="00C445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rPr>
      </w:pPr>
      <w:r w:rsidRPr="00A735B4">
        <w:rPr>
          <w:rFonts w:eastAsia="Times New Roman"/>
        </w:rPr>
        <w:t>In addition to the element of volatility in some of the results obtained using SMS surveys, it is important to highlight that this type of information is very novel. As far as we know, no other project or study has collected this type of information in real time using this methodology. Although there is a lot of room for improvement in the preparation of these types of surveys, it is clear that their applicability offers many opportunities to obtain relevant data faster and at a lower cost than with traditional methods.</w:t>
      </w:r>
    </w:p>
    <w:p w14:paraId="55E00A43" w14:textId="77777777" w:rsidR="00C4454D" w:rsidRPr="00A735B4" w:rsidRDefault="00C4454D" w:rsidP="00C445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720"/>
        <w:rPr>
          <w:rFonts w:eastAsia="Times New Roman"/>
          <w:color w:val="000000"/>
        </w:rPr>
      </w:pPr>
    </w:p>
    <w:p w14:paraId="0EF68894" w14:textId="77777777" w:rsidR="00C4454D" w:rsidRPr="00A735B4" w:rsidRDefault="00C4454D" w:rsidP="00C445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720"/>
        <w:rPr>
          <w:rFonts w:eastAsia="Times New Roman"/>
          <w:color w:val="000000"/>
        </w:rPr>
      </w:pPr>
    </w:p>
    <w:p w14:paraId="22E2603F" w14:textId="77777777" w:rsidR="00C4454D" w:rsidRPr="00A735B4" w:rsidRDefault="00C4454D">
      <w:pPr>
        <w:spacing w:after="200" w:line="276" w:lineRule="auto"/>
      </w:pPr>
      <w:r w:rsidRPr="00A735B4">
        <w:br w:type="page"/>
      </w:r>
    </w:p>
    <w:p w14:paraId="6193197E" w14:textId="020EBC9A" w:rsidR="00C4454D" w:rsidRPr="00A735B4" w:rsidRDefault="00C4454D" w:rsidP="00C4454D">
      <w:pPr>
        <w:ind w:left="270"/>
      </w:pPr>
      <w:bookmarkStart w:id="155" w:name="_Toc419565280"/>
      <w:r w:rsidRPr="00A735B4">
        <w:lastRenderedPageBreak/>
        <w:t>Annex E  Education and health services indicators</w:t>
      </w:r>
      <w:bookmarkEnd w:id="155"/>
    </w:p>
    <w:p w14:paraId="6345D0FC" w14:textId="77777777" w:rsidR="00C4454D" w:rsidRPr="00A735B4" w:rsidRDefault="00C4454D" w:rsidP="00C4454D"/>
    <w:p w14:paraId="086F4810" w14:textId="7959C063" w:rsidR="00C4454D" w:rsidRPr="00A735B4" w:rsidRDefault="00C4454D" w:rsidP="00C4454D">
      <w:bookmarkStart w:id="156" w:name="_Toc419565281"/>
      <w:r w:rsidRPr="00A735B4">
        <w:t>E.1  Introduction</w:t>
      </w:r>
      <w:bookmarkEnd w:id="156"/>
    </w:p>
    <w:p w14:paraId="03369C3E" w14:textId="77777777" w:rsidR="00C4454D" w:rsidRPr="00A735B4" w:rsidRDefault="00C4454D" w:rsidP="00C4454D">
      <w:pPr>
        <w:rPr>
          <w:rFonts w:ascii="Times New Roman" w:hAnsi="Times New Roman"/>
        </w:rPr>
      </w:pPr>
    </w:p>
    <w:p w14:paraId="302C5299" w14:textId="5E7AA4FE" w:rsidR="00C4454D" w:rsidRPr="00A735B4" w:rsidRDefault="00C4454D" w:rsidP="00C4454D">
      <w:pPr>
        <w:rPr>
          <w:rFonts w:ascii="Times New Roman" w:hAnsi="Times New Roman"/>
        </w:rPr>
      </w:pPr>
      <w:r w:rsidRPr="00A735B4">
        <w:rPr>
          <w:rFonts w:ascii="Times New Roman" w:hAnsi="Times New Roman"/>
        </w:rPr>
        <w:t>Sub-Saharan Africa is witnessing an increasing international mobility of students and health professionals. For instance, the 2009 outbound mobility ratio of Sub-Saharan African students was 4.9 percent</w:t>
      </w:r>
      <w:r w:rsidRPr="00A735B4">
        <w:t>—</w:t>
      </w:r>
      <w:r w:rsidRPr="00A735B4">
        <w:rPr>
          <w:rFonts w:ascii="Times New Roman" w:hAnsi="Times New Roman"/>
        </w:rPr>
        <w:t xml:space="preserve">more than two times higher than the world average of 2 percent. In health, the outflow of middle and highly skilled professionals is significant in all African countries. For example, the World Health Organization estimates that across 10 Sub-Saharan African countries, 23 percent of the locally trained doctors emigrate to various </w:t>
      </w:r>
      <w:r w:rsidRPr="00A735B4">
        <w:t>Organisation for Economic Co-operation and Development</w:t>
      </w:r>
      <w:r w:rsidRPr="00A735B4">
        <w:rPr>
          <w:rFonts w:ascii="Times New Roman" w:hAnsi="Times New Roman"/>
        </w:rPr>
        <w:t xml:space="preserve"> countries. </w:t>
      </w:r>
    </w:p>
    <w:p w14:paraId="2F6987AF" w14:textId="09B67BF0" w:rsidR="00C4454D" w:rsidRPr="00A735B4" w:rsidRDefault="00C4454D" w:rsidP="00C4454D">
      <w:pPr>
        <w:rPr>
          <w:rFonts w:ascii="Times New Roman" w:hAnsi="Times New Roman"/>
        </w:rPr>
      </w:pPr>
      <w:r w:rsidRPr="00A735B4">
        <w:rPr>
          <w:rFonts w:ascii="Times New Roman" w:hAnsi="Times New Roman"/>
        </w:rPr>
        <w:t xml:space="preserve">The mobility of African students and health professionals has recently been complemented by the mobility of educational and medical programs and institutions. Innovative cross-border institutional arrangements create new commercial opportunities, such as franchising and twinning of academic programs and health services. There are also new forms of private sector involvement and increased foreign participation in the provision of medical services. Technological progress is facilitating various forms of distance education or health services supply such as telemedicine. These relatively new forms of trade are beginning to gain in importance in Sub-Saharan Africa and have high potential for further expansion. However, data on such flows remain scarce on the African continent. </w:t>
      </w:r>
    </w:p>
    <w:p w14:paraId="7E86FEB7" w14:textId="38BD64C1" w:rsidR="00C4454D" w:rsidRPr="00A735B4" w:rsidRDefault="00C4454D" w:rsidP="00C4454D">
      <w:pPr>
        <w:jc w:val="both"/>
      </w:pPr>
      <w:r w:rsidRPr="00A735B4">
        <w:t xml:space="preserve">Monitoring of progress in regional integration of health and education services in Africa is severely hampered by lack of comprehensive data on trade in services between African countries and sparse information on regulatory policies and their application. This annex explores the applicability of new methods, such as a crowdsourcing, to obtain data on performance indicators in health and education services in nine Sub-Saharan African countries, namely, Cameroon, Ghana, Kenya, Malawi, Nigeria, Rwanda, Tanzania, Uganda, and Zambia. </w:t>
      </w:r>
    </w:p>
    <w:p w14:paraId="1BE6B0E3" w14:textId="77777777" w:rsidR="00C4454D" w:rsidRPr="00A735B4" w:rsidRDefault="00C4454D" w:rsidP="00C4454D">
      <w:pPr>
        <w:jc w:val="both"/>
      </w:pPr>
    </w:p>
    <w:p w14:paraId="7C1CB86C" w14:textId="272929EF" w:rsidR="00C4454D" w:rsidRPr="00A735B4" w:rsidRDefault="00C4454D" w:rsidP="00C4454D">
      <w:pPr>
        <w:jc w:val="both"/>
      </w:pPr>
      <w:r w:rsidRPr="00A735B4">
        <w:t>Crowdsourcing is the process of getting information, work, or funding, usually online, from a crowd of people. Crowdsourced data come from the collective voices of consumers and can provide insights and opinions quicker and cheaper. Given that social networking and applications of mobile technology are dominant features of African mobile life, we are planning to use mobile phone surveys to gather information from providers and consumers of education and health services about trade patterns, determinants for trade, quality of and satisfaction with various services, and barriers to trade in these services.</w:t>
      </w:r>
    </w:p>
    <w:p w14:paraId="74DBFDC5" w14:textId="77777777" w:rsidR="00C4454D" w:rsidRPr="00A735B4" w:rsidRDefault="00C4454D" w:rsidP="00C4454D">
      <w:pPr>
        <w:rPr>
          <w:rFonts w:ascii="Times New Roman" w:hAnsi="Times New Roman"/>
          <w:szCs w:val="24"/>
        </w:rPr>
      </w:pPr>
    </w:p>
    <w:p w14:paraId="36A35631" w14:textId="611496D1" w:rsidR="00C4454D" w:rsidRPr="00A735B4" w:rsidRDefault="00C4454D" w:rsidP="00C4454D">
      <w:bookmarkStart w:id="157" w:name="_Toc419565282"/>
      <w:r w:rsidRPr="00A735B4">
        <w:t>E.2  Objectives</w:t>
      </w:r>
      <w:bookmarkEnd w:id="157"/>
    </w:p>
    <w:p w14:paraId="6DEAB4C7" w14:textId="77777777" w:rsidR="00C4454D" w:rsidRPr="00A735B4" w:rsidRDefault="00C4454D" w:rsidP="00C4454D">
      <w:pPr>
        <w:spacing w:after="200" w:line="276" w:lineRule="auto"/>
        <w:jc w:val="both"/>
      </w:pPr>
    </w:p>
    <w:p w14:paraId="332E77BC" w14:textId="431C8883" w:rsidR="00C4454D" w:rsidRPr="00A735B4" w:rsidRDefault="00C4454D" w:rsidP="00C4454D">
      <w:pPr>
        <w:spacing w:after="200" w:line="276" w:lineRule="auto"/>
        <w:jc w:val="both"/>
      </w:pPr>
      <w:r w:rsidRPr="00A735B4">
        <w:t xml:space="preserve">The survey commissioned by the World Bank and carried out by the firm Text to Change aimed at obtaining (i) data on health and education professionals, as well as students and patients involved in trade </w:t>
      </w:r>
      <w:r w:rsidRPr="00A735B4">
        <w:lastRenderedPageBreak/>
        <w:t xml:space="preserve">in health and education services; (ii) information on differences in the cost and the quality of education degrees and medical treatments across countries; and (iii) information on the recognition of foreign academic degrees and medical qualifications. The main objectives were to shed some light on the magnitude and the potential of trade in education and health services in Sub-Saharan Africa, and identify the main barriers to trade in these services in the region. </w:t>
      </w:r>
    </w:p>
    <w:p w14:paraId="18B42A49" w14:textId="3586D1FD" w:rsidR="00C4454D" w:rsidRPr="00A735B4" w:rsidRDefault="00C4454D" w:rsidP="00C4454D">
      <w:bookmarkStart w:id="158" w:name="_Toc419565283"/>
      <w:r w:rsidRPr="00A735B4">
        <w:t>E.3  Data collection and sample</w:t>
      </w:r>
      <w:bookmarkEnd w:id="158"/>
    </w:p>
    <w:p w14:paraId="602639DE" w14:textId="77777777" w:rsidR="00C4454D" w:rsidRPr="00A735B4" w:rsidRDefault="00C4454D" w:rsidP="00C4454D">
      <w:pPr>
        <w:tabs>
          <w:tab w:val="num" w:pos="720"/>
        </w:tabs>
        <w:spacing w:after="200"/>
        <w:jc w:val="both"/>
      </w:pPr>
    </w:p>
    <w:p w14:paraId="52C6F4D5" w14:textId="78C42C33" w:rsidR="00C4454D" w:rsidRPr="00A735B4" w:rsidRDefault="00C4454D" w:rsidP="00C4454D">
      <w:pPr>
        <w:tabs>
          <w:tab w:val="num" w:pos="720"/>
        </w:tabs>
        <w:spacing w:after="200"/>
        <w:jc w:val="both"/>
      </w:pPr>
      <w:r w:rsidRPr="00A735B4">
        <w:t xml:space="preserve">Data were collected using the crowdsourcing method based on a questionnaire designed by the World Bank in collaboration with Text to Change. </w:t>
      </w:r>
    </w:p>
    <w:p w14:paraId="35AB5FB4" w14:textId="70991025" w:rsidR="00C4454D" w:rsidRPr="00A735B4" w:rsidRDefault="00C4454D" w:rsidP="00C4454D">
      <w:pPr>
        <w:tabs>
          <w:tab w:val="num" w:pos="720"/>
        </w:tabs>
        <w:spacing w:after="200"/>
        <w:jc w:val="both"/>
        <w:rPr>
          <w:b/>
        </w:rPr>
      </w:pPr>
      <w:r w:rsidRPr="00A735B4">
        <w:t>More than 2,000 health professionals, hospital representatives and patients were surveyed across eight Sub-Saharan African countries. The sample composition for the health services surveys is presented in table E.1.</w:t>
      </w:r>
    </w:p>
    <w:p w14:paraId="0A834B72" w14:textId="5D252F2B" w:rsidR="00C4454D" w:rsidRPr="00A735B4" w:rsidRDefault="00C4454D" w:rsidP="00C4454D">
      <w:pPr>
        <w:jc w:val="center"/>
        <w:rPr>
          <w:color w:val="1F497D" w:themeColor="text2"/>
        </w:rPr>
      </w:pPr>
      <w:bookmarkStart w:id="159" w:name="_Toc410823574"/>
      <w:r w:rsidRPr="00A735B4">
        <w:rPr>
          <w:color w:val="1F497D" w:themeColor="text2"/>
        </w:rPr>
        <w:t>Table E.1 Sample distribution: Health services</w:t>
      </w:r>
      <w:bookmarkEnd w:id="159"/>
    </w:p>
    <w:tbl>
      <w:tblPr>
        <w:tblW w:w="10098" w:type="dxa"/>
        <w:tblInd w:w="10" w:type="dxa"/>
        <w:tblLayout w:type="fixed"/>
        <w:tblCellMar>
          <w:left w:w="10" w:type="dxa"/>
          <w:right w:w="10" w:type="dxa"/>
        </w:tblCellMar>
        <w:tblLook w:val="04A0" w:firstRow="1" w:lastRow="0" w:firstColumn="1" w:lastColumn="0" w:noHBand="0" w:noVBand="1"/>
      </w:tblPr>
      <w:tblGrid>
        <w:gridCol w:w="1998"/>
        <w:gridCol w:w="1136"/>
        <w:gridCol w:w="792"/>
        <w:gridCol w:w="753"/>
        <w:gridCol w:w="873"/>
        <w:gridCol w:w="920"/>
        <w:gridCol w:w="1007"/>
        <w:gridCol w:w="895"/>
        <w:gridCol w:w="872"/>
        <w:gridCol w:w="852"/>
      </w:tblGrid>
      <w:tr w:rsidR="00C4454D" w:rsidRPr="00A735B4" w14:paraId="4AD4F5E1" w14:textId="77777777" w:rsidTr="00C4454D">
        <w:trPr>
          <w:trHeight w:val="315"/>
        </w:trPr>
        <w:tc>
          <w:tcPr>
            <w:tcW w:w="1998" w:type="dxa"/>
            <w:noWrap/>
            <w:hideMark/>
          </w:tcPr>
          <w:p w14:paraId="69F1F9BA" w14:textId="1E8D24F9" w:rsidR="00C4454D" w:rsidRPr="00A735B4" w:rsidRDefault="00C4454D" w:rsidP="00C4454D">
            <w:pPr>
              <w:rPr>
                <w:b/>
                <w:caps/>
                <w:spacing w:val="20"/>
                <w:kern w:val="16"/>
                <w:sz w:val="16"/>
                <w:szCs w:val="16"/>
              </w:rPr>
            </w:pPr>
            <w:r w:rsidRPr="00A735B4">
              <w:rPr>
                <w:b/>
                <w:spacing w:val="20"/>
                <w:kern w:val="16"/>
                <w:sz w:val="16"/>
                <w:szCs w:val="16"/>
              </w:rPr>
              <w:t>Total sample</w:t>
            </w:r>
          </w:p>
        </w:tc>
        <w:tc>
          <w:tcPr>
            <w:tcW w:w="1136" w:type="dxa"/>
            <w:noWrap/>
            <w:hideMark/>
          </w:tcPr>
          <w:p w14:paraId="03063FF2" w14:textId="77777777" w:rsidR="00C4454D" w:rsidRPr="00A735B4" w:rsidRDefault="00C4454D" w:rsidP="00C4454D">
            <w:pPr>
              <w:jc w:val="center"/>
              <w:rPr>
                <w:b/>
                <w:caps/>
                <w:spacing w:val="20"/>
                <w:kern w:val="16"/>
                <w:sz w:val="16"/>
                <w:szCs w:val="16"/>
              </w:rPr>
            </w:pPr>
            <w:r w:rsidRPr="00A735B4">
              <w:rPr>
                <w:b/>
                <w:spacing w:val="20"/>
                <w:kern w:val="16"/>
                <w:sz w:val="16"/>
                <w:szCs w:val="16"/>
              </w:rPr>
              <w:t>Cameroon</w:t>
            </w:r>
          </w:p>
        </w:tc>
        <w:tc>
          <w:tcPr>
            <w:tcW w:w="792" w:type="dxa"/>
            <w:noWrap/>
            <w:hideMark/>
          </w:tcPr>
          <w:p w14:paraId="21CFE58E" w14:textId="77777777" w:rsidR="00C4454D" w:rsidRPr="00A735B4" w:rsidRDefault="00C4454D" w:rsidP="00C4454D">
            <w:pPr>
              <w:jc w:val="center"/>
              <w:rPr>
                <w:b/>
                <w:caps/>
                <w:spacing w:val="20"/>
                <w:kern w:val="16"/>
                <w:sz w:val="16"/>
                <w:szCs w:val="16"/>
              </w:rPr>
            </w:pPr>
            <w:r w:rsidRPr="00A735B4">
              <w:rPr>
                <w:b/>
                <w:spacing w:val="20"/>
                <w:kern w:val="16"/>
                <w:sz w:val="16"/>
                <w:szCs w:val="16"/>
              </w:rPr>
              <w:t>Ghana</w:t>
            </w:r>
          </w:p>
        </w:tc>
        <w:tc>
          <w:tcPr>
            <w:tcW w:w="753" w:type="dxa"/>
            <w:noWrap/>
            <w:hideMark/>
          </w:tcPr>
          <w:p w14:paraId="3FA64CBC" w14:textId="77777777" w:rsidR="00C4454D" w:rsidRPr="00A735B4" w:rsidRDefault="00C4454D" w:rsidP="00C4454D">
            <w:pPr>
              <w:jc w:val="center"/>
              <w:rPr>
                <w:b/>
                <w:caps/>
                <w:spacing w:val="20"/>
                <w:kern w:val="16"/>
                <w:sz w:val="16"/>
                <w:szCs w:val="16"/>
              </w:rPr>
            </w:pPr>
            <w:r w:rsidRPr="00A735B4">
              <w:rPr>
                <w:b/>
                <w:spacing w:val="20"/>
                <w:kern w:val="16"/>
                <w:sz w:val="16"/>
                <w:szCs w:val="16"/>
              </w:rPr>
              <w:t>Kenya</w:t>
            </w:r>
          </w:p>
        </w:tc>
        <w:tc>
          <w:tcPr>
            <w:tcW w:w="873" w:type="dxa"/>
            <w:noWrap/>
            <w:hideMark/>
          </w:tcPr>
          <w:p w14:paraId="69DA9219" w14:textId="77777777" w:rsidR="00C4454D" w:rsidRPr="00A735B4" w:rsidRDefault="00C4454D" w:rsidP="00C4454D">
            <w:pPr>
              <w:jc w:val="center"/>
              <w:rPr>
                <w:b/>
                <w:caps/>
                <w:spacing w:val="20"/>
                <w:kern w:val="16"/>
                <w:sz w:val="16"/>
                <w:szCs w:val="16"/>
              </w:rPr>
            </w:pPr>
            <w:r w:rsidRPr="00A735B4">
              <w:rPr>
                <w:b/>
                <w:spacing w:val="20"/>
                <w:kern w:val="16"/>
                <w:sz w:val="16"/>
                <w:szCs w:val="16"/>
              </w:rPr>
              <w:t>Malawi</w:t>
            </w:r>
          </w:p>
        </w:tc>
        <w:tc>
          <w:tcPr>
            <w:tcW w:w="920" w:type="dxa"/>
            <w:noWrap/>
            <w:hideMark/>
          </w:tcPr>
          <w:p w14:paraId="0123C611" w14:textId="77777777" w:rsidR="00C4454D" w:rsidRPr="00A735B4" w:rsidRDefault="00C4454D" w:rsidP="00C4454D">
            <w:pPr>
              <w:jc w:val="center"/>
              <w:rPr>
                <w:b/>
                <w:caps/>
                <w:spacing w:val="20"/>
                <w:kern w:val="16"/>
                <w:sz w:val="16"/>
                <w:szCs w:val="16"/>
              </w:rPr>
            </w:pPr>
            <w:r w:rsidRPr="00A735B4">
              <w:rPr>
                <w:b/>
                <w:spacing w:val="20"/>
                <w:kern w:val="16"/>
                <w:sz w:val="16"/>
                <w:szCs w:val="16"/>
              </w:rPr>
              <w:t>Rwanda</w:t>
            </w:r>
          </w:p>
        </w:tc>
        <w:tc>
          <w:tcPr>
            <w:tcW w:w="1007" w:type="dxa"/>
            <w:noWrap/>
            <w:hideMark/>
          </w:tcPr>
          <w:p w14:paraId="54722CC0" w14:textId="77777777" w:rsidR="00C4454D" w:rsidRPr="00A735B4" w:rsidRDefault="00C4454D" w:rsidP="00C4454D">
            <w:pPr>
              <w:jc w:val="center"/>
              <w:rPr>
                <w:b/>
                <w:caps/>
                <w:spacing w:val="20"/>
                <w:kern w:val="16"/>
                <w:sz w:val="16"/>
                <w:szCs w:val="16"/>
              </w:rPr>
            </w:pPr>
            <w:r w:rsidRPr="00A735B4">
              <w:rPr>
                <w:b/>
                <w:spacing w:val="20"/>
                <w:kern w:val="16"/>
                <w:sz w:val="16"/>
                <w:szCs w:val="16"/>
              </w:rPr>
              <w:t>Tanzania</w:t>
            </w:r>
          </w:p>
        </w:tc>
        <w:tc>
          <w:tcPr>
            <w:tcW w:w="895" w:type="dxa"/>
            <w:noWrap/>
            <w:hideMark/>
          </w:tcPr>
          <w:p w14:paraId="3B2BB2E5" w14:textId="77777777" w:rsidR="00C4454D" w:rsidRPr="00A735B4" w:rsidRDefault="00C4454D" w:rsidP="00C4454D">
            <w:pPr>
              <w:jc w:val="center"/>
              <w:rPr>
                <w:b/>
                <w:caps/>
                <w:spacing w:val="20"/>
                <w:kern w:val="16"/>
                <w:sz w:val="16"/>
                <w:szCs w:val="16"/>
              </w:rPr>
            </w:pPr>
            <w:r w:rsidRPr="00A735B4">
              <w:rPr>
                <w:b/>
                <w:spacing w:val="20"/>
                <w:kern w:val="16"/>
                <w:sz w:val="16"/>
                <w:szCs w:val="16"/>
              </w:rPr>
              <w:t>Uganda</w:t>
            </w:r>
          </w:p>
        </w:tc>
        <w:tc>
          <w:tcPr>
            <w:tcW w:w="872" w:type="dxa"/>
            <w:noWrap/>
            <w:hideMark/>
          </w:tcPr>
          <w:p w14:paraId="167AC4C6" w14:textId="77777777" w:rsidR="00C4454D" w:rsidRPr="00A735B4" w:rsidRDefault="00C4454D" w:rsidP="00C4454D">
            <w:pPr>
              <w:jc w:val="center"/>
              <w:rPr>
                <w:b/>
                <w:caps/>
                <w:spacing w:val="20"/>
                <w:kern w:val="16"/>
                <w:sz w:val="16"/>
                <w:szCs w:val="16"/>
              </w:rPr>
            </w:pPr>
            <w:r w:rsidRPr="00A735B4">
              <w:rPr>
                <w:b/>
                <w:spacing w:val="20"/>
                <w:kern w:val="16"/>
                <w:sz w:val="16"/>
                <w:szCs w:val="16"/>
              </w:rPr>
              <w:t>Zambia</w:t>
            </w:r>
          </w:p>
        </w:tc>
        <w:tc>
          <w:tcPr>
            <w:tcW w:w="852" w:type="dxa"/>
            <w:noWrap/>
            <w:hideMark/>
          </w:tcPr>
          <w:p w14:paraId="7EDBA1A3" w14:textId="77777777" w:rsidR="00C4454D" w:rsidRPr="00A735B4" w:rsidRDefault="00C4454D" w:rsidP="00C4454D">
            <w:pPr>
              <w:jc w:val="center"/>
              <w:rPr>
                <w:b/>
                <w:caps/>
                <w:spacing w:val="20"/>
                <w:kern w:val="16"/>
                <w:sz w:val="16"/>
                <w:szCs w:val="16"/>
              </w:rPr>
            </w:pPr>
            <w:r w:rsidRPr="00A735B4">
              <w:rPr>
                <w:b/>
                <w:spacing w:val="20"/>
                <w:kern w:val="16"/>
                <w:sz w:val="16"/>
                <w:szCs w:val="16"/>
              </w:rPr>
              <w:t>Total</w:t>
            </w:r>
          </w:p>
        </w:tc>
      </w:tr>
      <w:tr w:rsidR="00C4454D" w:rsidRPr="00A735B4" w14:paraId="6FD1CF5B" w14:textId="77777777" w:rsidTr="00C4454D">
        <w:trPr>
          <w:trHeight w:val="300"/>
        </w:trPr>
        <w:tc>
          <w:tcPr>
            <w:tcW w:w="1998" w:type="dxa"/>
            <w:noWrap/>
            <w:hideMark/>
          </w:tcPr>
          <w:p w14:paraId="66E9A8C1" w14:textId="27D02439" w:rsidR="00C4454D" w:rsidRPr="00A735B4" w:rsidRDefault="00C4454D" w:rsidP="00C4454D">
            <w:pPr>
              <w:ind w:right="198"/>
              <w:rPr>
                <w:b/>
                <w:caps/>
                <w:spacing w:val="20"/>
                <w:kern w:val="16"/>
                <w:sz w:val="18"/>
                <w:szCs w:val="18"/>
              </w:rPr>
            </w:pPr>
            <w:r w:rsidRPr="00A735B4">
              <w:rPr>
                <w:b/>
                <w:spacing w:val="20"/>
                <w:kern w:val="16"/>
                <w:sz w:val="18"/>
                <w:szCs w:val="18"/>
              </w:rPr>
              <w:t>Hospital reps</w:t>
            </w:r>
          </w:p>
        </w:tc>
        <w:tc>
          <w:tcPr>
            <w:tcW w:w="1136" w:type="dxa"/>
            <w:noWrap/>
            <w:hideMark/>
          </w:tcPr>
          <w:p w14:paraId="2CFBE329" w14:textId="77777777" w:rsidR="00C4454D" w:rsidRPr="00A735B4" w:rsidRDefault="00C4454D" w:rsidP="00C4454D">
            <w:pPr>
              <w:rPr>
                <w:bCs/>
                <w:caps/>
                <w:spacing w:val="20"/>
                <w:kern w:val="16"/>
                <w:sz w:val="18"/>
                <w:szCs w:val="18"/>
              </w:rPr>
            </w:pPr>
            <w:r w:rsidRPr="00A735B4">
              <w:rPr>
                <w:bCs/>
                <w:caps/>
                <w:spacing w:val="20"/>
                <w:kern w:val="16"/>
                <w:sz w:val="18"/>
                <w:szCs w:val="18"/>
              </w:rPr>
              <w:t>20</w:t>
            </w:r>
          </w:p>
        </w:tc>
        <w:tc>
          <w:tcPr>
            <w:tcW w:w="792" w:type="dxa"/>
            <w:noWrap/>
            <w:hideMark/>
          </w:tcPr>
          <w:p w14:paraId="564656B6" w14:textId="77777777" w:rsidR="00C4454D" w:rsidRPr="00A735B4" w:rsidRDefault="00C4454D" w:rsidP="00C4454D">
            <w:pPr>
              <w:rPr>
                <w:bCs/>
                <w:caps/>
                <w:spacing w:val="20"/>
                <w:kern w:val="16"/>
                <w:sz w:val="18"/>
                <w:szCs w:val="18"/>
              </w:rPr>
            </w:pPr>
            <w:r w:rsidRPr="00A735B4">
              <w:rPr>
                <w:bCs/>
                <w:caps/>
                <w:spacing w:val="20"/>
                <w:kern w:val="16"/>
                <w:sz w:val="18"/>
                <w:szCs w:val="18"/>
              </w:rPr>
              <w:t>21</w:t>
            </w:r>
          </w:p>
        </w:tc>
        <w:tc>
          <w:tcPr>
            <w:tcW w:w="753" w:type="dxa"/>
            <w:noWrap/>
            <w:hideMark/>
          </w:tcPr>
          <w:p w14:paraId="63797482" w14:textId="77777777" w:rsidR="00C4454D" w:rsidRPr="00A735B4" w:rsidRDefault="00C4454D" w:rsidP="00C4454D">
            <w:pPr>
              <w:rPr>
                <w:bCs/>
                <w:caps/>
                <w:spacing w:val="20"/>
                <w:kern w:val="16"/>
                <w:sz w:val="18"/>
                <w:szCs w:val="18"/>
              </w:rPr>
            </w:pPr>
            <w:r w:rsidRPr="00A735B4">
              <w:rPr>
                <w:bCs/>
                <w:caps/>
                <w:spacing w:val="20"/>
                <w:kern w:val="16"/>
                <w:sz w:val="18"/>
                <w:szCs w:val="18"/>
              </w:rPr>
              <w:t>25</w:t>
            </w:r>
          </w:p>
        </w:tc>
        <w:tc>
          <w:tcPr>
            <w:tcW w:w="873" w:type="dxa"/>
            <w:noWrap/>
            <w:hideMark/>
          </w:tcPr>
          <w:p w14:paraId="45778AC0" w14:textId="77777777" w:rsidR="00C4454D" w:rsidRPr="00A735B4" w:rsidRDefault="00C4454D" w:rsidP="00C4454D">
            <w:pPr>
              <w:rPr>
                <w:bCs/>
                <w:caps/>
                <w:spacing w:val="20"/>
                <w:kern w:val="16"/>
                <w:sz w:val="18"/>
                <w:szCs w:val="18"/>
              </w:rPr>
            </w:pPr>
            <w:r w:rsidRPr="00A735B4">
              <w:rPr>
                <w:bCs/>
                <w:caps/>
                <w:spacing w:val="20"/>
                <w:kern w:val="16"/>
                <w:sz w:val="18"/>
                <w:szCs w:val="18"/>
              </w:rPr>
              <w:t>22</w:t>
            </w:r>
          </w:p>
        </w:tc>
        <w:tc>
          <w:tcPr>
            <w:tcW w:w="920" w:type="dxa"/>
            <w:noWrap/>
            <w:hideMark/>
          </w:tcPr>
          <w:p w14:paraId="1612B454" w14:textId="77777777" w:rsidR="00C4454D" w:rsidRPr="00A735B4" w:rsidRDefault="00C4454D" w:rsidP="00C4454D">
            <w:pPr>
              <w:rPr>
                <w:bCs/>
                <w:caps/>
                <w:spacing w:val="20"/>
                <w:kern w:val="16"/>
                <w:sz w:val="18"/>
                <w:szCs w:val="18"/>
              </w:rPr>
            </w:pPr>
            <w:r w:rsidRPr="00A735B4">
              <w:rPr>
                <w:bCs/>
                <w:caps/>
                <w:spacing w:val="20"/>
                <w:kern w:val="16"/>
                <w:sz w:val="18"/>
                <w:szCs w:val="18"/>
              </w:rPr>
              <w:t>20</w:t>
            </w:r>
          </w:p>
        </w:tc>
        <w:tc>
          <w:tcPr>
            <w:tcW w:w="1007" w:type="dxa"/>
            <w:noWrap/>
            <w:hideMark/>
          </w:tcPr>
          <w:p w14:paraId="669CC66A" w14:textId="77777777" w:rsidR="00C4454D" w:rsidRPr="00A735B4" w:rsidRDefault="00C4454D" w:rsidP="00C4454D">
            <w:pPr>
              <w:rPr>
                <w:bCs/>
                <w:caps/>
                <w:spacing w:val="20"/>
                <w:kern w:val="16"/>
                <w:sz w:val="18"/>
                <w:szCs w:val="18"/>
              </w:rPr>
            </w:pPr>
            <w:r w:rsidRPr="00A735B4">
              <w:rPr>
                <w:bCs/>
                <w:caps/>
                <w:spacing w:val="20"/>
                <w:kern w:val="16"/>
                <w:sz w:val="18"/>
                <w:szCs w:val="18"/>
              </w:rPr>
              <w:t>21</w:t>
            </w:r>
          </w:p>
        </w:tc>
        <w:tc>
          <w:tcPr>
            <w:tcW w:w="895" w:type="dxa"/>
            <w:noWrap/>
            <w:hideMark/>
          </w:tcPr>
          <w:p w14:paraId="2774D0C9" w14:textId="77777777" w:rsidR="00C4454D" w:rsidRPr="00A735B4" w:rsidRDefault="00C4454D" w:rsidP="00C4454D">
            <w:pPr>
              <w:rPr>
                <w:bCs/>
                <w:caps/>
                <w:spacing w:val="20"/>
                <w:kern w:val="16"/>
                <w:sz w:val="18"/>
                <w:szCs w:val="18"/>
              </w:rPr>
            </w:pPr>
            <w:r w:rsidRPr="00A735B4">
              <w:rPr>
                <w:bCs/>
                <w:caps/>
                <w:spacing w:val="20"/>
                <w:kern w:val="16"/>
                <w:sz w:val="18"/>
                <w:szCs w:val="18"/>
              </w:rPr>
              <w:t>32</w:t>
            </w:r>
          </w:p>
        </w:tc>
        <w:tc>
          <w:tcPr>
            <w:tcW w:w="872" w:type="dxa"/>
            <w:noWrap/>
            <w:hideMark/>
          </w:tcPr>
          <w:p w14:paraId="477A87A9" w14:textId="77777777" w:rsidR="00C4454D" w:rsidRPr="00A735B4" w:rsidRDefault="00C4454D" w:rsidP="00C4454D">
            <w:pPr>
              <w:rPr>
                <w:bCs/>
                <w:caps/>
                <w:spacing w:val="20"/>
                <w:kern w:val="16"/>
                <w:sz w:val="18"/>
                <w:szCs w:val="18"/>
              </w:rPr>
            </w:pPr>
            <w:r w:rsidRPr="00A735B4">
              <w:rPr>
                <w:bCs/>
                <w:caps/>
                <w:spacing w:val="20"/>
                <w:kern w:val="16"/>
                <w:sz w:val="18"/>
                <w:szCs w:val="18"/>
              </w:rPr>
              <w:t>20</w:t>
            </w:r>
          </w:p>
        </w:tc>
        <w:tc>
          <w:tcPr>
            <w:tcW w:w="852" w:type="dxa"/>
            <w:noWrap/>
            <w:hideMark/>
          </w:tcPr>
          <w:p w14:paraId="42B333AA" w14:textId="77777777" w:rsidR="00C4454D" w:rsidRPr="00A735B4" w:rsidRDefault="00C4454D" w:rsidP="00C4454D">
            <w:pPr>
              <w:rPr>
                <w:bCs/>
                <w:caps/>
                <w:spacing w:val="20"/>
                <w:kern w:val="16"/>
                <w:sz w:val="18"/>
                <w:szCs w:val="18"/>
              </w:rPr>
            </w:pPr>
            <w:r w:rsidRPr="00A735B4">
              <w:rPr>
                <w:bCs/>
                <w:caps/>
                <w:spacing w:val="20"/>
                <w:kern w:val="16"/>
                <w:sz w:val="18"/>
                <w:szCs w:val="18"/>
              </w:rPr>
              <w:t>181</w:t>
            </w:r>
          </w:p>
        </w:tc>
      </w:tr>
      <w:tr w:rsidR="00C4454D" w:rsidRPr="00A735B4" w14:paraId="222A37CF" w14:textId="77777777" w:rsidTr="00C4454D">
        <w:trPr>
          <w:trHeight w:val="300"/>
        </w:trPr>
        <w:tc>
          <w:tcPr>
            <w:tcW w:w="1998" w:type="dxa"/>
            <w:noWrap/>
            <w:hideMark/>
          </w:tcPr>
          <w:p w14:paraId="5F0CC4A7" w14:textId="770A6849" w:rsidR="00C4454D" w:rsidRPr="00A735B4" w:rsidRDefault="00C4454D" w:rsidP="00C4454D">
            <w:pPr>
              <w:rPr>
                <w:b/>
                <w:caps/>
                <w:spacing w:val="20"/>
                <w:kern w:val="16"/>
                <w:sz w:val="18"/>
                <w:szCs w:val="18"/>
              </w:rPr>
            </w:pPr>
            <w:r w:rsidRPr="00A735B4">
              <w:rPr>
                <w:b/>
                <w:spacing w:val="20"/>
                <w:kern w:val="16"/>
                <w:sz w:val="18"/>
                <w:szCs w:val="18"/>
              </w:rPr>
              <w:t>Doctors &amp; nurses</w:t>
            </w:r>
          </w:p>
        </w:tc>
        <w:tc>
          <w:tcPr>
            <w:tcW w:w="1136" w:type="dxa"/>
            <w:noWrap/>
            <w:hideMark/>
          </w:tcPr>
          <w:p w14:paraId="07E11868" w14:textId="77777777" w:rsidR="00C4454D" w:rsidRPr="00A735B4" w:rsidRDefault="00C4454D" w:rsidP="00C4454D">
            <w:pPr>
              <w:rPr>
                <w:caps/>
                <w:spacing w:val="20"/>
                <w:kern w:val="16"/>
                <w:sz w:val="18"/>
                <w:szCs w:val="18"/>
              </w:rPr>
            </w:pPr>
            <w:r w:rsidRPr="00A735B4">
              <w:rPr>
                <w:caps/>
                <w:spacing w:val="20"/>
                <w:kern w:val="16"/>
                <w:sz w:val="18"/>
                <w:szCs w:val="18"/>
              </w:rPr>
              <w:t>35</w:t>
            </w:r>
          </w:p>
        </w:tc>
        <w:tc>
          <w:tcPr>
            <w:tcW w:w="792" w:type="dxa"/>
            <w:noWrap/>
            <w:hideMark/>
          </w:tcPr>
          <w:p w14:paraId="61720A2C" w14:textId="77777777" w:rsidR="00C4454D" w:rsidRPr="00A735B4" w:rsidRDefault="00C4454D" w:rsidP="00C4454D">
            <w:pPr>
              <w:rPr>
                <w:caps/>
                <w:spacing w:val="20"/>
                <w:kern w:val="16"/>
                <w:sz w:val="18"/>
                <w:szCs w:val="18"/>
              </w:rPr>
            </w:pPr>
            <w:r w:rsidRPr="00A735B4">
              <w:rPr>
                <w:caps/>
                <w:spacing w:val="20"/>
                <w:kern w:val="16"/>
                <w:sz w:val="18"/>
                <w:szCs w:val="18"/>
              </w:rPr>
              <w:t>43</w:t>
            </w:r>
          </w:p>
        </w:tc>
        <w:tc>
          <w:tcPr>
            <w:tcW w:w="753" w:type="dxa"/>
            <w:noWrap/>
            <w:hideMark/>
          </w:tcPr>
          <w:p w14:paraId="6EFD2342" w14:textId="77777777" w:rsidR="00C4454D" w:rsidRPr="00A735B4" w:rsidRDefault="00C4454D" w:rsidP="00C4454D">
            <w:pPr>
              <w:rPr>
                <w:caps/>
                <w:spacing w:val="20"/>
                <w:kern w:val="16"/>
                <w:sz w:val="18"/>
                <w:szCs w:val="18"/>
              </w:rPr>
            </w:pPr>
            <w:r w:rsidRPr="00A735B4">
              <w:rPr>
                <w:caps/>
                <w:spacing w:val="20"/>
                <w:kern w:val="16"/>
                <w:sz w:val="18"/>
                <w:szCs w:val="18"/>
              </w:rPr>
              <w:t>45</w:t>
            </w:r>
          </w:p>
        </w:tc>
        <w:tc>
          <w:tcPr>
            <w:tcW w:w="873" w:type="dxa"/>
            <w:noWrap/>
            <w:hideMark/>
          </w:tcPr>
          <w:p w14:paraId="003E7CB0" w14:textId="77777777" w:rsidR="00C4454D" w:rsidRPr="00A735B4" w:rsidRDefault="00C4454D" w:rsidP="00C4454D">
            <w:pPr>
              <w:rPr>
                <w:caps/>
                <w:spacing w:val="20"/>
                <w:kern w:val="16"/>
                <w:sz w:val="18"/>
                <w:szCs w:val="18"/>
              </w:rPr>
            </w:pPr>
            <w:r w:rsidRPr="00A735B4">
              <w:rPr>
                <w:caps/>
                <w:spacing w:val="20"/>
                <w:kern w:val="16"/>
                <w:sz w:val="18"/>
                <w:szCs w:val="18"/>
              </w:rPr>
              <w:t>53</w:t>
            </w:r>
          </w:p>
        </w:tc>
        <w:tc>
          <w:tcPr>
            <w:tcW w:w="920" w:type="dxa"/>
            <w:noWrap/>
            <w:hideMark/>
          </w:tcPr>
          <w:p w14:paraId="78421A04" w14:textId="77777777" w:rsidR="00C4454D" w:rsidRPr="00A735B4" w:rsidRDefault="00C4454D" w:rsidP="00C4454D">
            <w:pPr>
              <w:rPr>
                <w:caps/>
                <w:spacing w:val="20"/>
                <w:kern w:val="16"/>
                <w:sz w:val="18"/>
                <w:szCs w:val="18"/>
              </w:rPr>
            </w:pPr>
            <w:r w:rsidRPr="00A735B4">
              <w:rPr>
                <w:caps/>
                <w:spacing w:val="20"/>
                <w:kern w:val="16"/>
                <w:sz w:val="18"/>
                <w:szCs w:val="18"/>
              </w:rPr>
              <w:t>52</w:t>
            </w:r>
          </w:p>
        </w:tc>
        <w:tc>
          <w:tcPr>
            <w:tcW w:w="1007" w:type="dxa"/>
            <w:noWrap/>
            <w:hideMark/>
          </w:tcPr>
          <w:p w14:paraId="1AED007F" w14:textId="77777777" w:rsidR="00C4454D" w:rsidRPr="00A735B4" w:rsidRDefault="00C4454D" w:rsidP="00C4454D">
            <w:pPr>
              <w:rPr>
                <w:caps/>
                <w:spacing w:val="20"/>
                <w:kern w:val="16"/>
                <w:sz w:val="18"/>
                <w:szCs w:val="18"/>
              </w:rPr>
            </w:pPr>
            <w:r w:rsidRPr="00A735B4">
              <w:rPr>
                <w:caps/>
                <w:spacing w:val="20"/>
                <w:kern w:val="16"/>
                <w:sz w:val="18"/>
                <w:szCs w:val="18"/>
              </w:rPr>
              <w:t>32</w:t>
            </w:r>
          </w:p>
        </w:tc>
        <w:tc>
          <w:tcPr>
            <w:tcW w:w="895" w:type="dxa"/>
            <w:noWrap/>
            <w:hideMark/>
          </w:tcPr>
          <w:p w14:paraId="1138BF5D" w14:textId="77777777" w:rsidR="00C4454D" w:rsidRPr="00A735B4" w:rsidRDefault="00C4454D" w:rsidP="00C4454D">
            <w:pPr>
              <w:rPr>
                <w:caps/>
                <w:spacing w:val="20"/>
                <w:kern w:val="16"/>
                <w:sz w:val="18"/>
                <w:szCs w:val="18"/>
              </w:rPr>
            </w:pPr>
            <w:r w:rsidRPr="00A735B4">
              <w:rPr>
                <w:caps/>
                <w:spacing w:val="20"/>
                <w:kern w:val="16"/>
                <w:sz w:val="18"/>
                <w:szCs w:val="18"/>
              </w:rPr>
              <w:t>95</w:t>
            </w:r>
          </w:p>
        </w:tc>
        <w:tc>
          <w:tcPr>
            <w:tcW w:w="872" w:type="dxa"/>
            <w:noWrap/>
            <w:hideMark/>
          </w:tcPr>
          <w:p w14:paraId="4912013E" w14:textId="77777777" w:rsidR="00C4454D" w:rsidRPr="00A735B4" w:rsidRDefault="00C4454D" w:rsidP="00C4454D">
            <w:pPr>
              <w:rPr>
                <w:caps/>
                <w:spacing w:val="20"/>
                <w:kern w:val="16"/>
                <w:sz w:val="18"/>
                <w:szCs w:val="18"/>
              </w:rPr>
            </w:pPr>
            <w:r w:rsidRPr="00A735B4">
              <w:rPr>
                <w:caps/>
                <w:spacing w:val="20"/>
                <w:kern w:val="16"/>
                <w:sz w:val="18"/>
                <w:szCs w:val="18"/>
              </w:rPr>
              <w:t>46</w:t>
            </w:r>
          </w:p>
        </w:tc>
        <w:tc>
          <w:tcPr>
            <w:tcW w:w="852" w:type="dxa"/>
            <w:noWrap/>
            <w:hideMark/>
          </w:tcPr>
          <w:p w14:paraId="52C672AD" w14:textId="77777777" w:rsidR="00C4454D" w:rsidRPr="00A735B4" w:rsidRDefault="00C4454D" w:rsidP="00C4454D">
            <w:pPr>
              <w:rPr>
                <w:caps/>
                <w:spacing w:val="20"/>
                <w:kern w:val="16"/>
                <w:sz w:val="18"/>
                <w:szCs w:val="18"/>
              </w:rPr>
            </w:pPr>
            <w:r w:rsidRPr="00A735B4">
              <w:rPr>
                <w:caps/>
                <w:spacing w:val="20"/>
                <w:kern w:val="16"/>
                <w:sz w:val="18"/>
                <w:szCs w:val="18"/>
              </w:rPr>
              <w:t>401</w:t>
            </w:r>
          </w:p>
        </w:tc>
      </w:tr>
      <w:tr w:rsidR="00C4454D" w:rsidRPr="00A735B4" w14:paraId="29CE86DA" w14:textId="77777777" w:rsidTr="00C4454D">
        <w:trPr>
          <w:trHeight w:val="315"/>
        </w:trPr>
        <w:tc>
          <w:tcPr>
            <w:tcW w:w="1998" w:type="dxa"/>
            <w:noWrap/>
            <w:hideMark/>
          </w:tcPr>
          <w:p w14:paraId="48ABB553" w14:textId="77777777" w:rsidR="00C4454D" w:rsidRPr="00A735B4" w:rsidRDefault="00C4454D" w:rsidP="00C4454D">
            <w:pPr>
              <w:rPr>
                <w:b/>
                <w:caps/>
                <w:spacing w:val="20"/>
                <w:kern w:val="16"/>
                <w:sz w:val="18"/>
                <w:szCs w:val="18"/>
              </w:rPr>
            </w:pPr>
            <w:r w:rsidRPr="00A735B4">
              <w:rPr>
                <w:b/>
                <w:spacing w:val="20"/>
                <w:kern w:val="16"/>
                <w:sz w:val="18"/>
                <w:szCs w:val="18"/>
              </w:rPr>
              <w:t>Patients</w:t>
            </w:r>
          </w:p>
        </w:tc>
        <w:tc>
          <w:tcPr>
            <w:tcW w:w="1136" w:type="dxa"/>
            <w:noWrap/>
            <w:hideMark/>
          </w:tcPr>
          <w:p w14:paraId="7E5802AC" w14:textId="77777777" w:rsidR="00C4454D" w:rsidRPr="00A735B4" w:rsidRDefault="00C4454D" w:rsidP="00C4454D">
            <w:pPr>
              <w:rPr>
                <w:caps/>
                <w:spacing w:val="20"/>
                <w:kern w:val="16"/>
                <w:sz w:val="18"/>
                <w:szCs w:val="18"/>
              </w:rPr>
            </w:pPr>
            <w:r w:rsidRPr="00A735B4">
              <w:rPr>
                <w:caps/>
                <w:spacing w:val="20"/>
                <w:kern w:val="16"/>
                <w:sz w:val="18"/>
                <w:szCs w:val="18"/>
              </w:rPr>
              <w:t>151</w:t>
            </w:r>
          </w:p>
        </w:tc>
        <w:tc>
          <w:tcPr>
            <w:tcW w:w="792" w:type="dxa"/>
            <w:noWrap/>
            <w:hideMark/>
          </w:tcPr>
          <w:p w14:paraId="116B724E" w14:textId="77777777" w:rsidR="00C4454D" w:rsidRPr="00A735B4" w:rsidRDefault="00C4454D" w:rsidP="00C4454D">
            <w:pPr>
              <w:rPr>
                <w:caps/>
                <w:spacing w:val="20"/>
                <w:kern w:val="16"/>
                <w:sz w:val="18"/>
                <w:szCs w:val="18"/>
              </w:rPr>
            </w:pPr>
            <w:r w:rsidRPr="00A735B4">
              <w:rPr>
                <w:caps/>
                <w:spacing w:val="20"/>
                <w:kern w:val="16"/>
                <w:sz w:val="18"/>
                <w:szCs w:val="18"/>
              </w:rPr>
              <w:t>193</w:t>
            </w:r>
          </w:p>
        </w:tc>
        <w:tc>
          <w:tcPr>
            <w:tcW w:w="753" w:type="dxa"/>
            <w:noWrap/>
            <w:hideMark/>
          </w:tcPr>
          <w:p w14:paraId="620CCA83" w14:textId="77777777" w:rsidR="00C4454D" w:rsidRPr="00A735B4" w:rsidRDefault="00C4454D" w:rsidP="00C4454D">
            <w:pPr>
              <w:rPr>
                <w:caps/>
                <w:spacing w:val="20"/>
                <w:kern w:val="16"/>
                <w:sz w:val="18"/>
                <w:szCs w:val="18"/>
              </w:rPr>
            </w:pPr>
            <w:r w:rsidRPr="00A735B4">
              <w:rPr>
                <w:caps/>
                <w:spacing w:val="20"/>
                <w:kern w:val="16"/>
                <w:sz w:val="18"/>
                <w:szCs w:val="18"/>
              </w:rPr>
              <w:t>155</w:t>
            </w:r>
          </w:p>
        </w:tc>
        <w:tc>
          <w:tcPr>
            <w:tcW w:w="873" w:type="dxa"/>
            <w:noWrap/>
            <w:hideMark/>
          </w:tcPr>
          <w:p w14:paraId="1FC1FBED" w14:textId="77777777" w:rsidR="00C4454D" w:rsidRPr="00A735B4" w:rsidRDefault="00C4454D" w:rsidP="00C4454D">
            <w:pPr>
              <w:rPr>
                <w:caps/>
                <w:spacing w:val="20"/>
                <w:kern w:val="16"/>
                <w:sz w:val="18"/>
                <w:szCs w:val="18"/>
              </w:rPr>
            </w:pPr>
            <w:r w:rsidRPr="00A735B4">
              <w:rPr>
                <w:caps/>
                <w:spacing w:val="20"/>
                <w:kern w:val="16"/>
                <w:sz w:val="18"/>
                <w:szCs w:val="18"/>
              </w:rPr>
              <w:t>243</w:t>
            </w:r>
          </w:p>
        </w:tc>
        <w:tc>
          <w:tcPr>
            <w:tcW w:w="920" w:type="dxa"/>
            <w:noWrap/>
            <w:hideMark/>
          </w:tcPr>
          <w:p w14:paraId="6FEA81FF" w14:textId="77777777" w:rsidR="00C4454D" w:rsidRPr="00A735B4" w:rsidRDefault="00C4454D" w:rsidP="00C4454D">
            <w:pPr>
              <w:rPr>
                <w:caps/>
                <w:spacing w:val="20"/>
                <w:kern w:val="16"/>
                <w:sz w:val="18"/>
                <w:szCs w:val="18"/>
              </w:rPr>
            </w:pPr>
            <w:r w:rsidRPr="00A735B4">
              <w:rPr>
                <w:caps/>
                <w:spacing w:val="20"/>
                <w:kern w:val="16"/>
                <w:sz w:val="18"/>
                <w:szCs w:val="18"/>
              </w:rPr>
              <w:t>177</w:t>
            </w:r>
          </w:p>
        </w:tc>
        <w:tc>
          <w:tcPr>
            <w:tcW w:w="1007" w:type="dxa"/>
            <w:noWrap/>
            <w:hideMark/>
          </w:tcPr>
          <w:p w14:paraId="1289F7BE" w14:textId="77777777" w:rsidR="00C4454D" w:rsidRPr="00A735B4" w:rsidRDefault="00C4454D" w:rsidP="00C4454D">
            <w:pPr>
              <w:rPr>
                <w:caps/>
                <w:spacing w:val="20"/>
                <w:kern w:val="16"/>
                <w:sz w:val="18"/>
                <w:szCs w:val="18"/>
              </w:rPr>
            </w:pPr>
            <w:r w:rsidRPr="00A735B4">
              <w:rPr>
                <w:caps/>
                <w:spacing w:val="20"/>
                <w:kern w:val="16"/>
                <w:sz w:val="18"/>
                <w:szCs w:val="18"/>
              </w:rPr>
              <w:t>152</w:t>
            </w:r>
          </w:p>
        </w:tc>
        <w:tc>
          <w:tcPr>
            <w:tcW w:w="895" w:type="dxa"/>
            <w:noWrap/>
            <w:hideMark/>
          </w:tcPr>
          <w:p w14:paraId="51F20146" w14:textId="77777777" w:rsidR="00C4454D" w:rsidRPr="00A735B4" w:rsidRDefault="00C4454D" w:rsidP="00C4454D">
            <w:pPr>
              <w:rPr>
                <w:caps/>
                <w:spacing w:val="20"/>
                <w:kern w:val="16"/>
                <w:sz w:val="18"/>
                <w:szCs w:val="18"/>
              </w:rPr>
            </w:pPr>
            <w:r w:rsidRPr="00A735B4">
              <w:rPr>
                <w:caps/>
                <w:spacing w:val="20"/>
                <w:kern w:val="16"/>
                <w:sz w:val="18"/>
                <w:szCs w:val="18"/>
              </w:rPr>
              <w:t>208</w:t>
            </w:r>
          </w:p>
        </w:tc>
        <w:tc>
          <w:tcPr>
            <w:tcW w:w="872" w:type="dxa"/>
            <w:noWrap/>
            <w:hideMark/>
          </w:tcPr>
          <w:p w14:paraId="4C27BEAF" w14:textId="77777777" w:rsidR="00C4454D" w:rsidRPr="00A735B4" w:rsidRDefault="00C4454D" w:rsidP="00C4454D">
            <w:pPr>
              <w:rPr>
                <w:caps/>
                <w:spacing w:val="20"/>
                <w:kern w:val="16"/>
                <w:sz w:val="18"/>
                <w:szCs w:val="18"/>
              </w:rPr>
            </w:pPr>
            <w:r w:rsidRPr="00A735B4">
              <w:rPr>
                <w:caps/>
                <w:spacing w:val="20"/>
                <w:kern w:val="16"/>
                <w:sz w:val="18"/>
                <w:szCs w:val="18"/>
              </w:rPr>
              <w:t>153</w:t>
            </w:r>
          </w:p>
        </w:tc>
        <w:tc>
          <w:tcPr>
            <w:tcW w:w="852" w:type="dxa"/>
            <w:noWrap/>
            <w:hideMark/>
          </w:tcPr>
          <w:p w14:paraId="2BCB1AC3" w14:textId="77777777" w:rsidR="00C4454D" w:rsidRPr="00A735B4" w:rsidRDefault="00C4454D" w:rsidP="00C4454D">
            <w:pPr>
              <w:rPr>
                <w:caps/>
                <w:spacing w:val="20"/>
                <w:kern w:val="16"/>
                <w:sz w:val="18"/>
                <w:szCs w:val="18"/>
              </w:rPr>
            </w:pPr>
            <w:r w:rsidRPr="00A735B4">
              <w:rPr>
                <w:caps/>
                <w:spacing w:val="20"/>
                <w:kern w:val="16"/>
                <w:sz w:val="18"/>
                <w:szCs w:val="18"/>
              </w:rPr>
              <w:t>1,432</w:t>
            </w:r>
          </w:p>
        </w:tc>
      </w:tr>
      <w:tr w:rsidR="00C4454D" w:rsidRPr="00A735B4" w14:paraId="5A93BBB6" w14:textId="77777777" w:rsidTr="00C4454D">
        <w:trPr>
          <w:trHeight w:val="315"/>
        </w:trPr>
        <w:tc>
          <w:tcPr>
            <w:tcW w:w="1998" w:type="dxa"/>
            <w:noWrap/>
            <w:hideMark/>
          </w:tcPr>
          <w:p w14:paraId="73183521" w14:textId="654FA098" w:rsidR="00C4454D" w:rsidRPr="00A735B4" w:rsidRDefault="00C4454D" w:rsidP="00C4454D">
            <w:pPr>
              <w:rPr>
                <w:caps/>
                <w:spacing w:val="20"/>
                <w:kern w:val="16"/>
                <w:sz w:val="18"/>
                <w:szCs w:val="18"/>
              </w:rPr>
            </w:pPr>
            <w:r w:rsidRPr="00A735B4">
              <w:rPr>
                <w:spacing w:val="20"/>
                <w:kern w:val="16"/>
                <w:sz w:val="18"/>
                <w:szCs w:val="18"/>
              </w:rPr>
              <w:t>Total respondents</w:t>
            </w:r>
          </w:p>
        </w:tc>
        <w:tc>
          <w:tcPr>
            <w:tcW w:w="1136" w:type="dxa"/>
            <w:noWrap/>
            <w:hideMark/>
          </w:tcPr>
          <w:p w14:paraId="02BB2E53" w14:textId="77777777" w:rsidR="00C4454D" w:rsidRPr="00A735B4" w:rsidRDefault="00C4454D" w:rsidP="00C4454D">
            <w:pPr>
              <w:rPr>
                <w:b/>
                <w:caps/>
                <w:spacing w:val="20"/>
                <w:kern w:val="16"/>
                <w:sz w:val="18"/>
                <w:szCs w:val="18"/>
              </w:rPr>
            </w:pPr>
            <w:r w:rsidRPr="00A735B4">
              <w:rPr>
                <w:b/>
                <w:caps/>
                <w:spacing w:val="20"/>
                <w:kern w:val="16"/>
                <w:sz w:val="18"/>
                <w:szCs w:val="18"/>
              </w:rPr>
              <w:t>206</w:t>
            </w:r>
          </w:p>
        </w:tc>
        <w:tc>
          <w:tcPr>
            <w:tcW w:w="792" w:type="dxa"/>
            <w:noWrap/>
            <w:hideMark/>
          </w:tcPr>
          <w:p w14:paraId="61ECD907" w14:textId="77777777" w:rsidR="00C4454D" w:rsidRPr="00A735B4" w:rsidRDefault="00C4454D" w:rsidP="00C4454D">
            <w:pPr>
              <w:rPr>
                <w:b/>
                <w:caps/>
                <w:spacing w:val="20"/>
                <w:kern w:val="16"/>
                <w:sz w:val="18"/>
                <w:szCs w:val="18"/>
              </w:rPr>
            </w:pPr>
            <w:r w:rsidRPr="00A735B4">
              <w:rPr>
                <w:b/>
                <w:caps/>
                <w:spacing w:val="20"/>
                <w:kern w:val="16"/>
                <w:sz w:val="18"/>
                <w:szCs w:val="18"/>
              </w:rPr>
              <w:t>257</w:t>
            </w:r>
          </w:p>
        </w:tc>
        <w:tc>
          <w:tcPr>
            <w:tcW w:w="753" w:type="dxa"/>
            <w:noWrap/>
            <w:hideMark/>
          </w:tcPr>
          <w:p w14:paraId="564EC832" w14:textId="77777777" w:rsidR="00C4454D" w:rsidRPr="00A735B4" w:rsidRDefault="00C4454D" w:rsidP="00C4454D">
            <w:pPr>
              <w:rPr>
                <w:b/>
                <w:caps/>
                <w:spacing w:val="20"/>
                <w:kern w:val="16"/>
                <w:sz w:val="18"/>
                <w:szCs w:val="18"/>
              </w:rPr>
            </w:pPr>
            <w:r w:rsidRPr="00A735B4">
              <w:rPr>
                <w:b/>
                <w:caps/>
                <w:spacing w:val="20"/>
                <w:kern w:val="16"/>
                <w:sz w:val="18"/>
                <w:szCs w:val="18"/>
              </w:rPr>
              <w:t>225</w:t>
            </w:r>
          </w:p>
        </w:tc>
        <w:tc>
          <w:tcPr>
            <w:tcW w:w="873" w:type="dxa"/>
            <w:noWrap/>
            <w:hideMark/>
          </w:tcPr>
          <w:p w14:paraId="2763112A" w14:textId="77777777" w:rsidR="00C4454D" w:rsidRPr="00A735B4" w:rsidRDefault="00C4454D" w:rsidP="00C4454D">
            <w:pPr>
              <w:rPr>
                <w:b/>
                <w:caps/>
                <w:spacing w:val="20"/>
                <w:kern w:val="16"/>
                <w:sz w:val="18"/>
                <w:szCs w:val="18"/>
              </w:rPr>
            </w:pPr>
            <w:r w:rsidRPr="00A735B4">
              <w:rPr>
                <w:b/>
                <w:caps/>
                <w:spacing w:val="20"/>
                <w:kern w:val="16"/>
                <w:sz w:val="18"/>
                <w:szCs w:val="18"/>
              </w:rPr>
              <w:t>318</w:t>
            </w:r>
          </w:p>
        </w:tc>
        <w:tc>
          <w:tcPr>
            <w:tcW w:w="920" w:type="dxa"/>
            <w:noWrap/>
            <w:hideMark/>
          </w:tcPr>
          <w:p w14:paraId="1E963A6C" w14:textId="77777777" w:rsidR="00C4454D" w:rsidRPr="00A735B4" w:rsidRDefault="00C4454D" w:rsidP="00C4454D">
            <w:pPr>
              <w:rPr>
                <w:b/>
                <w:caps/>
                <w:spacing w:val="20"/>
                <w:kern w:val="16"/>
                <w:sz w:val="18"/>
                <w:szCs w:val="18"/>
              </w:rPr>
            </w:pPr>
            <w:r w:rsidRPr="00A735B4">
              <w:rPr>
                <w:b/>
                <w:caps/>
                <w:spacing w:val="20"/>
                <w:kern w:val="16"/>
                <w:sz w:val="18"/>
                <w:szCs w:val="18"/>
              </w:rPr>
              <w:t>249</w:t>
            </w:r>
          </w:p>
        </w:tc>
        <w:tc>
          <w:tcPr>
            <w:tcW w:w="1007" w:type="dxa"/>
            <w:noWrap/>
            <w:hideMark/>
          </w:tcPr>
          <w:p w14:paraId="044C03A0" w14:textId="77777777" w:rsidR="00C4454D" w:rsidRPr="00A735B4" w:rsidRDefault="00C4454D" w:rsidP="00C4454D">
            <w:pPr>
              <w:rPr>
                <w:b/>
                <w:caps/>
                <w:spacing w:val="20"/>
                <w:kern w:val="16"/>
                <w:sz w:val="18"/>
                <w:szCs w:val="18"/>
              </w:rPr>
            </w:pPr>
            <w:r w:rsidRPr="00A735B4">
              <w:rPr>
                <w:b/>
                <w:caps/>
                <w:spacing w:val="20"/>
                <w:kern w:val="16"/>
                <w:sz w:val="18"/>
                <w:szCs w:val="18"/>
              </w:rPr>
              <w:t>205</w:t>
            </w:r>
          </w:p>
        </w:tc>
        <w:tc>
          <w:tcPr>
            <w:tcW w:w="895" w:type="dxa"/>
            <w:noWrap/>
            <w:hideMark/>
          </w:tcPr>
          <w:p w14:paraId="7333C20D" w14:textId="77777777" w:rsidR="00C4454D" w:rsidRPr="00A735B4" w:rsidRDefault="00C4454D" w:rsidP="00C4454D">
            <w:pPr>
              <w:rPr>
                <w:b/>
                <w:caps/>
                <w:spacing w:val="20"/>
                <w:kern w:val="16"/>
                <w:sz w:val="18"/>
                <w:szCs w:val="18"/>
              </w:rPr>
            </w:pPr>
            <w:r w:rsidRPr="00A735B4">
              <w:rPr>
                <w:b/>
                <w:caps/>
                <w:spacing w:val="20"/>
                <w:kern w:val="16"/>
                <w:sz w:val="18"/>
                <w:szCs w:val="18"/>
              </w:rPr>
              <w:t>335</w:t>
            </w:r>
          </w:p>
        </w:tc>
        <w:tc>
          <w:tcPr>
            <w:tcW w:w="872" w:type="dxa"/>
            <w:noWrap/>
            <w:hideMark/>
          </w:tcPr>
          <w:p w14:paraId="23A85E04" w14:textId="77777777" w:rsidR="00C4454D" w:rsidRPr="00A735B4" w:rsidRDefault="00C4454D" w:rsidP="00C4454D">
            <w:pPr>
              <w:rPr>
                <w:b/>
                <w:caps/>
                <w:spacing w:val="20"/>
                <w:kern w:val="16"/>
                <w:sz w:val="18"/>
                <w:szCs w:val="18"/>
              </w:rPr>
            </w:pPr>
            <w:r w:rsidRPr="00A735B4">
              <w:rPr>
                <w:b/>
                <w:caps/>
                <w:spacing w:val="20"/>
                <w:kern w:val="16"/>
                <w:sz w:val="18"/>
                <w:szCs w:val="18"/>
              </w:rPr>
              <w:t>219</w:t>
            </w:r>
          </w:p>
        </w:tc>
        <w:tc>
          <w:tcPr>
            <w:tcW w:w="852" w:type="dxa"/>
            <w:noWrap/>
            <w:hideMark/>
          </w:tcPr>
          <w:p w14:paraId="0D2B8B82" w14:textId="77777777" w:rsidR="00C4454D" w:rsidRPr="00A735B4" w:rsidRDefault="00C4454D" w:rsidP="00C4454D">
            <w:pPr>
              <w:rPr>
                <w:b/>
                <w:caps/>
                <w:spacing w:val="20"/>
                <w:kern w:val="16"/>
                <w:sz w:val="18"/>
                <w:szCs w:val="18"/>
              </w:rPr>
            </w:pPr>
            <w:r w:rsidRPr="00A735B4">
              <w:rPr>
                <w:b/>
                <w:caps/>
                <w:spacing w:val="20"/>
                <w:kern w:val="16"/>
                <w:sz w:val="18"/>
                <w:szCs w:val="18"/>
              </w:rPr>
              <w:t>2,014</w:t>
            </w:r>
          </w:p>
        </w:tc>
      </w:tr>
    </w:tbl>
    <w:p w14:paraId="70952BE0" w14:textId="3AD0CC99" w:rsidR="00C4454D" w:rsidRPr="00A735B4" w:rsidRDefault="00C4454D" w:rsidP="00C4454D">
      <w:pPr>
        <w:tabs>
          <w:tab w:val="num" w:pos="720"/>
        </w:tabs>
        <w:spacing w:after="200" w:line="276" w:lineRule="auto"/>
      </w:pPr>
      <w:r w:rsidRPr="00A735B4">
        <w:t>Source: Text to Change.</w:t>
      </w:r>
    </w:p>
    <w:p w14:paraId="25C12CC2" w14:textId="6259F831" w:rsidR="00C4454D" w:rsidRPr="00A735B4" w:rsidRDefault="00C4454D" w:rsidP="00C4454D">
      <w:pPr>
        <w:tabs>
          <w:tab w:val="num" w:pos="720"/>
        </w:tabs>
        <w:spacing w:after="200" w:line="276" w:lineRule="auto"/>
        <w:jc w:val="both"/>
      </w:pPr>
      <w:r w:rsidRPr="00A735B4">
        <w:t xml:space="preserve">A total of 1,967 providers and consumers of education services were surveyed in nine Sub-Saharan African countries using the crowdsourcing method. The sample composition for the education services surveys is provided in table E.2. </w:t>
      </w:r>
    </w:p>
    <w:p w14:paraId="7EDED608" w14:textId="5D5EEEEE" w:rsidR="00C4454D" w:rsidRPr="00A735B4" w:rsidRDefault="00C4454D" w:rsidP="00C4454D">
      <w:pPr>
        <w:keepNext/>
        <w:jc w:val="center"/>
        <w:rPr>
          <w:color w:val="1F497D" w:themeColor="text2"/>
        </w:rPr>
      </w:pPr>
      <w:bookmarkStart w:id="160" w:name="_Toc410823575"/>
      <w:r w:rsidRPr="00A735B4">
        <w:rPr>
          <w:color w:val="1F497D" w:themeColor="text2"/>
        </w:rPr>
        <w:t>Table E.2 Sample distribution: Education services</w:t>
      </w:r>
      <w:bookmarkEnd w:id="160"/>
    </w:p>
    <w:tbl>
      <w:tblPr>
        <w:tblW w:w="0" w:type="auto"/>
        <w:tblInd w:w="10" w:type="dxa"/>
        <w:tblCellMar>
          <w:left w:w="10" w:type="dxa"/>
          <w:right w:w="10" w:type="dxa"/>
        </w:tblCellMar>
        <w:tblLook w:val="04A0" w:firstRow="1" w:lastRow="0" w:firstColumn="1" w:lastColumn="0" w:noHBand="0" w:noVBand="1"/>
      </w:tblPr>
      <w:tblGrid>
        <w:gridCol w:w="2594"/>
        <w:gridCol w:w="796"/>
        <w:gridCol w:w="506"/>
        <w:gridCol w:w="480"/>
        <w:gridCol w:w="578"/>
        <w:gridCol w:w="556"/>
        <w:gridCol w:w="627"/>
        <w:gridCol w:w="685"/>
        <w:gridCol w:w="594"/>
        <w:gridCol w:w="432"/>
      </w:tblGrid>
      <w:tr w:rsidR="00C4454D" w:rsidRPr="00A735B4" w14:paraId="3F8888B8" w14:textId="77777777" w:rsidTr="00C4454D">
        <w:trPr>
          <w:trHeight w:val="20"/>
        </w:trPr>
        <w:tc>
          <w:tcPr>
            <w:tcW w:w="0" w:type="auto"/>
            <w:hideMark/>
          </w:tcPr>
          <w:p w14:paraId="45C5DCA7" w14:textId="77777777" w:rsidR="00C4454D" w:rsidRPr="00A735B4" w:rsidRDefault="00C4454D" w:rsidP="00C4454D">
            <w:pPr>
              <w:tabs>
                <w:tab w:val="num" w:pos="720"/>
              </w:tabs>
              <w:spacing w:after="200" w:line="276" w:lineRule="auto"/>
              <w:rPr>
                <w:b/>
                <w:sz w:val="18"/>
                <w:szCs w:val="18"/>
              </w:rPr>
            </w:pPr>
            <w:r w:rsidRPr="00A735B4">
              <w:rPr>
                <w:b/>
                <w:sz w:val="18"/>
                <w:szCs w:val="18"/>
              </w:rPr>
              <w:t>Total sample (Including outliers)</w:t>
            </w:r>
          </w:p>
        </w:tc>
        <w:tc>
          <w:tcPr>
            <w:tcW w:w="0" w:type="auto"/>
            <w:noWrap/>
            <w:hideMark/>
          </w:tcPr>
          <w:p w14:paraId="52AED44C" w14:textId="77777777" w:rsidR="00C4454D" w:rsidRPr="00A735B4" w:rsidRDefault="00C4454D" w:rsidP="00C4454D">
            <w:pPr>
              <w:tabs>
                <w:tab w:val="num" w:pos="720"/>
              </w:tabs>
              <w:spacing w:after="200" w:line="276" w:lineRule="auto"/>
              <w:jc w:val="center"/>
              <w:rPr>
                <w:b/>
                <w:sz w:val="18"/>
                <w:szCs w:val="18"/>
              </w:rPr>
            </w:pPr>
            <w:r w:rsidRPr="00A735B4">
              <w:rPr>
                <w:b/>
                <w:sz w:val="18"/>
                <w:szCs w:val="18"/>
              </w:rPr>
              <w:t>Cameroon</w:t>
            </w:r>
          </w:p>
        </w:tc>
        <w:tc>
          <w:tcPr>
            <w:tcW w:w="0" w:type="auto"/>
            <w:noWrap/>
            <w:hideMark/>
          </w:tcPr>
          <w:p w14:paraId="18135B74" w14:textId="77777777" w:rsidR="00C4454D" w:rsidRPr="00A735B4" w:rsidRDefault="00C4454D" w:rsidP="00C4454D">
            <w:pPr>
              <w:tabs>
                <w:tab w:val="num" w:pos="720"/>
              </w:tabs>
              <w:spacing w:after="200" w:line="276" w:lineRule="auto"/>
              <w:jc w:val="center"/>
              <w:rPr>
                <w:b/>
                <w:sz w:val="18"/>
                <w:szCs w:val="18"/>
              </w:rPr>
            </w:pPr>
            <w:r w:rsidRPr="00A735B4">
              <w:rPr>
                <w:b/>
                <w:sz w:val="18"/>
                <w:szCs w:val="18"/>
              </w:rPr>
              <w:t>Ghana</w:t>
            </w:r>
          </w:p>
        </w:tc>
        <w:tc>
          <w:tcPr>
            <w:tcW w:w="0" w:type="auto"/>
            <w:noWrap/>
            <w:hideMark/>
          </w:tcPr>
          <w:p w14:paraId="39A81D93" w14:textId="77777777" w:rsidR="00C4454D" w:rsidRPr="00A735B4" w:rsidRDefault="00C4454D" w:rsidP="00C4454D">
            <w:pPr>
              <w:tabs>
                <w:tab w:val="num" w:pos="720"/>
              </w:tabs>
              <w:spacing w:after="200" w:line="276" w:lineRule="auto"/>
              <w:jc w:val="center"/>
              <w:rPr>
                <w:b/>
                <w:sz w:val="18"/>
                <w:szCs w:val="18"/>
              </w:rPr>
            </w:pPr>
            <w:r w:rsidRPr="00A735B4">
              <w:rPr>
                <w:b/>
                <w:sz w:val="18"/>
                <w:szCs w:val="18"/>
              </w:rPr>
              <w:t>Kenya</w:t>
            </w:r>
          </w:p>
        </w:tc>
        <w:tc>
          <w:tcPr>
            <w:tcW w:w="0" w:type="auto"/>
            <w:noWrap/>
            <w:hideMark/>
          </w:tcPr>
          <w:p w14:paraId="01835F3B" w14:textId="77777777" w:rsidR="00C4454D" w:rsidRPr="00A735B4" w:rsidRDefault="00C4454D" w:rsidP="00C4454D">
            <w:pPr>
              <w:tabs>
                <w:tab w:val="num" w:pos="720"/>
              </w:tabs>
              <w:spacing w:after="200" w:line="276" w:lineRule="auto"/>
              <w:jc w:val="center"/>
              <w:rPr>
                <w:b/>
                <w:sz w:val="18"/>
                <w:szCs w:val="18"/>
              </w:rPr>
            </w:pPr>
            <w:r w:rsidRPr="00A735B4">
              <w:rPr>
                <w:b/>
                <w:sz w:val="18"/>
                <w:szCs w:val="18"/>
              </w:rPr>
              <w:t>Malawi</w:t>
            </w:r>
          </w:p>
        </w:tc>
        <w:tc>
          <w:tcPr>
            <w:tcW w:w="0" w:type="auto"/>
            <w:noWrap/>
            <w:hideMark/>
          </w:tcPr>
          <w:p w14:paraId="27E91135" w14:textId="77777777" w:rsidR="00C4454D" w:rsidRPr="00A735B4" w:rsidRDefault="00C4454D" w:rsidP="00C4454D">
            <w:pPr>
              <w:tabs>
                <w:tab w:val="num" w:pos="720"/>
              </w:tabs>
              <w:spacing w:after="200" w:line="276" w:lineRule="auto"/>
              <w:jc w:val="center"/>
              <w:rPr>
                <w:b/>
                <w:sz w:val="18"/>
                <w:szCs w:val="18"/>
              </w:rPr>
            </w:pPr>
            <w:r w:rsidRPr="00A735B4">
              <w:rPr>
                <w:b/>
                <w:sz w:val="18"/>
                <w:szCs w:val="18"/>
              </w:rPr>
              <w:t>Nigeria</w:t>
            </w:r>
          </w:p>
        </w:tc>
        <w:tc>
          <w:tcPr>
            <w:tcW w:w="0" w:type="auto"/>
            <w:noWrap/>
            <w:hideMark/>
          </w:tcPr>
          <w:p w14:paraId="3345EFA1" w14:textId="77777777" w:rsidR="00C4454D" w:rsidRPr="00A735B4" w:rsidRDefault="00C4454D" w:rsidP="00C4454D">
            <w:pPr>
              <w:tabs>
                <w:tab w:val="num" w:pos="720"/>
              </w:tabs>
              <w:spacing w:after="200" w:line="276" w:lineRule="auto"/>
              <w:jc w:val="center"/>
              <w:rPr>
                <w:b/>
                <w:sz w:val="18"/>
                <w:szCs w:val="18"/>
              </w:rPr>
            </w:pPr>
            <w:r w:rsidRPr="00A735B4">
              <w:rPr>
                <w:b/>
                <w:sz w:val="18"/>
                <w:szCs w:val="18"/>
              </w:rPr>
              <w:t>Rwanda</w:t>
            </w:r>
          </w:p>
        </w:tc>
        <w:tc>
          <w:tcPr>
            <w:tcW w:w="0" w:type="auto"/>
            <w:noWrap/>
            <w:hideMark/>
          </w:tcPr>
          <w:p w14:paraId="1D06BC82" w14:textId="77777777" w:rsidR="00C4454D" w:rsidRPr="00A735B4" w:rsidRDefault="00C4454D" w:rsidP="00C4454D">
            <w:pPr>
              <w:tabs>
                <w:tab w:val="num" w:pos="720"/>
              </w:tabs>
              <w:spacing w:after="200" w:line="276" w:lineRule="auto"/>
              <w:jc w:val="center"/>
              <w:rPr>
                <w:b/>
                <w:sz w:val="18"/>
                <w:szCs w:val="18"/>
              </w:rPr>
            </w:pPr>
            <w:r w:rsidRPr="00A735B4">
              <w:rPr>
                <w:b/>
                <w:sz w:val="18"/>
                <w:szCs w:val="18"/>
              </w:rPr>
              <w:t>Tanzania</w:t>
            </w:r>
          </w:p>
        </w:tc>
        <w:tc>
          <w:tcPr>
            <w:tcW w:w="0" w:type="auto"/>
            <w:noWrap/>
            <w:hideMark/>
          </w:tcPr>
          <w:p w14:paraId="267A8E39" w14:textId="77777777" w:rsidR="00C4454D" w:rsidRPr="00A735B4" w:rsidRDefault="00C4454D" w:rsidP="00C4454D">
            <w:pPr>
              <w:tabs>
                <w:tab w:val="num" w:pos="720"/>
              </w:tabs>
              <w:spacing w:after="200" w:line="276" w:lineRule="auto"/>
              <w:jc w:val="center"/>
              <w:rPr>
                <w:b/>
                <w:sz w:val="18"/>
                <w:szCs w:val="18"/>
              </w:rPr>
            </w:pPr>
            <w:r w:rsidRPr="00A735B4">
              <w:rPr>
                <w:b/>
                <w:sz w:val="18"/>
                <w:szCs w:val="18"/>
              </w:rPr>
              <w:t>Uganda</w:t>
            </w:r>
          </w:p>
        </w:tc>
        <w:tc>
          <w:tcPr>
            <w:tcW w:w="0" w:type="auto"/>
            <w:noWrap/>
            <w:hideMark/>
          </w:tcPr>
          <w:p w14:paraId="46AEEB5F" w14:textId="77777777" w:rsidR="00C4454D" w:rsidRPr="00A735B4" w:rsidRDefault="00C4454D" w:rsidP="00C4454D">
            <w:pPr>
              <w:tabs>
                <w:tab w:val="num" w:pos="720"/>
              </w:tabs>
              <w:spacing w:after="200" w:line="276" w:lineRule="auto"/>
              <w:jc w:val="center"/>
              <w:rPr>
                <w:b/>
                <w:sz w:val="18"/>
                <w:szCs w:val="18"/>
              </w:rPr>
            </w:pPr>
            <w:r w:rsidRPr="00A735B4">
              <w:rPr>
                <w:b/>
                <w:sz w:val="18"/>
                <w:szCs w:val="18"/>
              </w:rPr>
              <w:t>Total</w:t>
            </w:r>
          </w:p>
        </w:tc>
      </w:tr>
      <w:tr w:rsidR="00C4454D" w:rsidRPr="00A735B4" w14:paraId="46A64D2B" w14:textId="77777777" w:rsidTr="00C4454D">
        <w:trPr>
          <w:trHeight w:val="20"/>
        </w:trPr>
        <w:tc>
          <w:tcPr>
            <w:tcW w:w="0" w:type="auto"/>
            <w:hideMark/>
          </w:tcPr>
          <w:p w14:paraId="73F1DDE5" w14:textId="77777777" w:rsidR="00C4454D" w:rsidRPr="00A735B4" w:rsidRDefault="00C4454D" w:rsidP="00C4454D">
            <w:pPr>
              <w:tabs>
                <w:tab w:val="num" w:pos="720"/>
              </w:tabs>
              <w:spacing w:after="200" w:line="276" w:lineRule="auto"/>
              <w:jc w:val="both"/>
              <w:rPr>
                <w:b/>
                <w:sz w:val="18"/>
                <w:szCs w:val="18"/>
              </w:rPr>
            </w:pPr>
            <w:r w:rsidRPr="00A735B4">
              <w:rPr>
                <w:b/>
                <w:sz w:val="18"/>
                <w:szCs w:val="18"/>
              </w:rPr>
              <w:t>University representatives</w:t>
            </w:r>
          </w:p>
        </w:tc>
        <w:tc>
          <w:tcPr>
            <w:tcW w:w="0" w:type="auto"/>
            <w:noWrap/>
            <w:hideMark/>
          </w:tcPr>
          <w:p w14:paraId="20DA9F57" w14:textId="77777777" w:rsidR="00C4454D" w:rsidRPr="00A735B4" w:rsidRDefault="00C4454D" w:rsidP="00C4454D">
            <w:pPr>
              <w:tabs>
                <w:tab w:val="num" w:pos="720"/>
              </w:tabs>
              <w:spacing w:after="200" w:line="276" w:lineRule="auto"/>
              <w:jc w:val="both"/>
              <w:rPr>
                <w:sz w:val="18"/>
                <w:szCs w:val="18"/>
              </w:rPr>
            </w:pPr>
            <w:r w:rsidRPr="00A735B4">
              <w:rPr>
                <w:sz w:val="18"/>
                <w:szCs w:val="18"/>
              </w:rPr>
              <w:t>31</w:t>
            </w:r>
          </w:p>
        </w:tc>
        <w:tc>
          <w:tcPr>
            <w:tcW w:w="0" w:type="auto"/>
            <w:noWrap/>
            <w:hideMark/>
          </w:tcPr>
          <w:p w14:paraId="7E1F9DE6" w14:textId="77777777" w:rsidR="00C4454D" w:rsidRPr="00A735B4" w:rsidRDefault="00C4454D" w:rsidP="00C4454D">
            <w:pPr>
              <w:tabs>
                <w:tab w:val="num" w:pos="720"/>
              </w:tabs>
              <w:spacing w:after="200" w:line="276" w:lineRule="auto"/>
              <w:jc w:val="both"/>
              <w:rPr>
                <w:sz w:val="18"/>
                <w:szCs w:val="18"/>
              </w:rPr>
            </w:pPr>
            <w:r w:rsidRPr="00A735B4">
              <w:rPr>
                <w:sz w:val="18"/>
                <w:szCs w:val="18"/>
              </w:rPr>
              <w:t>34</w:t>
            </w:r>
          </w:p>
        </w:tc>
        <w:tc>
          <w:tcPr>
            <w:tcW w:w="0" w:type="auto"/>
            <w:noWrap/>
            <w:hideMark/>
          </w:tcPr>
          <w:p w14:paraId="1DF983D5" w14:textId="77777777" w:rsidR="00C4454D" w:rsidRPr="00A735B4" w:rsidRDefault="00C4454D" w:rsidP="00C4454D">
            <w:pPr>
              <w:tabs>
                <w:tab w:val="num" w:pos="720"/>
              </w:tabs>
              <w:spacing w:after="200" w:line="276" w:lineRule="auto"/>
              <w:jc w:val="both"/>
              <w:rPr>
                <w:sz w:val="18"/>
                <w:szCs w:val="18"/>
              </w:rPr>
            </w:pPr>
            <w:r w:rsidRPr="00A735B4">
              <w:rPr>
                <w:sz w:val="18"/>
                <w:szCs w:val="18"/>
              </w:rPr>
              <w:t>39</w:t>
            </w:r>
          </w:p>
        </w:tc>
        <w:tc>
          <w:tcPr>
            <w:tcW w:w="0" w:type="auto"/>
            <w:noWrap/>
            <w:hideMark/>
          </w:tcPr>
          <w:p w14:paraId="08433EDA" w14:textId="77777777" w:rsidR="00C4454D" w:rsidRPr="00A735B4" w:rsidRDefault="00C4454D" w:rsidP="00C4454D">
            <w:pPr>
              <w:tabs>
                <w:tab w:val="num" w:pos="720"/>
              </w:tabs>
              <w:spacing w:after="200" w:line="276" w:lineRule="auto"/>
              <w:jc w:val="both"/>
              <w:rPr>
                <w:sz w:val="18"/>
                <w:szCs w:val="18"/>
              </w:rPr>
            </w:pPr>
            <w:r w:rsidRPr="00A735B4">
              <w:rPr>
                <w:sz w:val="18"/>
                <w:szCs w:val="18"/>
              </w:rPr>
              <w:t>33</w:t>
            </w:r>
          </w:p>
        </w:tc>
        <w:tc>
          <w:tcPr>
            <w:tcW w:w="0" w:type="auto"/>
            <w:noWrap/>
            <w:hideMark/>
          </w:tcPr>
          <w:p w14:paraId="16CED4B7" w14:textId="77777777" w:rsidR="00C4454D" w:rsidRPr="00A735B4" w:rsidRDefault="00C4454D" w:rsidP="00C4454D">
            <w:pPr>
              <w:tabs>
                <w:tab w:val="num" w:pos="720"/>
              </w:tabs>
              <w:spacing w:after="200" w:line="276" w:lineRule="auto"/>
              <w:jc w:val="both"/>
              <w:rPr>
                <w:sz w:val="18"/>
                <w:szCs w:val="18"/>
              </w:rPr>
            </w:pPr>
            <w:r w:rsidRPr="00A735B4">
              <w:rPr>
                <w:sz w:val="18"/>
                <w:szCs w:val="18"/>
              </w:rPr>
              <w:t>46</w:t>
            </w:r>
          </w:p>
        </w:tc>
        <w:tc>
          <w:tcPr>
            <w:tcW w:w="0" w:type="auto"/>
            <w:noWrap/>
            <w:hideMark/>
          </w:tcPr>
          <w:p w14:paraId="17C327B5" w14:textId="77777777" w:rsidR="00C4454D" w:rsidRPr="00A735B4" w:rsidRDefault="00C4454D" w:rsidP="00C4454D">
            <w:pPr>
              <w:tabs>
                <w:tab w:val="num" w:pos="720"/>
              </w:tabs>
              <w:spacing w:after="200" w:line="276" w:lineRule="auto"/>
              <w:jc w:val="both"/>
              <w:rPr>
                <w:sz w:val="18"/>
                <w:szCs w:val="18"/>
              </w:rPr>
            </w:pPr>
            <w:r w:rsidRPr="00A735B4">
              <w:rPr>
                <w:sz w:val="18"/>
                <w:szCs w:val="18"/>
              </w:rPr>
              <w:t>40</w:t>
            </w:r>
          </w:p>
        </w:tc>
        <w:tc>
          <w:tcPr>
            <w:tcW w:w="0" w:type="auto"/>
            <w:noWrap/>
            <w:hideMark/>
          </w:tcPr>
          <w:p w14:paraId="34D6F936" w14:textId="77777777" w:rsidR="00C4454D" w:rsidRPr="00A735B4" w:rsidRDefault="00C4454D" w:rsidP="00C4454D">
            <w:pPr>
              <w:tabs>
                <w:tab w:val="num" w:pos="720"/>
              </w:tabs>
              <w:spacing w:after="200" w:line="276" w:lineRule="auto"/>
              <w:jc w:val="both"/>
              <w:rPr>
                <w:sz w:val="18"/>
                <w:szCs w:val="18"/>
              </w:rPr>
            </w:pPr>
            <w:r w:rsidRPr="00A735B4">
              <w:rPr>
                <w:sz w:val="18"/>
                <w:szCs w:val="18"/>
              </w:rPr>
              <w:t>32</w:t>
            </w:r>
          </w:p>
        </w:tc>
        <w:tc>
          <w:tcPr>
            <w:tcW w:w="0" w:type="auto"/>
            <w:noWrap/>
            <w:hideMark/>
          </w:tcPr>
          <w:p w14:paraId="362357C5" w14:textId="77777777" w:rsidR="00C4454D" w:rsidRPr="00A735B4" w:rsidRDefault="00C4454D" w:rsidP="00C4454D">
            <w:pPr>
              <w:tabs>
                <w:tab w:val="num" w:pos="720"/>
              </w:tabs>
              <w:spacing w:after="200" w:line="276" w:lineRule="auto"/>
              <w:jc w:val="both"/>
              <w:rPr>
                <w:sz w:val="18"/>
                <w:szCs w:val="18"/>
              </w:rPr>
            </w:pPr>
            <w:r w:rsidRPr="00A735B4">
              <w:rPr>
                <w:sz w:val="18"/>
                <w:szCs w:val="18"/>
              </w:rPr>
              <w:t>45</w:t>
            </w:r>
          </w:p>
        </w:tc>
        <w:tc>
          <w:tcPr>
            <w:tcW w:w="0" w:type="auto"/>
            <w:noWrap/>
            <w:hideMark/>
          </w:tcPr>
          <w:p w14:paraId="04EB0187" w14:textId="77777777" w:rsidR="00C4454D" w:rsidRPr="00A735B4" w:rsidRDefault="00C4454D" w:rsidP="00C4454D">
            <w:pPr>
              <w:tabs>
                <w:tab w:val="num" w:pos="720"/>
              </w:tabs>
              <w:spacing w:after="200" w:line="276" w:lineRule="auto"/>
              <w:jc w:val="both"/>
              <w:rPr>
                <w:sz w:val="18"/>
                <w:szCs w:val="18"/>
              </w:rPr>
            </w:pPr>
            <w:r w:rsidRPr="00A735B4">
              <w:rPr>
                <w:sz w:val="18"/>
                <w:szCs w:val="18"/>
              </w:rPr>
              <w:t>300</w:t>
            </w:r>
          </w:p>
        </w:tc>
      </w:tr>
      <w:tr w:rsidR="00C4454D" w:rsidRPr="00A735B4" w14:paraId="1EBC827F" w14:textId="77777777" w:rsidTr="00C4454D">
        <w:trPr>
          <w:trHeight w:val="20"/>
        </w:trPr>
        <w:tc>
          <w:tcPr>
            <w:tcW w:w="0" w:type="auto"/>
            <w:hideMark/>
          </w:tcPr>
          <w:p w14:paraId="74EB3C24" w14:textId="77777777" w:rsidR="00C4454D" w:rsidRPr="00A735B4" w:rsidRDefault="00C4454D" w:rsidP="00C4454D">
            <w:pPr>
              <w:tabs>
                <w:tab w:val="num" w:pos="720"/>
              </w:tabs>
              <w:spacing w:after="200" w:line="276" w:lineRule="auto"/>
              <w:jc w:val="both"/>
              <w:rPr>
                <w:b/>
                <w:sz w:val="18"/>
                <w:szCs w:val="18"/>
              </w:rPr>
            </w:pPr>
            <w:r w:rsidRPr="00A735B4">
              <w:rPr>
                <w:b/>
                <w:sz w:val="18"/>
                <w:szCs w:val="18"/>
              </w:rPr>
              <w:t>University students</w:t>
            </w:r>
          </w:p>
        </w:tc>
        <w:tc>
          <w:tcPr>
            <w:tcW w:w="0" w:type="auto"/>
            <w:noWrap/>
            <w:hideMark/>
          </w:tcPr>
          <w:p w14:paraId="7F6F22E4" w14:textId="77777777" w:rsidR="00C4454D" w:rsidRPr="00A735B4" w:rsidRDefault="00C4454D" w:rsidP="00C4454D">
            <w:pPr>
              <w:tabs>
                <w:tab w:val="num" w:pos="720"/>
              </w:tabs>
              <w:spacing w:after="200" w:line="276" w:lineRule="auto"/>
              <w:jc w:val="both"/>
              <w:rPr>
                <w:sz w:val="18"/>
                <w:szCs w:val="18"/>
              </w:rPr>
            </w:pPr>
            <w:r w:rsidRPr="00A735B4">
              <w:rPr>
                <w:sz w:val="18"/>
                <w:szCs w:val="18"/>
              </w:rPr>
              <w:t>151</w:t>
            </w:r>
          </w:p>
        </w:tc>
        <w:tc>
          <w:tcPr>
            <w:tcW w:w="0" w:type="auto"/>
            <w:noWrap/>
            <w:hideMark/>
          </w:tcPr>
          <w:p w14:paraId="659A81BB" w14:textId="77777777" w:rsidR="00C4454D" w:rsidRPr="00A735B4" w:rsidRDefault="00C4454D" w:rsidP="00C4454D">
            <w:pPr>
              <w:tabs>
                <w:tab w:val="num" w:pos="720"/>
              </w:tabs>
              <w:spacing w:after="200" w:line="276" w:lineRule="auto"/>
              <w:jc w:val="both"/>
              <w:rPr>
                <w:sz w:val="18"/>
                <w:szCs w:val="18"/>
              </w:rPr>
            </w:pPr>
            <w:r w:rsidRPr="00A735B4">
              <w:rPr>
                <w:sz w:val="18"/>
                <w:szCs w:val="18"/>
              </w:rPr>
              <w:t>192</w:t>
            </w:r>
          </w:p>
        </w:tc>
        <w:tc>
          <w:tcPr>
            <w:tcW w:w="0" w:type="auto"/>
            <w:noWrap/>
            <w:hideMark/>
          </w:tcPr>
          <w:p w14:paraId="736FDB57" w14:textId="77777777" w:rsidR="00C4454D" w:rsidRPr="00A735B4" w:rsidRDefault="00C4454D" w:rsidP="00C4454D">
            <w:pPr>
              <w:tabs>
                <w:tab w:val="num" w:pos="720"/>
              </w:tabs>
              <w:spacing w:after="200" w:line="276" w:lineRule="auto"/>
              <w:jc w:val="both"/>
              <w:rPr>
                <w:sz w:val="18"/>
                <w:szCs w:val="18"/>
              </w:rPr>
            </w:pPr>
            <w:r w:rsidRPr="00A735B4">
              <w:rPr>
                <w:sz w:val="18"/>
                <w:szCs w:val="18"/>
              </w:rPr>
              <w:t>184</w:t>
            </w:r>
          </w:p>
        </w:tc>
        <w:tc>
          <w:tcPr>
            <w:tcW w:w="0" w:type="auto"/>
            <w:noWrap/>
            <w:hideMark/>
          </w:tcPr>
          <w:p w14:paraId="253E94D7" w14:textId="77777777" w:rsidR="00C4454D" w:rsidRPr="00A735B4" w:rsidRDefault="00C4454D" w:rsidP="00C4454D">
            <w:pPr>
              <w:tabs>
                <w:tab w:val="num" w:pos="720"/>
              </w:tabs>
              <w:spacing w:after="200" w:line="276" w:lineRule="auto"/>
              <w:jc w:val="both"/>
              <w:rPr>
                <w:sz w:val="18"/>
                <w:szCs w:val="18"/>
              </w:rPr>
            </w:pPr>
            <w:r w:rsidRPr="00A735B4">
              <w:rPr>
                <w:sz w:val="18"/>
                <w:szCs w:val="18"/>
              </w:rPr>
              <w:t>179</w:t>
            </w:r>
          </w:p>
        </w:tc>
        <w:tc>
          <w:tcPr>
            <w:tcW w:w="0" w:type="auto"/>
            <w:noWrap/>
            <w:hideMark/>
          </w:tcPr>
          <w:p w14:paraId="6CE0B5DF" w14:textId="77777777" w:rsidR="00C4454D" w:rsidRPr="00A735B4" w:rsidRDefault="00C4454D" w:rsidP="00C4454D">
            <w:pPr>
              <w:tabs>
                <w:tab w:val="num" w:pos="720"/>
              </w:tabs>
              <w:spacing w:after="200" w:line="276" w:lineRule="auto"/>
              <w:jc w:val="both"/>
              <w:rPr>
                <w:sz w:val="18"/>
                <w:szCs w:val="18"/>
              </w:rPr>
            </w:pPr>
            <w:r w:rsidRPr="00A735B4">
              <w:rPr>
                <w:sz w:val="18"/>
                <w:szCs w:val="18"/>
              </w:rPr>
              <w:t>242</w:t>
            </w:r>
          </w:p>
        </w:tc>
        <w:tc>
          <w:tcPr>
            <w:tcW w:w="0" w:type="auto"/>
            <w:noWrap/>
            <w:hideMark/>
          </w:tcPr>
          <w:p w14:paraId="03AE2DF1" w14:textId="77777777" w:rsidR="00C4454D" w:rsidRPr="00A735B4" w:rsidRDefault="00C4454D" w:rsidP="00C4454D">
            <w:pPr>
              <w:tabs>
                <w:tab w:val="num" w:pos="720"/>
              </w:tabs>
              <w:spacing w:after="200" w:line="276" w:lineRule="auto"/>
              <w:jc w:val="both"/>
              <w:rPr>
                <w:sz w:val="18"/>
                <w:szCs w:val="18"/>
              </w:rPr>
            </w:pPr>
            <w:r w:rsidRPr="00A735B4">
              <w:rPr>
                <w:sz w:val="18"/>
                <w:szCs w:val="18"/>
              </w:rPr>
              <w:t>150</w:t>
            </w:r>
          </w:p>
        </w:tc>
        <w:tc>
          <w:tcPr>
            <w:tcW w:w="0" w:type="auto"/>
            <w:noWrap/>
            <w:hideMark/>
          </w:tcPr>
          <w:p w14:paraId="4C2528D4" w14:textId="77777777" w:rsidR="00C4454D" w:rsidRPr="00A735B4" w:rsidRDefault="00C4454D" w:rsidP="00C4454D">
            <w:pPr>
              <w:tabs>
                <w:tab w:val="num" w:pos="720"/>
              </w:tabs>
              <w:spacing w:after="200" w:line="276" w:lineRule="auto"/>
              <w:jc w:val="both"/>
              <w:rPr>
                <w:sz w:val="18"/>
                <w:szCs w:val="18"/>
              </w:rPr>
            </w:pPr>
            <w:r w:rsidRPr="00A735B4">
              <w:rPr>
                <w:sz w:val="18"/>
                <w:szCs w:val="18"/>
              </w:rPr>
              <w:t>158</w:t>
            </w:r>
          </w:p>
        </w:tc>
        <w:tc>
          <w:tcPr>
            <w:tcW w:w="0" w:type="auto"/>
            <w:noWrap/>
            <w:hideMark/>
          </w:tcPr>
          <w:p w14:paraId="489C2249" w14:textId="77777777" w:rsidR="00C4454D" w:rsidRPr="00A735B4" w:rsidRDefault="00C4454D" w:rsidP="00C4454D">
            <w:pPr>
              <w:tabs>
                <w:tab w:val="num" w:pos="720"/>
              </w:tabs>
              <w:spacing w:after="200" w:line="276" w:lineRule="auto"/>
              <w:jc w:val="both"/>
              <w:rPr>
                <w:sz w:val="18"/>
                <w:szCs w:val="18"/>
              </w:rPr>
            </w:pPr>
            <w:r w:rsidRPr="00A735B4">
              <w:rPr>
                <w:sz w:val="18"/>
                <w:szCs w:val="18"/>
              </w:rPr>
              <w:t>205</w:t>
            </w:r>
          </w:p>
        </w:tc>
        <w:tc>
          <w:tcPr>
            <w:tcW w:w="0" w:type="auto"/>
            <w:noWrap/>
            <w:hideMark/>
          </w:tcPr>
          <w:p w14:paraId="28DC191F" w14:textId="77777777" w:rsidR="00C4454D" w:rsidRPr="00A735B4" w:rsidRDefault="00C4454D" w:rsidP="00C4454D">
            <w:pPr>
              <w:tabs>
                <w:tab w:val="num" w:pos="720"/>
              </w:tabs>
              <w:spacing w:after="200" w:line="276" w:lineRule="auto"/>
              <w:jc w:val="both"/>
              <w:rPr>
                <w:sz w:val="18"/>
                <w:szCs w:val="18"/>
              </w:rPr>
            </w:pPr>
            <w:r w:rsidRPr="00A735B4">
              <w:rPr>
                <w:sz w:val="18"/>
                <w:szCs w:val="18"/>
              </w:rPr>
              <w:t>1,461</w:t>
            </w:r>
          </w:p>
        </w:tc>
      </w:tr>
      <w:tr w:rsidR="00C4454D" w:rsidRPr="00A735B4" w14:paraId="2FE981EA" w14:textId="77777777" w:rsidTr="00C4454D">
        <w:trPr>
          <w:trHeight w:val="20"/>
        </w:trPr>
        <w:tc>
          <w:tcPr>
            <w:tcW w:w="0" w:type="auto"/>
          </w:tcPr>
          <w:p w14:paraId="40E6F982" w14:textId="77777777" w:rsidR="00C4454D" w:rsidRPr="00A735B4" w:rsidRDefault="00C4454D" w:rsidP="00C4454D">
            <w:pPr>
              <w:tabs>
                <w:tab w:val="num" w:pos="720"/>
              </w:tabs>
              <w:spacing w:after="200" w:line="276" w:lineRule="auto"/>
              <w:jc w:val="both"/>
              <w:rPr>
                <w:b/>
                <w:sz w:val="18"/>
                <w:szCs w:val="18"/>
              </w:rPr>
            </w:pPr>
            <w:r w:rsidRPr="00A735B4">
              <w:rPr>
                <w:b/>
                <w:sz w:val="18"/>
                <w:szCs w:val="18"/>
              </w:rPr>
              <w:t>Professionals with foreign degrees</w:t>
            </w:r>
          </w:p>
        </w:tc>
        <w:tc>
          <w:tcPr>
            <w:tcW w:w="0" w:type="auto"/>
            <w:noWrap/>
          </w:tcPr>
          <w:p w14:paraId="77FED2FB" w14:textId="77777777" w:rsidR="00C4454D" w:rsidRPr="00A735B4" w:rsidRDefault="00C4454D" w:rsidP="00C4454D">
            <w:pPr>
              <w:tabs>
                <w:tab w:val="num" w:pos="720"/>
              </w:tabs>
              <w:spacing w:after="200" w:line="276" w:lineRule="auto"/>
              <w:jc w:val="both"/>
              <w:rPr>
                <w:bCs/>
                <w:sz w:val="18"/>
                <w:szCs w:val="18"/>
              </w:rPr>
            </w:pPr>
            <w:r w:rsidRPr="00A735B4">
              <w:rPr>
                <w:bCs/>
                <w:sz w:val="18"/>
                <w:szCs w:val="18"/>
              </w:rPr>
              <w:t>24</w:t>
            </w:r>
          </w:p>
        </w:tc>
        <w:tc>
          <w:tcPr>
            <w:tcW w:w="0" w:type="auto"/>
            <w:noWrap/>
          </w:tcPr>
          <w:p w14:paraId="05F0D076" w14:textId="77777777" w:rsidR="00C4454D" w:rsidRPr="00A735B4" w:rsidRDefault="00C4454D" w:rsidP="00C4454D">
            <w:pPr>
              <w:tabs>
                <w:tab w:val="num" w:pos="720"/>
              </w:tabs>
              <w:spacing w:after="200" w:line="276" w:lineRule="auto"/>
              <w:jc w:val="both"/>
              <w:rPr>
                <w:bCs/>
                <w:sz w:val="18"/>
                <w:szCs w:val="18"/>
              </w:rPr>
            </w:pPr>
            <w:r w:rsidRPr="00A735B4">
              <w:rPr>
                <w:bCs/>
                <w:sz w:val="18"/>
                <w:szCs w:val="18"/>
              </w:rPr>
              <w:t>32</w:t>
            </w:r>
          </w:p>
        </w:tc>
        <w:tc>
          <w:tcPr>
            <w:tcW w:w="0" w:type="auto"/>
            <w:noWrap/>
          </w:tcPr>
          <w:p w14:paraId="0279FA4A" w14:textId="77777777" w:rsidR="00C4454D" w:rsidRPr="00A735B4" w:rsidRDefault="00C4454D" w:rsidP="00C4454D">
            <w:pPr>
              <w:tabs>
                <w:tab w:val="num" w:pos="720"/>
              </w:tabs>
              <w:spacing w:after="200" w:line="276" w:lineRule="auto"/>
              <w:jc w:val="both"/>
              <w:rPr>
                <w:bCs/>
                <w:sz w:val="18"/>
                <w:szCs w:val="18"/>
              </w:rPr>
            </w:pPr>
            <w:r w:rsidRPr="00A735B4">
              <w:rPr>
                <w:bCs/>
                <w:sz w:val="18"/>
                <w:szCs w:val="18"/>
              </w:rPr>
              <w:t>34</w:t>
            </w:r>
          </w:p>
        </w:tc>
        <w:tc>
          <w:tcPr>
            <w:tcW w:w="0" w:type="auto"/>
            <w:noWrap/>
          </w:tcPr>
          <w:p w14:paraId="1C839DEF" w14:textId="77777777" w:rsidR="00C4454D" w:rsidRPr="00A735B4" w:rsidRDefault="00C4454D" w:rsidP="00C4454D">
            <w:pPr>
              <w:tabs>
                <w:tab w:val="num" w:pos="720"/>
              </w:tabs>
              <w:spacing w:after="200" w:line="276" w:lineRule="auto"/>
              <w:jc w:val="both"/>
              <w:rPr>
                <w:bCs/>
                <w:sz w:val="18"/>
                <w:szCs w:val="18"/>
              </w:rPr>
            </w:pPr>
            <w:r w:rsidRPr="00A735B4">
              <w:rPr>
                <w:bCs/>
                <w:sz w:val="18"/>
                <w:szCs w:val="18"/>
              </w:rPr>
              <w:t>20</w:t>
            </w:r>
          </w:p>
        </w:tc>
        <w:tc>
          <w:tcPr>
            <w:tcW w:w="0" w:type="auto"/>
            <w:noWrap/>
          </w:tcPr>
          <w:p w14:paraId="004EA462" w14:textId="77777777" w:rsidR="00C4454D" w:rsidRPr="00A735B4" w:rsidRDefault="00C4454D" w:rsidP="00C4454D">
            <w:pPr>
              <w:tabs>
                <w:tab w:val="num" w:pos="720"/>
              </w:tabs>
              <w:spacing w:after="200" w:line="276" w:lineRule="auto"/>
              <w:jc w:val="both"/>
              <w:rPr>
                <w:bCs/>
                <w:sz w:val="18"/>
                <w:szCs w:val="18"/>
              </w:rPr>
            </w:pPr>
            <w:r w:rsidRPr="00A735B4">
              <w:rPr>
                <w:bCs/>
                <w:sz w:val="18"/>
                <w:szCs w:val="18"/>
              </w:rPr>
              <w:t>30</w:t>
            </w:r>
          </w:p>
        </w:tc>
        <w:tc>
          <w:tcPr>
            <w:tcW w:w="0" w:type="auto"/>
            <w:noWrap/>
          </w:tcPr>
          <w:p w14:paraId="640503D0" w14:textId="77777777" w:rsidR="00C4454D" w:rsidRPr="00A735B4" w:rsidRDefault="00C4454D" w:rsidP="00C4454D">
            <w:pPr>
              <w:tabs>
                <w:tab w:val="num" w:pos="720"/>
              </w:tabs>
              <w:spacing w:after="200" w:line="276" w:lineRule="auto"/>
              <w:jc w:val="both"/>
              <w:rPr>
                <w:bCs/>
                <w:sz w:val="18"/>
                <w:szCs w:val="18"/>
              </w:rPr>
            </w:pPr>
            <w:r w:rsidRPr="00A735B4">
              <w:rPr>
                <w:bCs/>
                <w:sz w:val="18"/>
                <w:szCs w:val="18"/>
              </w:rPr>
              <w:t>22</w:t>
            </w:r>
          </w:p>
        </w:tc>
        <w:tc>
          <w:tcPr>
            <w:tcW w:w="0" w:type="auto"/>
            <w:noWrap/>
          </w:tcPr>
          <w:p w14:paraId="2F7035F4" w14:textId="77777777" w:rsidR="00C4454D" w:rsidRPr="00A735B4" w:rsidRDefault="00C4454D" w:rsidP="00C4454D">
            <w:pPr>
              <w:tabs>
                <w:tab w:val="num" w:pos="720"/>
              </w:tabs>
              <w:spacing w:after="200" w:line="276" w:lineRule="auto"/>
              <w:jc w:val="both"/>
              <w:rPr>
                <w:bCs/>
                <w:sz w:val="18"/>
                <w:szCs w:val="18"/>
              </w:rPr>
            </w:pPr>
            <w:r w:rsidRPr="00A735B4">
              <w:rPr>
                <w:bCs/>
                <w:sz w:val="18"/>
                <w:szCs w:val="18"/>
              </w:rPr>
              <w:t>21</w:t>
            </w:r>
          </w:p>
        </w:tc>
        <w:tc>
          <w:tcPr>
            <w:tcW w:w="0" w:type="auto"/>
            <w:noWrap/>
          </w:tcPr>
          <w:p w14:paraId="7ED2AF5F" w14:textId="77777777" w:rsidR="00C4454D" w:rsidRPr="00A735B4" w:rsidRDefault="00C4454D" w:rsidP="00C4454D">
            <w:pPr>
              <w:tabs>
                <w:tab w:val="num" w:pos="720"/>
              </w:tabs>
              <w:spacing w:after="200" w:line="276" w:lineRule="auto"/>
              <w:jc w:val="both"/>
              <w:rPr>
                <w:bCs/>
                <w:sz w:val="18"/>
                <w:szCs w:val="18"/>
              </w:rPr>
            </w:pPr>
            <w:r w:rsidRPr="00A735B4">
              <w:rPr>
                <w:bCs/>
                <w:sz w:val="18"/>
                <w:szCs w:val="18"/>
              </w:rPr>
              <w:t>23</w:t>
            </w:r>
          </w:p>
        </w:tc>
        <w:tc>
          <w:tcPr>
            <w:tcW w:w="0" w:type="auto"/>
            <w:noWrap/>
          </w:tcPr>
          <w:p w14:paraId="739ED8A1" w14:textId="77777777" w:rsidR="00C4454D" w:rsidRPr="00A735B4" w:rsidRDefault="00C4454D" w:rsidP="00C4454D">
            <w:pPr>
              <w:tabs>
                <w:tab w:val="num" w:pos="720"/>
              </w:tabs>
              <w:spacing w:after="200" w:line="276" w:lineRule="auto"/>
              <w:jc w:val="both"/>
              <w:rPr>
                <w:bCs/>
                <w:sz w:val="18"/>
                <w:szCs w:val="18"/>
              </w:rPr>
            </w:pPr>
            <w:r w:rsidRPr="00A735B4">
              <w:rPr>
                <w:bCs/>
                <w:sz w:val="18"/>
                <w:szCs w:val="18"/>
              </w:rPr>
              <w:t>206</w:t>
            </w:r>
          </w:p>
        </w:tc>
      </w:tr>
      <w:tr w:rsidR="00C4454D" w:rsidRPr="00A735B4" w14:paraId="3A30C07D" w14:textId="77777777" w:rsidTr="00C4454D">
        <w:trPr>
          <w:trHeight w:val="20"/>
        </w:trPr>
        <w:tc>
          <w:tcPr>
            <w:tcW w:w="0" w:type="auto"/>
            <w:hideMark/>
          </w:tcPr>
          <w:p w14:paraId="2C29B75D" w14:textId="77777777" w:rsidR="00C4454D" w:rsidRPr="00A735B4" w:rsidRDefault="00C4454D" w:rsidP="00C4454D">
            <w:pPr>
              <w:tabs>
                <w:tab w:val="num" w:pos="720"/>
              </w:tabs>
              <w:spacing w:after="200" w:line="276" w:lineRule="auto"/>
              <w:jc w:val="both"/>
              <w:rPr>
                <w:sz w:val="18"/>
                <w:szCs w:val="18"/>
              </w:rPr>
            </w:pPr>
            <w:r w:rsidRPr="00A735B4">
              <w:rPr>
                <w:sz w:val="18"/>
                <w:szCs w:val="18"/>
              </w:rPr>
              <w:t>Total</w:t>
            </w:r>
          </w:p>
        </w:tc>
        <w:tc>
          <w:tcPr>
            <w:tcW w:w="0" w:type="auto"/>
            <w:noWrap/>
            <w:hideMark/>
          </w:tcPr>
          <w:p w14:paraId="576C3DF4" w14:textId="77777777" w:rsidR="00C4454D" w:rsidRPr="00A735B4" w:rsidRDefault="00C4454D" w:rsidP="00C4454D">
            <w:pPr>
              <w:tabs>
                <w:tab w:val="num" w:pos="720"/>
              </w:tabs>
              <w:spacing w:after="200" w:line="276" w:lineRule="auto"/>
              <w:jc w:val="both"/>
              <w:rPr>
                <w:b/>
                <w:bCs/>
                <w:sz w:val="18"/>
                <w:szCs w:val="18"/>
              </w:rPr>
            </w:pPr>
            <w:r w:rsidRPr="00A735B4">
              <w:rPr>
                <w:b/>
                <w:bCs/>
                <w:sz w:val="18"/>
                <w:szCs w:val="18"/>
              </w:rPr>
              <w:t>206</w:t>
            </w:r>
          </w:p>
        </w:tc>
        <w:tc>
          <w:tcPr>
            <w:tcW w:w="0" w:type="auto"/>
            <w:noWrap/>
            <w:hideMark/>
          </w:tcPr>
          <w:p w14:paraId="6E91AB4E" w14:textId="77777777" w:rsidR="00C4454D" w:rsidRPr="00A735B4" w:rsidRDefault="00C4454D" w:rsidP="00C4454D">
            <w:pPr>
              <w:tabs>
                <w:tab w:val="num" w:pos="720"/>
              </w:tabs>
              <w:spacing w:after="200" w:line="276" w:lineRule="auto"/>
              <w:jc w:val="both"/>
              <w:rPr>
                <w:b/>
                <w:bCs/>
                <w:sz w:val="18"/>
                <w:szCs w:val="18"/>
              </w:rPr>
            </w:pPr>
            <w:r w:rsidRPr="00A735B4">
              <w:rPr>
                <w:b/>
                <w:bCs/>
                <w:sz w:val="18"/>
                <w:szCs w:val="18"/>
              </w:rPr>
              <w:t>258</w:t>
            </w:r>
          </w:p>
        </w:tc>
        <w:tc>
          <w:tcPr>
            <w:tcW w:w="0" w:type="auto"/>
            <w:noWrap/>
            <w:hideMark/>
          </w:tcPr>
          <w:p w14:paraId="6565BE3A" w14:textId="77777777" w:rsidR="00C4454D" w:rsidRPr="00A735B4" w:rsidRDefault="00C4454D" w:rsidP="00C4454D">
            <w:pPr>
              <w:tabs>
                <w:tab w:val="num" w:pos="720"/>
              </w:tabs>
              <w:spacing w:after="200" w:line="276" w:lineRule="auto"/>
              <w:jc w:val="both"/>
              <w:rPr>
                <w:b/>
                <w:bCs/>
                <w:sz w:val="18"/>
                <w:szCs w:val="18"/>
              </w:rPr>
            </w:pPr>
            <w:r w:rsidRPr="00A735B4">
              <w:rPr>
                <w:b/>
                <w:bCs/>
                <w:sz w:val="18"/>
                <w:szCs w:val="18"/>
              </w:rPr>
              <w:t>257</w:t>
            </w:r>
          </w:p>
        </w:tc>
        <w:tc>
          <w:tcPr>
            <w:tcW w:w="0" w:type="auto"/>
            <w:noWrap/>
            <w:hideMark/>
          </w:tcPr>
          <w:p w14:paraId="0B3FB0AF" w14:textId="77777777" w:rsidR="00C4454D" w:rsidRPr="00A735B4" w:rsidRDefault="00C4454D" w:rsidP="00C4454D">
            <w:pPr>
              <w:tabs>
                <w:tab w:val="num" w:pos="720"/>
              </w:tabs>
              <w:spacing w:after="200" w:line="276" w:lineRule="auto"/>
              <w:jc w:val="both"/>
              <w:rPr>
                <w:b/>
                <w:bCs/>
                <w:sz w:val="18"/>
                <w:szCs w:val="18"/>
              </w:rPr>
            </w:pPr>
            <w:r w:rsidRPr="00A735B4">
              <w:rPr>
                <w:b/>
                <w:bCs/>
                <w:sz w:val="18"/>
                <w:szCs w:val="18"/>
              </w:rPr>
              <w:t>232</w:t>
            </w:r>
          </w:p>
        </w:tc>
        <w:tc>
          <w:tcPr>
            <w:tcW w:w="0" w:type="auto"/>
            <w:noWrap/>
            <w:hideMark/>
          </w:tcPr>
          <w:p w14:paraId="2569D57C" w14:textId="77777777" w:rsidR="00C4454D" w:rsidRPr="00A735B4" w:rsidRDefault="00C4454D" w:rsidP="00C4454D">
            <w:pPr>
              <w:tabs>
                <w:tab w:val="num" w:pos="720"/>
              </w:tabs>
              <w:spacing w:after="200" w:line="276" w:lineRule="auto"/>
              <w:jc w:val="both"/>
              <w:rPr>
                <w:b/>
                <w:bCs/>
                <w:sz w:val="18"/>
                <w:szCs w:val="18"/>
              </w:rPr>
            </w:pPr>
            <w:r w:rsidRPr="00A735B4">
              <w:rPr>
                <w:b/>
                <w:bCs/>
                <w:sz w:val="18"/>
                <w:szCs w:val="18"/>
              </w:rPr>
              <w:t>318</w:t>
            </w:r>
          </w:p>
        </w:tc>
        <w:tc>
          <w:tcPr>
            <w:tcW w:w="0" w:type="auto"/>
            <w:noWrap/>
            <w:hideMark/>
          </w:tcPr>
          <w:p w14:paraId="682FBA74" w14:textId="77777777" w:rsidR="00C4454D" w:rsidRPr="00A735B4" w:rsidRDefault="00C4454D" w:rsidP="00C4454D">
            <w:pPr>
              <w:tabs>
                <w:tab w:val="num" w:pos="720"/>
              </w:tabs>
              <w:spacing w:after="200" w:line="276" w:lineRule="auto"/>
              <w:jc w:val="both"/>
              <w:rPr>
                <w:b/>
                <w:bCs/>
                <w:sz w:val="18"/>
                <w:szCs w:val="18"/>
              </w:rPr>
            </w:pPr>
            <w:r w:rsidRPr="00A735B4">
              <w:rPr>
                <w:b/>
                <w:bCs/>
                <w:sz w:val="18"/>
                <w:szCs w:val="18"/>
              </w:rPr>
              <w:t>212</w:t>
            </w:r>
          </w:p>
        </w:tc>
        <w:tc>
          <w:tcPr>
            <w:tcW w:w="0" w:type="auto"/>
            <w:noWrap/>
            <w:hideMark/>
          </w:tcPr>
          <w:p w14:paraId="0A10EE21" w14:textId="77777777" w:rsidR="00C4454D" w:rsidRPr="00A735B4" w:rsidRDefault="00C4454D" w:rsidP="00C4454D">
            <w:pPr>
              <w:tabs>
                <w:tab w:val="num" w:pos="720"/>
              </w:tabs>
              <w:spacing w:after="200" w:line="276" w:lineRule="auto"/>
              <w:jc w:val="both"/>
              <w:rPr>
                <w:b/>
                <w:bCs/>
                <w:sz w:val="18"/>
                <w:szCs w:val="18"/>
              </w:rPr>
            </w:pPr>
            <w:r w:rsidRPr="00A735B4">
              <w:rPr>
                <w:b/>
                <w:bCs/>
                <w:sz w:val="18"/>
                <w:szCs w:val="18"/>
              </w:rPr>
              <w:t>211</w:t>
            </w:r>
          </w:p>
        </w:tc>
        <w:tc>
          <w:tcPr>
            <w:tcW w:w="0" w:type="auto"/>
            <w:noWrap/>
            <w:hideMark/>
          </w:tcPr>
          <w:p w14:paraId="468C1060" w14:textId="77777777" w:rsidR="00C4454D" w:rsidRPr="00A735B4" w:rsidRDefault="00C4454D" w:rsidP="00C4454D">
            <w:pPr>
              <w:tabs>
                <w:tab w:val="num" w:pos="720"/>
              </w:tabs>
              <w:spacing w:after="200" w:line="276" w:lineRule="auto"/>
              <w:jc w:val="both"/>
              <w:rPr>
                <w:b/>
                <w:bCs/>
                <w:sz w:val="18"/>
                <w:szCs w:val="18"/>
              </w:rPr>
            </w:pPr>
            <w:r w:rsidRPr="00A735B4">
              <w:rPr>
                <w:b/>
                <w:bCs/>
                <w:sz w:val="18"/>
                <w:szCs w:val="18"/>
              </w:rPr>
              <w:t>273</w:t>
            </w:r>
          </w:p>
        </w:tc>
        <w:tc>
          <w:tcPr>
            <w:tcW w:w="0" w:type="auto"/>
            <w:noWrap/>
            <w:hideMark/>
          </w:tcPr>
          <w:p w14:paraId="065D090C" w14:textId="77777777" w:rsidR="00C4454D" w:rsidRPr="00A735B4" w:rsidRDefault="00C4454D" w:rsidP="00C4454D">
            <w:pPr>
              <w:tabs>
                <w:tab w:val="num" w:pos="720"/>
              </w:tabs>
              <w:spacing w:after="200" w:line="276" w:lineRule="auto"/>
              <w:jc w:val="both"/>
              <w:rPr>
                <w:b/>
                <w:bCs/>
                <w:sz w:val="18"/>
                <w:szCs w:val="18"/>
              </w:rPr>
            </w:pPr>
            <w:r w:rsidRPr="00A735B4">
              <w:rPr>
                <w:b/>
                <w:bCs/>
                <w:sz w:val="18"/>
                <w:szCs w:val="18"/>
              </w:rPr>
              <w:t>1,967</w:t>
            </w:r>
          </w:p>
        </w:tc>
      </w:tr>
    </w:tbl>
    <w:p w14:paraId="7B555EE9" w14:textId="77777777" w:rsidR="00C4454D" w:rsidRPr="00A735B4" w:rsidRDefault="00C4454D" w:rsidP="00C4454D">
      <w:pPr>
        <w:tabs>
          <w:tab w:val="num" w:pos="720"/>
        </w:tabs>
        <w:spacing w:after="200" w:line="276" w:lineRule="auto"/>
        <w:jc w:val="both"/>
      </w:pPr>
      <w:r w:rsidRPr="00A735B4">
        <w:t>Source: Text to Change.</w:t>
      </w:r>
    </w:p>
    <w:p w14:paraId="1527193E" w14:textId="1045CF11" w:rsidR="00C4454D" w:rsidRPr="00A735B4" w:rsidRDefault="00C4454D" w:rsidP="00C4454D">
      <w:pPr>
        <w:tabs>
          <w:tab w:val="num" w:pos="720"/>
        </w:tabs>
        <w:spacing w:after="200" w:line="276" w:lineRule="auto"/>
        <w:jc w:val="both"/>
      </w:pPr>
      <w:r w:rsidRPr="00A735B4">
        <w:t xml:space="preserve">Data were collected between April and July 2014. Sampling was done through filtering existing databases of phone owners. Most questions were asked and answered via SMS, but several target groups—such as </w:t>
      </w:r>
      <w:r w:rsidRPr="00A735B4">
        <w:lastRenderedPageBreak/>
        <w:t xml:space="preserve">foreign patients and professionals with foreign degrees—were surveyed through face-to-face interviews using smartphones. </w:t>
      </w:r>
    </w:p>
    <w:p w14:paraId="18001819" w14:textId="57B62454" w:rsidR="00C4454D" w:rsidRPr="00A735B4" w:rsidRDefault="00C4454D" w:rsidP="00C4454D">
      <w:pPr>
        <w:jc w:val="both"/>
      </w:pPr>
      <w:r w:rsidRPr="00A735B4">
        <w:t xml:space="preserve">Outliers can significantly influence the distribution of statistics, especially in a small sample. To reduce the effects of possibly spurious outliers, we use two different techniques in combination to eliminate such outliers. We begin with trimming our data by eliminating extreme values of variables such as costs for tuition, housing, transportation, food, books and visa in the home as well as the host countries. Any value of these variables that is over four times the average costs or below 1 percent of the average costs is dropped. Averages are taken by country and the disaggregate category for which the data are being presented. For example, in education services, these disaggregate categories are the type of student (domestic or foreign), the type of university (public or private), and the type of degree (business/finance, engineering, medical, teaching, others). </w:t>
      </w:r>
    </w:p>
    <w:p w14:paraId="56A92FE0" w14:textId="77777777" w:rsidR="00C4454D" w:rsidRPr="00A735B4" w:rsidRDefault="00C4454D" w:rsidP="00C4454D">
      <w:pPr>
        <w:jc w:val="both"/>
      </w:pPr>
    </w:p>
    <w:p w14:paraId="339E9871" w14:textId="57A48A14" w:rsidR="00C4454D" w:rsidRPr="00A735B4" w:rsidRDefault="00C4454D" w:rsidP="00C4454D">
      <w:pPr>
        <w:jc w:val="both"/>
      </w:pPr>
      <w:r w:rsidRPr="00A735B4">
        <w:t xml:space="preserve">Next, we use winsorization to transform the statistics by limiting extreme values in the sample data. A usual winsorization strategy involves replacing all outliers with a specified percentile of the data. In our case, we winsorize across the category for which the data are presented. For instance, when we present a comparison of tuition cost across local and foreign students, then the data are winsorized across the category “type of students.” We choose to winsorize the top and bottom 10th percentile of our data. Thus, any value of the data below the 10th percentile or above the 90th percentile in a given category is replaced by the 10th percentile value and 90th percentile value, respectively. </w:t>
      </w:r>
    </w:p>
    <w:p w14:paraId="664AE863" w14:textId="77777777" w:rsidR="00C4454D" w:rsidRPr="00A735B4" w:rsidRDefault="00C4454D" w:rsidP="00C4454D">
      <w:pPr>
        <w:jc w:val="both"/>
        <w:rPr>
          <w:b/>
          <w:caps/>
          <w:spacing w:val="20"/>
          <w:kern w:val="16"/>
          <w:highlight w:val="lightGray"/>
        </w:rPr>
      </w:pPr>
    </w:p>
    <w:p w14:paraId="62C206CA" w14:textId="1032B6AC" w:rsidR="00C4454D" w:rsidRPr="00A735B4" w:rsidRDefault="00C4454D" w:rsidP="00C4454D">
      <w:bookmarkStart w:id="161" w:name="_Toc419565284"/>
      <w:r w:rsidRPr="00A735B4">
        <w:t>E.4  Key results: Trade in health services</w:t>
      </w:r>
      <w:bookmarkEnd w:id="161"/>
    </w:p>
    <w:p w14:paraId="04969D36" w14:textId="77777777" w:rsidR="00C4454D" w:rsidRPr="00A735B4" w:rsidRDefault="00C4454D" w:rsidP="00C4454D">
      <w:pPr>
        <w:spacing w:after="200" w:line="276" w:lineRule="auto"/>
        <w:jc w:val="both"/>
      </w:pPr>
    </w:p>
    <w:p w14:paraId="23C7EDC0" w14:textId="17FC84ED" w:rsidR="00C4454D" w:rsidRPr="00A735B4" w:rsidRDefault="00C4454D" w:rsidP="00C4454D">
      <w:pPr>
        <w:spacing w:after="200" w:line="276" w:lineRule="auto"/>
        <w:jc w:val="both"/>
      </w:pPr>
      <w:r w:rsidRPr="00A735B4">
        <w:t>Data gathered from hospital representatives, doctors and nurses, and foreign patients who received medical treatment in the surveyed countries, as well as from domestic patients who purchased health services abroad, provide some information on which countries engage in trade in health services via different modes of supply.</w:t>
      </w:r>
      <w:r w:rsidRPr="00A735B4">
        <w:endnoteReference w:id="30"/>
      </w:r>
      <w:r w:rsidRPr="00A735B4">
        <w:t xml:space="preserve"> </w:t>
      </w:r>
    </w:p>
    <w:p w14:paraId="47F8AB2D" w14:textId="4788F719" w:rsidR="00C4454D" w:rsidRPr="00A735B4" w:rsidRDefault="00C4454D" w:rsidP="00C4454D">
      <w:pPr>
        <w:spacing w:after="200" w:line="276" w:lineRule="auto"/>
        <w:jc w:val="both"/>
      </w:pPr>
      <w:r w:rsidRPr="00A735B4">
        <w:t xml:space="preserve">For example, hospitals in Kenya, Malawi, Tanzania, Nigeria and Uganda report using telemedicine, while Cameroon, Ghana, and Zambia do not seem to engage in cross-border trade (Mode 1) in health services (figure </w:t>
      </w:r>
      <w:r w:rsidRPr="00A735B4">
        <w:rPr>
          <w:bCs/>
        </w:rPr>
        <w:t>E.1</w:t>
      </w:r>
      <w:r w:rsidRPr="00A735B4">
        <w:t xml:space="preserve">). Hospitals in Kenya, Malawi, and Tanzania seem to be the most frequent users of telemedicine (figure </w:t>
      </w:r>
      <w:r w:rsidRPr="00A735B4">
        <w:rPr>
          <w:bCs/>
        </w:rPr>
        <w:t>E.2</w:t>
      </w:r>
      <w:r w:rsidRPr="00A735B4">
        <w:t>).</w:t>
      </w:r>
      <w:r w:rsidRPr="00A735B4">
        <w:rPr>
          <w:bCs/>
        </w:rPr>
        <w:t xml:space="preserve">  </w:t>
      </w:r>
    </w:p>
    <w:p w14:paraId="29CBC1AE" w14:textId="77777777" w:rsidR="00C4454D" w:rsidRPr="00A735B4" w:rsidRDefault="00C4454D">
      <w:pPr>
        <w:spacing w:after="200" w:line="276" w:lineRule="auto"/>
        <w:rPr>
          <w:b/>
        </w:rPr>
      </w:pPr>
      <w:r w:rsidRPr="00A735B4">
        <w:rPr>
          <w:b/>
        </w:rPr>
        <w:br w:type="page"/>
      </w:r>
    </w:p>
    <w:p w14:paraId="08D1EC02" w14:textId="44E3F7FE" w:rsidR="00C4454D" w:rsidRPr="00A735B4" w:rsidRDefault="00C4454D" w:rsidP="00C4454D">
      <w:pPr>
        <w:rPr>
          <w:color w:val="1F497D" w:themeColor="text2"/>
        </w:rPr>
      </w:pPr>
      <w:bookmarkStart w:id="162" w:name="_Toc410823506"/>
      <w:r w:rsidRPr="00A735B4">
        <w:rPr>
          <w:color w:val="1F497D" w:themeColor="text2"/>
        </w:rPr>
        <w:lastRenderedPageBreak/>
        <w:t>Figure E.1 Use of telemedicine              Figure E.2 Frequency of use of telemedicine</w:t>
      </w:r>
      <w:bookmarkEnd w:id="162"/>
    </w:p>
    <w:p w14:paraId="7857BA40" w14:textId="77777777" w:rsidR="00C4454D" w:rsidRPr="00A735B4" w:rsidRDefault="00C4454D" w:rsidP="00C4454D">
      <w:pPr>
        <w:spacing w:after="200" w:line="276" w:lineRule="auto"/>
        <w:jc w:val="both"/>
      </w:pPr>
      <w:r w:rsidRPr="00A735B4">
        <w:rPr>
          <w:rFonts w:eastAsia="Calibri"/>
          <w:noProof/>
        </w:rPr>
        <w:drawing>
          <wp:inline distT="0" distB="0" distL="0" distR="0" wp14:anchorId="351B728D" wp14:editId="79064AE9">
            <wp:extent cx="2508250" cy="2810436"/>
            <wp:effectExtent l="0" t="0" r="6350" b="9525"/>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08730" cy="2810974"/>
                    </a:xfrm>
                    <a:prstGeom prst="rect">
                      <a:avLst/>
                    </a:prstGeom>
                    <a:noFill/>
                    <a:ln>
                      <a:noFill/>
                    </a:ln>
                  </pic:spPr>
                </pic:pic>
              </a:graphicData>
            </a:graphic>
          </wp:inline>
        </w:drawing>
      </w:r>
      <w:r w:rsidRPr="00A735B4">
        <w:rPr>
          <w:rFonts w:eastAsia="Calibri"/>
          <w:noProof/>
        </w:rPr>
        <w:drawing>
          <wp:inline distT="0" distB="0" distL="0" distR="0" wp14:anchorId="0174B5A0" wp14:editId="75685AAB">
            <wp:extent cx="2914650" cy="2851150"/>
            <wp:effectExtent l="0" t="0" r="0" b="6350"/>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917767" cy="2854199"/>
                    </a:xfrm>
                    <a:prstGeom prst="rect">
                      <a:avLst/>
                    </a:prstGeom>
                    <a:noFill/>
                    <a:ln>
                      <a:noFill/>
                    </a:ln>
                  </pic:spPr>
                </pic:pic>
              </a:graphicData>
            </a:graphic>
          </wp:inline>
        </w:drawing>
      </w:r>
    </w:p>
    <w:p w14:paraId="58912BEC" w14:textId="3F0B4659" w:rsidR="00C4454D" w:rsidRPr="00A735B4" w:rsidRDefault="00C4454D" w:rsidP="00C4454D">
      <w:pPr>
        <w:spacing w:after="200" w:line="276" w:lineRule="auto"/>
        <w:jc w:val="both"/>
      </w:pPr>
      <w:r w:rsidRPr="00A735B4">
        <w:t xml:space="preserve">Most of the responding hospitals seem to treat foreign patients, with several hospitals in Kenya, Tanzania, and Uganda reporting that foreign patients represent more than 50 percent of their total patients (figure </w:t>
      </w:r>
      <w:r w:rsidRPr="00A735B4">
        <w:rPr>
          <w:bCs/>
        </w:rPr>
        <w:t>E.3</w:t>
      </w:r>
      <w:r w:rsidRPr="00A735B4">
        <w:t>). This suggests that most of the examined countries engage in trade in health services via Mode 2. Top source countries of foreign patients are Burundi, Cameroon, Chad, China, Democratic Republic of Congo, India, Kenya, Mozambique, Nigeria, Rwanda, Somalia, Sudan, Tanzania, Togo, Uganda, and the United States.</w:t>
      </w:r>
    </w:p>
    <w:p w14:paraId="544EF48B" w14:textId="44FF9894" w:rsidR="00C4454D" w:rsidRPr="00A735B4" w:rsidRDefault="00C4454D" w:rsidP="00C4454D">
      <w:pPr>
        <w:jc w:val="center"/>
        <w:rPr>
          <w:color w:val="1F497D" w:themeColor="text2"/>
        </w:rPr>
      </w:pPr>
      <w:bookmarkStart w:id="163" w:name="_Toc410823507"/>
      <w:r w:rsidRPr="00A735B4">
        <w:rPr>
          <w:color w:val="1F497D" w:themeColor="text2"/>
        </w:rPr>
        <w:t>Figure E.3 Proportion of foreign patients treated by hospitals</w:t>
      </w:r>
      <w:bookmarkEnd w:id="163"/>
    </w:p>
    <w:p w14:paraId="74086357" w14:textId="77777777" w:rsidR="00C4454D" w:rsidRPr="00A735B4" w:rsidRDefault="00C4454D" w:rsidP="00C4454D">
      <w:pPr>
        <w:spacing w:after="200" w:line="276" w:lineRule="auto"/>
        <w:jc w:val="center"/>
      </w:pPr>
      <w:r w:rsidRPr="00A735B4">
        <w:rPr>
          <w:noProof/>
          <w:color w:val="000000"/>
        </w:rPr>
        <w:drawing>
          <wp:inline distT="0" distB="0" distL="0" distR="0" wp14:anchorId="3F6B3E05" wp14:editId="10371A6A">
            <wp:extent cx="4286614" cy="2498583"/>
            <wp:effectExtent l="0" t="0" r="0" b="0"/>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295797" cy="2503936"/>
                    </a:xfrm>
                    <a:prstGeom prst="rect">
                      <a:avLst/>
                    </a:prstGeom>
                    <a:noFill/>
                    <a:ln>
                      <a:noFill/>
                    </a:ln>
                  </pic:spPr>
                </pic:pic>
              </a:graphicData>
            </a:graphic>
          </wp:inline>
        </w:drawing>
      </w:r>
    </w:p>
    <w:p w14:paraId="00D80190" w14:textId="7EAF9BA9" w:rsidR="00C4454D" w:rsidRPr="00A735B4" w:rsidRDefault="00C4454D" w:rsidP="00C4454D">
      <w:pPr>
        <w:spacing w:after="200" w:line="276" w:lineRule="auto"/>
        <w:jc w:val="both"/>
        <w:rPr>
          <w:b/>
        </w:rPr>
      </w:pPr>
      <w:r w:rsidRPr="00A735B4">
        <w:t xml:space="preserve">By surveying foreign patients who received treatment in the selected countries as well as domestic patients who purchased health services abroad, we are able to derive some information on imports and </w:t>
      </w:r>
      <w:r w:rsidRPr="00A735B4">
        <w:lastRenderedPageBreak/>
        <w:t>exports of health services via Mode 2. Information on the top source countries of foreign patients receiving treatment in the nine examined countries and the top destination countries for patients from the examined countries reveals that trade in health services is dominated by exchanges with neighboring countries (table E.3).</w:t>
      </w:r>
    </w:p>
    <w:p w14:paraId="79C095A6" w14:textId="34065077" w:rsidR="00C4454D" w:rsidRPr="00A735B4" w:rsidRDefault="00C4454D" w:rsidP="00C4454D">
      <w:pPr>
        <w:jc w:val="center"/>
        <w:rPr>
          <w:color w:val="1F497D" w:themeColor="text2"/>
        </w:rPr>
      </w:pPr>
      <w:bookmarkStart w:id="164" w:name="_Toc410823576"/>
      <w:r w:rsidRPr="00A735B4">
        <w:rPr>
          <w:color w:val="1F497D" w:themeColor="text2"/>
        </w:rPr>
        <w:t>Table E.3 Main source and destination countries for exports and imports of health services</w:t>
      </w:r>
      <w:bookmarkEnd w:id="164"/>
    </w:p>
    <w:tbl>
      <w:tblPr>
        <w:tblW w:w="0" w:type="auto"/>
        <w:tblInd w:w="10" w:type="dxa"/>
        <w:tblLayout w:type="fixed"/>
        <w:tblCellMar>
          <w:left w:w="10" w:type="dxa"/>
          <w:right w:w="10" w:type="dxa"/>
        </w:tblCellMar>
        <w:tblLook w:val="04A0" w:firstRow="1" w:lastRow="0" w:firstColumn="1" w:lastColumn="0" w:noHBand="0" w:noVBand="1"/>
      </w:tblPr>
      <w:tblGrid>
        <w:gridCol w:w="1931"/>
        <w:gridCol w:w="1439"/>
        <w:gridCol w:w="5887"/>
      </w:tblGrid>
      <w:tr w:rsidR="00C4454D" w:rsidRPr="00A735B4" w14:paraId="129CC01C" w14:textId="77777777" w:rsidTr="00C4454D">
        <w:trPr>
          <w:trHeight w:val="144"/>
        </w:trPr>
        <w:tc>
          <w:tcPr>
            <w:tcW w:w="1931" w:type="dxa"/>
          </w:tcPr>
          <w:p w14:paraId="6C3A052D" w14:textId="7810D010" w:rsidR="00C4454D" w:rsidRPr="00A735B4" w:rsidRDefault="00C4454D" w:rsidP="00C4454D">
            <w:pPr>
              <w:spacing w:after="200" w:line="276" w:lineRule="auto"/>
              <w:rPr>
                <w:sz w:val="18"/>
                <w:szCs w:val="18"/>
              </w:rPr>
            </w:pPr>
            <w:r w:rsidRPr="00A735B4">
              <w:rPr>
                <w:sz w:val="18"/>
                <w:szCs w:val="18"/>
              </w:rPr>
              <w:t>Reporting country</w:t>
            </w:r>
          </w:p>
        </w:tc>
        <w:tc>
          <w:tcPr>
            <w:tcW w:w="1439" w:type="dxa"/>
          </w:tcPr>
          <w:p w14:paraId="08E58F1B" w14:textId="77777777" w:rsidR="00C4454D" w:rsidRPr="00A735B4" w:rsidRDefault="00C4454D" w:rsidP="00C4454D">
            <w:pPr>
              <w:spacing w:after="200" w:line="276" w:lineRule="auto"/>
              <w:jc w:val="center"/>
              <w:rPr>
                <w:sz w:val="18"/>
                <w:szCs w:val="18"/>
              </w:rPr>
            </w:pPr>
            <w:r w:rsidRPr="00A735B4">
              <w:rPr>
                <w:sz w:val="18"/>
                <w:szCs w:val="18"/>
              </w:rPr>
              <w:t>Trade flow</w:t>
            </w:r>
          </w:p>
        </w:tc>
        <w:tc>
          <w:tcPr>
            <w:tcW w:w="5887" w:type="dxa"/>
          </w:tcPr>
          <w:p w14:paraId="69AFA6BE" w14:textId="380AE0E3" w:rsidR="00C4454D" w:rsidRPr="00A735B4" w:rsidRDefault="00C4454D" w:rsidP="00C4454D">
            <w:pPr>
              <w:spacing w:after="200" w:line="276" w:lineRule="auto"/>
              <w:jc w:val="center"/>
              <w:rPr>
                <w:sz w:val="18"/>
                <w:szCs w:val="18"/>
              </w:rPr>
            </w:pPr>
            <w:r w:rsidRPr="00A735B4">
              <w:rPr>
                <w:sz w:val="18"/>
                <w:szCs w:val="18"/>
              </w:rPr>
              <w:t>Partner country</w:t>
            </w:r>
          </w:p>
        </w:tc>
      </w:tr>
      <w:tr w:rsidR="00C4454D" w:rsidRPr="00A735B4" w14:paraId="650B5EFE" w14:textId="77777777" w:rsidTr="00C4454D">
        <w:trPr>
          <w:trHeight w:val="144"/>
        </w:trPr>
        <w:tc>
          <w:tcPr>
            <w:tcW w:w="1931" w:type="dxa"/>
          </w:tcPr>
          <w:p w14:paraId="2282BA08" w14:textId="77777777" w:rsidR="00C4454D" w:rsidRPr="00A735B4" w:rsidRDefault="00C4454D" w:rsidP="00C4454D">
            <w:pPr>
              <w:spacing w:after="200" w:line="276" w:lineRule="auto"/>
              <w:rPr>
                <w:sz w:val="18"/>
                <w:szCs w:val="18"/>
              </w:rPr>
            </w:pPr>
            <w:r w:rsidRPr="00A735B4">
              <w:rPr>
                <w:sz w:val="18"/>
                <w:szCs w:val="18"/>
              </w:rPr>
              <w:t>Cameroon</w:t>
            </w:r>
          </w:p>
        </w:tc>
        <w:tc>
          <w:tcPr>
            <w:tcW w:w="1439" w:type="dxa"/>
          </w:tcPr>
          <w:p w14:paraId="0C277FCE" w14:textId="77777777" w:rsidR="00C4454D" w:rsidRPr="00A735B4" w:rsidRDefault="00C4454D" w:rsidP="00C4454D">
            <w:pPr>
              <w:spacing w:after="200" w:line="276" w:lineRule="auto"/>
              <w:rPr>
                <w:sz w:val="18"/>
                <w:szCs w:val="18"/>
              </w:rPr>
            </w:pPr>
            <w:r w:rsidRPr="00A735B4">
              <w:rPr>
                <w:sz w:val="18"/>
                <w:szCs w:val="18"/>
              </w:rPr>
              <w:t xml:space="preserve">Exports to </w:t>
            </w:r>
          </w:p>
        </w:tc>
        <w:tc>
          <w:tcPr>
            <w:tcW w:w="5887" w:type="dxa"/>
          </w:tcPr>
          <w:p w14:paraId="625EAC78" w14:textId="77777777" w:rsidR="00C4454D" w:rsidRPr="00A735B4" w:rsidRDefault="00C4454D" w:rsidP="00C4454D">
            <w:pPr>
              <w:spacing w:after="200" w:line="276" w:lineRule="auto"/>
              <w:rPr>
                <w:sz w:val="18"/>
                <w:szCs w:val="18"/>
              </w:rPr>
            </w:pPr>
            <w:r w:rsidRPr="00A735B4">
              <w:rPr>
                <w:sz w:val="18"/>
                <w:szCs w:val="18"/>
              </w:rPr>
              <w:t>Chad, Central African Republic, Senegal, Nigeria</w:t>
            </w:r>
          </w:p>
        </w:tc>
      </w:tr>
      <w:tr w:rsidR="00C4454D" w:rsidRPr="00A735B4" w14:paraId="296DC792" w14:textId="77777777" w:rsidTr="00C4454D">
        <w:trPr>
          <w:trHeight w:val="144"/>
        </w:trPr>
        <w:tc>
          <w:tcPr>
            <w:tcW w:w="1931" w:type="dxa"/>
          </w:tcPr>
          <w:p w14:paraId="00482998" w14:textId="77777777" w:rsidR="00C4454D" w:rsidRPr="00A735B4" w:rsidRDefault="00C4454D" w:rsidP="00C4454D">
            <w:pPr>
              <w:spacing w:after="200" w:line="276" w:lineRule="auto"/>
              <w:rPr>
                <w:sz w:val="18"/>
                <w:szCs w:val="18"/>
              </w:rPr>
            </w:pPr>
          </w:p>
        </w:tc>
        <w:tc>
          <w:tcPr>
            <w:tcW w:w="1439" w:type="dxa"/>
          </w:tcPr>
          <w:p w14:paraId="6B704E3C" w14:textId="77777777" w:rsidR="00C4454D" w:rsidRPr="00A735B4" w:rsidRDefault="00C4454D" w:rsidP="00C4454D">
            <w:pPr>
              <w:spacing w:after="200" w:line="276" w:lineRule="auto"/>
              <w:rPr>
                <w:sz w:val="18"/>
                <w:szCs w:val="18"/>
              </w:rPr>
            </w:pPr>
            <w:r w:rsidRPr="00A735B4">
              <w:rPr>
                <w:sz w:val="18"/>
                <w:szCs w:val="18"/>
              </w:rPr>
              <w:t xml:space="preserve">Imports from </w:t>
            </w:r>
          </w:p>
        </w:tc>
        <w:tc>
          <w:tcPr>
            <w:tcW w:w="5887" w:type="dxa"/>
          </w:tcPr>
          <w:p w14:paraId="4E763F78" w14:textId="77777777" w:rsidR="00C4454D" w:rsidRPr="00A735B4" w:rsidRDefault="00C4454D" w:rsidP="00C4454D">
            <w:pPr>
              <w:spacing w:after="200" w:line="276" w:lineRule="auto"/>
              <w:rPr>
                <w:sz w:val="18"/>
                <w:szCs w:val="18"/>
              </w:rPr>
            </w:pPr>
            <w:r w:rsidRPr="00A735B4">
              <w:rPr>
                <w:sz w:val="18"/>
                <w:szCs w:val="18"/>
              </w:rPr>
              <w:t>Gabon, Central African Republic, Nigeria, Chad, Guinea Conakry</w:t>
            </w:r>
          </w:p>
        </w:tc>
      </w:tr>
      <w:tr w:rsidR="00C4454D" w:rsidRPr="00A735B4" w14:paraId="00695ABB" w14:textId="77777777" w:rsidTr="00C4454D">
        <w:trPr>
          <w:trHeight w:val="144"/>
        </w:trPr>
        <w:tc>
          <w:tcPr>
            <w:tcW w:w="1931" w:type="dxa"/>
          </w:tcPr>
          <w:p w14:paraId="738DF1DF" w14:textId="77777777" w:rsidR="00C4454D" w:rsidRPr="00A735B4" w:rsidRDefault="00C4454D" w:rsidP="00C4454D">
            <w:pPr>
              <w:spacing w:after="200" w:line="276" w:lineRule="auto"/>
              <w:rPr>
                <w:sz w:val="18"/>
                <w:szCs w:val="18"/>
              </w:rPr>
            </w:pPr>
            <w:r w:rsidRPr="00A735B4">
              <w:rPr>
                <w:sz w:val="18"/>
                <w:szCs w:val="18"/>
              </w:rPr>
              <w:t>Ghana</w:t>
            </w:r>
          </w:p>
        </w:tc>
        <w:tc>
          <w:tcPr>
            <w:tcW w:w="1439" w:type="dxa"/>
          </w:tcPr>
          <w:p w14:paraId="2784DCF1" w14:textId="77777777" w:rsidR="00C4454D" w:rsidRPr="00A735B4" w:rsidRDefault="00C4454D" w:rsidP="00C4454D">
            <w:pPr>
              <w:spacing w:after="200" w:line="276" w:lineRule="auto"/>
              <w:rPr>
                <w:sz w:val="18"/>
                <w:szCs w:val="18"/>
              </w:rPr>
            </w:pPr>
            <w:r w:rsidRPr="00A735B4">
              <w:rPr>
                <w:sz w:val="18"/>
                <w:szCs w:val="18"/>
              </w:rPr>
              <w:t xml:space="preserve">Exports to </w:t>
            </w:r>
          </w:p>
        </w:tc>
        <w:tc>
          <w:tcPr>
            <w:tcW w:w="5887" w:type="dxa"/>
          </w:tcPr>
          <w:p w14:paraId="2F1CD6CE" w14:textId="77777777" w:rsidR="00C4454D" w:rsidRPr="00A735B4" w:rsidRDefault="00C4454D" w:rsidP="00C4454D">
            <w:pPr>
              <w:spacing w:after="200" w:line="276" w:lineRule="auto"/>
              <w:rPr>
                <w:sz w:val="18"/>
                <w:szCs w:val="18"/>
              </w:rPr>
            </w:pPr>
            <w:r w:rsidRPr="00A735B4">
              <w:rPr>
                <w:sz w:val="18"/>
                <w:szCs w:val="18"/>
              </w:rPr>
              <w:t>Nigeria, Liberia, Togo, Benin</w:t>
            </w:r>
          </w:p>
        </w:tc>
      </w:tr>
      <w:tr w:rsidR="00C4454D" w:rsidRPr="00A735B4" w14:paraId="231BE779" w14:textId="77777777" w:rsidTr="00C4454D">
        <w:trPr>
          <w:trHeight w:val="144"/>
        </w:trPr>
        <w:tc>
          <w:tcPr>
            <w:tcW w:w="1931" w:type="dxa"/>
          </w:tcPr>
          <w:p w14:paraId="64CA6CC2" w14:textId="77777777" w:rsidR="00C4454D" w:rsidRPr="00A735B4" w:rsidRDefault="00C4454D" w:rsidP="00C4454D">
            <w:pPr>
              <w:spacing w:after="200" w:line="276" w:lineRule="auto"/>
              <w:rPr>
                <w:sz w:val="18"/>
                <w:szCs w:val="18"/>
              </w:rPr>
            </w:pPr>
          </w:p>
        </w:tc>
        <w:tc>
          <w:tcPr>
            <w:tcW w:w="1439" w:type="dxa"/>
          </w:tcPr>
          <w:p w14:paraId="44BB2A7D" w14:textId="77777777" w:rsidR="00C4454D" w:rsidRPr="00A735B4" w:rsidRDefault="00C4454D" w:rsidP="00C4454D">
            <w:pPr>
              <w:spacing w:after="200" w:line="276" w:lineRule="auto"/>
              <w:rPr>
                <w:sz w:val="18"/>
                <w:szCs w:val="18"/>
              </w:rPr>
            </w:pPr>
            <w:r w:rsidRPr="00A735B4">
              <w:rPr>
                <w:sz w:val="18"/>
                <w:szCs w:val="18"/>
              </w:rPr>
              <w:t xml:space="preserve">Imports from </w:t>
            </w:r>
          </w:p>
        </w:tc>
        <w:tc>
          <w:tcPr>
            <w:tcW w:w="5887" w:type="dxa"/>
          </w:tcPr>
          <w:p w14:paraId="5B59E7BB" w14:textId="77777777" w:rsidR="00C4454D" w:rsidRPr="00A735B4" w:rsidRDefault="00C4454D" w:rsidP="00C4454D">
            <w:pPr>
              <w:spacing w:after="200" w:line="276" w:lineRule="auto"/>
              <w:rPr>
                <w:sz w:val="18"/>
                <w:szCs w:val="18"/>
              </w:rPr>
            </w:pPr>
            <w:r w:rsidRPr="00A735B4">
              <w:rPr>
                <w:sz w:val="18"/>
                <w:szCs w:val="18"/>
              </w:rPr>
              <w:t>Nigeria, South Africa, Togo, Benin, Tunisia</w:t>
            </w:r>
          </w:p>
        </w:tc>
      </w:tr>
      <w:tr w:rsidR="00C4454D" w:rsidRPr="00A735B4" w14:paraId="2EFCC62D" w14:textId="77777777" w:rsidTr="00C4454D">
        <w:trPr>
          <w:trHeight w:val="144"/>
        </w:trPr>
        <w:tc>
          <w:tcPr>
            <w:tcW w:w="1931" w:type="dxa"/>
          </w:tcPr>
          <w:p w14:paraId="008BCE13" w14:textId="77777777" w:rsidR="00C4454D" w:rsidRPr="00A735B4" w:rsidRDefault="00C4454D" w:rsidP="00C4454D">
            <w:pPr>
              <w:spacing w:after="200" w:line="276" w:lineRule="auto"/>
              <w:rPr>
                <w:sz w:val="18"/>
                <w:szCs w:val="18"/>
              </w:rPr>
            </w:pPr>
            <w:r w:rsidRPr="00A735B4">
              <w:rPr>
                <w:sz w:val="18"/>
                <w:szCs w:val="18"/>
              </w:rPr>
              <w:t>Kenya</w:t>
            </w:r>
          </w:p>
        </w:tc>
        <w:tc>
          <w:tcPr>
            <w:tcW w:w="1439" w:type="dxa"/>
          </w:tcPr>
          <w:p w14:paraId="0E6D5C76" w14:textId="77777777" w:rsidR="00C4454D" w:rsidRPr="00A735B4" w:rsidRDefault="00C4454D" w:rsidP="00C4454D">
            <w:pPr>
              <w:spacing w:after="200" w:line="276" w:lineRule="auto"/>
              <w:rPr>
                <w:sz w:val="18"/>
                <w:szCs w:val="18"/>
              </w:rPr>
            </w:pPr>
            <w:r w:rsidRPr="00A735B4">
              <w:rPr>
                <w:sz w:val="18"/>
                <w:szCs w:val="18"/>
              </w:rPr>
              <w:t xml:space="preserve">Exports to </w:t>
            </w:r>
          </w:p>
        </w:tc>
        <w:tc>
          <w:tcPr>
            <w:tcW w:w="5887" w:type="dxa"/>
          </w:tcPr>
          <w:p w14:paraId="1480DF22" w14:textId="77777777" w:rsidR="00C4454D" w:rsidRPr="00A735B4" w:rsidRDefault="00C4454D" w:rsidP="00C4454D">
            <w:pPr>
              <w:spacing w:after="200" w:line="276" w:lineRule="auto"/>
              <w:rPr>
                <w:sz w:val="18"/>
                <w:szCs w:val="18"/>
              </w:rPr>
            </w:pPr>
            <w:r w:rsidRPr="00A735B4">
              <w:rPr>
                <w:sz w:val="18"/>
                <w:szCs w:val="18"/>
              </w:rPr>
              <w:t xml:space="preserve">Uganda, India, Tanzania, Sudan, Somalia </w:t>
            </w:r>
          </w:p>
        </w:tc>
      </w:tr>
      <w:tr w:rsidR="00C4454D" w:rsidRPr="00A735B4" w14:paraId="5ADF4AA8" w14:textId="77777777" w:rsidTr="00C4454D">
        <w:trPr>
          <w:trHeight w:val="144"/>
        </w:trPr>
        <w:tc>
          <w:tcPr>
            <w:tcW w:w="1931" w:type="dxa"/>
          </w:tcPr>
          <w:p w14:paraId="324B6BA0" w14:textId="77777777" w:rsidR="00C4454D" w:rsidRPr="00A735B4" w:rsidRDefault="00C4454D" w:rsidP="00C4454D">
            <w:pPr>
              <w:spacing w:after="200" w:line="276" w:lineRule="auto"/>
              <w:rPr>
                <w:sz w:val="18"/>
                <w:szCs w:val="18"/>
              </w:rPr>
            </w:pPr>
          </w:p>
        </w:tc>
        <w:tc>
          <w:tcPr>
            <w:tcW w:w="1439" w:type="dxa"/>
          </w:tcPr>
          <w:p w14:paraId="126CAEF5" w14:textId="77777777" w:rsidR="00C4454D" w:rsidRPr="00A735B4" w:rsidRDefault="00C4454D" w:rsidP="00C4454D">
            <w:pPr>
              <w:spacing w:after="200" w:line="276" w:lineRule="auto"/>
              <w:rPr>
                <w:sz w:val="18"/>
                <w:szCs w:val="18"/>
              </w:rPr>
            </w:pPr>
            <w:r w:rsidRPr="00A735B4">
              <w:rPr>
                <w:sz w:val="18"/>
                <w:szCs w:val="18"/>
              </w:rPr>
              <w:t xml:space="preserve">Imports from </w:t>
            </w:r>
          </w:p>
        </w:tc>
        <w:tc>
          <w:tcPr>
            <w:tcW w:w="5887" w:type="dxa"/>
          </w:tcPr>
          <w:p w14:paraId="6E80B652" w14:textId="77777777" w:rsidR="00C4454D" w:rsidRPr="00A735B4" w:rsidRDefault="00C4454D" w:rsidP="00C4454D">
            <w:pPr>
              <w:spacing w:after="200" w:line="276" w:lineRule="auto"/>
              <w:rPr>
                <w:sz w:val="18"/>
                <w:szCs w:val="18"/>
              </w:rPr>
            </w:pPr>
            <w:r w:rsidRPr="00A735B4">
              <w:rPr>
                <w:sz w:val="18"/>
                <w:szCs w:val="18"/>
              </w:rPr>
              <w:t>South Africa, India, Egypt, Nigeria, Sudan</w:t>
            </w:r>
          </w:p>
        </w:tc>
      </w:tr>
      <w:tr w:rsidR="00C4454D" w:rsidRPr="00A735B4" w14:paraId="20FC3235" w14:textId="77777777" w:rsidTr="00C4454D">
        <w:trPr>
          <w:trHeight w:val="144"/>
        </w:trPr>
        <w:tc>
          <w:tcPr>
            <w:tcW w:w="1931" w:type="dxa"/>
          </w:tcPr>
          <w:p w14:paraId="433FEF9D" w14:textId="77777777" w:rsidR="00C4454D" w:rsidRPr="00A735B4" w:rsidRDefault="00C4454D" w:rsidP="00C4454D">
            <w:pPr>
              <w:spacing w:after="200" w:line="276" w:lineRule="auto"/>
              <w:rPr>
                <w:sz w:val="18"/>
                <w:szCs w:val="18"/>
              </w:rPr>
            </w:pPr>
            <w:r w:rsidRPr="00A735B4">
              <w:rPr>
                <w:sz w:val="18"/>
                <w:szCs w:val="18"/>
              </w:rPr>
              <w:t>Malawi</w:t>
            </w:r>
          </w:p>
        </w:tc>
        <w:tc>
          <w:tcPr>
            <w:tcW w:w="1439" w:type="dxa"/>
          </w:tcPr>
          <w:p w14:paraId="06D8390C" w14:textId="77777777" w:rsidR="00C4454D" w:rsidRPr="00A735B4" w:rsidRDefault="00C4454D" w:rsidP="00C4454D">
            <w:pPr>
              <w:spacing w:after="200" w:line="276" w:lineRule="auto"/>
              <w:rPr>
                <w:sz w:val="18"/>
                <w:szCs w:val="18"/>
              </w:rPr>
            </w:pPr>
            <w:r w:rsidRPr="00A735B4">
              <w:rPr>
                <w:sz w:val="18"/>
                <w:szCs w:val="18"/>
              </w:rPr>
              <w:t xml:space="preserve">Exports to </w:t>
            </w:r>
          </w:p>
        </w:tc>
        <w:tc>
          <w:tcPr>
            <w:tcW w:w="5887" w:type="dxa"/>
          </w:tcPr>
          <w:p w14:paraId="30114120" w14:textId="77777777" w:rsidR="00C4454D" w:rsidRPr="00A735B4" w:rsidRDefault="00C4454D" w:rsidP="00C4454D">
            <w:pPr>
              <w:spacing w:after="200" w:line="276" w:lineRule="auto"/>
              <w:rPr>
                <w:sz w:val="18"/>
                <w:szCs w:val="18"/>
              </w:rPr>
            </w:pPr>
            <w:r w:rsidRPr="00A735B4">
              <w:rPr>
                <w:sz w:val="18"/>
                <w:szCs w:val="18"/>
              </w:rPr>
              <w:t>Mozambique, Zimbabwe, Zambia</w:t>
            </w:r>
          </w:p>
        </w:tc>
      </w:tr>
      <w:tr w:rsidR="00C4454D" w:rsidRPr="00A735B4" w14:paraId="210DE3C8" w14:textId="77777777" w:rsidTr="00C4454D">
        <w:trPr>
          <w:trHeight w:val="144"/>
        </w:trPr>
        <w:tc>
          <w:tcPr>
            <w:tcW w:w="1931" w:type="dxa"/>
          </w:tcPr>
          <w:p w14:paraId="061EDCF8" w14:textId="77777777" w:rsidR="00C4454D" w:rsidRPr="00A735B4" w:rsidRDefault="00C4454D" w:rsidP="00C4454D">
            <w:pPr>
              <w:spacing w:after="200" w:line="276" w:lineRule="auto"/>
              <w:rPr>
                <w:sz w:val="18"/>
                <w:szCs w:val="18"/>
              </w:rPr>
            </w:pPr>
          </w:p>
        </w:tc>
        <w:tc>
          <w:tcPr>
            <w:tcW w:w="1439" w:type="dxa"/>
          </w:tcPr>
          <w:p w14:paraId="690FD508" w14:textId="77777777" w:rsidR="00C4454D" w:rsidRPr="00A735B4" w:rsidRDefault="00C4454D" w:rsidP="00C4454D">
            <w:pPr>
              <w:spacing w:after="200" w:line="276" w:lineRule="auto"/>
              <w:rPr>
                <w:sz w:val="18"/>
                <w:szCs w:val="18"/>
              </w:rPr>
            </w:pPr>
            <w:r w:rsidRPr="00A735B4">
              <w:rPr>
                <w:sz w:val="18"/>
                <w:szCs w:val="18"/>
              </w:rPr>
              <w:t xml:space="preserve">Imports from </w:t>
            </w:r>
          </w:p>
        </w:tc>
        <w:tc>
          <w:tcPr>
            <w:tcW w:w="5887" w:type="dxa"/>
          </w:tcPr>
          <w:p w14:paraId="1F6C83ED" w14:textId="77777777" w:rsidR="00C4454D" w:rsidRPr="00A735B4" w:rsidRDefault="00C4454D" w:rsidP="00C4454D">
            <w:pPr>
              <w:spacing w:after="200" w:line="276" w:lineRule="auto"/>
              <w:rPr>
                <w:sz w:val="18"/>
                <w:szCs w:val="18"/>
              </w:rPr>
            </w:pPr>
            <w:r w:rsidRPr="00A735B4">
              <w:rPr>
                <w:sz w:val="18"/>
                <w:szCs w:val="18"/>
              </w:rPr>
              <w:t xml:space="preserve">South Africa, Egypt, Tanzania, Kenya, Ghana </w:t>
            </w:r>
          </w:p>
        </w:tc>
      </w:tr>
      <w:tr w:rsidR="00C4454D" w:rsidRPr="00A735B4" w14:paraId="62652F22" w14:textId="77777777" w:rsidTr="00C4454D">
        <w:trPr>
          <w:trHeight w:val="144"/>
        </w:trPr>
        <w:tc>
          <w:tcPr>
            <w:tcW w:w="1931" w:type="dxa"/>
          </w:tcPr>
          <w:p w14:paraId="2CE82A7A" w14:textId="77777777" w:rsidR="00C4454D" w:rsidRPr="00A735B4" w:rsidRDefault="00C4454D" w:rsidP="00C4454D">
            <w:pPr>
              <w:spacing w:after="200" w:line="276" w:lineRule="auto"/>
              <w:rPr>
                <w:sz w:val="18"/>
                <w:szCs w:val="18"/>
              </w:rPr>
            </w:pPr>
            <w:r w:rsidRPr="00A735B4">
              <w:rPr>
                <w:sz w:val="18"/>
                <w:szCs w:val="18"/>
              </w:rPr>
              <w:t>Nigeria</w:t>
            </w:r>
          </w:p>
        </w:tc>
        <w:tc>
          <w:tcPr>
            <w:tcW w:w="1439" w:type="dxa"/>
          </w:tcPr>
          <w:p w14:paraId="61B25459" w14:textId="77777777" w:rsidR="00C4454D" w:rsidRPr="00A735B4" w:rsidRDefault="00C4454D" w:rsidP="00C4454D">
            <w:pPr>
              <w:spacing w:after="200" w:line="276" w:lineRule="auto"/>
              <w:rPr>
                <w:sz w:val="18"/>
                <w:szCs w:val="18"/>
              </w:rPr>
            </w:pPr>
            <w:r w:rsidRPr="00A735B4">
              <w:rPr>
                <w:sz w:val="18"/>
                <w:szCs w:val="18"/>
              </w:rPr>
              <w:t xml:space="preserve">Exports to </w:t>
            </w:r>
          </w:p>
        </w:tc>
        <w:tc>
          <w:tcPr>
            <w:tcW w:w="5887" w:type="dxa"/>
          </w:tcPr>
          <w:p w14:paraId="115AC5DB" w14:textId="77777777" w:rsidR="00C4454D" w:rsidRPr="00A735B4" w:rsidRDefault="00C4454D" w:rsidP="00C4454D">
            <w:pPr>
              <w:spacing w:after="200" w:line="276" w:lineRule="auto"/>
              <w:rPr>
                <w:sz w:val="18"/>
                <w:szCs w:val="18"/>
              </w:rPr>
            </w:pPr>
            <w:r w:rsidRPr="00A735B4">
              <w:rPr>
                <w:sz w:val="18"/>
                <w:szCs w:val="18"/>
              </w:rPr>
              <w:t>Ghana, China, Togo, Cameroon</w:t>
            </w:r>
          </w:p>
        </w:tc>
      </w:tr>
      <w:tr w:rsidR="00C4454D" w:rsidRPr="00A735B4" w14:paraId="6AD2BFA8" w14:textId="77777777" w:rsidTr="00C4454D">
        <w:trPr>
          <w:trHeight w:val="144"/>
        </w:trPr>
        <w:tc>
          <w:tcPr>
            <w:tcW w:w="1931" w:type="dxa"/>
          </w:tcPr>
          <w:p w14:paraId="5ECE1D9E" w14:textId="77777777" w:rsidR="00C4454D" w:rsidRPr="00A735B4" w:rsidRDefault="00C4454D" w:rsidP="00C4454D">
            <w:pPr>
              <w:spacing w:after="200" w:line="276" w:lineRule="auto"/>
              <w:rPr>
                <w:sz w:val="18"/>
                <w:szCs w:val="18"/>
              </w:rPr>
            </w:pPr>
          </w:p>
        </w:tc>
        <w:tc>
          <w:tcPr>
            <w:tcW w:w="1439" w:type="dxa"/>
          </w:tcPr>
          <w:p w14:paraId="24531050" w14:textId="77777777" w:rsidR="00C4454D" w:rsidRPr="00A735B4" w:rsidRDefault="00C4454D" w:rsidP="00C4454D">
            <w:pPr>
              <w:spacing w:after="200" w:line="276" w:lineRule="auto"/>
              <w:rPr>
                <w:sz w:val="18"/>
                <w:szCs w:val="18"/>
              </w:rPr>
            </w:pPr>
            <w:r w:rsidRPr="00A735B4">
              <w:rPr>
                <w:sz w:val="18"/>
                <w:szCs w:val="18"/>
              </w:rPr>
              <w:t xml:space="preserve">Imports from </w:t>
            </w:r>
          </w:p>
        </w:tc>
        <w:tc>
          <w:tcPr>
            <w:tcW w:w="5887" w:type="dxa"/>
          </w:tcPr>
          <w:p w14:paraId="21A5A5B4" w14:textId="77777777" w:rsidR="00C4454D" w:rsidRPr="00A735B4" w:rsidRDefault="00C4454D" w:rsidP="00C4454D">
            <w:pPr>
              <w:spacing w:after="200" w:line="276" w:lineRule="auto"/>
              <w:rPr>
                <w:sz w:val="18"/>
                <w:szCs w:val="18"/>
              </w:rPr>
            </w:pPr>
            <w:r w:rsidRPr="00A735B4">
              <w:rPr>
                <w:sz w:val="18"/>
                <w:szCs w:val="18"/>
              </w:rPr>
              <w:t>Ghana, Togo, Benin, Kenya, Cameroon</w:t>
            </w:r>
          </w:p>
        </w:tc>
      </w:tr>
      <w:tr w:rsidR="00C4454D" w:rsidRPr="00A735B4" w14:paraId="2A2D5840" w14:textId="77777777" w:rsidTr="00C4454D">
        <w:trPr>
          <w:trHeight w:val="144"/>
        </w:trPr>
        <w:tc>
          <w:tcPr>
            <w:tcW w:w="1931" w:type="dxa"/>
          </w:tcPr>
          <w:p w14:paraId="320F84FF" w14:textId="77777777" w:rsidR="00C4454D" w:rsidRPr="00A735B4" w:rsidRDefault="00C4454D" w:rsidP="00C4454D">
            <w:pPr>
              <w:spacing w:after="200" w:line="276" w:lineRule="auto"/>
              <w:rPr>
                <w:sz w:val="18"/>
                <w:szCs w:val="18"/>
              </w:rPr>
            </w:pPr>
            <w:r w:rsidRPr="00A735B4">
              <w:rPr>
                <w:sz w:val="18"/>
                <w:szCs w:val="18"/>
              </w:rPr>
              <w:t xml:space="preserve">Rwanda </w:t>
            </w:r>
          </w:p>
        </w:tc>
        <w:tc>
          <w:tcPr>
            <w:tcW w:w="1439" w:type="dxa"/>
          </w:tcPr>
          <w:p w14:paraId="186DF2F2" w14:textId="77777777" w:rsidR="00C4454D" w:rsidRPr="00A735B4" w:rsidRDefault="00C4454D" w:rsidP="00C4454D">
            <w:pPr>
              <w:spacing w:after="200" w:line="276" w:lineRule="auto"/>
              <w:rPr>
                <w:sz w:val="18"/>
                <w:szCs w:val="18"/>
              </w:rPr>
            </w:pPr>
            <w:r w:rsidRPr="00A735B4">
              <w:rPr>
                <w:sz w:val="18"/>
                <w:szCs w:val="18"/>
              </w:rPr>
              <w:t xml:space="preserve">Exports to </w:t>
            </w:r>
          </w:p>
        </w:tc>
        <w:tc>
          <w:tcPr>
            <w:tcW w:w="5887" w:type="dxa"/>
          </w:tcPr>
          <w:p w14:paraId="4D0DEC41" w14:textId="77777777" w:rsidR="00C4454D" w:rsidRPr="00A735B4" w:rsidRDefault="00C4454D" w:rsidP="00C4454D">
            <w:pPr>
              <w:spacing w:after="200" w:line="276" w:lineRule="auto"/>
              <w:rPr>
                <w:sz w:val="18"/>
                <w:szCs w:val="18"/>
              </w:rPr>
            </w:pPr>
            <w:r w:rsidRPr="00A735B4">
              <w:rPr>
                <w:sz w:val="18"/>
                <w:szCs w:val="18"/>
              </w:rPr>
              <w:t xml:space="preserve">Uganda, DRC, Burundi </w:t>
            </w:r>
          </w:p>
        </w:tc>
      </w:tr>
      <w:tr w:rsidR="00C4454D" w:rsidRPr="00A735B4" w14:paraId="7C9EF404" w14:textId="77777777" w:rsidTr="00C4454D">
        <w:trPr>
          <w:trHeight w:val="144"/>
        </w:trPr>
        <w:tc>
          <w:tcPr>
            <w:tcW w:w="1931" w:type="dxa"/>
          </w:tcPr>
          <w:p w14:paraId="289F528A" w14:textId="77777777" w:rsidR="00C4454D" w:rsidRPr="00A735B4" w:rsidRDefault="00C4454D" w:rsidP="00C4454D">
            <w:pPr>
              <w:spacing w:after="200" w:line="276" w:lineRule="auto"/>
              <w:rPr>
                <w:sz w:val="18"/>
                <w:szCs w:val="18"/>
              </w:rPr>
            </w:pPr>
          </w:p>
        </w:tc>
        <w:tc>
          <w:tcPr>
            <w:tcW w:w="1439" w:type="dxa"/>
          </w:tcPr>
          <w:p w14:paraId="032E2FF5" w14:textId="77777777" w:rsidR="00C4454D" w:rsidRPr="00A735B4" w:rsidRDefault="00C4454D" w:rsidP="00C4454D">
            <w:pPr>
              <w:spacing w:after="200" w:line="276" w:lineRule="auto"/>
              <w:rPr>
                <w:sz w:val="18"/>
                <w:szCs w:val="18"/>
              </w:rPr>
            </w:pPr>
            <w:r w:rsidRPr="00A735B4">
              <w:rPr>
                <w:sz w:val="18"/>
                <w:szCs w:val="18"/>
              </w:rPr>
              <w:t xml:space="preserve">Imports from </w:t>
            </w:r>
          </w:p>
        </w:tc>
        <w:tc>
          <w:tcPr>
            <w:tcW w:w="5887" w:type="dxa"/>
          </w:tcPr>
          <w:p w14:paraId="1DF289D8" w14:textId="77777777" w:rsidR="00C4454D" w:rsidRPr="00A735B4" w:rsidRDefault="00C4454D" w:rsidP="00C4454D">
            <w:pPr>
              <w:spacing w:after="200" w:line="276" w:lineRule="auto"/>
              <w:rPr>
                <w:sz w:val="18"/>
                <w:szCs w:val="18"/>
              </w:rPr>
            </w:pPr>
            <w:r w:rsidRPr="00A735B4">
              <w:rPr>
                <w:sz w:val="18"/>
                <w:szCs w:val="18"/>
              </w:rPr>
              <w:t>Uganda, Kenya, South Africa, DRC, Burundi</w:t>
            </w:r>
          </w:p>
        </w:tc>
      </w:tr>
      <w:tr w:rsidR="00C4454D" w:rsidRPr="00C4454D" w14:paraId="3C510B73" w14:textId="77777777" w:rsidTr="00C4454D">
        <w:trPr>
          <w:trHeight w:val="144"/>
        </w:trPr>
        <w:tc>
          <w:tcPr>
            <w:tcW w:w="1931" w:type="dxa"/>
          </w:tcPr>
          <w:p w14:paraId="79043868" w14:textId="77777777" w:rsidR="00C4454D" w:rsidRPr="00A735B4" w:rsidRDefault="00C4454D" w:rsidP="00C4454D">
            <w:pPr>
              <w:spacing w:after="200" w:line="276" w:lineRule="auto"/>
              <w:rPr>
                <w:sz w:val="18"/>
                <w:szCs w:val="18"/>
              </w:rPr>
            </w:pPr>
            <w:r w:rsidRPr="00A735B4">
              <w:rPr>
                <w:sz w:val="18"/>
                <w:szCs w:val="18"/>
              </w:rPr>
              <w:t>Tanzania</w:t>
            </w:r>
          </w:p>
        </w:tc>
        <w:tc>
          <w:tcPr>
            <w:tcW w:w="1439" w:type="dxa"/>
          </w:tcPr>
          <w:p w14:paraId="31F4F0D5" w14:textId="77777777" w:rsidR="00C4454D" w:rsidRPr="00A735B4" w:rsidRDefault="00C4454D" w:rsidP="00C4454D">
            <w:pPr>
              <w:spacing w:after="200" w:line="276" w:lineRule="auto"/>
              <w:rPr>
                <w:sz w:val="18"/>
                <w:szCs w:val="18"/>
              </w:rPr>
            </w:pPr>
            <w:r w:rsidRPr="00A735B4">
              <w:rPr>
                <w:sz w:val="18"/>
                <w:szCs w:val="18"/>
              </w:rPr>
              <w:t xml:space="preserve">Exports to </w:t>
            </w:r>
          </w:p>
        </w:tc>
        <w:tc>
          <w:tcPr>
            <w:tcW w:w="5887" w:type="dxa"/>
          </w:tcPr>
          <w:p w14:paraId="1CC7E962" w14:textId="77777777" w:rsidR="00C4454D" w:rsidRPr="00C4454D" w:rsidRDefault="00C4454D" w:rsidP="00C4454D">
            <w:pPr>
              <w:spacing w:after="200" w:line="276" w:lineRule="auto"/>
              <w:rPr>
                <w:sz w:val="18"/>
                <w:szCs w:val="18"/>
                <w:lang w:val="fr-FR"/>
              </w:rPr>
            </w:pPr>
            <w:r w:rsidRPr="00C4454D">
              <w:rPr>
                <w:sz w:val="18"/>
                <w:szCs w:val="18"/>
                <w:lang w:val="fr-FR"/>
              </w:rPr>
              <w:t>India, UK, USA, Uganda, Rwanda</w:t>
            </w:r>
          </w:p>
        </w:tc>
      </w:tr>
      <w:tr w:rsidR="00C4454D" w:rsidRPr="00A735B4" w14:paraId="0F81CEA2" w14:textId="77777777" w:rsidTr="00C4454D">
        <w:trPr>
          <w:trHeight w:val="144"/>
        </w:trPr>
        <w:tc>
          <w:tcPr>
            <w:tcW w:w="1931" w:type="dxa"/>
          </w:tcPr>
          <w:p w14:paraId="0C31131F" w14:textId="77777777" w:rsidR="00C4454D" w:rsidRPr="00C4454D" w:rsidRDefault="00C4454D" w:rsidP="00C4454D">
            <w:pPr>
              <w:tabs>
                <w:tab w:val="left" w:pos="445"/>
              </w:tabs>
              <w:spacing w:after="200" w:line="276" w:lineRule="auto"/>
              <w:rPr>
                <w:sz w:val="18"/>
                <w:szCs w:val="18"/>
                <w:lang w:val="fr-FR"/>
              </w:rPr>
            </w:pPr>
            <w:r w:rsidRPr="00C4454D">
              <w:rPr>
                <w:sz w:val="18"/>
                <w:szCs w:val="18"/>
                <w:lang w:val="fr-FR"/>
              </w:rPr>
              <w:tab/>
            </w:r>
          </w:p>
        </w:tc>
        <w:tc>
          <w:tcPr>
            <w:tcW w:w="1439" w:type="dxa"/>
          </w:tcPr>
          <w:p w14:paraId="51B745A8" w14:textId="77777777" w:rsidR="00C4454D" w:rsidRPr="00A735B4" w:rsidRDefault="00C4454D" w:rsidP="00C4454D">
            <w:pPr>
              <w:spacing w:after="200" w:line="276" w:lineRule="auto"/>
              <w:rPr>
                <w:sz w:val="18"/>
                <w:szCs w:val="18"/>
              </w:rPr>
            </w:pPr>
            <w:r w:rsidRPr="00A735B4">
              <w:rPr>
                <w:sz w:val="18"/>
                <w:szCs w:val="18"/>
              </w:rPr>
              <w:t xml:space="preserve">Imports from </w:t>
            </w:r>
          </w:p>
        </w:tc>
        <w:tc>
          <w:tcPr>
            <w:tcW w:w="5887" w:type="dxa"/>
          </w:tcPr>
          <w:p w14:paraId="7EF81D1D" w14:textId="77777777" w:rsidR="00C4454D" w:rsidRPr="00A735B4" w:rsidRDefault="00C4454D" w:rsidP="00C4454D">
            <w:pPr>
              <w:spacing w:after="200" w:line="276" w:lineRule="auto"/>
              <w:rPr>
                <w:sz w:val="18"/>
                <w:szCs w:val="18"/>
              </w:rPr>
            </w:pPr>
            <w:r w:rsidRPr="00A735B4">
              <w:rPr>
                <w:sz w:val="18"/>
                <w:szCs w:val="18"/>
              </w:rPr>
              <w:t>Kenya, Uganda, South Africa, Senegal</w:t>
            </w:r>
          </w:p>
        </w:tc>
      </w:tr>
      <w:tr w:rsidR="00C4454D" w:rsidRPr="00A735B4" w14:paraId="3F1A34E8" w14:textId="77777777" w:rsidTr="00C4454D">
        <w:trPr>
          <w:trHeight w:val="144"/>
        </w:trPr>
        <w:tc>
          <w:tcPr>
            <w:tcW w:w="1931" w:type="dxa"/>
          </w:tcPr>
          <w:p w14:paraId="01E0E250" w14:textId="77777777" w:rsidR="00C4454D" w:rsidRPr="00A735B4" w:rsidRDefault="00C4454D" w:rsidP="00C4454D">
            <w:pPr>
              <w:tabs>
                <w:tab w:val="left" w:pos="445"/>
              </w:tabs>
              <w:spacing w:after="200" w:line="276" w:lineRule="auto"/>
              <w:rPr>
                <w:sz w:val="18"/>
                <w:szCs w:val="18"/>
              </w:rPr>
            </w:pPr>
            <w:r w:rsidRPr="00A735B4">
              <w:rPr>
                <w:sz w:val="18"/>
                <w:szCs w:val="18"/>
              </w:rPr>
              <w:t xml:space="preserve">Uganda </w:t>
            </w:r>
          </w:p>
        </w:tc>
        <w:tc>
          <w:tcPr>
            <w:tcW w:w="1439" w:type="dxa"/>
          </w:tcPr>
          <w:p w14:paraId="2B56D927" w14:textId="77777777" w:rsidR="00C4454D" w:rsidRPr="00A735B4" w:rsidRDefault="00C4454D" w:rsidP="00C4454D">
            <w:pPr>
              <w:spacing w:after="200" w:line="276" w:lineRule="auto"/>
              <w:rPr>
                <w:sz w:val="18"/>
                <w:szCs w:val="18"/>
              </w:rPr>
            </w:pPr>
            <w:r w:rsidRPr="00A735B4">
              <w:rPr>
                <w:sz w:val="18"/>
                <w:szCs w:val="18"/>
              </w:rPr>
              <w:t xml:space="preserve">Exports to </w:t>
            </w:r>
          </w:p>
        </w:tc>
        <w:tc>
          <w:tcPr>
            <w:tcW w:w="5887" w:type="dxa"/>
          </w:tcPr>
          <w:p w14:paraId="3DD56897" w14:textId="77777777" w:rsidR="00C4454D" w:rsidRPr="00A735B4" w:rsidRDefault="00C4454D" w:rsidP="00C4454D">
            <w:pPr>
              <w:spacing w:after="200" w:line="276" w:lineRule="auto"/>
              <w:rPr>
                <w:sz w:val="18"/>
                <w:szCs w:val="18"/>
              </w:rPr>
            </w:pPr>
            <w:r w:rsidRPr="00A735B4">
              <w:rPr>
                <w:sz w:val="18"/>
                <w:szCs w:val="18"/>
              </w:rPr>
              <w:t>Kenya, Sudan, Rwanda, Tanzania</w:t>
            </w:r>
          </w:p>
        </w:tc>
      </w:tr>
      <w:tr w:rsidR="00C4454D" w:rsidRPr="00A735B4" w14:paraId="514273FE" w14:textId="77777777" w:rsidTr="00C4454D">
        <w:trPr>
          <w:trHeight w:val="144"/>
        </w:trPr>
        <w:tc>
          <w:tcPr>
            <w:tcW w:w="1931" w:type="dxa"/>
          </w:tcPr>
          <w:p w14:paraId="6B6C9021" w14:textId="77777777" w:rsidR="00C4454D" w:rsidRPr="00A735B4" w:rsidRDefault="00C4454D" w:rsidP="00C4454D">
            <w:pPr>
              <w:spacing w:after="200" w:line="276" w:lineRule="auto"/>
              <w:rPr>
                <w:sz w:val="18"/>
                <w:szCs w:val="18"/>
              </w:rPr>
            </w:pPr>
          </w:p>
        </w:tc>
        <w:tc>
          <w:tcPr>
            <w:tcW w:w="1439" w:type="dxa"/>
          </w:tcPr>
          <w:p w14:paraId="3EE238C0" w14:textId="77777777" w:rsidR="00C4454D" w:rsidRPr="00A735B4" w:rsidRDefault="00C4454D" w:rsidP="00C4454D">
            <w:pPr>
              <w:spacing w:after="200" w:line="276" w:lineRule="auto"/>
              <w:rPr>
                <w:sz w:val="18"/>
                <w:szCs w:val="18"/>
              </w:rPr>
            </w:pPr>
            <w:r w:rsidRPr="00A735B4">
              <w:rPr>
                <w:sz w:val="18"/>
                <w:szCs w:val="18"/>
              </w:rPr>
              <w:t xml:space="preserve">Imports from </w:t>
            </w:r>
          </w:p>
        </w:tc>
        <w:tc>
          <w:tcPr>
            <w:tcW w:w="5887" w:type="dxa"/>
          </w:tcPr>
          <w:p w14:paraId="07A7F3D9" w14:textId="77777777" w:rsidR="00C4454D" w:rsidRPr="00A735B4" w:rsidRDefault="00C4454D" w:rsidP="00C4454D">
            <w:pPr>
              <w:spacing w:after="200" w:line="276" w:lineRule="auto"/>
              <w:rPr>
                <w:sz w:val="18"/>
                <w:szCs w:val="18"/>
              </w:rPr>
            </w:pPr>
            <w:r w:rsidRPr="00A735B4">
              <w:rPr>
                <w:sz w:val="18"/>
                <w:szCs w:val="18"/>
              </w:rPr>
              <w:t xml:space="preserve">Kenya, South Africa, Tanzania, Rwanda, South Sudan </w:t>
            </w:r>
          </w:p>
        </w:tc>
      </w:tr>
      <w:tr w:rsidR="00C4454D" w:rsidRPr="00A735B4" w14:paraId="495DBE37" w14:textId="77777777" w:rsidTr="00C4454D">
        <w:trPr>
          <w:trHeight w:val="144"/>
        </w:trPr>
        <w:tc>
          <w:tcPr>
            <w:tcW w:w="1931" w:type="dxa"/>
          </w:tcPr>
          <w:p w14:paraId="7D68BEE5" w14:textId="77777777" w:rsidR="00C4454D" w:rsidRPr="00A735B4" w:rsidRDefault="00C4454D" w:rsidP="00C4454D">
            <w:pPr>
              <w:spacing w:after="200" w:line="276" w:lineRule="auto"/>
              <w:rPr>
                <w:sz w:val="18"/>
                <w:szCs w:val="18"/>
              </w:rPr>
            </w:pPr>
            <w:r w:rsidRPr="00A735B4">
              <w:rPr>
                <w:sz w:val="18"/>
                <w:szCs w:val="18"/>
              </w:rPr>
              <w:t>Zambia</w:t>
            </w:r>
          </w:p>
        </w:tc>
        <w:tc>
          <w:tcPr>
            <w:tcW w:w="1439" w:type="dxa"/>
          </w:tcPr>
          <w:p w14:paraId="36705F69" w14:textId="77777777" w:rsidR="00C4454D" w:rsidRPr="00A735B4" w:rsidRDefault="00C4454D" w:rsidP="00C4454D">
            <w:pPr>
              <w:spacing w:after="200" w:line="276" w:lineRule="auto"/>
              <w:rPr>
                <w:sz w:val="18"/>
                <w:szCs w:val="18"/>
              </w:rPr>
            </w:pPr>
            <w:r w:rsidRPr="00A735B4">
              <w:rPr>
                <w:sz w:val="18"/>
                <w:szCs w:val="18"/>
              </w:rPr>
              <w:t xml:space="preserve">Exports to </w:t>
            </w:r>
          </w:p>
        </w:tc>
        <w:tc>
          <w:tcPr>
            <w:tcW w:w="5887" w:type="dxa"/>
          </w:tcPr>
          <w:p w14:paraId="100921AE" w14:textId="77777777" w:rsidR="00C4454D" w:rsidRPr="00A735B4" w:rsidRDefault="00C4454D" w:rsidP="00C4454D">
            <w:pPr>
              <w:spacing w:after="200" w:line="276" w:lineRule="auto"/>
              <w:rPr>
                <w:sz w:val="18"/>
                <w:szCs w:val="18"/>
              </w:rPr>
            </w:pPr>
            <w:r w:rsidRPr="00A735B4">
              <w:rPr>
                <w:sz w:val="18"/>
                <w:szCs w:val="18"/>
              </w:rPr>
              <w:t>Namibia, Kenya, Burundi, China</w:t>
            </w:r>
          </w:p>
        </w:tc>
      </w:tr>
      <w:tr w:rsidR="00C4454D" w:rsidRPr="00A735B4" w14:paraId="29BF7773" w14:textId="77777777" w:rsidTr="00C4454D">
        <w:trPr>
          <w:trHeight w:val="144"/>
        </w:trPr>
        <w:tc>
          <w:tcPr>
            <w:tcW w:w="1931" w:type="dxa"/>
          </w:tcPr>
          <w:p w14:paraId="2C57320D" w14:textId="77777777" w:rsidR="00C4454D" w:rsidRPr="00A735B4" w:rsidRDefault="00C4454D" w:rsidP="00C4454D">
            <w:pPr>
              <w:spacing w:after="200" w:line="276" w:lineRule="auto"/>
              <w:rPr>
                <w:sz w:val="18"/>
                <w:szCs w:val="18"/>
              </w:rPr>
            </w:pPr>
          </w:p>
        </w:tc>
        <w:tc>
          <w:tcPr>
            <w:tcW w:w="1439" w:type="dxa"/>
          </w:tcPr>
          <w:p w14:paraId="2827F00B" w14:textId="77777777" w:rsidR="00C4454D" w:rsidRPr="00A735B4" w:rsidRDefault="00C4454D" w:rsidP="00C4454D">
            <w:pPr>
              <w:spacing w:after="200" w:line="276" w:lineRule="auto"/>
              <w:rPr>
                <w:sz w:val="18"/>
                <w:szCs w:val="18"/>
              </w:rPr>
            </w:pPr>
            <w:r w:rsidRPr="00A735B4">
              <w:rPr>
                <w:sz w:val="18"/>
                <w:szCs w:val="18"/>
              </w:rPr>
              <w:t xml:space="preserve">Imports from </w:t>
            </w:r>
          </w:p>
        </w:tc>
        <w:tc>
          <w:tcPr>
            <w:tcW w:w="5887" w:type="dxa"/>
          </w:tcPr>
          <w:p w14:paraId="1F30AF3D" w14:textId="77777777" w:rsidR="00C4454D" w:rsidRPr="00A735B4" w:rsidRDefault="00C4454D" w:rsidP="00C4454D">
            <w:pPr>
              <w:spacing w:after="200" w:line="276" w:lineRule="auto"/>
              <w:rPr>
                <w:sz w:val="18"/>
                <w:szCs w:val="18"/>
              </w:rPr>
            </w:pPr>
            <w:r w:rsidRPr="00A735B4">
              <w:rPr>
                <w:sz w:val="18"/>
                <w:szCs w:val="18"/>
              </w:rPr>
              <w:t xml:space="preserve">South Africa, Algeria </w:t>
            </w:r>
          </w:p>
        </w:tc>
      </w:tr>
    </w:tbl>
    <w:p w14:paraId="31564AC6" w14:textId="77777777" w:rsidR="00C4454D" w:rsidRPr="00A735B4" w:rsidRDefault="00C4454D" w:rsidP="00C4454D">
      <w:pPr>
        <w:spacing w:after="200" w:line="276" w:lineRule="auto"/>
        <w:jc w:val="both"/>
        <w:rPr>
          <w:b/>
        </w:rPr>
      </w:pPr>
    </w:p>
    <w:p w14:paraId="567F5928" w14:textId="740D6F5E" w:rsidR="00C4454D" w:rsidRPr="00A735B4" w:rsidRDefault="00C4454D" w:rsidP="00C4454D">
      <w:bookmarkStart w:id="165" w:name="_Toc419565285"/>
      <w:r w:rsidRPr="00A735B4">
        <w:t>E.5  Determinants of trade in health services</w:t>
      </w:r>
      <w:bookmarkEnd w:id="165"/>
    </w:p>
    <w:p w14:paraId="2119C0FD" w14:textId="77777777" w:rsidR="00C4454D" w:rsidRPr="00A735B4" w:rsidRDefault="00C4454D" w:rsidP="00C4454D">
      <w:pPr>
        <w:spacing w:after="200" w:line="276" w:lineRule="auto"/>
        <w:jc w:val="both"/>
        <w:rPr>
          <w:bCs/>
        </w:rPr>
      </w:pPr>
    </w:p>
    <w:p w14:paraId="6E8C3B74" w14:textId="0C316BF0" w:rsidR="00C4454D" w:rsidRPr="00A735B4" w:rsidRDefault="00C4454D" w:rsidP="00C4454D">
      <w:pPr>
        <w:spacing w:after="200" w:line="276" w:lineRule="auto"/>
        <w:jc w:val="both"/>
        <w:rPr>
          <w:b/>
          <w:bCs/>
        </w:rPr>
      </w:pPr>
      <w:r w:rsidRPr="00A735B4">
        <w:rPr>
          <w:bCs/>
        </w:rPr>
        <w:t xml:space="preserve">Differences in the cost and quality of services and the institutions providing the services are typical determinants of trade. In several cases, domestic patients from the surveyed countries pay more for </w:t>
      </w:r>
      <w:r w:rsidRPr="00A735B4">
        <w:rPr>
          <w:bCs/>
        </w:rPr>
        <w:lastRenderedPageBreak/>
        <w:t xml:space="preserve">treatment received abroad than do foreign patients undergoing treatment in the selected countries (figures E.4 and E.5). This may suggest that the cost of medical services is not the decisive factor for trade in health services. </w:t>
      </w:r>
    </w:p>
    <w:p w14:paraId="14D1CEE0" w14:textId="77777777" w:rsidR="00C4454D" w:rsidRPr="00A735B4" w:rsidRDefault="00C4454D" w:rsidP="00C4454D">
      <w:pPr>
        <w:jc w:val="center"/>
      </w:pPr>
    </w:p>
    <w:p w14:paraId="4FFA130F" w14:textId="77777777" w:rsidR="00C4454D" w:rsidRPr="00A735B4" w:rsidRDefault="00C4454D" w:rsidP="00C4454D">
      <w:pPr>
        <w:jc w:val="center"/>
      </w:pPr>
    </w:p>
    <w:p w14:paraId="47B9FC51" w14:textId="581D5D0A" w:rsidR="00C4454D" w:rsidRPr="00A735B4" w:rsidRDefault="00C4454D" w:rsidP="00C4454D">
      <w:pPr>
        <w:jc w:val="center"/>
        <w:rPr>
          <w:color w:val="1F497D" w:themeColor="text2"/>
        </w:rPr>
      </w:pPr>
      <w:bookmarkStart w:id="166" w:name="_Toc410823508"/>
      <w:r w:rsidRPr="00A735B4">
        <w:rPr>
          <w:color w:val="1F497D" w:themeColor="text2"/>
        </w:rPr>
        <w:t>Figure E.4 Cost of treatment received by foreigners in the examined countries</w:t>
      </w:r>
      <w:bookmarkEnd w:id="166"/>
    </w:p>
    <w:p w14:paraId="45118F69" w14:textId="77777777" w:rsidR="00C4454D" w:rsidRPr="00A735B4" w:rsidRDefault="00C4454D" w:rsidP="00C4454D">
      <w:pPr>
        <w:spacing w:after="200" w:line="276" w:lineRule="auto"/>
        <w:jc w:val="center"/>
        <w:rPr>
          <w:bCs/>
        </w:rPr>
      </w:pPr>
      <w:r w:rsidRPr="00A735B4">
        <w:rPr>
          <w:rFonts w:eastAsia="Calibri"/>
          <w:noProof/>
        </w:rPr>
        <w:drawing>
          <wp:inline distT="0" distB="0" distL="0" distR="0" wp14:anchorId="2CFD0AC2" wp14:editId="02927B70">
            <wp:extent cx="4764199" cy="3032053"/>
            <wp:effectExtent l="0" t="0" r="0" b="0"/>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773315" cy="3037854"/>
                    </a:xfrm>
                    <a:prstGeom prst="rect">
                      <a:avLst/>
                    </a:prstGeom>
                    <a:noFill/>
                    <a:ln>
                      <a:noFill/>
                    </a:ln>
                  </pic:spPr>
                </pic:pic>
              </a:graphicData>
            </a:graphic>
          </wp:inline>
        </w:drawing>
      </w:r>
    </w:p>
    <w:p w14:paraId="4DB77CC5" w14:textId="4FA9CE7B" w:rsidR="00C4454D" w:rsidRPr="00A735B4" w:rsidRDefault="00C4454D" w:rsidP="00C4454D">
      <w:pPr>
        <w:jc w:val="center"/>
        <w:rPr>
          <w:color w:val="1F497D" w:themeColor="text2"/>
        </w:rPr>
      </w:pPr>
      <w:bookmarkStart w:id="167" w:name="_Toc410823509"/>
      <w:r w:rsidRPr="00A735B4">
        <w:rPr>
          <w:color w:val="1F497D" w:themeColor="text2"/>
        </w:rPr>
        <w:t>Figure E.5 Cost of treatment received by patients from the examined countries abroad</w:t>
      </w:r>
      <w:bookmarkEnd w:id="167"/>
    </w:p>
    <w:p w14:paraId="133A724D" w14:textId="77777777" w:rsidR="00C4454D" w:rsidRPr="00A735B4" w:rsidRDefault="00C4454D" w:rsidP="00C4454D">
      <w:pPr>
        <w:spacing w:after="200" w:line="276" w:lineRule="auto"/>
        <w:jc w:val="center"/>
        <w:rPr>
          <w:b/>
        </w:rPr>
      </w:pPr>
      <w:r w:rsidRPr="00A735B4">
        <w:rPr>
          <w:rFonts w:eastAsia="Calibri"/>
          <w:noProof/>
        </w:rPr>
        <w:drawing>
          <wp:inline distT="0" distB="0" distL="0" distR="0" wp14:anchorId="48962BB0" wp14:editId="4416DB07">
            <wp:extent cx="4804968" cy="2888805"/>
            <wp:effectExtent l="0" t="0" r="0" b="6985"/>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815593" cy="2895193"/>
                    </a:xfrm>
                    <a:prstGeom prst="rect">
                      <a:avLst/>
                    </a:prstGeom>
                    <a:noFill/>
                    <a:ln>
                      <a:noFill/>
                    </a:ln>
                  </pic:spPr>
                </pic:pic>
              </a:graphicData>
            </a:graphic>
          </wp:inline>
        </w:drawing>
      </w:r>
    </w:p>
    <w:p w14:paraId="443FBA8E" w14:textId="33A9EA31" w:rsidR="00C4454D" w:rsidRPr="00A735B4" w:rsidRDefault="00C4454D" w:rsidP="00C4454D">
      <w:pPr>
        <w:spacing w:after="200" w:line="276" w:lineRule="auto"/>
        <w:jc w:val="both"/>
      </w:pPr>
      <w:r w:rsidRPr="00A735B4">
        <w:lastRenderedPageBreak/>
        <w:t>Although differences in the quality of services may explain this outcome, the non-availability of certain specialized cures (within the broader treatment category) could be an additional explanatory factor (figures E.6 and E.7).</w:t>
      </w:r>
      <w:r w:rsidRPr="00A735B4">
        <w:br w:type="page"/>
      </w:r>
    </w:p>
    <w:tbl>
      <w:tblPr>
        <w:tblW w:w="0" w:type="auto"/>
        <w:tblInd w:w="10" w:type="dxa"/>
        <w:tblCellMar>
          <w:left w:w="10" w:type="dxa"/>
          <w:right w:w="10" w:type="dxa"/>
        </w:tblCellMar>
        <w:tblLook w:val="04A0" w:firstRow="1" w:lastRow="0" w:firstColumn="1" w:lastColumn="0" w:noHBand="0" w:noVBand="1"/>
      </w:tblPr>
      <w:tblGrid>
        <w:gridCol w:w="4527"/>
        <w:gridCol w:w="4716"/>
      </w:tblGrid>
      <w:tr w:rsidR="00C4454D" w:rsidRPr="00A735B4" w14:paraId="6C4BF37B" w14:textId="77777777" w:rsidTr="00C4454D">
        <w:tc>
          <w:tcPr>
            <w:tcW w:w="4527" w:type="dxa"/>
          </w:tcPr>
          <w:p w14:paraId="5BE4B778" w14:textId="62ED057D" w:rsidR="00C4454D" w:rsidRPr="00A735B4" w:rsidRDefault="00C4454D" w:rsidP="00C4454D">
            <w:pPr>
              <w:keepNext/>
              <w:jc w:val="center"/>
              <w:rPr>
                <w:color w:val="1F497D" w:themeColor="text2"/>
              </w:rPr>
            </w:pPr>
            <w:bookmarkStart w:id="168" w:name="_Toc410823510"/>
            <w:r w:rsidRPr="00A735B4">
              <w:rPr>
                <w:color w:val="1F497D" w:themeColor="text2"/>
              </w:rPr>
              <w:lastRenderedPageBreak/>
              <w:t>Figure E.6 Reasons for foreign patients to seek treatment in the examined countries</w:t>
            </w:r>
            <w:bookmarkEnd w:id="168"/>
          </w:p>
          <w:p w14:paraId="705F6749" w14:textId="77777777" w:rsidR="00C4454D" w:rsidRPr="00A735B4" w:rsidRDefault="00C4454D" w:rsidP="00C4454D">
            <w:pPr>
              <w:jc w:val="center"/>
            </w:pPr>
          </w:p>
        </w:tc>
        <w:tc>
          <w:tcPr>
            <w:tcW w:w="4716" w:type="dxa"/>
          </w:tcPr>
          <w:p w14:paraId="170A3C8E" w14:textId="60B64FC1" w:rsidR="00C4454D" w:rsidRPr="00A735B4" w:rsidRDefault="00C4454D" w:rsidP="00C4454D">
            <w:pPr>
              <w:keepNext/>
              <w:jc w:val="center"/>
              <w:rPr>
                <w:color w:val="1F497D" w:themeColor="text2"/>
              </w:rPr>
            </w:pPr>
            <w:bookmarkStart w:id="169" w:name="_Toc410823511"/>
            <w:r w:rsidRPr="00A735B4">
              <w:rPr>
                <w:color w:val="1F497D" w:themeColor="text2"/>
              </w:rPr>
              <w:t>Figure E.7 Reasons for domestic patients from the selected countries to seek treatment abroad</w:t>
            </w:r>
            <w:bookmarkEnd w:id="169"/>
          </w:p>
          <w:p w14:paraId="7EC1CFC0" w14:textId="77777777" w:rsidR="00C4454D" w:rsidRPr="00A735B4" w:rsidRDefault="00C4454D" w:rsidP="00C4454D">
            <w:pPr>
              <w:jc w:val="center"/>
            </w:pPr>
          </w:p>
        </w:tc>
      </w:tr>
      <w:tr w:rsidR="00C4454D" w:rsidRPr="00A735B4" w14:paraId="5B108D37" w14:textId="77777777" w:rsidTr="00C4454D">
        <w:tc>
          <w:tcPr>
            <w:tcW w:w="4527" w:type="dxa"/>
          </w:tcPr>
          <w:p w14:paraId="38C8A3E7" w14:textId="77777777" w:rsidR="00C4454D" w:rsidRPr="00A735B4" w:rsidRDefault="00C4454D" w:rsidP="00C4454D">
            <w:pPr>
              <w:spacing w:after="200" w:line="276" w:lineRule="auto"/>
              <w:jc w:val="both"/>
            </w:pPr>
            <w:r w:rsidRPr="00A735B4">
              <w:rPr>
                <w:noProof/>
              </w:rPr>
              <w:drawing>
                <wp:inline distT="0" distB="0" distL="0" distR="0" wp14:anchorId="3BDD6F17" wp14:editId="38FB8D23">
                  <wp:extent cx="2592593" cy="2979868"/>
                  <wp:effectExtent l="0" t="0" r="0" b="0"/>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592593" cy="2979868"/>
                          </a:xfrm>
                          <a:prstGeom prst="rect">
                            <a:avLst/>
                          </a:prstGeom>
                          <a:noFill/>
                          <a:ln>
                            <a:noFill/>
                          </a:ln>
                        </pic:spPr>
                      </pic:pic>
                    </a:graphicData>
                  </a:graphic>
                </wp:inline>
              </w:drawing>
            </w:r>
          </w:p>
        </w:tc>
        <w:tc>
          <w:tcPr>
            <w:tcW w:w="4716" w:type="dxa"/>
          </w:tcPr>
          <w:p w14:paraId="0444B641" w14:textId="77777777" w:rsidR="00C4454D" w:rsidRPr="00A735B4" w:rsidRDefault="00C4454D" w:rsidP="00C4454D">
            <w:pPr>
              <w:spacing w:after="200" w:line="276" w:lineRule="auto"/>
              <w:jc w:val="both"/>
            </w:pPr>
            <w:r w:rsidRPr="00A735B4">
              <w:rPr>
                <w:noProof/>
              </w:rPr>
              <w:drawing>
                <wp:inline distT="0" distB="0" distL="0" distR="0" wp14:anchorId="25625201" wp14:editId="47F0C57B">
                  <wp:extent cx="2850776" cy="2700170"/>
                  <wp:effectExtent l="0" t="0" r="6985" b="5080"/>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851044" cy="2700424"/>
                          </a:xfrm>
                          <a:prstGeom prst="rect">
                            <a:avLst/>
                          </a:prstGeom>
                          <a:noFill/>
                          <a:ln>
                            <a:noFill/>
                          </a:ln>
                        </pic:spPr>
                      </pic:pic>
                    </a:graphicData>
                  </a:graphic>
                </wp:inline>
              </w:drawing>
            </w:r>
          </w:p>
        </w:tc>
      </w:tr>
    </w:tbl>
    <w:p w14:paraId="25065A43" w14:textId="5AAB5698" w:rsidR="00C4454D" w:rsidRPr="00A735B4" w:rsidRDefault="00C4454D" w:rsidP="00C4454D">
      <w:pPr>
        <w:spacing w:after="200" w:line="276" w:lineRule="auto"/>
        <w:jc w:val="both"/>
        <w:rPr>
          <w:color w:val="000000"/>
        </w:rPr>
      </w:pPr>
      <w:r w:rsidRPr="00A735B4">
        <w:rPr>
          <w:color w:val="000000"/>
        </w:rPr>
        <w:t>Push factors, such as inadequate remuneration in the home country, the desire to work in a better managed health system and to continue education and training, and family reasons, encourage health care professionals to seek employment abroad. This leads to trade through the temporary presence of health professionals (Mode 4) or to permanent migration (figureE.8). Additional pull factors such as shortages of doctors and nurses in the host countries, further encourage the outflow of African health professionals.</w:t>
      </w:r>
    </w:p>
    <w:p w14:paraId="7FC189AA" w14:textId="3F657C5B" w:rsidR="00C4454D" w:rsidRPr="00A735B4" w:rsidRDefault="00C4454D" w:rsidP="00C4454D">
      <w:pPr>
        <w:jc w:val="center"/>
        <w:rPr>
          <w:color w:val="1F497D" w:themeColor="text2"/>
        </w:rPr>
      </w:pPr>
      <w:bookmarkStart w:id="170" w:name="_Toc410823512"/>
      <w:r w:rsidRPr="00A735B4">
        <w:rPr>
          <w:color w:val="1F497D" w:themeColor="text2"/>
        </w:rPr>
        <w:t>Figure E.8 Reasons for medical professionals working abroad</w:t>
      </w:r>
      <w:bookmarkEnd w:id="170"/>
    </w:p>
    <w:p w14:paraId="3ECB29FB" w14:textId="77777777" w:rsidR="00C4454D" w:rsidRPr="00A735B4" w:rsidRDefault="00C4454D" w:rsidP="00C4454D">
      <w:pPr>
        <w:jc w:val="center"/>
      </w:pPr>
      <w:r w:rsidRPr="00A735B4">
        <w:rPr>
          <w:rFonts w:eastAsia="Calibri"/>
          <w:noProof/>
        </w:rPr>
        <w:lastRenderedPageBreak/>
        <w:drawing>
          <wp:inline distT="0" distB="0" distL="0" distR="0" wp14:anchorId="7AD4E6B5" wp14:editId="54A3A497">
            <wp:extent cx="5819775" cy="2930235"/>
            <wp:effectExtent l="0" t="0" r="0" b="3810"/>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819983" cy="2930340"/>
                    </a:xfrm>
                    <a:prstGeom prst="rect">
                      <a:avLst/>
                    </a:prstGeom>
                    <a:noFill/>
                    <a:ln>
                      <a:noFill/>
                    </a:ln>
                  </pic:spPr>
                </pic:pic>
              </a:graphicData>
            </a:graphic>
          </wp:inline>
        </w:drawing>
      </w:r>
    </w:p>
    <w:p w14:paraId="13165954" w14:textId="42765199" w:rsidR="00C4454D" w:rsidRPr="00A735B4" w:rsidRDefault="00C4454D" w:rsidP="00C4454D">
      <w:bookmarkStart w:id="171" w:name="_Toc419565286"/>
      <w:r w:rsidRPr="00A735B4">
        <w:t>E.6  Barriers to trade in health services</w:t>
      </w:r>
      <w:bookmarkEnd w:id="171"/>
    </w:p>
    <w:p w14:paraId="5B6DA882" w14:textId="77777777" w:rsidR="00C4454D" w:rsidRPr="00A735B4" w:rsidRDefault="00C4454D" w:rsidP="00C4454D">
      <w:pPr>
        <w:spacing w:after="200" w:line="276" w:lineRule="auto"/>
        <w:jc w:val="both"/>
      </w:pPr>
    </w:p>
    <w:p w14:paraId="18E65786" w14:textId="2A0CACC1" w:rsidR="00C4454D" w:rsidRPr="00A735B4" w:rsidRDefault="00C4454D" w:rsidP="00C4454D">
      <w:pPr>
        <w:spacing w:after="200" w:line="276" w:lineRule="auto"/>
        <w:jc w:val="both"/>
      </w:pPr>
      <w:r w:rsidRPr="00A735B4">
        <w:t>The survey results confirm that exports and imports of health services via consumption abroad are hampered by the high cost of travel and visas needed to receive treatment in a foreign country (figures E.9 and E.10).</w:t>
      </w:r>
    </w:p>
    <w:tbl>
      <w:tblPr>
        <w:tblW w:w="0" w:type="auto"/>
        <w:tblInd w:w="10" w:type="dxa"/>
        <w:tblCellMar>
          <w:left w:w="10" w:type="dxa"/>
          <w:right w:w="10" w:type="dxa"/>
        </w:tblCellMar>
        <w:tblLook w:val="04A0" w:firstRow="1" w:lastRow="0" w:firstColumn="1" w:lastColumn="0" w:noHBand="0" w:noVBand="1"/>
      </w:tblPr>
      <w:tblGrid>
        <w:gridCol w:w="4605"/>
        <w:gridCol w:w="4745"/>
      </w:tblGrid>
      <w:tr w:rsidR="00C4454D" w:rsidRPr="00A735B4" w14:paraId="3BF742AB" w14:textId="77777777" w:rsidTr="00C4454D">
        <w:tc>
          <w:tcPr>
            <w:tcW w:w="0" w:type="auto"/>
          </w:tcPr>
          <w:p w14:paraId="57B8706B" w14:textId="6FC04A2E" w:rsidR="00C4454D" w:rsidRPr="00A735B4" w:rsidRDefault="00C4454D" w:rsidP="00C4454D">
            <w:pPr>
              <w:rPr>
                <w:color w:val="1F497D" w:themeColor="text2"/>
              </w:rPr>
            </w:pPr>
            <w:bookmarkStart w:id="172" w:name="_Toc410823513"/>
            <w:r w:rsidRPr="00A735B4">
              <w:rPr>
                <w:color w:val="1F497D" w:themeColor="text2"/>
              </w:rPr>
              <w:t>Figure E.9 Cost of travel and visa for foreign patients seeking treatment in the selected countries</w:t>
            </w:r>
            <w:bookmarkEnd w:id="172"/>
          </w:p>
          <w:p w14:paraId="59BD9050" w14:textId="77777777" w:rsidR="00C4454D" w:rsidRPr="00A735B4" w:rsidRDefault="00C4454D" w:rsidP="00C4454D">
            <w:pPr>
              <w:jc w:val="center"/>
            </w:pPr>
          </w:p>
        </w:tc>
        <w:tc>
          <w:tcPr>
            <w:tcW w:w="0" w:type="auto"/>
          </w:tcPr>
          <w:p w14:paraId="585625ED" w14:textId="5A33A84D" w:rsidR="00C4454D" w:rsidRPr="00A735B4" w:rsidRDefault="00C4454D" w:rsidP="00C4454D">
            <w:pPr>
              <w:keepNext/>
              <w:jc w:val="center"/>
              <w:rPr>
                <w:color w:val="1F497D" w:themeColor="text2"/>
              </w:rPr>
            </w:pPr>
            <w:bookmarkStart w:id="173" w:name="_Toc410823514"/>
            <w:r w:rsidRPr="00A735B4">
              <w:rPr>
                <w:color w:val="1F497D" w:themeColor="text2"/>
              </w:rPr>
              <w:t>Figure E.10 Cost of travel and visa for domestic patients originating in the selected countries seeking treatment abroad</w:t>
            </w:r>
            <w:bookmarkEnd w:id="173"/>
          </w:p>
          <w:p w14:paraId="7BF9DF45" w14:textId="77777777" w:rsidR="00C4454D" w:rsidRPr="00A735B4" w:rsidRDefault="00C4454D" w:rsidP="00C4454D">
            <w:pPr>
              <w:jc w:val="center"/>
            </w:pPr>
          </w:p>
        </w:tc>
      </w:tr>
      <w:tr w:rsidR="00C4454D" w:rsidRPr="00A735B4" w14:paraId="54803713" w14:textId="77777777" w:rsidTr="00C4454D">
        <w:trPr>
          <w:trHeight w:val="3005"/>
        </w:trPr>
        <w:tc>
          <w:tcPr>
            <w:tcW w:w="0" w:type="auto"/>
          </w:tcPr>
          <w:p w14:paraId="17C5637B" w14:textId="77777777" w:rsidR="00C4454D" w:rsidRPr="00A735B4" w:rsidRDefault="00C4454D" w:rsidP="00C4454D">
            <w:pPr>
              <w:spacing w:after="200" w:line="276" w:lineRule="auto"/>
              <w:jc w:val="both"/>
            </w:pPr>
            <w:r w:rsidRPr="00A735B4">
              <w:rPr>
                <w:noProof/>
                <w:color w:val="000000"/>
              </w:rPr>
              <w:drawing>
                <wp:inline distT="0" distB="0" distL="0" distR="0" wp14:anchorId="24EE11FE" wp14:editId="5C350EA5">
                  <wp:extent cx="2727237" cy="1862666"/>
                  <wp:effectExtent l="0" t="0" r="0" b="4445"/>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733169" cy="1866718"/>
                          </a:xfrm>
                          <a:prstGeom prst="rect">
                            <a:avLst/>
                          </a:prstGeom>
                          <a:noFill/>
                          <a:ln>
                            <a:noFill/>
                          </a:ln>
                        </pic:spPr>
                      </pic:pic>
                    </a:graphicData>
                  </a:graphic>
                </wp:inline>
              </w:drawing>
            </w:r>
          </w:p>
        </w:tc>
        <w:tc>
          <w:tcPr>
            <w:tcW w:w="0" w:type="auto"/>
          </w:tcPr>
          <w:p w14:paraId="0A86127F" w14:textId="77777777" w:rsidR="00C4454D" w:rsidRPr="00A735B4" w:rsidRDefault="00C4454D" w:rsidP="00C4454D">
            <w:pPr>
              <w:keepNext/>
              <w:spacing w:after="200" w:line="276" w:lineRule="auto"/>
              <w:jc w:val="both"/>
            </w:pPr>
            <w:r w:rsidRPr="00A735B4">
              <w:rPr>
                <w:noProof/>
                <w:color w:val="000000"/>
              </w:rPr>
              <w:drawing>
                <wp:inline distT="0" distB="0" distL="0" distR="0" wp14:anchorId="7A7FB3D1" wp14:editId="10225E00">
                  <wp:extent cx="2731671" cy="1772355"/>
                  <wp:effectExtent l="0" t="0" r="0" b="0"/>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732477" cy="1772878"/>
                          </a:xfrm>
                          <a:prstGeom prst="rect">
                            <a:avLst/>
                          </a:prstGeom>
                          <a:noFill/>
                          <a:ln>
                            <a:noFill/>
                          </a:ln>
                        </pic:spPr>
                      </pic:pic>
                    </a:graphicData>
                  </a:graphic>
                </wp:inline>
              </w:drawing>
            </w:r>
          </w:p>
        </w:tc>
      </w:tr>
    </w:tbl>
    <w:p w14:paraId="55CDC2CC" w14:textId="134C78F0" w:rsidR="00C4454D" w:rsidRPr="00A735B4" w:rsidRDefault="00C4454D" w:rsidP="00C4454D">
      <w:pPr>
        <w:spacing w:after="200" w:line="276" w:lineRule="auto"/>
        <w:jc w:val="both"/>
      </w:pPr>
      <w:r w:rsidRPr="00A735B4">
        <w:t xml:space="preserve">The limited availability of insurance for treatments abroad further limits these trade flows (figures E.11 and E.12). </w:t>
      </w:r>
    </w:p>
    <w:tbl>
      <w:tblPr>
        <w:tblW w:w="0" w:type="auto"/>
        <w:tblInd w:w="10" w:type="dxa"/>
        <w:tblCellMar>
          <w:left w:w="10" w:type="dxa"/>
          <w:right w:w="10" w:type="dxa"/>
        </w:tblCellMar>
        <w:tblLook w:val="04A0" w:firstRow="1" w:lastRow="0" w:firstColumn="1" w:lastColumn="0" w:noHBand="0" w:noVBand="1"/>
      </w:tblPr>
      <w:tblGrid>
        <w:gridCol w:w="4371"/>
        <w:gridCol w:w="4277"/>
      </w:tblGrid>
      <w:tr w:rsidR="00C4454D" w:rsidRPr="00A735B4" w14:paraId="25C3A68F" w14:textId="77777777" w:rsidTr="00C4454D">
        <w:trPr>
          <w:trHeight w:val="123"/>
        </w:trPr>
        <w:tc>
          <w:tcPr>
            <w:tcW w:w="4276" w:type="dxa"/>
          </w:tcPr>
          <w:p w14:paraId="51B6DF5B" w14:textId="14F6495D" w:rsidR="00C4454D" w:rsidRPr="00A735B4" w:rsidRDefault="00C4454D" w:rsidP="00C4454D">
            <w:pPr>
              <w:keepNext/>
              <w:jc w:val="center"/>
              <w:rPr>
                <w:color w:val="1F497D" w:themeColor="text2"/>
              </w:rPr>
            </w:pPr>
            <w:bookmarkStart w:id="174" w:name="_Toc410823515"/>
            <w:r w:rsidRPr="00A735B4">
              <w:rPr>
                <w:color w:val="1F497D" w:themeColor="text2"/>
              </w:rPr>
              <w:lastRenderedPageBreak/>
              <w:t>Figure E.11 Percentage of treatment covered by insurance for the foreign patients seeking treatment in the examined countries</w:t>
            </w:r>
            <w:bookmarkEnd w:id="174"/>
          </w:p>
          <w:p w14:paraId="6FA37854" w14:textId="77777777" w:rsidR="00C4454D" w:rsidRPr="00A735B4" w:rsidRDefault="00C4454D" w:rsidP="00C4454D">
            <w:pPr>
              <w:jc w:val="center"/>
            </w:pPr>
          </w:p>
        </w:tc>
        <w:tc>
          <w:tcPr>
            <w:tcW w:w="4277" w:type="dxa"/>
          </w:tcPr>
          <w:p w14:paraId="6D4C1949" w14:textId="28FF11E9" w:rsidR="00C4454D" w:rsidRPr="00A735B4" w:rsidRDefault="00C4454D" w:rsidP="00C4454D">
            <w:pPr>
              <w:keepNext/>
              <w:jc w:val="center"/>
              <w:rPr>
                <w:color w:val="1F497D" w:themeColor="text2"/>
              </w:rPr>
            </w:pPr>
            <w:bookmarkStart w:id="175" w:name="_Toc410823516"/>
            <w:r w:rsidRPr="00A735B4">
              <w:rPr>
                <w:color w:val="1F497D" w:themeColor="text2"/>
              </w:rPr>
              <w:t>Figure E.12 Percentage of treatment covered by insurance for domestic patients originating in the selected countries seeking treatment abroad</w:t>
            </w:r>
            <w:bookmarkEnd w:id="175"/>
          </w:p>
          <w:p w14:paraId="1B72FF95" w14:textId="77777777" w:rsidR="00C4454D" w:rsidRPr="00A735B4" w:rsidRDefault="00C4454D" w:rsidP="00C4454D">
            <w:pPr>
              <w:jc w:val="center"/>
            </w:pPr>
          </w:p>
        </w:tc>
      </w:tr>
      <w:tr w:rsidR="00C4454D" w:rsidRPr="00A735B4" w14:paraId="1FF0BDAE" w14:textId="77777777" w:rsidTr="00C4454D">
        <w:trPr>
          <w:trHeight w:val="3529"/>
        </w:trPr>
        <w:tc>
          <w:tcPr>
            <w:tcW w:w="4276" w:type="dxa"/>
          </w:tcPr>
          <w:p w14:paraId="5DD994F6" w14:textId="77777777" w:rsidR="00C4454D" w:rsidRPr="00A735B4" w:rsidRDefault="00C4454D" w:rsidP="00C4454D">
            <w:pPr>
              <w:spacing w:after="200" w:line="276" w:lineRule="auto"/>
              <w:jc w:val="both"/>
            </w:pPr>
            <w:r w:rsidRPr="00A735B4">
              <w:rPr>
                <w:noProof/>
              </w:rPr>
              <w:drawing>
                <wp:inline distT="0" distB="0" distL="0" distR="0" wp14:anchorId="117CF042" wp14:editId="0119C7AE">
                  <wp:extent cx="2762925" cy="2370667"/>
                  <wp:effectExtent l="0" t="0" r="0" b="0"/>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762250" cy="2370088"/>
                          </a:xfrm>
                          <a:prstGeom prst="rect">
                            <a:avLst/>
                          </a:prstGeom>
                          <a:noFill/>
                          <a:ln>
                            <a:noFill/>
                          </a:ln>
                        </pic:spPr>
                      </pic:pic>
                    </a:graphicData>
                  </a:graphic>
                </wp:inline>
              </w:drawing>
            </w:r>
          </w:p>
        </w:tc>
        <w:tc>
          <w:tcPr>
            <w:tcW w:w="4277" w:type="dxa"/>
          </w:tcPr>
          <w:p w14:paraId="7F349979" w14:textId="77777777" w:rsidR="00C4454D" w:rsidRPr="00A735B4" w:rsidRDefault="00C4454D" w:rsidP="00C4454D">
            <w:pPr>
              <w:spacing w:after="200" w:line="276" w:lineRule="auto"/>
              <w:jc w:val="both"/>
            </w:pPr>
            <w:r w:rsidRPr="00A735B4">
              <w:rPr>
                <w:noProof/>
              </w:rPr>
              <w:drawing>
                <wp:inline distT="0" distB="0" distL="0" distR="0" wp14:anchorId="550E1E6C" wp14:editId="19B208A1">
                  <wp:extent cx="2590800" cy="2370667"/>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590800" cy="2370667"/>
                          </a:xfrm>
                          <a:prstGeom prst="rect">
                            <a:avLst/>
                          </a:prstGeom>
                          <a:noFill/>
                          <a:ln>
                            <a:noFill/>
                          </a:ln>
                        </pic:spPr>
                      </pic:pic>
                    </a:graphicData>
                  </a:graphic>
                </wp:inline>
              </w:drawing>
            </w:r>
          </w:p>
        </w:tc>
      </w:tr>
    </w:tbl>
    <w:p w14:paraId="71A98676" w14:textId="1A1E4DE9" w:rsidR="00C4454D" w:rsidRPr="00A735B4" w:rsidRDefault="00C4454D" w:rsidP="00C4454D">
      <w:pPr>
        <w:spacing w:after="200" w:line="276" w:lineRule="auto"/>
        <w:jc w:val="both"/>
      </w:pPr>
      <w:r w:rsidRPr="00A735B4">
        <w:t xml:space="preserve">The main barriers to the movement of health professionals relate to the lengthy recognition of medical degrees obtained abroad (figure E.13), the additional training required for the recognition of degrees obtained abroad (figure E.14), and the cost of courses required for the recognition of degrees obtains abroad (figure E.15). </w:t>
      </w:r>
    </w:p>
    <w:p w14:paraId="0F985D4C" w14:textId="2AD1442E" w:rsidR="00C4454D" w:rsidRPr="00A735B4" w:rsidRDefault="00C4454D" w:rsidP="00C4454D">
      <w:pPr>
        <w:keepNext/>
        <w:spacing w:after="0"/>
        <w:jc w:val="center"/>
        <w:rPr>
          <w:color w:val="1F497D" w:themeColor="text2"/>
        </w:rPr>
      </w:pPr>
      <w:bookmarkStart w:id="176" w:name="_Toc410823517"/>
      <w:r w:rsidRPr="00A735B4">
        <w:rPr>
          <w:color w:val="1F497D" w:themeColor="text2"/>
        </w:rPr>
        <w:lastRenderedPageBreak/>
        <w:t>Figure E.13 Weeks required to recognize medical degrees obtained abroad</w:t>
      </w:r>
      <w:bookmarkEnd w:id="176"/>
    </w:p>
    <w:tbl>
      <w:tblPr>
        <w:tblpPr w:leftFromText="180" w:rightFromText="180" w:vertAnchor="text" w:horzAnchor="margin" w:tblpY="5014"/>
        <w:tblW w:w="0" w:type="auto"/>
        <w:tblCellMar>
          <w:left w:w="10" w:type="dxa"/>
          <w:right w:w="10" w:type="dxa"/>
        </w:tblCellMar>
        <w:tblLook w:val="04A0" w:firstRow="1" w:lastRow="0" w:firstColumn="1" w:lastColumn="0" w:noHBand="0" w:noVBand="1"/>
      </w:tblPr>
      <w:tblGrid>
        <w:gridCol w:w="4883"/>
        <w:gridCol w:w="4477"/>
      </w:tblGrid>
      <w:tr w:rsidR="00C4454D" w:rsidRPr="00A735B4" w14:paraId="3219D62F" w14:textId="77777777" w:rsidTr="00C4454D">
        <w:tc>
          <w:tcPr>
            <w:tcW w:w="4883" w:type="dxa"/>
          </w:tcPr>
          <w:p w14:paraId="1B537400" w14:textId="77777777" w:rsidR="00C4454D" w:rsidRPr="00A735B4" w:rsidRDefault="00C4454D" w:rsidP="00C4454D">
            <w:pPr>
              <w:keepNext/>
              <w:jc w:val="center"/>
              <w:rPr>
                <w:color w:val="1F497D" w:themeColor="text2"/>
              </w:rPr>
            </w:pPr>
            <w:bookmarkStart w:id="177" w:name="_Toc410823518"/>
            <w:r w:rsidRPr="00A735B4">
              <w:rPr>
                <w:color w:val="1F497D" w:themeColor="text2"/>
              </w:rPr>
              <w:t>Figure E.14 Additional training required for recognition of degrees obtained abroad</w:t>
            </w:r>
            <w:bookmarkEnd w:id="177"/>
          </w:p>
          <w:p w14:paraId="6B95EB1B" w14:textId="77777777" w:rsidR="00C4454D" w:rsidRPr="00A735B4" w:rsidRDefault="00C4454D" w:rsidP="00C4454D">
            <w:pPr>
              <w:jc w:val="center"/>
            </w:pPr>
          </w:p>
        </w:tc>
        <w:tc>
          <w:tcPr>
            <w:tcW w:w="4477" w:type="dxa"/>
          </w:tcPr>
          <w:p w14:paraId="7169531B" w14:textId="77777777" w:rsidR="00C4454D" w:rsidRPr="00A735B4" w:rsidRDefault="00C4454D" w:rsidP="00C4454D">
            <w:pPr>
              <w:keepNext/>
              <w:jc w:val="center"/>
              <w:rPr>
                <w:color w:val="1F497D" w:themeColor="text2"/>
              </w:rPr>
            </w:pPr>
            <w:bookmarkStart w:id="178" w:name="_Toc410823519"/>
            <w:r w:rsidRPr="00A735B4">
              <w:rPr>
                <w:color w:val="1F497D" w:themeColor="text2"/>
              </w:rPr>
              <w:t>Figure E.15 Cost of courses required for recognition of degrees obtained abroad</w:t>
            </w:r>
            <w:bookmarkEnd w:id="178"/>
          </w:p>
          <w:p w14:paraId="70A62D04" w14:textId="77777777" w:rsidR="00C4454D" w:rsidRPr="00A735B4" w:rsidRDefault="00C4454D" w:rsidP="00C4454D">
            <w:pPr>
              <w:jc w:val="center"/>
            </w:pPr>
          </w:p>
        </w:tc>
      </w:tr>
      <w:tr w:rsidR="00C4454D" w:rsidRPr="00A735B4" w14:paraId="7FB995B8" w14:textId="77777777" w:rsidTr="00C4454D">
        <w:trPr>
          <w:trHeight w:val="4662"/>
        </w:trPr>
        <w:tc>
          <w:tcPr>
            <w:tcW w:w="4883" w:type="dxa"/>
          </w:tcPr>
          <w:p w14:paraId="243A99ED" w14:textId="77777777" w:rsidR="00C4454D" w:rsidRPr="00A735B4" w:rsidRDefault="00C4454D" w:rsidP="00C4454D">
            <w:pPr>
              <w:keepNext/>
              <w:jc w:val="center"/>
            </w:pPr>
            <w:r w:rsidRPr="00A735B4">
              <w:rPr>
                <w:noProof/>
              </w:rPr>
              <w:drawing>
                <wp:inline distT="0" distB="0" distL="0" distR="0" wp14:anchorId="0DB1A1EB" wp14:editId="729D6166">
                  <wp:extent cx="3009265" cy="2698750"/>
                  <wp:effectExtent l="0" t="0" r="635"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022704" cy="2710802"/>
                          </a:xfrm>
                          <a:prstGeom prst="rect">
                            <a:avLst/>
                          </a:prstGeom>
                          <a:noFill/>
                          <a:ln>
                            <a:noFill/>
                          </a:ln>
                        </pic:spPr>
                      </pic:pic>
                    </a:graphicData>
                  </a:graphic>
                </wp:inline>
              </w:drawing>
            </w:r>
          </w:p>
        </w:tc>
        <w:tc>
          <w:tcPr>
            <w:tcW w:w="4477" w:type="dxa"/>
          </w:tcPr>
          <w:p w14:paraId="772FCC32" w14:textId="77777777" w:rsidR="00C4454D" w:rsidRPr="00A735B4" w:rsidRDefault="00C4454D" w:rsidP="00C4454D">
            <w:pPr>
              <w:spacing w:after="200" w:line="276" w:lineRule="auto"/>
              <w:jc w:val="both"/>
            </w:pPr>
            <w:r w:rsidRPr="00A735B4">
              <w:rPr>
                <w:rFonts w:eastAsia="Calibri"/>
                <w:noProof/>
              </w:rPr>
              <w:drawing>
                <wp:inline distT="0" distB="0" distL="0" distR="0" wp14:anchorId="1AAE8CA1" wp14:editId="3555B8A8">
                  <wp:extent cx="2748805" cy="2699239"/>
                  <wp:effectExtent l="0" t="0" r="0" b="6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759061" cy="2709310"/>
                          </a:xfrm>
                          <a:prstGeom prst="rect">
                            <a:avLst/>
                          </a:prstGeom>
                          <a:noFill/>
                          <a:ln>
                            <a:noFill/>
                          </a:ln>
                        </pic:spPr>
                      </pic:pic>
                    </a:graphicData>
                  </a:graphic>
                </wp:inline>
              </w:drawing>
            </w:r>
          </w:p>
        </w:tc>
      </w:tr>
    </w:tbl>
    <w:p w14:paraId="633FECF9" w14:textId="3499D967" w:rsidR="00C4454D" w:rsidRPr="00A735B4" w:rsidRDefault="00C4454D" w:rsidP="00C4454D">
      <w:pPr>
        <w:tabs>
          <w:tab w:val="left" w:pos="2610"/>
        </w:tabs>
        <w:spacing w:line="276" w:lineRule="auto"/>
        <w:jc w:val="center"/>
        <w:rPr>
          <w:sz w:val="18"/>
          <w:szCs w:val="18"/>
        </w:rPr>
      </w:pPr>
      <w:r w:rsidRPr="00A735B4">
        <w:rPr>
          <w:rFonts w:eastAsia="Calibri"/>
          <w:noProof/>
        </w:rPr>
        <w:t xml:space="preserve"> </w:t>
      </w:r>
      <w:r w:rsidRPr="00A735B4">
        <w:rPr>
          <w:rFonts w:eastAsia="Calibri"/>
          <w:noProof/>
        </w:rPr>
        <w:drawing>
          <wp:inline distT="0" distB="0" distL="0" distR="0" wp14:anchorId="5E01BCF0" wp14:editId="03BA22BA">
            <wp:extent cx="3518535" cy="2690446"/>
            <wp:effectExtent l="0" t="0" r="571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525489" cy="2695763"/>
                    </a:xfrm>
                    <a:prstGeom prst="rect">
                      <a:avLst/>
                    </a:prstGeom>
                    <a:noFill/>
                    <a:ln>
                      <a:noFill/>
                    </a:ln>
                  </pic:spPr>
                </pic:pic>
              </a:graphicData>
            </a:graphic>
          </wp:inline>
        </w:drawing>
      </w:r>
    </w:p>
    <w:p w14:paraId="4713D198" w14:textId="50253C5D" w:rsidR="00C4454D" w:rsidRPr="00A735B4" w:rsidRDefault="00C4454D" w:rsidP="00C4454D">
      <w:bookmarkStart w:id="179" w:name="_Toc419565287"/>
      <w:r w:rsidRPr="00A735B4">
        <w:t>E.7  Key results: Trade in education services</w:t>
      </w:r>
      <w:bookmarkEnd w:id="179"/>
    </w:p>
    <w:p w14:paraId="3F899733" w14:textId="77777777" w:rsidR="00C4454D" w:rsidRPr="00A735B4" w:rsidRDefault="00C4454D" w:rsidP="00C4454D">
      <w:pPr>
        <w:spacing w:after="200" w:line="276" w:lineRule="auto"/>
        <w:jc w:val="both"/>
      </w:pPr>
    </w:p>
    <w:p w14:paraId="204CA0EA" w14:textId="2E15870D" w:rsidR="00C4454D" w:rsidRPr="00A735B4" w:rsidRDefault="00C4454D" w:rsidP="00C4454D">
      <w:pPr>
        <w:spacing w:after="200" w:line="276" w:lineRule="auto"/>
        <w:jc w:val="both"/>
      </w:pPr>
      <w:r w:rsidRPr="00A735B4">
        <w:t xml:space="preserve">Data gathered from foreign students who study in the nine selected countries provide information on the main sending countries (figure E.16). The regional dimension seems equally important for trade in education services via Mode 2 as it is for health. </w:t>
      </w:r>
    </w:p>
    <w:p w14:paraId="36C60467" w14:textId="027CE488" w:rsidR="00C4454D" w:rsidRPr="00A735B4" w:rsidRDefault="00C4454D" w:rsidP="00C4454D">
      <w:pPr>
        <w:keepNext/>
        <w:jc w:val="center"/>
        <w:rPr>
          <w:color w:val="1F497D" w:themeColor="text2"/>
        </w:rPr>
      </w:pPr>
      <w:bookmarkStart w:id="180" w:name="_Toc410823520"/>
      <w:r w:rsidRPr="00A735B4">
        <w:rPr>
          <w:color w:val="1F497D" w:themeColor="text2"/>
        </w:rPr>
        <w:lastRenderedPageBreak/>
        <w:t>Figure E.16 Main source countries of foreign students</w:t>
      </w:r>
      <w:bookmarkEnd w:id="180"/>
    </w:p>
    <w:p w14:paraId="65A3C3A0" w14:textId="77777777" w:rsidR="00C4454D" w:rsidRPr="00A735B4" w:rsidRDefault="00C4454D" w:rsidP="00C4454D">
      <w:r w:rsidRPr="00A735B4">
        <w:rPr>
          <w:noProof/>
        </w:rPr>
        <w:drawing>
          <wp:inline distT="0" distB="0" distL="0" distR="0" wp14:anchorId="7E17D55F" wp14:editId="736199AA">
            <wp:extent cx="5177641" cy="2547257"/>
            <wp:effectExtent l="19050" t="0" r="3959"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177641" cy="2547257"/>
                    </a:xfrm>
                    <a:prstGeom prst="rect">
                      <a:avLst/>
                    </a:prstGeom>
                    <a:noFill/>
                    <a:ln>
                      <a:noFill/>
                    </a:ln>
                  </pic:spPr>
                </pic:pic>
              </a:graphicData>
            </a:graphic>
          </wp:inline>
        </w:drawing>
      </w:r>
    </w:p>
    <w:p w14:paraId="5694B3A8" w14:textId="515AFD74" w:rsidR="00C4454D" w:rsidRPr="00A735B4" w:rsidRDefault="00C4454D" w:rsidP="00C4454D">
      <w:pPr>
        <w:spacing w:after="200" w:line="276" w:lineRule="auto"/>
      </w:pPr>
      <w:r w:rsidRPr="00A735B4">
        <w:t>In most of the examined countries, business is the top degree pursued by domestic and foreign students (figure E.17).</w:t>
      </w:r>
    </w:p>
    <w:p w14:paraId="21BD0867" w14:textId="2AC395F8" w:rsidR="00C4454D" w:rsidRPr="00A735B4" w:rsidRDefault="00C4454D" w:rsidP="00C4454D">
      <w:pPr>
        <w:keepNext/>
        <w:jc w:val="center"/>
        <w:rPr>
          <w:color w:val="1F497D" w:themeColor="text2"/>
        </w:rPr>
      </w:pPr>
      <w:bookmarkStart w:id="181" w:name="_Toc410823521"/>
      <w:r w:rsidRPr="00A735B4">
        <w:rPr>
          <w:color w:val="1F497D" w:themeColor="text2"/>
        </w:rPr>
        <w:t>Figure E.17 Top degrees pursued by domestic and foreign students</w:t>
      </w:r>
      <w:bookmarkEnd w:id="181"/>
    </w:p>
    <w:p w14:paraId="6BF81F1F" w14:textId="77777777" w:rsidR="00C4454D" w:rsidRPr="00A735B4" w:rsidRDefault="00C4454D">
      <w:pPr>
        <w:spacing w:after="200" w:line="276" w:lineRule="auto"/>
      </w:pPr>
      <w:r w:rsidRPr="00A735B4">
        <w:rPr>
          <w:noProof/>
          <w:color w:val="000000"/>
        </w:rPr>
        <w:drawing>
          <wp:inline distT="0" distB="0" distL="0" distR="0" wp14:anchorId="02510E37" wp14:editId="7A9B0667">
            <wp:extent cx="5181358" cy="3290675"/>
            <wp:effectExtent l="0" t="0" r="635" b="508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181600" cy="3290829"/>
                    </a:xfrm>
                    <a:prstGeom prst="rect">
                      <a:avLst/>
                    </a:prstGeom>
                    <a:noFill/>
                    <a:ln>
                      <a:noFill/>
                    </a:ln>
                  </pic:spPr>
                </pic:pic>
              </a:graphicData>
            </a:graphic>
          </wp:inline>
        </w:drawing>
      </w:r>
    </w:p>
    <w:p w14:paraId="28CEE1F2" w14:textId="7652A4CC" w:rsidR="00C4454D" w:rsidRPr="00A735B4" w:rsidRDefault="00C4454D">
      <w:pPr>
        <w:spacing w:after="200" w:line="276" w:lineRule="auto"/>
      </w:pPr>
      <w:r w:rsidRPr="00A735B4">
        <w:t>Few foreign students plan to remain in the host country after obtaining their degrees (figure E.18)</w:t>
      </w:r>
    </w:p>
    <w:p w14:paraId="295844E2" w14:textId="77777777" w:rsidR="00C4454D" w:rsidRPr="00A735B4" w:rsidRDefault="00C4454D" w:rsidP="00C4454D">
      <w:pPr>
        <w:keepNext/>
        <w:jc w:val="center"/>
        <w:rPr>
          <w:color w:val="1F497D" w:themeColor="text2"/>
        </w:rPr>
      </w:pPr>
      <w:bookmarkStart w:id="182" w:name="_Toc410823522"/>
    </w:p>
    <w:p w14:paraId="627EC7D2" w14:textId="744BE0E3" w:rsidR="00C4454D" w:rsidRPr="00A735B4" w:rsidRDefault="00C4454D" w:rsidP="00C4454D">
      <w:pPr>
        <w:keepNext/>
        <w:jc w:val="center"/>
        <w:rPr>
          <w:color w:val="1F497D" w:themeColor="text2"/>
        </w:rPr>
      </w:pPr>
      <w:r w:rsidRPr="00A735B4">
        <w:rPr>
          <w:color w:val="1F497D" w:themeColor="text2"/>
        </w:rPr>
        <w:t>Figure E.18 Where do foreign students look for jobs?</w:t>
      </w:r>
      <w:bookmarkEnd w:id="182"/>
    </w:p>
    <w:p w14:paraId="34C4B22F" w14:textId="77777777" w:rsidR="00C4454D" w:rsidRPr="00A735B4" w:rsidRDefault="00C4454D" w:rsidP="00C4454D">
      <w:r w:rsidRPr="00A735B4">
        <w:rPr>
          <w:noProof/>
        </w:rPr>
        <w:drawing>
          <wp:inline distT="0" distB="0" distL="0" distR="0" wp14:anchorId="2851A6FE" wp14:editId="5F801558">
            <wp:extent cx="5725192" cy="3069356"/>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26740" cy="3070186"/>
                    </a:xfrm>
                    <a:prstGeom prst="rect">
                      <a:avLst/>
                    </a:prstGeom>
                    <a:noFill/>
                    <a:ln>
                      <a:noFill/>
                    </a:ln>
                  </pic:spPr>
                </pic:pic>
              </a:graphicData>
            </a:graphic>
          </wp:inline>
        </w:drawing>
      </w:r>
    </w:p>
    <w:p w14:paraId="78F48851" w14:textId="1C7A4A15" w:rsidR="00C4454D" w:rsidRPr="00A735B4" w:rsidRDefault="00C4454D" w:rsidP="00C4454D">
      <w:bookmarkStart w:id="183" w:name="_Toc419565288"/>
      <w:r w:rsidRPr="00A735B4">
        <w:t>E.8  Determinants of trade in education services</w:t>
      </w:r>
      <w:bookmarkEnd w:id="183"/>
    </w:p>
    <w:p w14:paraId="581E840F" w14:textId="77777777" w:rsidR="00C4454D" w:rsidRPr="00A735B4" w:rsidRDefault="00C4454D" w:rsidP="00C4454D">
      <w:pPr>
        <w:jc w:val="both"/>
        <w:rPr>
          <w:bCs/>
        </w:rPr>
      </w:pPr>
    </w:p>
    <w:p w14:paraId="25BD1E60" w14:textId="5FE012C1" w:rsidR="00C4454D" w:rsidRPr="00A735B4" w:rsidRDefault="00C4454D" w:rsidP="00C4454D">
      <w:pPr>
        <w:jc w:val="both"/>
      </w:pPr>
      <w:r w:rsidRPr="00A735B4">
        <w:rPr>
          <w:bCs/>
        </w:rPr>
        <w:t xml:space="preserve">Differences in endowments as well as differences in the cost and the quality of services and institutions providing the services are typical determinants of trade. Countries such as </w:t>
      </w:r>
      <w:r w:rsidRPr="00A735B4">
        <w:rPr>
          <w:color w:val="000000"/>
        </w:rPr>
        <w:t xml:space="preserve">Uganda and Kenya have taken advantage of the quality and reputation of their universities to attract foreign students and have emerged as regional education hubs despite higher costs. Most other Eastern and Southern African countries have attempted to improve the quality of their education systems and increase the number of their graduates through imports of educational services in the form of increased mobility of students and academics (figure E.19) or sometimes through branch campuses of foreign universities. Details about the cost of tuition, books, food, housing, and transportation for domestic and foreign students are provided in figures E.20 to E.25. </w:t>
      </w:r>
      <w:r w:rsidRPr="00A735B4">
        <w:t>A summary of the costs shares across the different categories for local and foreign students is presented in figure E.26.</w:t>
      </w:r>
    </w:p>
    <w:p w14:paraId="63430411" w14:textId="77777777" w:rsidR="00C4454D" w:rsidRPr="00A735B4" w:rsidRDefault="00C4454D" w:rsidP="00C4454D">
      <w:pPr>
        <w:spacing w:after="200" w:line="276" w:lineRule="auto"/>
        <w:jc w:val="both"/>
        <w:rPr>
          <w:color w:val="000000"/>
        </w:rPr>
      </w:pPr>
    </w:p>
    <w:p w14:paraId="3D0B27F7" w14:textId="542AB50A" w:rsidR="00C4454D" w:rsidRPr="00A735B4" w:rsidRDefault="00C4454D" w:rsidP="00C4454D">
      <w:pPr>
        <w:keepNext/>
        <w:jc w:val="center"/>
        <w:rPr>
          <w:color w:val="1F497D" w:themeColor="text2"/>
        </w:rPr>
      </w:pPr>
      <w:bookmarkStart w:id="184" w:name="_Toc410823523"/>
      <w:r w:rsidRPr="00A735B4">
        <w:rPr>
          <w:color w:val="1F497D" w:themeColor="text2"/>
        </w:rPr>
        <w:lastRenderedPageBreak/>
        <w:t>Figure E.19 Cost of tuition by degree</w:t>
      </w:r>
      <w:bookmarkEnd w:id="184"/>
    </w:p>
    <w:p w14:paraId="7008FBAE" w14:textId="77777777" w:rsidR="00C4454D" w:rsidRPr="00A735B4" w:rsidRDefault="00C4454D" w:rsidP="00C4454D">
      <w:pPr>
        <w:spacing w:after="200" w:line="276" w:lineRule="auto"/>
        <w:jc w:val="both"/>
        <w:rPr>
          <w:color w:val="000000"/>
        </w:rPr>
      </w:pPr>
      <w:r w:rsidRPr="00A735B4">
        <w:rPr>
          <w:rFonts w:eastAsia="Calibri"/>
          <w:noProof/>
        </w:rPr>
        <w:drawing>
          <wp:inline distT="0" distB="0" distL="0" distR="0" wp14:anchorId="4FBFBE37" wp14:editId="09F11761">
            <wp:extent cx="5723906" cy="3117273"/>
            <wp:effectExtent l="0" t="0" r="0" b="698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28325" cy="3119680"/>
                    </a:xfrm>
                    <a:prstGeom prst="rect">
                      <a:avLst/>
                    </a:prstGeom>
                    <a:noFill/>
                    <a:ln>
                      <a:noFill/>
                    </a:ln>
                  </pic:spPr>
                </pic:pic>
              </a:graphicData>
            </a:graphic>
          </wp:inline>
        </w:drawing>
      </w:r>
    </w:p>
    <w:tbl>
      <w:tblPr>
        <w:tblW w:w="0" w:type="auto"/>
        <w:tblInd w:w="10" w:type="dxa"/>
        <w:tblCellMar>
          <w:left w:w="10" w:type="dxa"/>
          <w:right w:w="10" w:type="dxa"/>
        </w:tblCellMar>
        <w:tblLook w:val="04A0" w:firstRow="1" w:lastRow="0" w:firstColumn="1" w:lastColumn="0" w:noHBand="0" w:noVBand="1"/>
      </w:tblPr>
      <w:tblGrid>
        <w:gridCol w:w="4774"/>
        <w:gridCol w:w="4576"/>
      </w:tblGrid>
      <w:tr w:rsidR="00C4454D" w:rsidRPr="00A735B4" w14:paraId="7F23C8AA" w14:textId="77777777" w:rsidTr="00C4454D">
        <w:trPr>
          <w:trHeight w:val="530"/>
        </w:trPr>
        <w:tc>
          <w:tcPr>
            <w:tcW w:w="4716" w:type="dxa"/>
          </w:tcPr>
          <w:p w14:paraId="23AC30F5" w14:textId="3E88B8D9" w:rsidR="00C4454D" w:rsidRPr="00A735B4" w:rsidRDefault="00C4454D" w:rsidP="00C4454D">
            <w:pPr>
              <w:keepNext/>
              <w:jc w:val="center"/>
              <w:rPr>
                <w:color w:val="1F497D" w:themeColor="text2"/>
              </w:rPr>
            </w:pPr>
            <w:bookmarkStart w:id="185" w:name="_Toc410823524"/>
            <w:r w:rsidRPr="00A735B4">
              <w:rPr>
                <w:color w:val="1F497D" w:themeColor="text2"/>
              </w:rPr>
              <w:t>Figure E.20 Cost of tuition for local and domestic students</w:t>
            </w:r>
            <w:bookmarkEnd w:id="185"/>
          </w:p>
          <w:p w14:paraId="1FDEEC77" w14:textId="77777777" w:rsidR="00C4454D" w:rsidRPr="00A735B4" w:rsidRDefault="00C4454D" w:rsidP="00C4454D">
            <w:pPr>
              <w:jc w:val="center"/>
            </w:pPr>
          </w:p>
        </w:tc>
        <w:tc>
          <w:tcPr>
            <w:tcW w:w="4527" w:type="dxa"/>
          </w:tcPr>
          <w:p w14:paraId="46225351" w14:textId="5C54F5EF" w:rsidR="00C4454D" w:rsidRPr="00A735B4" w:rsidRDefault="00C4454D" w:rsidP="00C4454D">
            <w:pPr>
              <w:keepNext/>
              <w:jc w:val="center"/>
              <w:rPr>
                <w:color w:val="1F497D" w:themeColor="text2"/>
              </w:rPr>
            </w:pPr>
            <w:bookmarkStart w:id="186" w:name="_Toc410823525"/>
            <w:r w:rsidRPr="00A735B4">
              <w:rPr>
                <w:color w:val="1F497D" w:themeColor="text2"/>
              </w:rPr>
              <w:t>Figure E.21 Cost of tuition by university type</w:t>
            </w:r>
            <w:bookmarkEnd w:id="186"/>
          </w:p>
          <w:p w14:paraId="2DE32C35" w14:textId="77777777" w:rsidR="00C4454D" w:rsidRPr="00A735B4" w:rsidRDefault="00C4454D" w:rsidP="00C4454D">
            <w:pPr>
              <w:jc w:val="center"/>
            </w:pPr>
          </w:p>
        </w:tc>
      </w:tr>
      <w:tr w:rsidR="00C4454D" w:rsidRPr="00A735B4" w14:paraId="43785333" w14:textId="77777777" w:rsidTr="00C4454D">
        <w:tc>
          <w:tcPr>
            <w:tcW w:w="4716" w:type="dxa"/>
          </w:tcPr>
          <w:p w14:paraId="1AD612AD" w14:textId="77777777" w:rsidR="00C4454D" w:rsidRPr="00A735B4" w:rsidRDefault="00C4454D" w:rsidP="00C4454D">
            <w:pPr>
              <w:spacing w:after="200" w:line="276" w:lineRule="auto"/>
              <w:jc w:val="both"/>
            </w:pPr>
            <w:r w:rsidRPr="00A735B4">
              <w:rPr>
                <w:rFonts w:eastAsia="Calibri"/>
                <w:noProof/>
              </w:rPr>
              <w:drawing>
                <wp:inline distT="0" distB="0" distL="0" distR="0" wp14:anchorId="011A9E16" wp14:editId="752F6E28">
                  <wp:extent cx="3022270" cy="2856016"/>
                  <wp:effectExtent l="0" t="0" r="6985" b="190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028950" cy="2862329"/>
                          </a:xfrm>
                          <a:prstGeom prst="rect">
                            <a:avLst/>
                          </a:prstGeom>
                          <a:noFill/>
                          <a:ln>
                            <a:noFill/>
                          </a:ln>
                        </pic:spPr>
                      </pic:pic>
                    </a:graphicData>
                  </a:graphic>
                </wp:inline>
              </w:drawing>
            </w:r>
          </w:p>
        </w:tc>
        <w:tc>
          <w:tcPr>
            <w:tcW w:w="4527" w:type="dxa"/>
          </w:tcPr>
          <w:p w14:paraId="21974680" w14:textId="77777777" w:rsidR="00C4454D" w:rsidRPr="00A735B4" w:rsidRDefault="00C4454D" w:rsidP="00C4454D">
            <w:pPr>
              <w:spacing w:after="200" w:line="276" w:lineRule="auto"/>
              <w:jc w:val="both"/>
            </w:pPr>
            <w:r w:rsidRPr="00A735B4">
              <w:rPr>
                <w:rFonts w:eastAsia="Calibri"/>
                <w:noProof/>
              </w:rPr>
              <w:drawing>
                <wp:inline distT="0" distB="0" distL="0" distR="0" wp14:anchorId="37A1EF44" wp14:editId="5A64D6F2">
                  <wp:extent cx="2903517" cy="2856016"/>
                  <wp:effectExtent l="0" t="0" r="0" b="190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903517" cy="2856016"/>
                          </a:xfrm>
                          <a:prstGeom prst="rect">
                            <a:avLst/>
                          </a:prstGeom>
                          <a:noFill/>
                          <a:ln>
                            <a:noFill/>
                          </a:ln>
                        </pic:spPr>
                      </pic:pic>
                    </a:graphicData>
                  </a:graphic>
                </wp:inline>
              </w:drawing>
            </w:r>
          </w:p>
        </w:tc>
      </w:tr>
      <w:tr w:rsidR="00C4454D" w:rsidRPr="00A735B4" w14:paraId="52176542" w14:textId="77777777" w:rsidTr="00C4454D">
        <w:tc>
          <w:tcPr>
            <w:tcW w:w="4716" w:type="dxa"/>
          </w:tcPr>
          <w:p w14:paraId="7A1C95EE" w14:textId="77777777" w:rsidR="00C4454D" w:rsidRPr="00A735B4" w:rsidRDefault="00C4454D" w:rsidP="00C4454D">
            <w:pPr>
              <w:rPr>
                <w:b/>
              </w:rPr>
            </w:pPr>
          </w:p>
          <w:p w14:paraId="35B0B376" w14:textId="77777777" w:rsidR="00C4454D" w:rsidRPr="00A735B4" w:rsidRDefault="00C4454D" w:rsidP="00C4454D">
            <w:pPr>
              <w:rPr>
                <w:b/>
              </w:rPr>
            </w:pPr>
          </w:p>
          <w:p w14:paraId="56E19433" w14:textId="77777777" w:rsidR="00C4454D" w:rsidRPr="00A735B4" w:rsidRDefault="00C4454D" w:rsidP="00C4454D">
            <w:pPr>
              <w:rPr>
                <w:b/>
              </w:rPr>
            </w:pPr>
          </w:p>
          <w:p w14:paraId="26FF5CAB" w14:textId="77777777" w:rsidR="00C4454D" w:rsidRPr="00A735B4" w:rsidRDefault="00C4454D" w:rsidP="00C4454D">
            <w:pPr>
              <w:rPr>
                <w:b/>
              </w:rPr>
            </w:pPr>
          </w:p>
          <w:p w14:paraId="2D92D46E" w14:textId="77777777" w:rsidR="00C4454D" w:rsidRPr="00A735B4" w:rsidRDefault="00C4454D" w:rsidP="00C4454D">
            <w:pPr>
              <w:rPr>
                <w:b/>
              </w:rPr>
            </w:pPr>
          </w:p>
          <w:p w14:paraId="74EC3E4C" w14:textId="77777777" w:rsidR="00C4454D" w:rsidRPr="00A735B4" w:rsidRDefault="00C4454D" w:rsidP="00C4454D">
            <w:pPr>
              <w:rPr>
                <w:b/>
                <w:color w:val="1F497D" w:themeColor="text2"/>
              </w:rPr>
            </w:pPr>
          </w:p>
          <w:p w14:paraId="261EEE9C" w14:textId="461378E4" w:rsidR="00C4454D" w:rsidRPr="00A735B4" w:rsidRDefault="00C4454D" w:rsidP="00C4454D">
            <w:pPr>
              <w:keepNext/>
              <w:jc w:val="center"/>
              <w:rPr>
                <w:color w:val="1F497D" w:themeColor="text2"/>
              </w:rPr>
            </w:pPr>
            <w:bookmarkStart w:id="187" w:name="_Toc410823526"/>
            <w:r w:rsidRPr="00A735B4">
              <w:rPr>
                <w:color w:val="1F497D" w:themeColor="text2"/>
              </w:rPr>
              <w:t>Figure E.22 Cost of books for local and foreign students</w:t>
            </w:r>
            <w:bookmarkEnd w:id="187"/>
          </w:p>
          <w:p w14:paraId="0BB49A09" w14:textId="77777777" w:rsidR="00C4454D" w:rsidRPr="00A735B4" w:rsidRDefault="00C4454D" w:rsidP="00C4454D">
            <w:pPr>
              <w:jc w:val="center"/>
            </w:pPr>
          </w:p>
        </w:tc>
        <w:tc>
          <w:tcPr>
            <w:tcW w:w="4527" w:type="dxa"/>
          </w:tcPr>
          <w:p w14:paraId="2A860A10" w14:textId="77777777" w:rsidR="00C4454D" w:rsidRPr="00A735B4" w:rsidRDefault="00C4454D" w:rsidP="00C4454D">
            <w:pPr>
              <w:rPr>
                <w:b/>
              </w:rPr>
            </w:pPr>
          </w:p>
          <w:p w14:paraId="733CC387" w14:textId="77777777" w:rsidR="00C4454D" w:rsidRPr="00A735B4" w:rsidRDefault="00C4454D" w:rsidP="00C4454D">
            <w:pPr>
              <w:rPr>
                <w:b/>
              </w:rPr>
            </w:pPr>
          </w:p>
          <w:p w14:paraId="7D260953" w14:textId="77777777" w:rsidR="00C4454D" w:rsidRPr="00A735B4" w:rsidRDefault="00C4454D" w:rsidP="00C4454D">
            <w:pPr>
              <w:rPr>
                <w:b/>
              </w:rPr>
            </w:pPr>
          </w:p>
          <w:p w14:paraId="3740BBF3" w14:textId="77777777" w:rsidR="00C4454D" w:rsidRPr="00A735B4" w:rsidRDefault="00C4454D" w:rsidP="00C4454D">
            <w:pPr>
              <w:rPr>
                <w:b/>
              </w:rPr>
            </w:pPr>
          </w:p>
          <w:p w14:paraId="49772A6D" w14:textId="77777777" w:rsidR="00C4454D" w:rsidRPr="00A735B4" w:rsidRDefault="00C4454D" w:rsidP="00C4454D">
            <w:pPr>
              <w:rPr>
                <w:b/>
              </w:rPr>
            </w:pPr>
          </w:p>
          <w:p w14:paraId="7BA36692" w14:textId="77777777" w:rsidR="00C4454D" w:rsidRPr="00A735B4" w:rsidRDefault="00C4454D" w:rsidP="00C4454D">
            <w:pPr>
              <w:rPr>
                <w:b/>
              </w:rPr>
            </w:pPr>
          </w:p>
          <w:p w14:paraId="46A2DA1D" w14:textId="18D8BD9A" w:rsidR="00C4454D" w:rsidRPr="00A735B4" w:rsidRDefault="00C4454D" w:rsidP="00C4454D">
            <w:pPr>
              <w:keepNext/>
              <w:jc w:val="center"/>
              <w:rPr>
                <w:color w:val="1F497D" w:themeColor="text2"/>
              </w:rPr>
            </w:pPr>
            <w:bookmarkStart w:id="188" w:name="_Toc410823527"/>
            <w:r w:rsidRPr="00A735B4">
              <w:rPr>
                <w:color w:val="1F497D" w:themeColor="text2"/>
              </w:rPr>
              <w:t>Figure E.23 Cost of food for local and foreign students</w:t>
            </w:r>
            <w:bookmarkEnd w:id="188"/>
          </w:p>
          <w:p w14:paraId="709653BD" w14:textId="77777777" w:rsidR="00C4454D" w:rsidRPr="00A735B4" w:rsidRDefault="00C4454D" w:rsidP="00C4454D">
            <w:pPr>
              <w:jc w:val="center"/>
            </w:pPr>
          </w:p>
        </w:tc>
      </w:tr>
      <w:tr w:rsidR="00C4454D" w:rsidRPr="00A735B4" w14:paraId="0A041D29" w14:textId="77777777" w:rsidTr="00C4454D">
        <w:tc>
          <w:tcPr>
            <w:tcW w:w="4716" w:type="dxa"/>
          </w:tcPr>
          <w:p w14:paraId="66946885" w14:textId="77777777" w:rsidR="00C4454D" w:rsidRPr="00A735B4" w:rsidRDefault="00C4454D" w:rsidP="00C4454D">
            <w:pPr>
              <w:spacing w:after="200" w:line="276" w:lineRule="auto"/>
              <w:jc w:val="both"/>
            </w:pPr>
            <w:r w:rsidRPr="00A735B4">
              <w:rPr>
                <w:rFonts w:eastAsia="Calibri"/>
                <w:noProof/>
              </w:rPr>
              <w:lastRenderedPageBreak/>
              <w:drawing>
                <wp:inline distT="0" distB="0" distL="0" distR="0" wp14:anchorId="6996FA8C" wp14:editId="6016B7A1">
                  <wp:extent cx="2603500" cy="2392218"/>
                  <wp:effectExtent l="0" t="0" r="6350" b="825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605385" cy="2393950"/>
                          </a:xfrm>
                          <a:prstGeom prst="rect">
                            <a:avLst/>
                          </a:prstGeom>
                          <a:noFill/>
                          <a:ln>
                            <a:noFill/>
                          </a:ln>
                        </pic:spPr>
                      </pic:pic>
                    </a:graphicData>
                  </a:graphic>
                </wp:inline>
              </w:drawing>
            </w:r>
          </w:p>
        </w:tc>
        <w:tc>
          <w:tcPr>
            <w:tcW w:w="4527" w:type="dxa"/>
          </w:tcPr>
          <w:p w14:paraId="667AA475" w14:textId="77777777" w:rsidR="00C4454D" w:rsidRPr="00A735B4" w:rsidRDefault="00C4454D" w:rsidP="00C4454D">
            <w:pPr>
              <w:spacing w:after="200" w:line="276" w:lineRule="auto"/>
              <w:jc w:val="both"/>
            </w:pPr>
            <w:r w:rsidRPr="00A735B4">
              <w:rPr>
                <w:rFonts w:eastAsia="Calibri"/>
                <w:noProof/>
              </w:rPr>
              <w:drawing>
                <wp:inline distT="0" distB="0" distL="0" distR="0" wp14:anchorId="628F9578" wp14:editId="396611B5">
                  <wp:extent cx="2603500" cy="2393950"/>
                  <wp:effectExtent l="0" t="0" r="6350" b="63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603500" cy="2393950"/>
                          </a:xfrm>
                          <a:prstGeom prst="rect">
                            <a:avLst/>
                          </a:prstGeom>
                          <a:noFill/>
                          <a:ln>
                            <a:noFill/>
                          </a:ln>
                        </pic:spPr>
                      </pic:pic>
                    </a:graphicData>
                  </a:graphic>
                </wp:inline>
              </w:drawing>
            </w:r>
          </w:p>
        </w:tc>
      </w:tr>
      <w:tr w:rsidR="00C4454D" w:rsidRPr="00A735B4" w14:paraId="52AB0615" w14:textId="77777777" w:rsidTr="00C4454D">
        <w:tc>
          <w:tcPr>
            <w:tcW w:w="4716" w:type="dxa"/>
          </w:tcPr>
          <w:p w14:paraId="5ADF5CA6" w14:textId="420239AF" w:rsidR="00C4454D" w:rsidRPr="00A735B4" w:rsidRDefault="00C4454D" w:rsidP="00C4454D">
            <w:pPr>
              <w:keepNext/>
              <w:jc w:val="center"/>
              <w:rPr>
                <w:color w:val="1F497D" w:themeColor="text2"/>
              </w:rPr>
            </w:pPr>
            <w:bookmarkStart w:id="189" w:name="_Toc410823528"/>
            <w:r w:rsidRPr="00A735B4">
              <w:rPr>
                <w:color w:val="1F497D" w:themeColor="text2"/>
              </w:rPr>
              <w:t>Figure E.24 Cost of housing for local and foreign students</w:t>
            </w:r>
            <w:bookmarkEnd w:id="189"/>
          </w:p>
          <w:p w14:paraId="45F23355" w14:textId="77777777" w:rsidR="00C4454D" w:rsidRPr="00A735B4" w:rsidRDefault="00C4454D" w:rsidP="00C4454D">
            <w:pPr>
              <w:jc w:val="center"/>
            </w:pPr>
          </w:p>
        </w:tc>
        <w:tc>
          <w:tcPr>
            <w:tcW w:w="4527" w:type="dxa"/>
          </w:tcPr>
          <w:p w14:paraId="77A81459" w14:textId="2DCB5DB0" w:rsidR="00C4454D" w:rsidRPr="00A735B4" w:rsidRDefault="00C4454D" w:rsidP="00C4454D">
            <w:pPr>
              <w:keepNext/>
              <w:jc w:val="center"/>
              <w:rPr>
                <w:color w:val="1F497D" w:themeColor="text2"/>
              </w:rPr>
            </w:pPr>
            <w:bookmarkStart w:id="190" w:name="_Toc410823529"/>
            <w:r w:rsidRPr="00A735B4">
              <w:rPr>
                <w:color w:val="1F497D" w:themeColor="text2"/>
              </w:rPr>
              <w:t>Figure E.25 Cost of transportation for local and foreign students</w:t>
            </w:r>
            <w:bookmarkEnd w:id="190"/>
          </w:p>
          <w:p w14:paraId="06219DAF" w14:textId="77777777" w:rsidR="00C4454D" w:rsidRPr="00A735B4" w:rsidRDefault="00C4454D" w:rsidP="00C4454D">
            <w:pPr>
              <w:jc w:val="center"/>
            </w:pPr>
          </w:p>
        </w:tc>
      </w:tr>
      <w:tr w:rsidR="00C4454D" w:rsidRPr="00A735B4" w14:paraId="2E403D3F" w14:textId="77777777" w:rsidTr="00C4454D">
        <w:trPr>
          <w:trHeight w:val="2474"/>
        </w:trPr>
        <w:tc>
          <w:tcPr>
            <w:tcW w:w="4716" w:type="dxa"/>
          </w:tcPr>
          <w:p w14:paraId="061546B9" w14:textId="77777777" w:rsidR="00C4454D" w:rsidRPr="00A735B4" w:rsidRDefault="00C4454D" w:rsidP="00C4454D">
            <w:pPr>
              <w:spacing w:after="200" w:line="276" w:lineRule="auto"/>
              <w:jc w:val="both"/>
            </w:pPr>
            <w:r w:rsidRPr="00A735B4">
              <w:rPr>
                <w:rFonts w:eastAsia="Calibri"/>
                <w:noProof/>
              </w:rPr>
              <w:drawing>
                <wp:inline distT="0" distB="0" distL="0" distR="0" wp14:anchorId="1BC222ED" wp14:editId="01C28D3B">
                  <wp:extent cx="2663031" cy="1936750"/>
                  <wp:effectExtent l="0" t="0" r="4445" b="63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663031" cy="1936750"/>
                          </a:xfrm>
                          <a:prstGeom prst="rect">
                            <a:avLst/>
                          </a:prstGeom>
                          <a:noFill/>
                          <a:ln>
                            <a:noFill/>
                          </a:ln>
                        </pic:spPr>
                      </pic:pic>
                    </a:graphicData>
                  </a:graphic>
                </wp:inline>
              </w:drawing>
            </w:r>
          </w:p>
        </w:tc>
        <w:tc>
          <w:tcPr>
            <w:tcW w:w="4527" w:type="dxa"/>
          </w:tcPr>
          <w:p w14:paraId="7946DAAE" w14:textId="77777777" w:rsidR="00C4454D" w:rsidRPr="00A735B4" w:rsidRDefault="00C4454D" w:rsidP="00C4454D">
            <w:pPr>
              <w:spacing w:after="200" w:line="276" w:lineRule="auto"/>
              <w:jc w:val="both"/>
            </w:pPr>
            <w:r w:rsidRPr="00A735B4">
              <w:rPr>
                <w:rFonts w:eastAsia="Calibri"/>
                <w:noProof/>
              </w:rPr>
              <w:drawing>
                <wp:inline distT="0" distB="0" distL="0" distR="0" wp14:anchorId="1FB0CD94" wp14:editId="5CCB62A2">
                  <wp:extent cx="2663031" cy="1936750"/>
                  <wp:effectExtent l="0" t="0" r="4445" b="63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663031" cy="1936750"/>
                          </a:xfrm>
                          <a:prstGeom prst="rect">
                            <a:avLst/>
                          </a:prstGeom>
                          <a:noFill/>
                          <a:ln>
                            <a:noFill/>
                          </a:ln>
                        </pic:spPr>
                      </pic:pic>
                    </a:graphicData>
                  </a:graphic>
                </wp:inline>
              </w:drawing>
            </w:r>
          </w:p>
        </w:tc>
      </w:tr>
    </w:tbl>
    <w:p w14:paraId="717A736C" w14:textId="77777777" w:rsidR="00C4454D" w:rsidRPr="00A735B4" w:rsidRDefault="00C4454D" w:rsidP="00C4454D">
      <w:pPr>
        <w:jc w:val="center"/>
        <w:rPr>
          <w:b/>
        </w:rPr>
      </w:pPr>
    </w:p>
    <w:p w14:paraId="01AAF8C3" w14:textId="3A576041" w:rsidR="00C4454D" w:rsidRPr="00A735B4" w:rsidRDefault="00C4454D" w:rsidP="00C4454D"/>
    <w:p w14:paraId="17161481" w14:textId="03B1EE5B" w:rsidR="00C4454D" w:rsidRPr="00A735B4" w:rsidRDefault="00C4454D" w:rsidP="00C4454D">
      <w:pPr>
        <w:keepNext/>
        <w:jc w:val="center"/>
        <w:rPr>
          <w:color w:val="1F497D" w:themeColor="text2"/>
        </w:rPr>
      </w:pPr>
      <w:bookmarkStart w:id="191" w:name="_Toc410823530"/>
      <w:r w:rsidRPr="00A735B4">
        <w:rPr>
          <w:color w:val="1F497D" w:themeColor="text2"/>
        </w:rPr>
        <w:lastRenderedPageBreak/>
        <w:t>Figure E.26 Costs shares across categories, foreign vs. domestic students</w:t>
      </w:r>
      <w:bookmarkEnd w:id="191"/>
    </w:p>
    <w:p w14:paraId="451D4D2A" w14:textId="77777777" w:rsidR="00C4454D" w:rsidRPr="00A735B4" w:rsidRDefault="00C4454D">
      <w:r w:rsidRPr="00A735B4">
        <w:rPr>
          <w:noProof/>
        </w:rPr>
        <w:drawing>
          <wp:inline distT="0" distB="0" distL="0" distR="0" wp14:anchorId="0193D6B8" wp14:editId="1FA0F99B">
            <wp:extent cx="5730875" cy="4170045"/>
            <wp:effectExtent l="0" t="0" r="3175" b="190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30875" cy="4170045"/>
                    </a:xfrm>
                    <a:prstGeom prst="rect">
                      <a:avLst/>
                    </a:prstGeom>
                    <a:noFill/>
                    <a:ln>
                      <a:noFill/>
                    </a:ln>
                  </pic:spPr>
                </pic:pic>
              </a:graphicData>
            </a:graphic>
          </wp:inline>
        </w:drawing>
      </w:r>
    </w:p>
    <w:p w14:paraId="45146266" w14:textId="77777777" w:rsidR="00C4454D" w:rsidRPr="00A735B4" w:rsidRDefault="00C4454D"/>
    <w:p w14:paraId="10262CDC" w14:textId="1A78D735" w:rsidR="00C4454D" w:rsidRPr="00A735B4" w:rsidRDefault="00C4454D" w:rsidP="00C4454D">
      <w:pPr>
        <w:spacing w:after="240"/>
      </w:pPr>
      <w:bookmarkStart w:id="192" w:name="_Toc419565289"/>
      <w:r w:rsidRPr="00A735B4">
        <w:t>E.9  Conclusion and next steps</w:t>
      </w:r>
      <w:bookmarkEnd w:id="192"/>
    </w:p>
    <w:p w14:paraId="75D11FF6" w14:textId="461B4196" w:rsidR="00C4454D" w:rsidRPr="00A735B4" w:rsidRDefault="00C4454D" w:rsidP="00C4454D">
      <w:pPr>
        <w:spacing w:after="200" w:line="276" w:lineRule="auto"/>
        <w:jc w:val="both"/>
      </w:pPr>
      <w:r w:rsidRPr="00A735B4">
        <w:t xml:space="preserve">The pilot survey aimed at gathering quantitative data on trade in health and education services in Sub-Saharan Africa through the use of mobile phones. The pilot survey delivered valuable insights into the examined sectors. Both surveys highlight the importance of regional trade in health and education services. Furthermore, the surveys suggest that the cost is not decisive; rather the availability and quality of services seem to be more important for trade in health and education services. The surveys generated new data regarding the costs of various treatments or degrees across countries as well as information on the cost to access health and education services across borders. This exercise therefore shows that phone-based surveys are not only feasible, but also useful, given that they enable the collection of new data sets. Phone-based surveys are often superior to the more costly and expensive traditional data collection methods based on field interviews. </w:t>
      </w:r>
    </w:p>
    <w:p w14:paraId="66F4ABDF" w14:textId="1EAFF1D2" w:rsidR="00C4454D" w:rsidRPr="00A735B4" w:rsidRDefault="00C4454D" w:rsidP="00C4454D">
      <w:pPr>
        <w:spacing w:after="200" w:line="276" w:lineRule="auto"/>
        <w:jc w:val="both"/>
      </w:pPr>
      <w:r w:rsidRPr="00A735B4">
        <w:t xml:space="preserve">Despite their usefulness in generating new knowledge, there remain several challenges related to the implementation of mobile phone-based surveys to collect data on trade in services. </w:t>
      </w:r>
    </w:p>
    <w:p w14:paraId="6C3E70E0" w14:textId="575809F7" w:rsidR="00C4454D" w:rsidRPr="00A735B4" w:rsidRDefault="00C4454D" w:rsidP="00C4454D">
      <w:pPr>
        <w:spacing w:after="200" w:line="276" w:lineRule="auto"/>
        <w:jc w:val="both"/>
      </w:pPr>
      <w:r w:rsidRPr="00A735B4">
        <w:lastRenderedPageBreak/>
        <w:t xml:space="preserve">First, sampling issues need to be clarified. Although sampling from available lists of mobile phone users is easily justifiable for the providers and users of education and health services given that phone ownership is almost universal within this category, it has proven rather difficult to reach certain target groups, such as professionals with foreign degrees. This has resulted in very small sample sizes for several categories of respondents. Furthermore, even among the reachable respondents, rates of attrition and nonresponse were extremely high in several countries (for example, in Nigeria), generating delays and increasing the survey costs. </w:t>
      </w:r>
    </w:p>
    <w:p w14:paraId="0683C7F8" w14:textId="72BE27E3" w:rsidR="00C4454D" w:rsidRPr="00A735B4" w:rsidRDefault="00C4454D" w:rsidP="00C4454D">
      <w:pPr>
        <w:spacing w:after="200" w:line="276" w:lineRule="auto"/>
        <w:jc w:val="both"/>
      </w:pPr>
      <w:r w:rsidRPr="00A735B4">
        <w:t>Second, data quality issues have hampered the implementation of the surveys. For example, despite formulating short questions and requesting the answers in local currency, the data set contained a high number of outliers. Unrealistic results (for example, the cost of recognition of degrees reported for Rwanda was more than 100 times higher than the cost of recognition in Tanzania and Uganda) show that questions were misunderstood by respondents, enumerators, or both. A more interactive participation of surveyors and a streamlined data entry process would help address such challenges in the future.</w:t>
      </w:r>
    </w:p>
    <w:p w14:paraId="040D19B8" w14:textId="77777777" w:rsidR="00C4454D" w:rsidRPr="00A735B4" w:rsidRDefault="00C4454D">
      <w:pPr>
        <w:spacing w:after="200" w:line="276" w:lineRule="auto"/>
      </w:pPr>
      <w:r w:rsidRPr="00A735B4">
        <w:br w:type="page"/>
      </w:r>
    </w:p>
    <w:p w14:paraId="44F44940" w14:textId="0618898A" w:rsidR="00C4454D" w:rsidRPr="00A735B4" w:rsidRDefault="00C4454D" w:rsidP="00C4454D">
      <w:pPr>
        <w:spacing w:before="360" w:after="240"/>
        <w:ind w:left="270"/>
      </w:pPr>
      <w:bookmarkStart w:id="193" w:name="_Toc410823385"/>
      <w:bookmarkStart w:id="194" w:name="_Toc419565290"/>
      <w:r w:rsidRPr="00A735B4">
        <w:lastRenderedPageBreak/>
        <w:t xml:space="preserve">Annex F  Indicators </w:t>
      </w:r>
      <w:bookmarkEnd w:id="193"/>
      <w:r w:rsidRPr="00A735B4">
        <w:t>currently used outside Africa</w:t>
      </w:r>
      <w:bookmarkEnd w:id="194"/>
    </w:p>
    <w:p w14:paraId="6AAB08BE" w14:textId="32852235" w:rsidR="00C4454D" w:rsidRPr="00A735B4" w:rsidRDefault="00C4454D" w:rsidP="00C4454D">
      <w:pPr>
        <w:spacing w:before="240" w:after="240"/>
        <w:jc w:val="both"/>
      </w:pPr>
      <w:r w:rsidRPr="00A735B4">
        <w:t>There exist some significant gaps in trade integration monitoring in Africa, in particular with respect to the monitoring of trade outcomes. In this context, the question arises whether RTAs in Africa can learn from the experiences and practices in other regions of the world. The following discussion surveys several relevant trade monitoring arrangements in East Asia, Europe, and Latin America.</w:t>
      </w:r>
    </w:p>
    <w:p w14:paraId="3E7B61D3" w14:textId="77777777" w:rsidR="00C4454D" w:rsidRPr="00A735B4" w:rsidRDefault="00C4454D" w:rsidP="00C4454D">
      <w:pPr>
        <w:spacing w:before="240" w:after="240"/>
        <w:jc w:val="both"/>
      </w:pPr>
    </w:p>
    <w:p w14:paraId="1E64BEB6" w14:textId="3017DA5C" w:rsidR="00C4454D" w:rsidRPr="00A735B4" w:rsidRDefault="00C4454D" w:rsidP="00C4454D">
      <w:pPr>
        <w:spacing w:before="240" w:after="240"/>
        <w:jc w:val="both"/>
      </w:pPr>
      <w:r w:rsidRPr="00A735B4">
        <w:t>Similar to the situation in Africa, compliance monitoring is the dominant form of assessment for regional integration agreements. Yet, the scope of the evaluation is often broader and more ambitious. For example, the European Union in its Internal Market Scoreboard has set a target for each member state of implementing at least 99.5 percent of all directives. The Association of Southeast Asian Nations (ASEAN) uses a scorecard approach for its members, which gives equal attention to integration in goods, services, investment, capital, and skilled labor (table F.1).</w:t>
      </w:r>
    </w:p>
    <w:p w14:paraId="19F5048A" w14:textId="77777777" w:rsidR="00C4454D" w:rsidRPr="00A735B4" w:rsidRDefault="00C4454D" w:rsidP="00C4454D">
      <w:pPr>
        <w:spacing w:before="120" w:after="60"/>
        <w:jc w:val="center"/>
        <w:rPr>
          <w:sz w:val="24"/>
        </w:rPr>
      </w:pPr>
    </w:p>
    <w:p w14:paraId="67BBF35A" w14:textId="0D335735" w:rsidR="00C4454D" w:rsidRPr="00A735B4" w:rsidRDefault="00C4454D" w:rsidP="00C4454D">
      <w:pPr>
        <w:jc w:val="center"/>
        <w:rPr>
          <w:color w:val="1F497D" w:themeColor="text2"/>
          <w:sz w:val="24"/>
          <w:szCs w:val="24"/>
        </w:rPr>
      </w:pPr>
      <w:r w:rsidRPr="00A735B4">
        <w:rPr>
          <w:color w:val="1F497D" w:themeColor="text2"/>
          <w:sz w:val="24"/>
          <w:szCs w:val="24"/>
        </w:rPr>
        <w:t>Table F.1 ASEAN Economic Community Scorecard</w:t>
      </w:r>
    </w:p>
    <w:p w14:paraId="3073C001" w14:textId="77777777" w:rsidR="00C4454D" w:rsidRPr="00A735B4" w:rsidRDefault="00C4454D" w:rsidP="00C4454D">
      <w:pPr>
        <w:keepNext/>
        <w:jc w:val="center"/>
      </w:pPr>
      <w:r w:rsidRPr="00A735B4">
        <w:rPr>
          <w:noProof/>
        </w:rPr>
        <w:drawing>
          <wp:inline distT="0" distB="0" distL="0" distR="0" wp14:anchorId="7D9481F4" wp14:editId="454A6065">
            <wp:extent cx="4371975" cy="2841276"/>
            <wp:effectExtent l="19050" t="0" r="0" b="0"/>
            <wp:docPr id="61" name="Picture 12" descr="ASEAN_scorec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EAN_scorecard.png"/>
                    <pic:cNvPicPr/>
                  </pic:nvPicPr>
                  <pic:blipFill>
                    <a:blip r:embed="rId76" cstate="print"/>
                    <a:stretch>
                      <a:fillRect/>
                    </a:stretch>
                  </pic:blipFill>
                  <pic:spPr>
                    <a:xfrm>
                      <a:off x="0" y="0"/>
                      <a:ext cx="4375872" cy="2843809"/>
                    </a:xfrm>
                    <a:prstGeom prst="rect">
                      <a:avLst/>
                    </a:prstGeom>
                  </pic:spPr>
                </pic:pic>
              </a:graphicData>
            </a:graphic>
          </wp:inline>
        </w:drawing>
      </w:r>
    </w:p>
    <w:p w14:paraId="6399A6F3" w14:textId="77777777" w:rsidR="00C4454D" w:rsidRPr="00A735B4" w:rsidRDefault="00C4454D" w:rsidP="00C4454D">
      <w:pPr>
        <w:keepNext/>
        <w:ind w:firstLine="1260"/>
        <w:rPr>
          <w:sz w:val="20"/>
        </w:rPr>
      </w:pPr>
      <w:r w:rsidRPr="00A735B4">
        <w:rPr>
          <w:i/>
          <w:sz w:val="20"/>
        </w:rPr>
        <w:t>Source</w:t>
      </w:r>
      <w:r w:rsidRPr="00A735B4">
        <w:rPr>
          <w:sz w:val="20"/>
        </w:rPr>
        <w:t>: ASEAN.</w:t>
      </w:r>
    </w:p>
    <w:p w14:paraId="18A6A826" w14:textId="23A93773" w:rsidR="00C4454D" w:rsidRPr="00A735B4" w:rsidRDefault="00C4454D" w:rsidP="00C4454D">
      <w:pPr>
        <w:spacing w:before="240" w:after="240"/>
        <w:jc w:val="both"/>
      </w:pPr>
      <w:bookmarkStart w:id="195" w:name="a"/>
      <w:bookmarkEnd w:id="195"/>
      <w:r w:rsidRPr="00A735B4">
        <w:t xml:space="preserve">With respect to overall trade outcomes, the Eurasian Economic Community is tracking not only aggregate intraregional trade volumes, but similarly trade between country-pairs within the region and between every individual country and the region (table F.2). This can make it possible to identify asymmetries in the degree of integration, in particular if some countries trade intensively with regional partners while others do not. A region-wide average could in this case be misleading. </w:t>
      </w:r>
    </w:p>
    <w:p w14:paraId="76825FF3" w14:textId="77777777" w:rsidR="00C4454D" w:rsidRPr="00A735B4" w:rsidRDefault="00C4454D" w:rsidP="00C4454D">
      <w:pPr>
        <w:jc w:val="center"/>
        <w:rPr>
          <w:color w:val="1F497D" w:themeColor="text2"/>
          <w:sz w:val="24"/>
          <w:szCs w:val="24"/>
        </w:rPr>
      </w:pPr>
    </w:p>
    <w:p w14:paraId="02A7E4B8" w14:textId="77777777" w:rsidR="00C4454D" w:rsidRPr="00A735B4" w:rsidRDefault="00C4454D" w:rsidP="00C4454D">
      <w:pPr>
        <w:jc w:val="center"/>
        <w:rPr>
          <w:color w:val="1F497D" w:themeColor="text2"/>
          <w:sz w:val="24"/>
          <w:szCs w:val="24"/>
        </w:rPr>
      </w:pPr>
    </w:p>
    <w:p w14:paraId="13F3A1CD" w14:textId="57239A13" w:rsidR="00C4454D" w:rsidRPr="00A735B4" w:rsidRDefault="00C4454D" w:rsidP="00C4454D">
      <w:pPr>
        <w:jc w:val="center"/>
        <w:rPr>
          <w:color w:val="1F497D" w:themeColor="text2"/>
          <w:sz w:val="24"/>
          <w:szCs w:val="24"/>
        </w:rPr>
      </w:pPr>
      <w:r w:rsidRPr="00A735B4">
        <w:rPr>
          <w:color w:val="1F497D" w:themeColor="text2"/>
          <w:sz w:val="24"/>
          <w:szCs w:val="24"/>
        </w:rPr>
        <w:t>Table F.2 Indicators of market integration in the Eurasian Economic Community</w:t>
      </w:r>
    </w:p>
    <w:p w14:paraId="049301AE" w14:textId="77777777" w:rsidR="00C4454D" w:rsidRPr="00A735B4" w:rsidRDefault="00C4454D" w:rsidP="00C4454D">
      <w:pPr>
        <w:keepNext/>
      </w:pPr>
      <w:r w:rsidRPr="00A735B4">
        <w:rPr>
          <w:noProof/>
        </w:rPr>
        <w:drawing>
          <wp:inline distT="0" distB="0" distL="0" distR="0" wp14:anchorId="5160D064" wp14:editId="0A277408">
            <wp:extent cx="5486400" cy="2537460"/>
            <wp:effectExtent l="19050" t="0" r="0" b="0"/>
            <wp:docPr id="62" name="Picture 6" descr="EurAsEC_Indicato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rAsEC_Indicators.png"/>
                    <pic:cNvPicPr/>
                  </pic:nvPicPr>
                  <pic:blipFill>
                    <a:blip r:embed="rId77" cstate="print"/>
                    <a:stretch>
                      <a:fillRect/>
                    </a:stretch>
                  </pic:blipFill>
                  <pic:spPr>
                    <a:xfrm>
                      <a:off x="0" y="0"/>
                      <a:ext cx="5486400" cy="2537460"/>
                    </a:xfrm>
                    <a:prstGeom prst="rect">
                      <a:avLst/>
                    </a:prstGeom>
                  </pic:spPr>
                </pic:pic>
              </a:graphicData>
            </a:graphic>
          </wp:inline>
        </w:drawing>
      </w:r>
    </w:p>
    <w:p w14:paraId="16B41946" w14:textId="61C032B9" w:rsidR="00C4454D" w:rsidRPr="00A735B4" w:rsidRDefault="00C4454D" w:rsidP="00C4454D">
      <w:pPr>
        <w:keepNext/>
        <w:ind w:firstLine="90"/>
        <w:rPr>
          <w:sz w:val="20"/>
        </w:rPr>
      </w:pPr>
      <w:r w:rsidRPr="00A735B4">
        <w:rPr>
          <w:i/>
          <w:sz w:val="20"/>
        </w:rPr>
        <w:t>Source</w:t>
      </w:r>
      <w:r w:rsidRPr="00A735B4">
        <w:rPr>
          <w:sz w:val="20"/>
        </w:rPr>
        <w:t>: Eurasian Development Bank 2010.</w:t>
      </w:r>
    </w:p>
    <w:p w14:paraId="163A5A97" w14:textId="04483376" w:rsidR="00C4454D" w:rsidRPr="00A735B4" w:rsidRDefault="00C4454D" w:rsidP="00C4454D">
      <w:pPr>
        <w:spacing w:before="240" w:after="240"/>
        <w:jc w:val="both"/>
      </w:pPr>
      <w:r w:rsidRPr="00A735B4">
        <w:t>Another refinement of overall trade volume analysis is to assess the composition of trade. The latter can be analyzed, for example, by product groups (figure F.1) or by technological content (figure F.2). The Andean Community tracks the number of products that are being exported to regional partners and to the world market (figure F.3).</w:t>
      </w:r>
    </w:p>
    <w:p w14:paraId="57B20342" w14:textId="4FC67C83" w:rsidR="00C4454D" w:rsidRPr="00A735B4" w:rsidRDefault="00C4454D" w:rsidP="00C4454D">
      <w:pPr>
        <w:jc w:val="center"/>
        <w:rPr>
          <w:color w:val="1F497D" w:themeColor="text2"/>
          <w:sz w:val="24"/>
          <w:szCs w:val="24"/>
        </w:rPr>
      </w:pPr>
      <w:r w:rsidRPr="00A735B4">
        <w:rPr>
          <w:color w:val="1F497D" w:themeColor="text2"/>
          <w:sz w:val="24"/>
          <w:szCs w:val="24"/>
        </w:rPr>
        <w:t>Figure F.1 Goods solely exported within the Eurasian Economic Community</w:t>
      </w:r>
    </w:p>
    <w:p w14:paraId="6333E1DA" w14:textId="77777777" w:rsidR="00C4454D" w:rsidRPr="00A735B4" w:rsidRDefault="00C4454D" w:rsidP="00C4454D">
      <w:pPr>
        <w:keepNext/>
        <w:rPr>
          <w:i/>
          <w:sz w:val="20"/>
        </w:rPr>
      </w:pPr>
      <w:r w:rsidRPr="00A735B4">
        <w:rPr>
          <w:i/>
          <w:noProof/>
          <w:sz w:val="20"/>
        </w:rPr>
        <w:drawing>
          <wp:inline distT="0" distB="0" distL="0" distR="0" wp14:anchorId="269B195F" wp14:editId="27290969">
            <wp:extent cx="5486400" cy="2630170"/>
            <wp:effectExtent l="19050" t="0" r="0" b="0"/>
            <wp:docPr id="63" name="Picture 9" descr="EBRD_Goods_Export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BRD_Goods_Exported.png"/>
                    <pic:cNvPicPr/>
                  </pic:nvPicPr>
                  <pic:blipFill>
                    <a:blip r:embed="rId78" cstate="print"/>
                    <a:stretch>
                      <a:fillRect/>
                    </a:stretch>
                  </pic:blipFill>
                  <pic:spPr>
                    <a:xfrm>
                      <a:off x="0" y="0"/>
                      <a:ext cx="5486400" cy="2630170"/>
                    </a:xfrm>
                    <a:prstGeom prst="rect">
                      <a:avLst/>
                    </a:prstGeom>
                  </pic:spPr>
                </pic:pic>
              </a:graphicData>
            </a:graphic>
          </wp:inline>
        </w:drawing>
      </w:r>
    </w:p>
    <w:p w14:paraId="586C5118" w14:textId="794A3039" w:rsidR="00C4454D" w:rsidRPr="00A735B4" w:rsidRDefault="00C4454D" w:rsidP="00C4454D">
      <w:pPr>
        <w:keepNext/>
        <w:ind w:left="360"/>
        <w:rPr>
          <w:sz w:val="20"/>
        </w:rPr>
      </w:pPr>
      <w:r w:rsidRPr="00A735B4">
        <w:rPr>
          <w:i/>
          <w:sz w:val="20"/>
        </w:rPr>
        <w:t>Source</w:t>
      </w:r>
      <w:r w:rsidRPr="00A735B4">
        <w:rPr>
          <w:sz w:val="20"/>
        </w:rPr>
        <w:t>: EBRD 2012.</w:t>
      </w:r>
    </w:p>
    <w:p w14:paraId="4E6FEAF2" w14:textId="77777777" w:rsidR="00C4454D" w:rsidRPr="00A735B4" w:rsidRDefault="00C4454D" w:rsidP="00C4454D"/>
    <w:p w14:paraId="36952EF7" w14:textId="77777777" w:rsidR="00C4454D" w:rsidRPr="00A735B4" w:rsidRDefault="00C4454D" w:rsidP="00C4454D">
      <w:pPr>
        <w:jc w:val="center"/>
        <w:rPr>
          <w:color w:val="1F497D" w:themeColor="text2"/>
          <w:sz w:val="24"/>
          <w:szCs w:val="24"/>
        </w:rPr>
      </w:pPr>
    </w:p>
    <w:p w14:paraId="14378689" w14:textId="77777777" w:rsidR="00C4454D" w:rsidRPr="00A735B4" w:rsidRDefault="00C4454D" w:rsidP="00C4454D">
      <w:pPr>
        <w:jc w:val="center"/>
        <w:rPr>
          <w:color w:val="1F497D" w:themeColor="text2"/>
          <w:sz w:val="24"/>
          <w:szCs w:val="24"/>
        </w:rPr>
      </w:pPr>
    </w:p>
    <w:p w14:paraId="3130F037" w14:textId="77777777" w:rsidR="00C4454D" w:rsidRPr="00A735B4" w:rsidRDefault="00C4454D" w:rsidP="00C4454D">
      <w:pPr>
        <w:jc w:val="center"/>
        <w:rPr>
          <w:color w:val="1F497D" w:themeColor="text2"/>
          <w:sz w:val="24"/>
          <w:szCs w:val="24"/>
        </w:rPr>
      </w:pPr>
    </w:p>
    <w:p w14:paraId="3D7C3B88" w14:textId="10DDCC2D" w:rsidR="00C4454D" w:rsidRPr="00A735B4" w:rsidRDefault="00C4454D" w:rsidP="00C4454D">
      <w:pPr>
        <w:jc w:val="center"/>
        <w:rPr>
          <w:color w:val="1F497D" w:themeColor="text2"/>
          <w:sz w:val="24"/>
          <w:szCs w:val="24"/>
        </w:rPr>
      </w:pPr>
      <w:r w:rsidRPr="00A735B4">
        <w:rPr>
          <w:color w:val="1F497D" w:themeColor="text2"/>
          <w:sz w:val="24"/>
          <w:szCs w:val="24"/>
        </w:rPr>
        <w:t>Figure F.2 Technology content of intraregional trade in the Andean Community</w:t>
      </w:r>
    </w:p>
    <w:p w14:paraId="6204AA2B" w14:textId="77777777" w:rsidR="00C4454D" w:rsidRPr="00A735B4" w:rsidRDefault="00C4454D" w:rsidP="00C4454D">
      <w:pPr>
        <w:jc w:val="center"/>
      </w:pPr>
      <w:r w:rsidRPr="00A735B4">
        <w:rPr>
          <w:noProof/>
        </w:rPr>
        <mc:AlternateContent>
          <mc:Choice Requires="wps">
            <w:drawing>
              <wp:anchor distT="0" distB="0" distL="114300" distR="114300" simplePos="0" relativeHeight="251662336" behindDoc="0" locked="0" layoutInCell="1" allowOverlap="1" wp14:anchorId="6C5AC7F3" wp14:editId="71B5A811">
                <wp:simplePos x="0" y="0"/>
                <wp:positionH relativeFrom="column">
                  <wp:posOffset>1103630</wp:posOffset>
                </wp:positionH>
                <wp:positionV relativeFrom="paragraph">
                  <wp:posOffset>1228090</wp:posOffset>
                </wp:positionV>
                <wp:extent cx="3942715" cy="267335"/>
                <wp:effectExtent l="0" t="0" r="19685" b="18415"/>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2715" cy="2673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B0FF1AC" w14:textId="77777777" w:rsidR="00C4454D" w:rsidRDefault="00C4454D" w:rsidP="00C4454D">
                            <w:r>
                              <w:t>Manufactures based on natural resources and low technology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6C5AC7F3" id="_x0000_t202" coordsize="21600,21600" o:spt="202" path="m,l,21600r21600,l21600,xe">
                <v:stroke joinstyle="miter"/>
                <v:path gradientshapeok="t" o:connecttype="rect"/>
              </v:shapetype>
              <v:shape id="Text Box 55" o:spid="_x0000_s1026" type="#_x0000_t202" style="position:absolute;left:0;text-align:left;margin-left:86.9pt;margin-top:96.7pt;width:310.45pt;height:21.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" fillcolor="white [3201]" strokeweight=".5pt">
                <v:path arrowok="t"/>
                <v:textbox>
                  <w:txbxContent>
                    <w:p w14:paraId="1B0FF1AC" w14:textId="77777777" w:rsidR="00C4454D" w:rsidRDefault="00C4454D" w:rsidP="00C4454D">
                      <w:r>
                        <w:t>Manufactures based on natural resources and low technology</w:t>
                      </w:r>
                    </w:p>
                  </w:txbxContent>
                </v:textbox>
              </v:shape>
            </w:pict>
          </mc:Fallback>
        </mc:AlternateContent>
      </w:r>
      <w:r w:rsidRPr="00A735B4">
        <w:rPr>
          <w:noProof/>
        </w:rPr>
        <mc:AlternateContent>
          <mc:Choice Requires="wps">
            <w:drawing>
              <wp:anchor distT="0" distB="0" distL="114300" distR="114300" simplePos="0" relativeHeight="251664384" behindDoc="0" locked="0" layoutInCell="1" allowOverlap="1" wp14:anchorId="60FD7881" wp14:editId="7704CF17">
                <wp:simplePos x="0" y="0"/>
                <wp:positionH relativeFrom="column">
                  <wp:posOffset>1733550</wp:posOffset>
                </wp:positionH>
                <wp:positionV relativeFrom="paragraph">
                  <wp:posOffset>561340</wp:posOffset>
                </wp:positionV>
                <wp:extent cx="2885440" cy="285115"/>
                <wp:effectExtent l="0" t="0" r="10160" b="19685"/>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85440" cy="2851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150C005" w14:textId="77777777" w:rsidR="00C4454D" w:rsidRDefault="00C4454D" w:rsidP="00C4454D">
                            <w:r>
                              <w:t>Medium and high technology manufactures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FD7881" id="Text Box 56" o:spid="_x0000_s1027" type="#_x0000_t202" style="position:absolute;left:0;text-align:left;margin-left:136.5pt;margin-top:44.2pt;width:227.2pt;height:22.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" fillcolor="white [3201]" strokeweight=".5pt">
                <v:path arrowok="t"/>
                <v:textbox>
                  <w:txbxContent>
                    <w:p w14:paraId="0150C005" w14:textId="77777777" w:rsidR="00C4454D" w:rsidRDefault="00C4454D" w:rsidP="00C4454D">
                      <w:r>
                        <w:t>Medium and high technology manufactures</w:t>
                      </w:r>
                    </w:p>
                  </w:txbxContent>
                </v:textbox>
              </v:shape>
            </w:pict>
          </mc:Fallback>
        </mc:AlternateContent>
      </w:r>
      <w:r w:rsidRPr="00A735B4">
        <w:rPr>
          <w:noProof/>
        </w:rPr>
        <mc:AlternateContent>
          <mc:Choice Requires="wps">
            <w:drawing>
              <wp:anchor distT="0" distB="0" distL="114300" distR="114300" simplePos="0" relativeHeight="251665408" behindDoc="0" locked="0" layoutInCell="1" allowOverlap="1" wp14:anchorId="0E89AA95" wp14:editId="5261C81B">
                <wp:simplePos x="0" y="0"/>
                <wp:positionH relativeFrom="column">
                  <wp:posOffset>1197610</wp:posOffset>
                </wp:positionH>
                <wp:positionV relativeFrom="paragraph">
                  <wp:posOffset>254000</wp:posOffset>
                </wp:positionV>
                <wp:extent cx="1157605" cy="219075"/>
                <wp:effectExtent l="0" t="0" r="23495" b="28575"/>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7605" cy="219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11759BE" w14:textId="77777777" w:rsidR="00C4454D" w:rsidRPr="00721795" w:rsidRDefault="00C4454D" w:rsidP="00C4454D">
                            <w:pPr>
                              <w:rPr>
                                <w:sz w:val="16"/>
                                <w:szCs w:val="16"/>
                              </w:rPr>
                            </w:pPr>
                            <w:r w:rsidRPr="00721795">
                              <w:rPr>
                                <w:sz w:val="16"/>
                                <w:szCs w:val="16"/>
                              </w:rPr>
                              <w:t>O</w:t>
                            </w:r>
                            <w:r>
                              <w:rPr>
                                <w:sz w:val="16"/>
                                <w:szCs w:val="16"/>
                              </w:rPr>
                              <w:t>ther transactions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89AA95" id="Text Box 59" o:spid="_x0000_s1028" type="#_x0000_t202" style="position:absolute;left:0;text-align:left;margin-left:94.3pt;margin-top:20pt;width:91.15pt;height:17.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" fillcolor="white [3201]" strokeweight=".5pt">
                <v:path arrowok="t"/>
                <v:textbox>
                  <w:txbxContent>
                    <w:p w14:paraId="511759BE" w14:textId="77777777" w:rsidR="00C4454D" w:rsidRPr="00721795" w:rsidRDefault="00C4454D" w:rsidP="00C4454D">
                      <w:pPr>
                        <w:rPr>
                          <w:sz w:val="16"/>
                          <w:szCs w:val="16"/>
                        </w:rPr>
                      </w:pPr>
                      <w:r w:rsidRPr="00721795">
                        <w:rPr>
                          <w:sz w:val="16"/>
                          <w:szCs w:val="16"/>
                        </w:rPr>
                        <w:t>O</w:t>
                      </w:r>
                      <w:r>
                        <w:rPr>
                          <w:sz w:val="16"/>
                          <w:szCs w:val="16"/>
                        </w:rPr>
                        <w:t>ther transactions</w:t>
                      </w:r>
                    </w:p>
                  </w:txbxContent>
                </v:textbox>
              </v:shape>
            </w:pict>
          </mc:Fallback>
        </mc:AlternateContent>
      </w:r>
      <w:r w:rsidRPr="00A735B4">
        <w:rPr>
          <w:noProof/>
        </w:rPr>
        <mc:AlternateContent>
          <mc:Choice Requires="wps">
            <w:drawing>
              <wp:anchor distT="0" distB="0" distL="114300" distR="114300" simplePos="0" relativeHeight="251663360" behindDoc="0" locked="0" layoutInCell="1" allowOverlap="1" wp14:anchorId="0C469392" wp14:editId="0A9800C3">
                <wp:simplePos x="0" y="0"/>
                <wp:positionH relativeFrom="column">
                  <wp:posOffset>2476500</wp:posOffset>
                </wp:positionH>
                <wp:positionV relativeFrom="paragraph">
                  <wp:posOffset>2266315</wp:posOffset>
                </wp:positionV>
                <wp:extent cx="1027430" cy="231775"/>
                <wp:effectExtent l="0" t="0" r="20320" b="15875"/>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7430" cy="2317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AA74802" w14:textId="77777777" w:rsidR="00C4454D" w:rsidRDefault="00C4454D" w:rsidP="00C4454D">
                            <w:r>
                              <w:t>Commodities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C469392" id="Text Box 60" o:spid="_x0000_s1029" type="#_x0000_t202" style="position:absolute;left:0;text-align:left;margin-left:195pt;margin-top:178.45pt;width:80.9pt;height:18.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" fillcolor="white [3201]" strokeweight=".5pt">
                <v:path arrowok="t"/>
                <v:textbox>
                  <w:txbxContent>
                    <w:p w14:paraId="6AA74802" w14:textId="77777777" w:rsidR="00C4454D" w:rsidRDefault="00C4454D" w:rsidP="00C4454D">
                      <w:r>
                        <w:t>Commodities</w:t>
                      </w:r>
                    </w:p>
                  </w:txbxContent>
                </v:textbox>
              </v:shape>
            </w:pict>
          </mc:Fallback>
        </mc:AlternateContent>
      </w:r>
      <w:r w:rsidRPr="00A735B4">
        <w:rPr>
          <w:noProof/>
        </w:rPr>
        <w:drawing>
          <wp:inline distT="0" distB="0" distL="0" distR="0" wp14:anchorId="0461FF93" wp14:editId="3E966FDC">
            <wp:extent cx="5321523" cy="3291840"/>
            <wp:effectExtent l="0" t="0" r="0" b="3810"/>
            <wp:docPr id="288" name="Picture 10" descr="AndeanC_TechCont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deanC_TechContent.png"/>
                    <pic:cNvPicPr/>
                  </pic:nvPicPr>
                  <pic:blipFill>
                    <a:blip r:embed="rId79" cstate="print"/>
                    <a:stretch>
                      <a:fillRect/>
                    </a:stretch>
                  </pic:blipFill>
                  <pic:spPr>
                    <a:xfrm>
                      <a:off x="0" y="0"/>
                      <a:ext cx="5321523" cy="3291840"/>
                    </a:xfrm>
                    <a:prstGeom prst="rect">
                      <a:avLst/>
                    </a:prstGeom>
                  </pic:spPr>
                </pic:pic>
              </a:graphicData>
            </a:graphic>
          </wp:inline>
        </w:drawing>
      </w:r>
    </w:p>
    <w:p w14:paraId="680124B0" w14:textId="72D4DF55" w:rsidR="00C4454D" w:rsidRPr="00A735B4" w:rsidRDefault="00C4454D" w:rsidP="00C4454D">
      <w:pPr>
        <w:keepNext/>
        <w:rPr>
          <w:sz w:val="20"/>
        </w:rPr>
      </w:pPr>
      <w:r w:rsidRPr="00A735B4">
        <w:rPr>
          <w:i/>
          <w:sz w:val="20"/>
        </w:rPr>
        <w:t>Source</w:t>
      </w:r>
      <w:r w:rsidRPr="00A735B4">
        <w:rPr>
          <w:sz w:val="20"/>
        </w:rPr>
        <w:t>: Andean Community 2013.</w:t>
      </w:r>
    </w:p>
    <w:p w14:paraId="0EE95174" w14:textId="77777777" w:rsidR="00C4454D" w:rsidRPr="00A735B4" w:rsidRDefault="00C4454D" w:rsidP="00C4454D"/>
    <w:p w14:paraId="62B23EE4" w14:textId="77777777" w:rsidR="00C4454D" w:rsidRPr="00A735B4" w:rsidRDefault="00C4454D">
      <w:pPr>
        <w:spacing w:after="200" w:line="276" w:lineRule="auto"/>
        <w:rPr>
          <w:b/>
          <w:bCs/>
          <w:color w:val="1F497D" w:themeColor="text2"/>
        </w:rPr>
      </w:pPr>
      <w:r w:rsidRPr="00A735B4">
        <w:rPr>
          <w:color w:val="1F497D" w:themeColor="text2"/>
        </w:rPr>
        <w:br w:type="page"/>
      </w:r>
    </w:p>
    <w:p w14:paraId="27E676A1" w14:textId="10AD4810" w:rsidR="00C4454D" w:rsidRPr="00A735B4" w:rsidRDefault="00C4454D" w:rsidP="00C4454D">
      <w:pPr>
        <w:jc w:val="center"/>
        <w:rPr>
          <w:color w:val="1F497D" w:themeColor="text2"/>
          <w:sz w:val="24"/>
          <w:szCs w:val="24"/>
        </w:rPr>
      </w:pPr>
      <w:r w:rsidRPr="00A735B4">
        <w:rPr>
          <w:color w:val="1F497D" w:themeColor="text2"/>
          <w:sz w:val="24"/>
          <w:szCs w:val="24"/>
        </w:rPr>
        <w:lastRenderedPageBreak/>
        <w:t>Figure F.3 Number of products exported within the Andean Community and to external partners</w:t>
      </w:r>
    </w:p>
    <w:p w14:paraId="4F61CDC3" w14:textId="77777777" w:rsidR="00C4454D" w:rsidRPr="00A735B4" w:rsidRDefault="00C4454D" w:rsidP="00C4454D">
      <w:pPr>
        <w:keepNext/>
        <w:jc w:val="center"/>
      </w:pPr>
      <w:r w:rsidRPr="00A735B4">
        <w:rPr>
          <w:noProof/>
        </w:rPr>
        <w:drawing>
          <wp:inline distT="0" distB="0" distL="0" distR="0" wp14:anchorId="2C4E3360" wp14:editId="4F15A54B">
            <wp:extent cx="4610100" cy="3049923"/>
            <wp:effectExtent l="19050" t="0" r="0" b="0"/>
            <wp:docPr id="289" name="Picture 14" descr="AndeanC_Diversific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deanC_Diversification.png"/>
                    <pic:cNvPicPr/>
                  </pic:nvPicPr>
                  <pic:blipFill>
                    <a:blip r:embed="rId80" cstate="print"/>
                    <a:stretch>
                      <a:fillRect/>
                    </a:stretch>
                  </pic:blipFill>
                  <pic:spPr>
                    <a:xfrm>
                      <a:off x="0" y="0"/>
                      <a:ext cx="4610907" cy="3050457"/>
                    </a:xfrm>
                    <a:prstGeom prst="rect">
                      <a:avLst/>
                    </a:prstGeom>
                  </pic:spPr>
                </pic:pic>
              </a:graphicData>
            </a:graphic>
          </wp:inline>
        </w:drawing>
      </w:r>
    </w:p>
    <w:p w14:paraId="761F926B" w14:textId="51C471DB" w:rsidR="00C4454D" w:rsidRPr="00A735B4" w:rsidRDefault="00C4454D" w:rsidP="00C4454D">
      <w:pPr>
        <w:keepNext/>
        <w:ind w:firstLine="990"/>
        <w:rPr>
          <w:sz w:val="20"/>
        </w:rPr>
      </w:pPr>
      <w:r w:rsidRPr="00A735B4">
        <w:rPr>
          <w:i/>
          <w:sz w:val="20"/>
        </w:rPr>
        <w:t>Source</w:t>
      </w:r>
      <w:r w:rsidRPr="00A735B4">
        <w:rPr>
          <w:sz w:val="20"/>
        </w:rPr>
        <w:t>: Andean Community 2013.</w:t>
      </w:r>
    </w:p>
    <w:p w14:paraId="3441183F" w14:textId="4C294DF1" w:rsidR="00C4454D" w:rsidRPr="00A735B4" w:rsidRDefault="00C4454D" w:rsidP="00C4454D">
      <w:pPr>
        <w:spacing w:before="240" w:after="240"/>
        <w:jc w:val="both"/>
      </w:pPr>
      <w:r w:rsidRPr="00A735B4">
        <w:t>Concerning non-tariff barriers, many RTAs maintain inventories of business complaints and provide institutionalized mechanisms for complaint resolution or dispute settlement. Examples include the Central America Free Trade Agreement, the Andean Community, and Mercosur. Surveys are equally used to collect structured feedback on potential trade impediments. For example, Russian businesses were asked to assess the extent to which border procedures within the Eurasian Community are easier to comply with than other border crossings (figure F.4).</w:t>
      </w:r>
    </w:p>
    <w:p w14:paraId="404BE8A7" w14:textId="3CE98F40" w:rsidR="00C4454D" w:rsidRPr="00A735B4" w:rsidRDefault="00C4454D" w:rsidP="00C4454D">
      <w:pPr>
        <w:jc w:val="center"/>
        <w:rPr>
          <w:color w:val="1F497D" w:themeColor="text2"/>
          <w:sz w:val="24"/>
          <w:szCs w:val="24"/>
        </w:rPr>
      </w:pPr>
      <w:r w:rsidRPr="00A735B4">
        <w:rPr>
          <w:color w:val="1F497D" w:themeColor="text2"/>
          <w:sz w:val="24"/>
          <w:szCs w:val="24"/>
        </w:rPr>
        <w:t>Figure F.4 Percentage of Russian firms viewing cross-border trade regulations and customs as serious obstacles</w:t>
      </w:r>
    </w:p>
    <w:p w14:paraId="3B291840" w14:textId="77777777" w:rsidR="00C4454D" w:rsidRPr="00A735B4" w:rsidRDefault="00C4454D" w:rsidP="00C4454D">
      <w:r w:rsidRPr="00A735B4">
        <w:rPr>
          <w:noProof/>
        </w:rPr>
        <w:lastRenderedPageBreak/>
        <w:drawing>
          <wp:inline distT="0" distB="0" distL="0" distR="0" wp14:anchorId="0C7309A9" wp14:editId="344662F3">
            <wp:extent cx="5486400" cy="2312670"/>
            <wp:effectExtent l="19050" t="0" r="0" b="0"/>
            <wp:docPr id="290" name="Picture 15" descr="EBRD_Russian_Custo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BRD_Russian_Customs.png"/>
                    <pic:cNvPicPr/>
                  </pic:nvPicPr>
                  <pic:blipFill>
                    <a:blip r:embed="rId81" cstate="print"/>
                    <a:stretch>
                      <a:fillRect/>
                    </a:stretch>
                  </pic:blipFill>
                  <pic:spPr>
                    <a:xfrm>
                      <a:off x="0" y="0"/>
                      <a:ext cx="5486400" cy="2312670"/>
                    </a:xfrm>
                    <a:prstGeom prst="rect">
                      <a:avLst/>
                    </a:prstGeom>
                  </pic:spPr>
                </pic:pic>
              </a:graphicData>
            </a:graphic>
          </wp:inline>
        </w:drawing>
      </w:r>
    </w:p>
    <w:p w14:paraId="329410F7" w14:textId="3A6772BA" w:rsidR="00C4454D" w:rsidRPr="00A735B4" w:rsidRDefault="00C4454D" w:rsidP="00C4454D">
      <w:pPr>
        <w:keepNext/>
        <w:rPr>
          <w:sz w:val="20"/>
        </w:rPr>
      </w:pPr>
      <w:r w:rsidRPr="00A735B4">
        <w:rPr>
          <w:i/>
          <w:sz w:val="20"/>
        </w:rPr>
        <w:t>Source</w:t>
      </w:r>
      <w:r w:rsidRPr="00A735B4">
        <w:rPr>
          <w:sz w:val="20"/>
        </w:rPr>
        <w:t>: EBRD 2012.</w:t>
      </w:r>
    </w:p>
    <w:p w14:paraId="755B92AB" w14:textId="77777777" w:rsidR="00C4454D" w:rsidRPr="00A735B4" w:rsidRDefault="00C4454D" w:rsidP="00C4454D"/>
    <w:p w14:paraId="55169A23" w14:textId="4A5C005D" w:rsidR="00C4454D" w:rsidRPr="00A735B4" w:rsidRDefault="00C4454D" w:rsidP="00C4454D">
      <w:pPr>
        <w:spacing w:before="240" w:after="240"/>
        <w:jc w:val="both"/>
      </w:pPr>
      <w:r w:rsidRPr="00A735B4">
        <w:t>Moreover, the Inter-American Development Bank tracks border rejections for exports from Latin America to key export markets (figure F.5) as a proxy for problems that exporters face with respect to compliance with international standards. While implemented by the IDB for the entire subcontinent, similar monitoring schemes could also be established at the level of individual RECs.</w:t>
      </w:r>
    </w:p>
    <w:p w14:paraId="07E61688" w14:textId="7DFE08A2" w:rsidR="00C4454D" w:rsidRPr="00A735B4" w:rsidRDefault="00C4454D" w:rsidP="00C4454D">
      <w:pPr>
        <w:jc w:val="center"/>
        <w:rPr>
          <w:color w:val="1F497D" w:themeColor="text2"/>
          <w:sz w:val="24"/>
          <w:szCs w:val="24"/>
        </w:rPr>
      </w:pPr>
      <w:r w:rsidRPr="00A735B4">
        <w:rPr>
          <w:color w:val="1F497D" w:themeColor="text2"/>
          <w:sz w:val="24"/>
          <w:szCs w:val="24"/>
        </w:rPr>
        <w:t>Figure F.5 Export standards monitoring in Latin America</w:t>
      </w:r>
    </w:p>
    <w:p w14:paraId="20FB2551" w14:textId="77777777" w:rsidR="00C4454D" w:rsidRPr="00A735B4" w:rsidRDefault="00C4454D" w:rsidP="00C4454D">
      <w:pPr>
        <w:keepNext/>
      </w:pPr>
      <w:r w:rsidRPr="00A735B4">
        <w:rPr>
          <w:noProof/>
        </w:rPr>
        <w:drawing>
          <wp:inline distT="0" distB="0" distL="0" distR="0" wp14:anchorId="0B4ED3DB" wp14:editId="6A222849">
            <wp:extent cx="5743575" cy="2828925"/>
            <wp:effectExtent l="0" t="0" r="9525" b="9525"/>
            <wp:docPr id="291" name="Picture 8" descr="IDB_Border_Rejec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B_Border_Rejections.png"/>
                    <pic:cNvPicPr/>
                  </pic:nvPicPr>
                  <pic:blipFill>
                    <a:blip r:embed="rId82" cstate="print"/>
                    <a:stretch>
                      <a:fillRect/>
                    </a:stretch>
                  </pic:blipFill>
                  <pic:spPr>
                    <a:xfrm>
                      <a:off x="0" y="0"/>
                      <a:ext cx="5747692" cy="2830953"/>
                    </a:xfrm>
                    <a:prstGeom prst="rect">
                      <a:avLst/>
                    </a:prstGeom>
                  </pic:spPr>
                </pic:pic>
              </a:graphicData>
            </a:graphic>
          </wp:inline>
        </w:drawing>
      </w:r>
    </w:p>
    <w:p w14:paraId="5DD359F5" w14:textId="5C329B66" w:rsidR="00C4454D" w:rsidRPr="00A735B4" w:rsidRDefault="00C4454D" w:rsidP="00C4454D">
      <w:pPr>
        <w:keepNext/>
        <w:ind w:left="540" w:hanging="540"/>
        <w:rPr>
          <w:sz w:val="20"/>
        </w:rPr>
      </w:pPr>
      <w:r w:rsidRPr="00A735B4">
        <w:rPr>
          <w:i/>
          <w:sz w:val="20"/>
        </w:rPr>
        <w:t xml:space="preserve">    Source</w:t>
      </w:r>
      <w:r w:rsidRPr="00A735B4">
        <w:rPr>
          <w:sz w:val="20"/>
        </w:rPr>
        <w:t>: IDB 2012.</w:t>
      </w:r>
    </w:p>
    <w:p w14:paraId="102EFB6D" w14:textId="1B3E6D99" w:rsidR="00C4454D" w:rsidRPr="00A735B4" w:rsidRDefault="00C4454D" w:rsidP="00C4454D">
      <w:pPr>
        <w:spacing w:before="240" w:after="240"/>
        <w:jc w:val="both"/>
      </w:pPr>
      <w:r w:rsidRPr="00A735B4">
        <w:t xml:space="preserve">Intraregional services trade is explicitly monitored by the ASEAN Secretariat. It reports on the evolution and share of regional in total services imports (figure F.6). Moreover, the monitoring process also tracks </w:t>
      </w:r>
      <w:r w:rsidRPr="00A735B4">
        <w:lastRenderedPageBreak/>
        <w:t>regional services trade at the sub-sector level for member countries (e.g., Singapore) that make the respective information available.</w:t>
      </w:r>
    </w:p>
    <w:p w14:paraId="75703BE4" w14:textId="77777777" w:rsidR="00C4454D" w:rsidRPr="00A735B4" w:rsidRDefault="00C4454D" w:rsidP="00C4454D">
      <w:pPr>
        <w:spacing w:before="240" w:after="240"/>
        <w:jc w:val="both"/>
      </w:pPr>
    </w:p>
    <w:p w14:paraId="6DB69BFA" w14:textId="4634388B" w:rsidR="00C4454D" w:rsidRPr="00A735B4" w:rsidRDefault="00C4454D" w:rsidP="00C4454D">
      <w:pPr>
        <w:spacing w:before="240" w:after="240"/>
        <w:jc w:val="both"/>
      </w:pPr>
      <w:r w:rsidRPr="00A735B4">
        <w:t>With respect to policies vis-à-vis the services sector, ASEAN has been working with the World Bank on using the Services Trade Restrictiveness Index (STRI) for monitoring purposes. For example, it has been assessing changes in member countries’ regulations over time using the STRI methodology (figure F.7). Another form of monitoring has consisted of establishing to what extent commitments under the ASEAN Framework Agreement on Services go beyond multilateral liberalization commitments, thus providing regional partners with preferential treatment. Figure F.8provides a snapshot of the findings for the case of the Philippines.</w:t>
      </w:r>
    </w:p>
    <w:p w14:paraId="57A70B15" w14:textId="77777777" w:rsidR="00C4454D" w:rsidRPr="00A735B4" w:rsidRDefault="00C4454D" w:rsidP="00C4454D">
      <w:pPr>
        <w:spacing w:before="240" w:after="240"/>
        <w:jc w:val="both"/>
        <w:sectPr w:rsidR="00C4454D" w:rsidRPr="00A735B4" w:rsidSect="00C4454D">
          <w:footerReference w:type="default" r:id="rId83"/>
          <w:endnotePr>
            <w:numFmt w:val="decimal"/>
          </w:endnotePr>
          <w:type w:val="continuous"/>
          <w:pgSz w:w="12240" w:h="15840"/>
          <w:pgMar w:top="1440" w:right="1440" w:bottom="1440" w:left="1440" w:header="720" w:footer="720" w:gutter="0"/>
          <w:cols w:space="720"/>
          <w:docGrid w:linePitch="360"/>
        </w:sectPr>
      </w:pPr>
    </w:p>
    <w:p w14:paraId="118AB34B" w14:textId="58F55ABE" w:rsidR="00C4454D" w:rsidRPr="00A735B4" w:rsidRDefault="00C4454D" w:rsidP="00C4454D">
      <w:pPr>
        <w:spacing w:before="240" w:after="240"/>
        <w:jc w:val="both"/>
      </w:pPr>
    </w:p>
    <w:p w14:paraId="110D0643" w14:textId="77777777" w:rsidR="00C4454D" w:rsidRPr="00A735B4" w:rsidRDefault="00C4454D" w:rsidP="00C4454D">
      <w:pPr>
        <w:spacing w:before="240" w:after="240"/>
        <w:jc w:val="both"/>
      </w:pPr>
    </w:p>
    <w:p w14:paraId="3BB5ECCA" w14:textId="77777777" w:rsidR="00C4454D" w:rsidRPr="00A735B4" w:rsidRDefault="00C4454D" w:rsidP="00C4454D">
      <w:pPr>
        <w:spacing w:before="240" w:after="240"/>
        <w:jc w:val="both"/>
      </w:pPr>
    </w:p>
    <w:p w14:paraId="4D49E0EA" w14:textId="77777777" w:rsidR="00C4454D" w:rsidRPr="00A735B4" w:rsidRDefault="00C4454D" w:rsidP="00C4454D">
      <w:pPr>
        <w:spacing w:before="240" w:after="240"/>
        <w:jc w:val="both"/>
      </w:pPr>
    </w:p>
    <w:p w14:paraId="2646618D" w14:textId="77777777" w:rsidR="00C4454D" w:rsidRPr="00A735B4" w:rsidRDefault="00C4454D" w:rsidP="00C4454D">
      <w:pPr>
        <w:spacing w:after="200" w:line="276" w:lineRule="auto"/>
        <w:rPr>
          <w:b/>
          <w:bCs/>
          <w:color w:val="1F497D" w:themeColor="text2"/>
        </w:rPr>
      </w:pPr>
      <w:r w:rsidRPr="00A735B4">
        <w:rPr>
          <w:color w:val="1F497D" w:themeColor="text2"/>
        </w:rPr>
        <w:br w:type="page"/>
      </w:r>
    </w:p>
    <w:p w14:paraId="75193151" w14:textId="477104C1" w:rsidR="00C4454D" w:rsidRPr="00A735B4" w:rsidRDefault="00C4454D" w:rsidP="00C4454D">
      <w:pPr>
        <w:jc w:val="center"/>
        <w:rPr>
          <w:color w:val="1F497D" w:themeColor="text2"/>
          <w:sz w:val="24"/>
          <w:szCs w:val="24"/>
        </w:rPr>
      </w:pPr>
      <w:r w:rsidRPr="00A735B4">
        <w:rPr>
          <w:color w:val="1F497D" w:themeColor="text2"/>
          <w:sz w:val="24"/>
          <w:szCs w:val="24"/>
        </w:rPr>
        <w:lastRenderedPageBreak/>
        <w:t>Figure F.6 Intra-ASEAN services imports</w:t>
      </w:r>
    </w:p>
    <w:p w14:paraId="6285DB1F" w14:textId="77777777" w:rsidR="00C4454D" w:rsidRPr="00A735B4" w:rsidRDefault="00C4454D" w:rsidP="00C4454D">
      <w:pPr>
        <w:keepNext/>
        <w:jc w:val="center"/>
      </w:pPr>
      <w:r w:rsidRPr="00A735B4">
        <w:rPr>
          <w:noProof/>
        </w:rPr>
        <w:drawing>
          <wp:inline distT="0" distB="0" distL="0" distR="0" wp14:anchorId="3B706D69" wp14:editId="63221668">
            <wp:extent cx="5372100" cy="3305175"/>
            <wp:effectExtent l="19050" t="0" r="19050" b="0"/>
            <wp:docPr id="292" name="Chart 292"/>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44342747" w14:textId="30B95266" w:rsidR="00C4454D" w:rsidRPr="00A735B4" w:rsidRDefault="00C4454D" w:rsidP="00C4454D">
      <w:pPr>
        <w:keepNext/>
        <w:ind w:left="450" w:hanging="360"/>
        <w:rPr>
          <w:sz w:val="20"/>
        </w:rPr>
      </w:pPr>
      <w:r w:rsidRPr="00A735B4">
        <w:rPr>
          <w:i/>
          <w:sz w:val="20"/>
        </w:rPr>
        <w:t xml:space="preserve">   Source</w:t>
      </w:r>
      <w:r w:rsidRPr="00A735B4">
        <w:rPr>
          <w:sz w:val="20"/>
        </w:rPr>
        <w:t>: ASEAN and World Bank 2013.</w:t>
      </w:r>
    </w:p>
    <w:p w14:paraId="1FD3A1AA" w14:textId="77777777" w:rsidR="00C4454D" w:rsidRPr="00A735B4" w:rsidRDefault="00C4454D" w:rsidP="00C4454D"/>
    <w:p w14:paraId="14EDCC8E" w14:textId="77777777" w:rsidR="00C4454D" w:rsidRPr="00A735B4" w:rsidRDefault="00C4454D" w:rsidP="00C4454D">
      <w:pPr>
        <w:spacing w:after="200" w:line="276" w:lineRule="auto"/>
        <w:rPr>
          <w:b/>
          <w:bCs/>
          <w:color w:val="4F81BD" w:themeColor="accent1"/>
          <w:sz w:val="18"/>
          <w:szCs w:val="18"/>
        </w:rPr>
      </w:pPr>
    </w:p>
    <w:p w14:paraId="01CD163E" w14:textId="50B6BA57" w:rsidR="00C4454D" w:rsidRPr="00A735B4" w:rsidRDefault="00C4454D" w:rsidP="00C4454D">
      <w:pPr>
        <w:jc w:val="center"/>
        <w:rPr>
          <w:color w:val="1F497D" w:themeColor="text2"/>
          <w:sz w:val="24"/>
          <w:szCs w:val="24"/>
        </w:rPr>
      </w:pPr>
      <w:r w:rsidRPr="00A735B4">
        <w:rPr>
          <w:color w:val="1F497D" w:themeColor="text2"/>
          <w:sz w:val="24"/>
          <w:szCs w:val="24"/>
        </w:rPr>
        <w:t>Figure F.7 Changes in services trade restrictiveness between 2007/08 and 2010 (number of subsector-mode combinations undergoing reform)</w:t>
      </w:r>
    </w:p>
    <w:p w14:paraId="33DAF3E8" w14:textId="77777777" w:rsidR="00C4454D" w:rsidRPr="00A735B4" w:rsidRDefault="00C4454D" w:rsidP="00C4454D">
      <w:pPr>
        <w:jc w:val="center"/>
      </w:pPr>
      <w:r w:rsidRPr="00A735B4">
        <w:rPr>
          <w:noProof/>
        </w:rPr>
        <w:lastRenderedPageBreak/>
        <w:drawing>
          <wp:inline distT="0" distB="0" distL="0" distR="0" wp14:anchorId="2DC275A4" wp14:editId="1827D099">
            <wp:extent cx="5286375" cy="3182815"/>
            <wp:effectExtent l="0" t="0" r="9525" b="17780"/>
            <wp:docPr id="293" name="Chart 293"/>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71CBEBA3" w14:textId="583AE580" w:rsidR="00C4454D" w:rsidRPr="00A735B4" w:rsidRDefault="00C4454D" w:rsidP="00C4454D">
      <w:pPr>
        <w:keepNext/>
        <w:tabs>
          <w:tab w:val="left" w:pos="630"/>
        </w:tabs>
        <w:ind w:left="450" w:hanging="450"/>
        <w:rPr>
          <w:sz w:val="20"/>
        </w:rPr>
      </w:pPr>
      <w:r w:rsidRPr="00A735B4">
        <w:rPr>
          <w:i/>
          <w:sz w:val="20"/>
        </w:rPr>
        <w:t xml:space="preserve">     Source</w:t>
      </w:r>
      <w:r w:rsidRPr="00A735B4">
        <w:rPr>
          <w:sz w:val="20"/>
        </w:rPr>
        <w:t>: ASEAN and World Bank 2013.</w:t>
      </w:r>
    </w:p>
    <w:p w14:paraId="371BD3B0" w14:textId="77777777" w:rsidR="00C4454D" w:rsidRPr="00A735B4" w:rsidRDefault="00C4454D" w:rsidP="00C4454D"/>
    <w:p w14:paraId="4194CA00" w14:textId="23CCA1AD" w:rsidR="00C4454D" w:rsidRPr="00A735B4" w:rsidRDefault="00C4454D" w:rsidP="00C4454D">
      <w:pPr>
        <w:jc w:val="center"/>
        <w:rPr>
          <w:color w:val="1F497D" w:themeColor="text2"/>
          <w:sz w:val="24"/>
        </w:rPr>
      </w:pPr>
      <w:r w:rsidRPr="00A735B4">
        <w:rPr>
          <w:color w:val="1F497D" w:themeColor="text2"/>
          <w:sz w:val="24"/>
          <w:szCs w:val="24"/>
        </w:rPr>
        <w:t>Figure F.8 Comparison of services trade commitments and policies (higher value indicates more restrictive policy measures</w:t>
      </w:r>
      <w:r w:rsidRPr="00A735B4">
        <w:rPr>
          <w:color w:val="1F497D" w:themeColor="text2"/>
          <w:sz w:val="24"/>
        </w:rPr>
        <w:t>)</w:t>
      </w:r>
    </w:p>
    <w:p w14:paraId="04162B49" w14:textId="77777777" w:rsidR="00C4454D" w:rsidRPr="00A735B4" w:rsidRDefault="00C4454D" w:rsidP="00C4454D">
      <w:pPr>
        <w:keepNext/>
        <w:jc w:val="center"/>
      </w:pPr>
      <w:r w:rsidRPr="00A735B4">
        <w:rPr>
          <w:noProof/>
        </w:rPr>
        <w:drawing>
          <wp:inline distT="0" distB="0" distL="0" distR="0" wp14:anchorId="4A7A4404" wp14:editId="4F901D67">
            <wp:extent cx="4152900" cy="2581275"/>
            <wp:effectExtent l="19050" t="0" r="19050" b="0"/>
            <wp:docPr id="294" name="Chart 294"/>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6187355B" w14:textId="77777777" w:rsidR="00C4454D" w:rsidRPr="00A735B4" w:rsidRDefault="00C4454D" w:rsidP="00C4454D">
      <w:pPr>
        <w:keepNext/>
        <w:ind w:firstLine="720"/>
        <w:rPr>
          <w:i/>
          <w:sz w:val="20"/>
        </w:rPr>
      </w:pPr>
      <w:r w:rsidRPr="00A735B4">
        <w:rPr>
          <w:i/>
          <w:sz w:val="20"/>
        </w:rPr>
        <w:t xml:space="preserve">      </w:t>
      </w:r>
    </w:p>
    <w:p w14:paraId="1B16D9D9" w14:textId="02548039" w:rsidR="00C4454D" w:rsidRPr="00A735B4" w:rsidRDefault="00C4454D" w:rsidP="00C4454D">
      <w:pPr>
        <w:keepNext/>
        <w:ind w:firstLine="720"/>
        <w:rPr>
          <w:sz w:val="20"/>
        </w:rPr>
      </w:pPr>
      <w:r w:rsidRPr="00A735B4">
        <w:rPr>
          <w:i/>
          <w:sz w:val="20"/>
        </w:rPr>
        <w:t>Source</w:t>
      </w:r>
      <w:r w:rsidRPr="00A735B4">
        <w:rPr>
          <w:sz w:val="20"/>
        </w:rPr>
        <w:t>: ASEAN and World Bank 2013.</w:t>
      </w:r>
    </w:p>
    <w:p w14:paraId="56B021FD" w14:textId="77777777" w:rsidR="00C4454D" w:rsidRPr="00A735B4" w:rsidRDefault="00C4454D" w:rsidP="00C4454D">
      <w:pPr>
        <w:ind w:left="360"/>
      </w:pPr>
    </w:p>
    <w:p w14:paraId="3E14BDAD" w14:textId="77777777" w:rsidR="00C4454D" w:rsidRPr="00A735B4" w:rsidRDefault="00C4454D" w:rsidP="00C4454D"/>
    <w:p w14:paraId="3CBD7CBA" w14:textId="77777777" w:rsidR="00C4454D" w:rsidRPr="00A735B4" w:rsidRDefault="00C4454D">
      <w:pPr>
        <w:spacing w:after="200" w:line="276" w:lineRule="auto"/>
      </w:pPr>
      <w:r w:rsidRPr="00A735B4">
        <w:br w:type="page"/>
      </w:r>
    </w:p>
    <w:p w14:paraId="1DD2CF95" w14:textId="73202D45" w:rsidR="00C4454D" w:rsidRPr="00A735B4" w:rsidRDefault="00C4454D" w:rsidP="00C4454D">
      <w:pPr>
        <w:rPr>
          <w:rFonts w:asciiTheme="majorHAnsi" w:hAnsiTheme="majorHAnsi"/>
          <w:b/>
          <w:color w:val="4F81BD" w:themeColor="accent1"/>
          <w:sz w:val="28"/>
          <w:szCs w:val="28"/>
        </w:rPr>
      </w:pPr>
      <w:r w:rsidRPr="00A735B4">
        <w:rPr>
          <w:rFonts w:asciiTheme="majorHAnsi" w:hAnsiTheme="majorHAnsi"/>
          <w:b/>
          <w:color w:val="4F81BD" w:themeColor="accent1"/>
          <w:sz w:val="28"/>
          <w:szCs w:val="28"/>
        </w:rPr>
        <w:lastRenderedPageBreak/>
        <w:t>Endnotes</w:t>
      </w:r>
    </w:p>
    <w:sectPr w:rsidR="00C4454D" w:rsidRPr="00A735B4" w:rsidSect="00C4454D">
      <w:endnotePr>
        <w:numFmt w:val="decimal"/>
      </w:endnotePr>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F5234FB" w14:textId="77777777" w:rsidR="00A96B07" w:rsidRDefault="00A96B07">
      <w:pPr>
        <w:spacing w:after="0" w:line="240" w:lineRule="auto"/>
      </w:pPr>
      <w:r>
        <w:separator/>
      </w:r>
    </w:p>
  </w:endnote>
  <w:endnote w:type="continuationSeparator" w:id="0">
    <w:p w14:paraId="3E88A084" w14:textId="77777777" w:rsidR="00A96B07" w:rsidRDefault="00A96B07">
      <w:pPr>
        <w:spacing w:after="0" w:line="240" w:lineRule="auto"/>
      </w:pPr>
      <w:r>
        <w:continuationSeparator/>
      </w:r>
    </w:p>
  </w:endnote>
  <w:endnote w:id="1">
    <w:p w14:paraId="6B33C97D" w14:textId="77777777" w:rsidR="00C4454D" w:rsidRPr="00C4454D" w:rsidRDefault="00C4454D" w:rsidP="00C4454D">
      <w:r>
        <w:endnoteRef/>
      </w:r>
      <w:r>
        <w:t xml:space="preserve"> </w:t>
      </w:r>
      <w:r w:rsidRPr="00C4454D">
        <w:t xml:space="preserve">The key inputs to this report were provided by Peter Walkenhorst (Consultant). Additional material came from Robin Carruthers (Consultant), Nora Dihel (World Bank), Mario Gutiérrez-Rocha (Consultant) and Bruce Thomson (Consultant). Essential advice and comments were provided by Nora Dihel, Mombert Hoppe, John Keyser and Andrew Roberts (World Bank). The project was led by Paul Brenton. We are very grateful for the comments and guidance of the following peer reviewers: Ian Gillson, Sanjay Kathuria (World Bank) and Jaime De Melo (University of Geneva). This work was funded by the Multi-Donor Trust Fund for Trade and Development supported by the governments of the Netherlands, Norway, Sweden, Switzerland, and the United Kingdom. The views expressed in this paper reflect solely those of the authors and not necessarily the views of the funders, the World Bank Group or its Executive Directors.  </w:t>
      </w:r>
    </w:p>
  </w:endnote>
  <w:endnote w:id="2">
    <w:p w14:paraId="3CC5BC0B" w14:textId="7EB0548B" w:rsidR="00C4454D" w:rsidRPr="00C4454D" w:rsidRDefault="00C4454D" w:rsidP="00C4454D">
      <w:r w:rsidRPr="00C4454D">
        <w:endnoteRef/>
      </w:r>
      <w:r w:rsidRPr="00C4454D">
        <w:t xml:space="preserve"> Annex A to this report discusses in more detail the trade data used to derive the share of regional trade in total trade and the key issues and challenges in using that data for monitoring purposes. The annex shows that the value of the indicator can vary significantly according to whether direct or mirror data are used and whether one or another data source is used. For example, for ECOWAS the share on intraregional in total trade is 7% using data from UN Comtrade, but is 13% if the IMF’s Direction of Trade Statistics are used. In addition, informal regional trade is sizable and significant in Africa and so official statistics will understate the extent of regional integration in practice.</w:t>
      </w:r>
    </w:p>
  </w:endnote>
  <w:endnote w:id="3">
    <w:p w14:paraId="09220AA3" w14:textId="1D4662DE" w:rsidR="00C4454D" w:rsidRPr="00C4454D" w:rsidRDefault="00C4454D">
      <w:r w:rsidRPr="00C4454D">
        <w:endnoteRef/>
      </w:r>
      <w:r w:rsidRPr="00C4454D">
        <w:t xml:space="preserve"> Annex F provides a discussion of indicators that are being used by Regional Economic Communities in other regions. </w:t>
      </w:r>
    </w:p>
  </w:endnote>
  <w:endnote w:id="4">
    <w:p w14:paraId="08CBC0C0" w14:textId="77777777" w:rsidR="00C4454D" w:rsidRPr="00C4454D" w:rsidRDefault="00C4454D">
      <w:r w:rsidRPr="00C4454D">
        <w:endnoteRef/>
      </w:r>
      <w:r w:rsidRPr="00C4454D">
        <w:t>https://www.wbginvestmentclimate.org/publications/eac-market-scorecard-2014.cfm</w:t>
      </w:r>
    </w:p>
  </w:endnote>
  <w:endnote w:id="5">
    <w:p w14:paraId="0BAE358F" w14:textId="77777777" w:rsidR="00C4454D" w:rsidRPr="00C4454D" w:rsidRDefault="00C4454D">
      <w:r w:rsidRPr="00C4454D">
        <w:endnoteRef/>
      </w:r>
      <w:r w:rsidRPr="00C4454D">
        <w:t xml:space="preserve"> Adoption of harmonized standards is, however, not a useful indicator per se. First, harmonized standards should only be pursued when differences in standards between partners causes a barrier to trade and when other, lower cost, methods of addressing this problem are not appropriate. Harmonization for the sake of harmonization, driven by revenue focused standards agencies, is unlikely to be good for poor traders and consumers or for regional integration. For more detailed analysis see Keyser (2015). </w:t>
      </w:r>
    </w:p>
  </w:endnote>
  <w:endnote w:id="6">
    <w:p w14:paraId="35495E15" w14:textId="77777777" w:rsidR="00C4454D" w:rsidRPr="00C4454D" w:rsidRDefault="00C4454D">
      <w:r w:rsidRPr="00C4454D">
        <w:endnoteRef/>
      </w:r>
      <w:r w:rsidRPr="00C4454D">
        <w:t>Corridors in some other sub-regions of Africa have also provided data on indicators but these are less complete and less regularly measured.</w:t>
      </w:r>
    </w:p>
  </w:endnote>
  <w:endnote w:id="7">
    <w:p w14:paraId="5AAB08C5" w14:textId="4DA85002" w:rsidR="00C4454D" w:rsidRPr="00C4454D" w:rsidRDefault="00C4454D">
      <w:r w:rsidRPr="00C4454D">
        <w:endnoteRef/>
      </w:r>
      <w:r w:rsidRPr="00C4454D">
        <w:t xml:space="preserve"> More details on these corridors and their monitoring committees are provided in Annex B.</w:t>
      </w:r>
    </w:p>
  </w:endnote>
  <w:endnote w:id="8">
    <w:p w14:paraId="6E7C4FCB" w14:textId="4D122BC7" w:rsidR="00C4454D" w:rsidRPr="00C4454D" w:rsidRDefault="00C4454D">
      <w:r w:rsidRPr="00C4454D">
        <w:endnoteRef/>
      </w:r>
      <w:r w:rsidRPr="00C4454D">
        <w:t xml:space="preserve"> Annex D to this report provides more details of the survey.</w:t>
      </w:r>
    </w:p>
  </w:endnote>
  <w:endnote w:id="9">
    <w:p w14:paraId="320E23F8" w14:textId="77777777" w:rsidR="00C4454D" w:rsidRPr="00C4454D" w:rsidRDefault="00C4454D" w:rsidP="00C4454D">
      <w:r w:rsidRPr="00C4454D">
        <w:endnoteRef/>
      </w:r>
      <w:r w:rsidRPr="00C4454D">
        <w:t xml:space="preserve"> For example, rather than asking about actual prices paid a more effective approach may be to ask about price bands, such as, (a) less than $1 per kg, (b) $1-2 per kg, (c) $2-3 per kg and so on to avoid (or at least minimize) the problem of outliers and having to clean the data. Similar considerations apply to questions about satisfaction. For example, on a scale of 1-5 how satisfied are you with the quality of seed; how satisfied are you with the border process etc.</w:t>
      </w:r>
    </w:p>
  </w:endnote>
  <w:endnote w:id="10">
    <w:p w14:paraId="6386B96F" w14:textId="77777777" w:rsidR="00C4454D" w:rsidRPr="008D01BC" w:rsidRDefault="00C4454D">
      <w:r w:rsidRPr="008D01BC">
        <w:endnoteRef/>
      </w:r>
      <w:r w:rsidRPr="008D01BC">
        <w:t xml:space="preserve"> Prepared by Bruce Thomson, Consultant in the Trade and Competitiveness Global Practice of the World Bank</w:t>
      </w:r>
    </w:p>
  </w:endnote>
  <w:endnote w:id="11">
    <w:p w14:paraId="4284B715" w14:textId="77777777" w:rsidR="00C4454D" w:rsidRPr="008D01BC" w:rsidRDefault="00C4454D">
      <w:r w:rsidRPr="008D01BC">
        <w:endnoteRef/>
      </w:r>
      <w:r w:rsidRPr="008D01BC">
        <w:t xml:space="preserve"> South Sudan became independent in July 2011, so the unavailability of this data is to be expected.</w:t>
      </w:r>
    </w:p>
    <w:p w14:paraId="4F584170" w14:textId="77777777" w:rsidR="00C4454D" w:rsidRPr="00C4454D" w:rsidRDefault="00C4454D">
      <w:pPr>
        <w:rPr>
          <w:rFonts w:asciiTheme="majorHAnsi" w:hAnsiTheme="majorHAnsi"/>
        </w:rPr>
      </w:pPr>
    </w:p>
  </w:endnote>
  <w:endnote w:id="12">
    <w:p w14:paraId="07D34E24" w14:textId="0081F6EB" w:rsidR="00C4454D" w:rsidRPr="008D01BC" w:rsidRDefault="00C4454D">
      <w:r w:rsidRPr="008D01BC">
        <w:endnoteRef/>
      </w:r>
      <w:r w:rsidR="008D01BC">
        <w:t xml:space="preserve"> </w:t>
      </w:r>
      <w:r w:rsidRPr="008D01BC">
        <w:t>For this analysis Minerals are considered ores and metals (SITC 27, 28, 68) and mineral fuels (SITC 3); agriculture items are SITC 0, 22 and 4; and manufactured goods are SITC 5, 6, 7 and 8 (excluding SITC 667 and 68).</w:t>
      </w:r>
    </w:p>
  </w:endnote>
  <w:endnote w:id="13">
    <w:p w14:paraId="5069767F" w14:textId="77777777" w:rsidR="00C4454D" w:rsidRPr="00C4454D" w:rsidRDefault="00C4454D">
      <w:r w:rsidRPr="00C4454D">
        <w:endnoteRef/>
      </w:r>
      <w:r w:rsidRPr="00C4454D">
        <w:t xml:space="preserve"> Robin Carruthers, Consultant, Trade and Competitiveness Global Practice, World Bank Group</w:t>
      </w:r>
    </w:p>
  </w:endnote>
  <w:endnote w:id="14">
    <w:p w14:paraId="78F3C18C" w14:textId="77777777" w:rsidR="00C4454D" w:rsidRPr="00C4454D" w:rsidRDefault="00C4454D">
      <w:r w:rsidRPr="00C4454D">
        <w:endnoteRef/>
      </w:r>
      <w:r w:rsidRPr="00C4454D">
        <w:t xml:space="preserve"> Although it has been in existence since 2005 it is only in the last year that the Central Corridor Transit Transport Facilitation Agency has begun to produce some results. However, as yet there are no monitoring indicators for this corridor.</w:t>
      </w:r>
    </w:p>
  </w:endnote>
  <w:endnote w:id="15">
    <w:p w14:paraId="3A5508C7" w14:textId="3B993B3A" w:rsidR="00C4454D" w:rsidRPr="00C4454D" w:rsidRDefault="00C4454D" w:rsidP="00C4454D">
      <w:r w:rsidRPr="00C4454D">
        <w:endnoteRef/>
      </w:r>
      <w:r w:rsidR="008D01BC">
        <w:t xml:space="preserve"> </w:t>
      </w:r>
      <w:r w:rsidRPr="00C4454D">
        <w:t xml:space="preserve">Others include: Analytical Comparative Transport Cost Study Along the Northern Corridor Region, </w:t>
      </w:r>
      <w:hyperlink r:id="rId1" w:history="1">
        <w:r w:rsidRPr="00C4454D">
          <w:t>http://www.competeafrica.org/Files/Analytical_Comparative_Transport_Cost_Study_on_the_Northern_Corridor_(1).pdf</w:t>
        </w:r>
      </w:hyperlink>
    </w:p>
    <w:p w14:paraId="6B3E89F0" w14:textId="77777777" w:rsidR="00C4454D" w:rsidRPr="00C4454D" w:rsidRDefault="00C4454D" w:rsidP="00C4454D">
      <w:r w:rsidRPr="00C4454D">
        <w:t>West Africa Transport Logistics Analysis Using FastPath: Tema–Ouagadougou Corridor Final Report</w:t>
      </w:r>
      <w:hyperlink r:id="rId2" w:history="1">
        <w:r w:rsidRPr="00C4454D">
          <w:t>http://egateg.usaid.gov/sites/default/files/West%20Africa%20FastPath%20Analysis%20-%20Tema%20Ouagadougou.pdf</w:t>
        </w:r>
      </w:hyperlink>
    </w:p>
    <w:p w14:paraId="593EBF9C" w14:textId="77777777" w:rsidR="00C4454D" w:rsidRPr="00C4454D" w:rsidRDefault="00C4454D" w:rsidP="00C4454D"/>
  </w:endnote>
  <w:endnote w:id="16">
    <w:p w14:paraId="1D436B0B" w14:textId="13D80F05" w:rsidR="00C4454D" w:rsidRPr="00C4454D" w:rsidRDefault="00C4454D">
      <w:r w:rsidRPr="00C4454D">
        <w:endnoteRef/>
      </w:r>
      <w:r w:rsidRPr="00C4454D">
        <w:t xml:space="preserve"> Logistics Cost Study of Transport Corridors in Central and West Africa, Final Report, Nathan and Associates for World Bank (2013).</w:t>
      </w:r>
    </w:p>
  </w:endnote>
  <w:endnote w:id="17">
    <w:p w14:paraId="5749B496" w14:textId="77777777" w:rsidR="00C4454D" w:rsidRPr="00C4454D" w:rsidRDefault="00C4454D">
      <w:r w:rsidRPr="00C4454D">
        <w:endnoteRef/>
      </w:r>
      <w:r w:rsidRPr="00C4454D">
        <w:t xml:space="preserve"> The products were not the same for all corridors and were selected to be representative of the products that make up a majority of those transported through the corridor. This representation was not designed to be statistically significant. </w:t>
      </w:r>
    </w:p>
  </w:endnote>
  <w:endnote w:id="18">
    <w:p w14:paraId="41A1D46E" w14:textId="77777777" w:rsidR="00C4454D" w:rsidRPr="00C4454D" w:rsidRDefault="00C4454D">
      <w:r w:rsidRPr="00C4454D">
        <w:endnoteRef/>
      </w:r>
      <w:r w:rsidRPr="00C4454D">
        <w:t xml:space="preserve"> Prepared by Nora Dihel, Trade and Competitiveness Global Practice, World Bank Group.</w:t>
      </w:r>
    </w:p>
  </w:endnote>
  <w:endnote w:id="19">
    <w:p w14:paraId="785F560D" w14:textId="77777777" w:rsidR="00C4454D" w:rsidRPr="00C4454D" w:rsidRDefault="00C4454D" w:rsidP="00C4454D">
      <w:r w:rsidRPr="00C4454D">
        <w:endnoteRef/>
      </w:r>
      <w:r w:rsidRPr="00C4454D">
        <w:t>Information was collected in April and May 2014. Sampling was done in the capitals of the countries only, where most providers have their branches and offices.</w:t>
      </w:r>
    </w:p>
  </w:endnote>
  <w:endnote w:id="20">
    <w:p w14:paraId="7C75259C" w14:textId="77777777" w:rsidR="00C4454D" w:rsidRPr="00C4454D" w:rsidRDefault="00C4454D">
      <w:r w:rsidRPr="00C4454D">
        <w:endnoteRef/>
      </w:r>
      <w:r w:rsidRPr="00C4454D">
        <w:t xml:space="preserve"> Based on follow up seminar undertaken by RSA with interviewed firms. </w:t>
      </w:r>
    </w:p>
  </w:endnote>
  <w:endnote w:id="21">
    <w:p w14:paraId="3530B94C" w14:textId="10581DBC" w:rsidR="00C4454D" w:rsidRPr="00C4454D" w:rsidRDefault="00C4454D">
      <w:r w:rsidRPr="00C4454D">
        <w:endnoteRef/>
      </w:r>
      <w:r w:rsidRPr="00C4454D">
        <w:t xml:space="preserve"> This note was prepared by Mario Guttierez-Rocha, consultant, World Bank.</w:t>
      </w:r>
    </w:p>
  </w:endnote>
  <w:endnote w:id="22">
    <w:p w14:paraId="29417A8B" w14:textId="1F796B3F" w:rsidR="00C4454D" w:rsidRPr="00C4454D" w:rsidRDefault="00C4454D">
      <w:r w:rsidRPr="00C4454D">
        <w:endnoteRef/>
      </w:r>
      <w:r w:rsidRPr="00C4454D">
        <w:t xml:space="preserve"> ICT facts and figures: </w:t>
      </w:r>
      <w:hyperlink r:id="rId3" w:history="1">
        <w:r w:rsidRPr="00C4454D">
          <w:t>http://www.itu.int/en/ITU-D/Statistics/Documents/facts/ICTFactsFigures2013-e.pdf</w:t>
        </w:r>
      </w:hyperlink>
      <w:r w:rsidRPr="00C4454D">
        <w:t>.</w:t>
      </w:r>
    </w:p>
  </w:endnote>
  <w:endnote w:id="23">
    <w:p w14:paraId="5006E97B" w14:textId="10142156" w:rsidR="00C4454D" w:rsidRPr="00C4454D" w:rsidRDefault="00C4454D" w:rsidP="00C4454D">
      <w:r w:rsidRPr="00C4454D">
        <w:endnoteRef/>
      </w:r>
      <w:r w:rsidRPr="00C4454D">
        <w:t xml:space="preserve"> The transformational use of information and communication technology in Africa:  http://siteresources.worldbank.org/EXTINFORMATIONANDCOMMUNICATIONANDTECHNOLOGIES/Resources/282822-1346223280837/MainReport.pdf. </w:t>
      </w:r>
    </w:p>
  </w:endnote>
  <w:endnote w:id="24">
    <w:p w14:paraId="3437FC5C" w14:textId="455352CA" w:rsidR="00C4454D" w:rsidRPr="00C4454D" w:rsidRDefault="00C4454D">
      <w:r w:rsidRPr="00C4454D">
        <w:endnoteRef/>
      </w:r>
      <w:r w:rsidRPr="00C4454D">
        <w:t xml:space="preserve"> Text to Change</w:t>
      </w:r>
      <w:r w:rsidRPr="00C4454D">
        <w:rPr>
          <w:color w:val="3F3F40"/>
          <w:shd w:val="clear" w:color="auto" w:fill="FFFFFF"/>
        </w:rPr>
        <w:t xml:space="preserve"> is a survey service provider that develops customized mobile phone-based solutions to enable international organization like the World Bank to interact with people in emerging countries. These mobile phone-based platforms and surveys are scalable, cost-effective, easy-to-use and guarantee the measurability of results.</w:t>
      </w:r>
    </w:p>
  </w:endnote>
  <w:endnote w:id="25">
    <w:p w14:paraId="62D925BE" w14:textId="77777777" w:rsidR="00C4454D" w:rsidRPr="00C4454D" w:rsidRDefault="00C4454D">
      <w:r w:rsidRPr="00C4454D">
        <w:endnoteRef/>
      </w:r>
      <w:r w:rsidRPr="00C4454D">
        <w:t xml:space="preserve"> Outliers were observations that were part of the bottom 10 and top 90 percentiles. </w:t>
      </w:r>
    </w:p>
  </w:endnote>
  <w:endnote w:id="26">
    <w:p w14:paraId="3F89DF70" w14:textId="77777777" w:rsidR="00C4454D" w:rsidRPr="00C4454D" w:rsidRDefault="00C4454D">
      <w:r w:rsidRPr="00C4454D">
        <w:endnoteRef/>
      </w:r>
      <w:r w:rsidRPr="00C4454D">
        <w:t xml:space="preserve"> Results from the FAO/GIEWS correspond to the average value for the months of February, March and April of 2014. This period coincides with the months where field data was collected using our SMS survey.</w:t>
      </w:r>
    </w:p>
  </w:endnote>
  <w:endnote w:id="27">
    <w:p w14:paraId="274D975E" w14:textId="77777777" w:rsidR="00C4454D" w:rsidRPr="00C4454D" w:rsidRDefault="00C4454D" w:rsidP="00C4454D">
      <w:r w:rsidRPr="00C4454D">
        <w:endnoteRef/>
      </w:r>
      <w:r w:rsidRPr="00C4454D">
        <w:t xml:space="preserve"> IFDC Africa fertilizer situation, December 2011.</w:t>
      </w:r>
    </w:p>
  </w:endnote>
  <w:endnote w:id="28">
    <w:p w14:paraId="66B4B628" w14:textId="77777777" w:rsidR="00C4454D" w:rsidRPr="00C4454D" w:rsidRDefault="00C4454D" w:rsidP="00C4454D">
      <w:r w:rsidRPr="00C4454D">
        <w:endnoteRef/>
      </w:r>
      <w:r w:rsidRPr="00C4454D">
        <w:t xml:space="preserve"> The Fertilizer market Development in Sub-Saharan Africa Report, 2013.</w:t>
      </w:r>
    </w:p>
  </w:endnote>
  <w:endnote w:id="29">
    <w:p w14:paraId="3DBD0189" w14:textId="77777777" w:rsidR="00C4454D" w:rsidRPr="00C4454D" w:rsidRDefault="00C4454D">
      <w:r w:rsidRPr="00C4454D">
        <w:endnoteRef/>
      </w:r>
      <w:r w:rsidRPr="00C4454D">
        <w:t xml:space="preserve"> Prices in Cameroon and Mali were not included in the analysis given their extreme values. </w:t>
      </w:r>
    </w:p>
  </w:endnote>
  <w:endnote w:id="30">
    <w:p w14:paraId="16F0B8EB" w14:textId="79534513" w:rsidR="00C4454D" w:rsidRPr="00C4454D" w:rsidRDefault="00C4454D" w:rsidP="00C4454D">
      <w:pPr>
        <w:jc w:val="both"/>
      </w:pPr>
      <w:r w:rsidRPr="00C4454D">
        <w:endnoteRef/>
      </w:r>
      <w:r>
        <w:t xml:space="preserve"> </w:t>
      </w:r>
      <w:r w:rsidRPr="00C4454D">
        <w:t>The definition of services trade under the General Agreement on Trade in Services is four-pronged, depending on the territorial presence of the supplier and the consumer at the time of the transaction. Pursuant to Article I:2, the GATS covered services can take four modes: (i) Cross border trade (i.e. from the territory of one Member into the territory of any other Member); (ii) Consumption abroad (i.e. in the territory of one Member to the service consumer of any other Member); (iii) Commercial presence (i.e. by a service supplier of one Member, through commercial presence, in the territory of any other Member); or (iv) Presence of natural persons (i.e. by a service supplier of one Member, through the presence of natural persons of a Member in the territory of any other Member) (WTO Website).</w:t>
      </w:r>
    </w:p>
    <w:p w14:paraId="6856A502" w14:textId="77777777" w:rsidR="00C4454D" w:rsidRDefault="00C4454D" w:rsidP="00C4454D">
      <w:pPr>
        <w:jc w:val="both"/>
      </w:pPr>
    </w:p>
    <w:p w14:paraId="5F053E60" w14:textId="77777777" w:rsidR="00C4454D" w:rsidRDefault="00C4454D" w:rsidP="00C4454D">
      <w:pPr>
        <w:jc w:val="both"/>
      </w:pPr>
    </w:p>
    <w:p w14:paraId="6736E45B" w14:textId="77777777" w:rsidR="00C4454D" w:rsidRDefault="00C4454D" w:rsidP="00C4454D">
      <w:pPr>
        <w:jc w:val="both"/>
      </w:pPr>
    </w:p>
    <w:p w14:paraId="2187F54E" w14:textId="77777777" w:rsidR="00C4454D" w:rsidRDefault="00C4454D" w:rsidP="00C4454D"/>
    <w:p w14:paraId="77DA7C43" w14:textId="77777777" w:rsidR="00C4454D" w:rsidRDefault="00C4454D" w:rsidP="00C4454D"/>
    <w:p w14:paraId="13DE08C2" w14:textId="77777777" w:rsidR="00C4454D" w:rsidRDefault="00C4454D" w:rsidP="00C4454D"/>
    <w:p w14:paraId="4802BC0A" w14:textId="77777777" w:rsidR="00C4454D" w:rsidRDefault="00C4454D" w:rsidP="00C4454D"/>
    <w:p w14:paraId="2BF4A300" w14:textId="77777777" w:rsidR="00C4454D" w:rsidRDefault="00C4454D" w:rsidP="00C4454D"/>
    <w:p w14:paraId="10BA0DC3" w14:textId="77777777" w:rsidR="008D01BC" w:rsidRDefault="008D01BC" w:rsidP="00C4454D"/>
    <w:p w14:paraId="4CAEAC0F" w14:textId="77777777" w:rsidR="008D01BC" w:rsidRDefault="008D01BC" w:rsidP="00C4454D"/>
    <w:p w14:paraId="640B9A75" w14:textId="77777777" w:rsidR="008D01BC" w:rsidRDefault="008D01BC" w:rsidP="00C4454D"/>
    <w:p w14:paraId="2C3160A2" w14:textId="77777777" w:rsidR="008D01BC" w:rsidRDefault="008D01BC" w:rsidP="00C4454D"/>
    <w:p w14:paraId="7D54F06D" w14:textId="77777777" w:rsidR="008D01BC" w:rsidRDefault="008D01BC" w:rsidP="00C4454D"/>
    <w:p w14:paraId="0F03A31B" w14:textId="3A178B53" w:rsidR="008D01BC" w:rsidRPr="00A735B4" w:rsidRDefault="008D01BC" w:rsidP="008D01BC">
      <w:pPr>
        <w:rPr>
          <w:rFonts w:asciiTheme="majorHAnsi" w:hAnsiTheme="majorHAnsi"/>
          <w:b/>
          <w:color w:val="4F81BD" w:themeColor="accent1"/>
          <w:sz w:val="28"/>
          <w:szCs w:val="28"/>
        </w:rPr>
      </w:pPr>
      <w:r>
        <w:rPr>
          <w:rFonts w:asciiTheme="majorHAnsi" w:hAnsiTheme="majorHAnsi"/>
          <w:b/>
          <w:color w:val="4F81BD" w:themeColor="accent1"/>
          <w:sz w:val="28"/>
          <w:szCs w:val="28"/>
        </w:rPr>
        <w:t>References</w:t>
      </w:r>
    </w:p>
    <w:p w14:paraId="358D2782" w14:textId="4F58B8A3" w:rsidR="00C4454D" w:rsidRPr="001958DC" w:rsidRDefault="00C4454D" w:rsidP="00C4454D"/>
    <w:p w14:paraId="1A841AF3" w14:textId="77777777" w:rsidR="00C4454D" w:rsidRPr="001958DC" w:rsidRDefault="00C4454D" w:rsidP="00C4454D">
      <w:pPr>
        <w:spacing w:after="240"/>
        <w:ind w:left="720" w:hanging="720"/>
      </w:pPr>
      <w:r w:rsidRPr="001958DC">
        <w:t xml:space="preserve">Andean Community. 2013. Dimensión Económico Comercial de la Comunidad Andina, Lima. </w:t>
      </w:r>
    </w:p>
    <w:p w14:paraId="590A95D3" w14:textId="77777777" w:rsidR="00C4454D" w:rsidRPr="001958DC" w:rsidRDefault="00C4454D" w:rsidP="00C4454D">
      <w:pPr>
        <w:spacing w:after="240"/>
        <w:ind w:left="720" w:hanging="720"/>
      </w:pPr>
      <w:r w:rsidRPr="001958DC">
        <w:t xml:space="preserve">Anderson, James E., and Eric van Wincoop. 2004. “Trade Costs.” </w:t>
      </w:r>
      <w:r w:rsidRPr="007A6C8A">
        <w:rPr>
          <w:i/>
        </w:rPr>
        <w:t>Journal of Economic Literature</w:t>
      </w:r>
      <w:r w:rsidRPr="001958DC">
        <w:t xml:space="preserve"> 42 (3): 691–751.</w:t>
      </w:r>
    </w:p>
    <w:p w14:paraId="06229D51" w14:textId="77777777" w:rsidR="00C4454D" w:rsidRPr="001958DC" w:rsidRDefault="00C4454D" w:rsidP="00C4454D">
      <w:pPr>
        <w:spacing w:after="240"/>
        <w:ind w:left="720" w:hanging="720"/>
      </w:pPr>
      <w:r w:rsidRPr="001958DC">
        <w:t xml:space="preserve">Antràs, Pol, Davin Chor, Thibault Fally, and Russell Hillberry. 2012. “Measuring the Upstreamness of Production and Trade Flows.” </w:t>
      </w:r>
      <w:r w:rsidRPr="007A6C8A">
        <w:rPr>
          <w:i/>
        </w:rPr>
        <w:t>American Economic Review Papers and Proceedings</w:t>
      </w:r>
      <w:r w:rsidRPr="001958DC">
        <w:t xml:space="preserve"> 102 (3): 412–16.</w:t>
      </w:r>
    </w:p>
    <w:p w14:paraId="78F9E1D9" w14:textId="77777777" w:rsidR="00C4454D" w:rsidRPr="001958DC" w:rsidRDefault="00C4454D" w:rsidP="00C4454D">
      <w:pPr>
        <w:spacing w:after="240"/>
        <w:ind w:left="720" w:hanging="720"/>
      </w:pPr>
      <w:r w:rsidRPr="001958DC">
        <w:t xml:space="preserve">Archaya, R., J. Crawford, M. Mariszewska, and C. Renard. 2011. “Landscape.” In </w:t>
      </w:r>
      <w:r w:rsidRPr="001958DC">
        <w:rPr>
          <w:i/>
        </w:rPr>
        <w:t>Preferential Trade Agreement Policies for Development: A Handbook</w:t>
      </w:r>
      <w:r w:rsidRPr="001958DC">
        <w:t>, edited by J. P. Chauffour and J. C. Maur, 37–68. Washington, DC: World Bank.</w:t>
      </w:r>
    </w:p>
    <w:p w14:paraId="255A2F3B" w14:textId="77777777" w:rsidR="00C4454D" w:rsidRPr="007A6C8A" w:rsidRDefault="00C4454D" w:rsidP="00C4454D">
      <w:pPr>
        <w:spacing w:after="240"/>
        <w:ind w:left="720" w:hanging="720"/>
        <w:rPr>
          <w:b/>
        </w:rPr>
      </w:pPr>
      <w:r w:rsidRPr="009E5B20">
        <w:t>Arvis, Jean-François, Gael Raballand</w:t>
      </w:r>
      <w:r>
        <w:t>,</w:t>
      </w:r>
      <w:r w:rsidRPr="009E5B20">
        <w:t xml:space="preserve"> and Jean-François Marteau, 2007 “The Cost of Being Landlocked, Logistics Costs and Supply Chain Reliability.” Policy Research Working Paper 4</w:t>
      </w:r>
      <w:r>
        <w:t>258. World Bank, Washington, DC.</w:t>
      </w:r>
    </w:p>
    <w:p w14:paraId="0FD2A568" w14:textId="77777777" w:rsidR="00C4454D" w:rsidRPr="001958DC" w:rsidRDefault="00C4454D" w:rsidP="00C4454D">
      <w:pPr>
        <w:spacing w:after="240"/>
        <w:ind w:left="720" w:hanging="720"/>
      </w:pPr>
      <w:r w:rsidRPr="001958DC">
        <w:t xml:space="preserve">ASEAN (Association of Southeast Asian Nations) and World Bank. 2013. </w:t>
      </w:r>
      <w:r w:rsidRPr="007A6C8A">
        <w:rPr>
          <w:i/>
        </w:rPr>
        <w:t>ASEAN Integration Monitoring Report</w:t>
      </w:r>
      <w:r w:rsidRPr="001958DC">
        <w:t xml:space="preserve"> Jakarta and Washington, DC.</w:t>
      </w:r>
    </w:p>
    <w:p w14:paraId="1F203863" w14:textId="77777777" w:rsidR="00C4454D" w:rsidRPr="001958DC" w:rsidRDefault="00C4454D" w:rsidP="00C4454D">
      <w:pPr>
        <w:spacing w:after="240"/>
        <w:ind w:left="720" w:hanging="720"/>
        <w:rPr>
          <w:rFonts w:eastAsia="Times New Roman"/>
        </w:rPr>
      </w:pPr>
      <w:r w:rsidRPr="001958DC">
        <w:t xml:space="preserve">Borderless Alliance. 2013. </w:t>
      </w:r>
      <w:r w:rsidRPr="007A6C8A">
        <w:rPr>
          <w:i/>
        </w:rPr>
        <w:t>24th</w:t>
      </w:r>
      <w:r w:rsidRPr="007A6C8A">
        <w:rPr>
          <w:rFonts w:eastAsia="Times New Roman"/>
          <w:i/>
        </w:rPr>
        <w:t xml:space="preserve"> USAID-UEMOA Road Governance Report</w:t>
      </w:r>
      <w:r w:rsidRPr="001958DC">
        <w:rPr>
          <w:rFonts w:eastAsia="Times New Roman"/>
        </w:rPr>
        <w:t>. Accra.</w:t>
      </w:r>
    </w:p>
    <w:p w14:paraId="321FEAE2" w14:textId="77777777" w:rsidR="00C4454D" w:rsidRPr="001958DC" w:rsidRDefault="00C4454D" w:rsidP="00C4454D">
      <w:pPr>
        <w:spacing w:after="240"/>
        <w:ind w:left="720" w:hanging="720"/>
      </w:pPr>
      <w:r w:rsidRPr="001958DC">
        <w:t xml:space="preserve">Brenton, Paul, and Gözde Isik, eds. 2012a. </w:t>
      </w:r>
      <w:r w:rsidRPr="007A6C8A">
        <w:rPr>
          <w:i/>
        </w:rPr>
        <w:t>De-Fragmenting Africa: Deepening Regional Trade Integration in Goods and Services</w:t>
      </w:r>
      <w:r w:rsidRPr="001958DC">
        <w:t>. Washington, DC: World Bank.</w:t>
      </w:r>
    </w:p>
    <w:p w14:paraId="0D82AD6E" w14:textId="77777777" w:rsidR="00C4454D" w:rsidRPr="001958DC" w:rsidRDefault="00C4454D" w:rsidP="00C4454D">
      <w:pPr>
        <w:spacing w:after="240"/>
        <w:ind w:left="720" w:hanging="720"/>
      </w:pPr>
      <w:r w:rsidRPr="001958DC">
        <w:t xml:space="preserve">———. 2012b. “Introduction.” In  </w:t>
      </w:r>
      <w:r w:rsidRPr="001958DC">
        <w:rPr>
          <w:i/>
        </w:rPr>
        <w:t>De-fragmenting Africa: Deepening Regional Trade Integration in Goods and Services</w:t>
      </w:r>
      <w:r w:rsidRPr="001958DC">
        <w:t>, edited by P. Brenton and G. Isik, 1–22. Washington, DC: World Bank.</w:t>
      </w:r>
    </w:p>
    <w:p w14:paraId="694419D1" w14:textId="2FABED14" w:rsidR="00C4454D" w:rsidRPr="001958DC" w:rsidRDefault="00C4454D" w:rsidP="00C4454D">
      <w:pPr>
        <w:spacing w:after="240"/>
        <w:ind w:left="720" w:hanging="720"/>
      </w:pPr>
      <w:r w:rsidRPr="001958DC">
        <w:t>Cebeci, Tolga, Ana M. Fernandes, Caroline Freund, and Martha Denisse Pierola. 2012. “Exporter Dynamics Database.”</w:t>
      </w:r>
      <w:r>
        <w:t xml:space="preserve"> </w:t>
      </w:r>
      <w:r w:rsidRPr="007A6C8A">
        <w:t>Policy Research Working Paper</w:t>
      </w:r>
      <w:r w:rsidRPr="001958DC">
        <w:t xml:space="preserve"> 6229. World Bank, Washington, DC.</w:t>
      </w:r>
    </w:p>
    <w:p w14:paraId="749F645A" w14:textId="77777777" w:rsidR="00C4454D" w:rsidRPr="001958DC" w:rsidRDefault="00C4454D" w:rsidP="00C4454D">
      <w:pPr>
        <w:spacing w:after="240"/>
        <w:ind w:left="720" w:hanging="720"/>
      </w:pPr>
      <w:r w:rsidRPr="007A6C8A">
        <w:rPr>
          <w:lang w:val="fr-FR"/>
        </w:rPr>
        <w:t xml:space="preserve">CILSS (Comité Permanente Inter-Etats de Lutte Contre La Sécheresse dans le Sahel). </w:t>
      </w:r>
      <w:r w:rsidRPr="001958DC">
        <w:t>2014. "Road Harassment, Obstacles and Barriers to Regional Trade in Agricultural Products in West Africa.” Ouagadougou.</w:t>
      </w:r>
    </w:p>
    <w:p w14:paraId="21D9D373" w14:textId="77777777" w:rsidR="00C4454D" w:rsidRPr="001958DC" w:rsidRDefault="00C4454D" w:rsidP="00C4454D">
      <w:pPr>
        <w:spacing w:after="240"/>
        <w:ind w:left="720" w:hanging="720"/>
      </w:pPr>
      <w:r w:rsidRPr="001958DC">
        <w:t>COMESA (Common Market for Eastern and Southern Africa). 2002. “Surveillance as a Means to Measure the Degree to Which Integration Is Taking Place in the COMESA Region.” Discussion Paper. COMESA Secretariat, Lusaka.</w:t>
      </w:r>
    </w:p>
    <w:p w14:paraId="3C9194E8" w14:textId="77777777" w:rsidR="00C4454D" w:rsidRPr="001958DC" w:rsidRDefault="00C4454D" w:rsidP="00C4454D">
      <w:pPr>
        <w:spacing w:after="240"/>
        <w:ind w:left="720" w:hanging="720"/>
      </w:pPr>
      <w:r w:rsidRPr="001958DC">
        <w:t>———. 2011. “Medium Term Strategic Plan: Towards an Integrated and Competitive Common Market, 2011–2015.” Lusaka.</w:t>
      </w:r>
    </w:p>
    <w:p w14:paraId="380A4F9D" w14:textId="77777777" w:rsidR="00C4454D" w:rsidRPr="001958DC" w:rsidRDefault="00C4454D" w:rsidP="00C4454D">
      <w:pPr>
        <w:spacing w:after="240"/>
        <w:ind w:left="720" w:hanging="720"/>
      </w:pPr>
      <w:r w:rsidRPr="001958DC">
        <w:t>———. 2012. “Performance Assessment Framework.” Lusaka.</w:t>
      </w:r>
    </w:p>
    <w:p w14:paraId="7E9D10E0" w14:textId="77777777" w:rsidR="00C4454D" w:rsidRPr="001958DC" w:rsidRDefault="00C4454D" w:rsidP="00C4454D">
      <w:pPr>
        <w:spacing w:after="240"/>
        <w:ind w:left="720" w:hanging="720"/>
      </w:pPr>
      <w:r w:rsidRPr="001958DC">
        <w:t xml:space="preserve">De Lombaerde, Philippe, Giulia Pietrangeli, and Chatrini Weeratunge. 2008. “Systems of Indicators for Monitoring Regional Integration Processes: Where Do We Stand?” </w:t>
      </w:r>
      <w:r w:rsidRPr="007A6C8A">
        <w:rPr>
          <w:i/>
        </w:rPr>
        <w:t>Integrated Assessment Journal</w:t>
      </w:r>
      <w:r w:rsidRPr="001958DC">
        <w:t xml:space="preserve"> 8 (2): 39–67.</w:t>
      </w:r>
    </w:p>
    <w:p w14:paraId="6A9D4F38" w14:textId="77777777" w:rsidR="00C4454D" w:rsidRPr="001958DC" w:rsidRDefault="00C4454D" w:rsidP="00C4454D">
      <w:pPr>
        <w:spacing w:after="240"/>
        <w:ind w:left="720" w:hanging="720"/>
      </w:pPr>
      <w:r w:rsidRPr="001958DC">
        <w:t>De Lombaerde, Philippe, and Luk van Langenhove. 2005. “Indicators of Regional Integration: Conceptual and Methodological Issues.” IIIS Discussion Paper No. 64. Trinity College, Dublin.</w:t>
      </w:r>
    </w:p>
    <w:p w14:paraId="2FF4FC20" w14:textId="77777777" w:rsidR="00C4454D" w:rsidRPr="001958DC" w:rsidRDefault="00C4454D" w:rsidP="00C4454D">
      <w:pPr>
        <w:spacing w:after="240"/>
        <w:ind w:left="720" w:hanging="720"/>
      </w:pPr>
      <w:r w:rsidRPr="001958DC">
        <w:t xml:space="preserve">EAC (East African Community). 2011. </w:t>
      </w:r>
      <w:r w:rsidRPr="007A6C8A">
        <w:rPr>
          <w:i/>
        </w:rPr>
        <w:t>The 2011 East African Community Business Climate Index Survey</w:t>
      </w:r>
      <w:r w:rsidRPr="001958DC">
        <w:t>. Arusha.</w:t>
      </w:r>
    </w:p>
    <w:p w14:paraId="647916DD" w14:textId="77777777" w:rsidR="00C4454D" w:rsidRPr="001958DC" w:rsidRDefault="00C4454D" w:rsidP="00C4454D">
      <w:pPr>
        <w:spacing w:after="240"/>
        <w:ind w:left="720" w:hanging="720"/>
      </w:pPr>
      <w:r w:rsidRPr="001958DC">
        <w:t xml:space="preserve">———. 2012. </w:t>
      </w:r>
      <w:r w:rsidRPr="007A6C8A">
        <w:rPr>
          <w:i/>
        </w:rPr>
        <w:t>Status of Elimination of Non-Tariff Barriers in the East African Community</w:t>
      </w:r>
      <w:r w:rsidRPr="001958DC">
        <w:t>. Arusha.</w:t>
      </w:r>
    </w:p>
    <w:p w14:paraId="146F01D1" w14:textId="77777777" w:rsidR="00C4454D" w:rsidRPr="001958DC" w:rsidRDefault="00C4454D" w:rsidP="00C4454D">
      <w:pPr>
        <w:spacing w:after="240"/>
        <w:ind w:left="720" w:hanging="720"/>
      </w:pPr>
      <w:r w:rsidRPr="001958DC">
        <w:t xml:space="preserve">EBRD (European Bank for Reconstruction and Development). 2012. “Regional Trade Integration and Eurasian Customs Union.” In: </w:t>
      </w:r>
      <w:r w:rsidRPr="007A6C8A">
        <w:rPr>
          <w:i/>
        </w:rPr>
        <w:t>Transition Report 2012</w:t>
      </w:r>
      <w:r w:rsidRPr="001958DC">
        <w:t>, 64–79. London: EBRD.</w:t>
      </w:r>
    </w:p>
    <w:p w14:paraId="01A56720" w14:textId="77777777" w:rsidR="00C4454D" w:rsidRPr="001958DC" w:rsidRDefault="00C4454D" w:rsidP="00C4454D">
      <w:pPr>
        <w:spacing w:after="240"/>
        <w:ind w:left="720" w:hanging="720"/>
      </w:pPr>
      <w:r w:rsidRPr="001958DC">
        <w:t xml:space="preserve">Eurasian Development Bank. 2010. </w:t>
      </w:r>
      <w:r w:rsidRPr="007A6C8A">
        <w:rPr>
          <w:i/>
        </w:rPr>
        <w:t>The System of Indicators of Eurasian Integration</w:t>
      </w:r>
      <w:r w:rsidRPr="001958DC">
        <w:t>. Almaty.</w:t>
      </w:r>
    </w:p>
    <w:p w14:paraId="4171F2F1" w14:textId="77777777" w:rsidR="00C4454D" w:rsidRPr="001958DC" w:rsidRDefault="00C4454D" w:rsidP="00C4454D">
      <w:pPr>
        <w:spacing w:after="240"/>
        <w:ind w:left="720" w:hanging="720"/>
      </w:pPr>
      <w:r w:rsidRPr="001958DC">
        <w:t>Fally, Thibault. 2011. “On the Fragmentation of Production in the US.” Working Paper. University of Colorado-Boulder.</w:t>
      </w:r>
    </w:p>
    <w:p w14:paraId="4B81E9DC" w14:textId="77777777" w:rsidR="00C4454D" w:rsidRPr="001958DC" w:rsidRDefault="00C4454D" w:rsidP="00C4454D">
      <w:pPr>
        <w:spacing w:after="240"/>
        <w:ind w:left="720" w:hanging="720"/>
      </w:pPr>
      <w:r w:rsidRPr="001958DC">
        <w:t xml:space="preserve">Francois, Joseph, Miriam Manchin, and Patrick Tomberger. 2013. “Services Linkages and the Value Added Content of Trade.” </w:t>
      </w:r>
      <w:r w:rsidRPr="007A6C8A">
        <w:t>Policy Research Working Paper</w:t>
      </w:r>
      <w:r w:rsidRPr="001958DC">
        <w:t xml:space="preserve"> 6432. World Bank, Washington, DC.</w:t>
      </w:r>
    </w:p>
    <w:p w14:paraId="51F567D9" w14:textId="77777777" w:rsidR="00C4454D" w:rsidRPr="001958DC" w:rsidRDefault="00C4454D" w:rsidP="00C4454D">
      <w:pPr>
        <w:spacing w:after="240"/>
        <w:ind w:left="720" w:hanging="720"/>
      </w:pPr>
      <w:r w:rsidRPr="001958DC">
        <w:t>———. 2014. “Explanatory Note: Services Value Added Database.” Working Document. World Bank, Washington, DC.</w:t>
      </w:r>
    </w:p>
    <w:p w14:paraId="4E9DE23F" w14:textId="77777777" w:rsidR="00C4454D" w:rsidRPr="001958DC" w:rsidRDefault="00C4454D" w:rsidP="00C4454D">
      <w:pPr>
        <w:spacing w:after="240"/>
        <w:ind w:left="720" w:hanging="720"/>
      </w:pPr>
      <w:r w:rsidRPr="001958DC">
        <w:t xml:space="preserve">IDB (Inter-American Development Bank). 2012. </w:t>
      </w:r>
      <w:r w:rsidRPr="007A6C8A">
        <w:rPr>
          <w:i/>
        </w:rPr>
        <w:t>Trade and Integration Monitor 2012</w:t>
      </w:r>
      <w:r w:rsidRPr="001958DC">
        <w:t>. IDB, Washington, DC.</w:t>
      </w:r>
    </w:p>
    <w:p w14:paraId="19FD72BD" w14:textId="77777777" w:rsidR="00C4454D" w:rsidRPr="001958DC" w:rsidRDefault="00C4454D" w:rsidP="00C4454D">
      <w:pPr>
        <w:spacing w:after="240"/>
        <w:ind w:left="720" w:hanging="720"/>
      </w:pPr>
      <w:r w:rsidRPr="001958DC">
        <w:t xml:space="preserve">Koopman, R., W. Powers, Z. Wang, and S.-J. Wei. 2011. “Give Credit to Where Credit Is Due: Tracing Value Added in Global Production Chains.” </w:t>
      </w:r>
      <w:r w:rsidRPr="007A6C8A">
        <w:t>NBER Working Paper</w:t>
      </w:r>
      <w:r w:rsidRPr="001958DC">
        <w:t xml:space="preserve"> No. 16426. National Bureau of Economic Research, Cambridge, MA.</w:t>
      </w:r>
    </w:p>
    <w:p w14:paraId="2B278D0F" w14:textId="77777777" w:rsidR="00C4454D" w:rsidRPr="0012534A" w:rsidRDefault="00C4454D" w:rsidP="00C4454D">
      <w:pPr>
        <w:spacing w:after="240"/>
        <w:ind w:left="720" w:hanging="720"/>
      </w:pPr>
      <w:r>
        <w:t xml:space="preserve">McKenzie, David. 2011. “Beyond Baseline and Follow-up: The Case for More T in Experiments.” </w:t>
      </w:r>
      <w:r w:rsidRPr="00DC11BA">
        <w:t>Policy Research Worki</w:t>
      </w:r>
      <w:r>
        <w:t xml:space="preserve">ng Paper No. 5639. World Bank, Washington, DC. [forthcoming </w:t>
      </w:r>
      <w:r w:rsidRPr="0012534A">
        <w:rPr>
          <w:i/>
        </w:rPr>
        <w:t>Journal of Development Economics</w:t>
      </w:r>
      <w:r>
        <w:t>]</w:t>
      </w:r>
    </w:p>
    <w:p w14:paraId="275B4E78" w14:textId="77777777" w:rsidR="00C4454D" w:rsidRPr="001958DC" w:rsidRDefault="00C4454D" w:rsidP="00C4454D">
      <w:pPr>
        <w:spacing w:after="240"/>
        <w:ind w:left="720" w:hanging="720"/>
      </w:pPr>
      <w:r w:rsidRPr="001958DC">
        <w:rPr>
          <w:rFonts w:cstheme="minorHAnsi"/>
        </w:rPr>
        <w:t>OECD (Organisation for Economic Co-operation and Development), WTO (World Trade Organization), and UNCTAD (United Nations Conference on Trade and Development). 2013. “Implications of Global Value Chains for Trade, Investment, Development, and Jobs.” Report prepared for the G-20 Leaders Summit, St. Petersburg.</w:t>
      </w:r>
    </w:p>
    <w:p w14:paraId="74DE1926" w14:textId="77777777" w:rsidR="00C4454D" w:rsidRPr="001958DC" w:rsidRDefault="00C4454D" w:rsidP="00C4454D">
      <w:pPr>
        <w:spacing w:after="240"/>
        <w:ind w:left="720" w:hanging="720"/>
      </w:pPr>
      <w:r w:rsidRPr="001958DC">
        <w:t xml:space="preserve">Raballand, Gaël, Jean-François Marteau, Charles Kunaka, Jean-KizitoKabanguka, and Olivier Hartmann. 2008. “Lessons of Corridor Performance Measurement.” </w:t>
      </w:r>
      <w:r w:rsidRPr="007A6C8A">
        <w:t>Regional Integration and Transport Series Discussion Paper</w:t>
      </w:r>
      <w:r w:rsidRPr="001958DC">
        <w:t xml:space="preserve"> No. 7. World Bank, Washington, DC.</w:t>
      </w:r>
    </w:p>
    <w:p w14:paraId="0777B28E" w14:textId="77777777" w:rsidR="00C4454D" w:rsidRPr="00C4454D" w:rsidRDefault="00C4454D" w:rsidP="00C4454D">
      <w:pPr>
        <w:spacing w:after="240"/>
        <w:ind w:left="720" w:hanging="720"/>
        <w:rPr>
          <w:lang w:val="fr-FR"/>
        </w:rPr>
      </w:pPr>
      <w:r w:rsidRPr="001958DC">
        <w:t xml:space="preserve">SADC (Southern African Development Community). 2012. </w:t>
      </w:r>
      <w:r w:rsidRPr="007A6C8A">
        <w:rPr>
          <w:i/>
        </w:rPr>
        <w:t>Regional Strategy for Development of Statistics 2013–2018</w:t>
      </w:r>
      <w:r w:rsidRPr="001958DC">
        <w:t xml:space="preserve">. </w:t>
      </w:r>
      <w:r w:rsidRPr="00C4454D">
        <w:rPr>
          <w:lang w:val="fr-FR"/>
        </w:rPr>
        <w:t>Gaborone.</w:t>
      </w:r>
    </w:p>
    <w:p w14:paraId="1609ACB5" w14:textId="77777777" w:rsidR="00C4454D" w:rsidRPr="001958DC" w:rsidRDefault="00C4454D" w:rsidP="00C4454D">
      <w:pPr>
        <w:spacing w:after="240"/>
        <w:ind w:left="720" w:hanging="720"/>
      </w:pPr>
      <w:r w:rsidRPr="007A6C8A">
        <w:rPr>
          <w:lang w:val="fr-FR"/>
        </w:rPr>
        <w:t>UEMOA (Union Econo</w:t>
      </w:r>
      <w:r>
        <w:rPr>
          <w:lang w:val="fr-FR"/>
        </w:rPr>
        <w:t>Fertiliser</w:t>
      </w:r>
      <w:r w:rsidRPr="007A6C8A">
        <w:rPr>
          <w:lang w:val="fr-FR"/>
        </w:rPr>
        <w:t xml:space="preserve">mique et Monétaire Ouest Africaine). 2015. </w:t>
      </w:r>
      <w:r w:rsidRPr="007A6C8A">
        <w:rPr>
          <w:i/>
          <w:lang w:val="fr-FR"/>
        </w:rPr>
        <w:t>Rapport 2014 de la Surveillance Commerciale dans l’Espace UEMOA</w:t>
      </w:r>
      <w:r w:rsidRPr="007A6C8A">
        <w:rPr>
          <w:lang w:val="fr-FR"/>
        </w:rPr>
        <w:t xml:space="preserve">. </w:t>
      </w:r>
      <w:r w:rsidRPr="001958DC">
        <w:t>Ouagadougou.</w:t>
      </w:r>
    </w:p>
    <w:p w14:paraId="0C335B4C" w14:textId="77777777" w:rsidR="00C4454D" w:rsidRPr="001958DC" w:rsidRDefault="00C4454D" w:rsidP="00C4454D">
      <w:pPr>
        <w:spacing w:after="240"/>
        <w:ind w:left="720" w:hanging="720"/>
      </w:pPr>
      <w:r w:rsidRPr="001958DC">
        <w:t xml:space="preserve">UNCTAD (United Nations Conference on Trade and Development). 2013. </w:t>
      </w:r>
      <w:r w:rsidRPr="007A6C8A">
        <w:rPr>
          <w:i/>
        </w:rPr>
        <w:t>Classification of Non-Tariff Measures</w:t>
      </w:r>
      <w:r w:rsidRPr="001958DC">
        <w:t>, February 2012 Version. UNCTAD, Geneva.</w:t>
      </w:r>
    </w:p>
    <w:p w14:paraId="29422749" w14:textId="77777777" w:rsidR="00C4454D" w:rsidRPr="001958DC" w:rsidRDefault="00C4454D" w:rsidP="00C4454D">
      <w:pPr>
        <w:spacing w:after="240"/>
        <w:ind w:left="720" w:hanging="720"/>
      </w:pPr>
      <w:r>
        <w:t>UNECA</w:t>
      </w:r>
      <w:r w:rsidRPr="0012534A">
        <w:t xml:space="preserve"> </w:t>
      </w:r>
      <w:r>
        <w:t>(</w:t>
      </w:r>
      <w:r w:rsidRPr="001958DC">
        <w:t>United Nations Economic Commission for Africa</w:t>
      </w:r>
      <w:r>
        <w:t>)</w:t>
      </w:r>
      <w:r w:rsidRPr="001958DC">
        <w:t xml:space="preserve">. 2012. </w:t>
      </w:r>
      <w:r w:rsidRPr="007A6C8A">
        <w:rPr>
          <w:i/>
        </w:rPr>
        <w:t>Assessing Regional Integration in Africa: Towards an African Continental Free Trade Area</w:t>
      </w:r>
      <w:r w:rsidRPr="001958DC">
        <w:t>. UNECA, Addis-Ababa.</w:t>
      </w:r>
    </w:p>
    <w:p w14:paraId="69E9E998" w14:textId="77777777" w:rsidR="00C4454D" w:rsidRPr="001958DC" w:rsidRDefault="00C4454D" w:rsidP="00C4454D">
      <w:pPr>
        <w:spacing w:after="240"/>
        <w:ind w:left="720" w:hanging="720"/>
      </w:pPr>
      <w:r w:rsidRPr="001958DC">
        <w:t xml:space="preserve">WAEMU (West African Economic and Monetary Union). </w:t>
      </w:r>
      <w:r w:rsidRPr="007A6C8A">
        <w:rPr>
          <w:lang w:val="fr-FR"/>
        </w:rPr>
        <w:t xml:space="preserve">2010. </w:t>
      </w:r>
      <w:r w:rsidRPr="007A6C8A">
        <w:rPr>
          <w:i/>
          <w:lang w:val="fr-FR"/>
        </w:rPr>
        <w:t>Rapport sur la Mise en Oeuvre des Réformes Communautaires</w:t>
      </w:r>
      <w:r w:rsidRPr="007A6C8A">
        <w:rPr>
          <w:lang w:val="fr-FR"/>
        </w:rPr>
        <w:t xml:space="preserve">. </w:t>
      </w:r>
      <w:r w:rsidRPr="001958DC">
        <w:t>WAEMU, Ouagadougou.</w:t>
      </w:r>
    </w:p>
    <w:p w14:paraId="4DB35066" w14:textId="77777777" w:rsidR="00C4454D" w:rsidRDefault="00C4454D" w:rsidP="00C4454D">
      <w:pPr>
        <w:spacing w:after="240"/>
        <w:ind w:left="720" w:hanging="720"/>
        <w:rPr>
          <w:rFonts w:asciiTheme="majorHAnsi" w:hAnsiTheme="majorHAnsi"/>
          <w:sz w:val="20"/>
          <w:szCs w:val="20"/>
        </w:rPr>
      </w:pPr>
      <w:r w:rsidRPr="001958DC">
        <w:t>Walkenhorst, P. 2013. “Indicators to Monitor Regional Trade Integration in Africa.” Africa Trade Practice Working Paper Series Number 1. World Bank, Washington, DC</w:t>
      </w:r>
      <w:r w:rsidRPr="001958DC">
        <w:rPr>
          <w:rFonts w:asciiTheme="majorHAnsi" w:hAnsiTheme="majorHAnsi"/>
          <w:sz w:val="20"/>
          <w:szCs w:val="20"/>
        </w:rPr>
        <w:t>.</w:t>
      </w:r>
    </w:p>
    <w:p w14:paraId="102B4C81" w14:textId="77777777" w:rsidR="00C4454D" w:rsidRPr="001958DC" w:rsidRDefault="00C4454D" w:rsidP="00C4454D">
      <w:pPr>
        <w:spacing w:after="240"/>
        <w:ind w:left="720" w:hanging="720"/>
        <w:rPr>
          <w:rFonts w:asciiTheme="majorHAnsi" w:hAnsiTheme="majorHAnsi"/>
          <w:sz w:val="20"/>
          <w:szCs w:val="20"/>
        </w:rPr>
      </w:pPr>
    </w:p>
    <w:p w14:paraId="3FE35E16" w14:textId="77777777" w:rsidR="00C4454D" w:rsidRPr="009613D3" w:rsidRDefault="00C4454D" w:rsidP="00C4454D">
      <w:pPr>
        <w:jc w:val="both"/>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pitch w:val="variable"/>
    <w:sig w:usb0="E0002AFF" w:usb1="C0007843" w:usb2="00000009" w:usb3="00000000" w:csb0="000001FF" w:csb1="00000000"/>
  </w:font>
  <w:font w:name="ShowcardGothic">
    <w:altName w:val="Times New Roman"/>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Times New Roman Bold">
    <w:panose1 w:val="02020803070505020304"/>
    <w:charset w:val="00"/>
    <w:family w:val="roman"/>
    <w:notTrueType/>
    <w:pitch w:val="default"/>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62603945"/>
      <w:docPartObj>
        <w:docPartGallery w:val="Page Numbers (Bottom of Page)"/>
        <w:docPartUnique/>
      </w:docPartObj>
    </w:sdtPr>
    <w:sdtEndPr>
      <w:rPr>
        <w:color w:val="7F7F7F" w:themeColor="background1" w:themeShade="7F"/>
        <w:spacing w:val="60"/>
      </w:rPr>
    </w:sdtEndPr>
    <w:sdtContent>
      <w:p w14:paraId="13895A73" w14:textId="77777777" w:rsidR="00C4454D" w:rsidRDefault="00C4454D">
        <w:pPr>
          <w:pBdr>
            <w:top w:val="single" w:sz="4" w:space="1" w:color="D9D9D9" w:themeColor="background1" w:themeShade="D9"/>
          </w:pBdr>
          <w:jc w:val="right"/>
        </w:pPr>
        <w:r>
          <w:fldChar w:fldCharType="begin"/>
        </w:r>
        <w:r>
          <w:instrText xml:space="preserve"> PAGE   \* MERGEFORMAT </w:instrText>
        </w:r>
        <w:r>
          <w:fldChar w:fldCharType="separate"/>
        </w:r>
        <w:r w:rsidR="00BD55CF">
          <w:rPr>
            <w:noProof/>
          </w:rPr>
          <w:t>120</w:t>
        </w:r>
        <w:r>
          <w:rPr>
            <w:noProof/>
          </w:rPr>
          <w:fldChar w:fldCharType="end"/>
        </w:r>
        <w:r>
          <w:t xml:space="preserve"> | </w:t>
        </w:r>
        <w:r>
          <w:rPr>
            <w:color w:val="7F7F7F" w:themeColor="background1" w:themeShade="7F"/>
            <w:spacing w:val="60"/>
          </w:rPr>
          <w:t>Page</w:t>
        </w:r>
      </w:p>
    </w:sdtContent>
  </w:sdt>
  <w:p w14:paraId="175FA095" w14:textId="77777777" w:rsidR="00C4454D" w:rsidRDefault="00C4454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726033"/>
      <w:docPartObj>
        <w:docPartGallery w:val="Page Numbers (Bottom of Page)"/>
        <w:docPartUnique/>
      </w:docPartObj>
    </w:sdtPr>
    <w:sdtEndPr>
      <w:rPr>
        <w:color w:val="7F7F7F" w:themeColor="background1" w:themeShade="7F"/>
        <w:spacing w:val="60"/>
      </w:rPr>
    </w:sdtEndPr>
    <w:sdtContent>
      <w:p w14:paraId="25FB9435" w14:textId="77777777" w:rsidR="00C4454D" w:rsidRDefault="00C4454D">
        <w:pPr>
          <w:pBdr>
            <w:top w:val="single" w:sz="4" w:space="1" w:color="D9D9D9" w:themeColor="background1" w:themeShade="D9"/>
          </w:pBdr>
          <w:jc w:val="right"/>
        </w:pPr>
        <w:r>
          <w:fldChar w:fldCharType="begin"/>
        </w:r>
        <w:r>
          <w:instrText xml:space="preserve"> PAGE   \* MERGEFORMAT </w:instrText>
        </w:r>
        <w:r>
          <w:fldChar w:fldCharType="separate"/>
        </w:r>
        <w:r w:rsidR="00BD55CF">
          <w:rPr>
            <w:noProof/>
          </w:rPr>
          <w:t>121</w:t>
        </w:r>
        <w:r>
          <w:rPr>
            <w:noProof/>
          </w:rPr>
          <w:fldChar w:fldCharType="end"/>
        </w:r>
        <w:r>
          <w:t xml:space="preserve"> | </w:t>
        </w:r>
        <w:r>
          <w:rPr>
            <w:color w:val="7F7F7F" w:themeColor="background1" w:themeShade="7F"/>
            <w:spacing w:val="60"/>
          </w:rPr>
          <w:t>Page</w:t>
        </w:r>
      </w:p>
    </w:sdtContent>
  </w:sdt>
  <w:p w14:paraId="3F716D27" w14:textId="77777777" w:rsidR="00C4454D" w:rsidRDefault="00C4454D"/>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1587469"/>
      <w:docPartObj>
        <w:docPartGallery w:val="Page Numbers (Bottom of Page)"/>
        <w:docPartUnique/>
      </w:docPartObj>
    </w:sdtPr>
    <w:sdtEndPr>
      <w:rPr>
        <w:color w:val="7F7F7F" w:themeColor="background1" w:themeShade="7F"/>
        <w:spacing w:val="60"/>
      </w:rPr>
    </w:sdtEndPr>
    <w:sdtContent>
      <w:p w14:paraId="7DFC6CE4" w14:textId="77777777" w:rsidR="00C4454D" w:rsidRDefault="00C4454D">
        <w:pPr>
          <w:pBdr>
            <w:top w:val="single" w:sz="4" w:space="1" w:color="D9D9D9" w:themeColor="background1" w:themeShade="D9"/>
          </w:pBdr>
          <w:jc w:val="right"/>
        </w:pPr>
        <w:r>
          <w:fldChar w:fldCharType="begin"/>
        </w:r>
        <w:r>
          <w:instrText xml:space="preserve"> PAGE   \* MERGEFORMAT </w:instrText>
        </w:r>
        <w:r>
          <w:fldChar w:fldCharType="separate"/>
        </w:r>
        <w:r w:rsidR="00BD55CF">
          <w:rPr>
            <w:noProof/>
          </w:rPr>
          <w:t>165</w:t>
        </w:r>
        <w:r>
          <w:rPr>
            <w:noProof/>
          </w:rPr>
          <w:fldChar w:fldCharType="end"/>
        </w:r>
        <w:r>
          <w:t xml:space="preserve"> | </w:t>
        </w:r>
        <w:r>
          <w:rPr>
            <w:color w:val="7F7F7F" w:themeColor="background1" w:themeShade="7F"/>
            <w:spacing w:val="60"/>
          </w:rPr>
          <w:t>Page</w:t>
        </w:r>
      </w:p>
    </w:sdtContent>
  </w:sdt>
  <w:p w14:paraId="57EA580B" w14:textId="77777777" w:rsidR="00C4454D" w:rsidRDefault="00C4454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72B894" w14:textId="77777777" w:rsidR="00A96B07" w:rsidRDefault="00A96B07">
      <w:pPr>
        <w:spacing w:after="0" w:line="240" w:lineRule="auto"/>
      </w:pPr>
      <w:r>
        <w:separator/>
      </w:r>
    </w:p>
  </w:footnote>
  <w:footnote w:type="continuationSeparator" w:id="0">
    <w:p w14:paraId="3E5F1427" w14:textId="77777777" w:rsidR="00A96B07" w:rsidRDefault="00A96B0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2D92E0" w14:textId="77777777" w:rsidR="00C4454D" w:rsidRPr="00534CDC" w:rsidRDefault="00C4454D" w:rsidP="00C4454D">
    <w:pPr>
      <w:jc w:val="right"/>
      <w:rPr>
        <w:i/>
        <w:color w:val="C0504D" w:themeColor="accent2"/>
      </w:rPr>
    </w:pPr>
    <w:r w:rsidRPr="00534CDC">
      <w:rPr>
        <w:b/>
        <w:i/>
        <w:color w:val="C0504D" w:themeColor="accent2"/>
      </w:rPr>
      <w:t>Indicators to Monitor Deeper Regional Trade Integration in Africa</w:t>
    </w:r>
  </w:p>
  <w:p w14:paraId="7C687E80" w14:textId="77777777" w:rsidR="00C4454D" w:rsidRDefault="00C4454D">
    <w:r>
      <w:rPr>
        <w:noProof/>
      </w:rPr>
      <mc:AlternateContent>
        <mc:Choice Requires="wps">
          <w:drawing>
            <wp:anchor distT="0" distB="0" distL="114300" distR="114300" simplePos="0" relativeHeight="251673600" behindDoc="0" locked="0" layoutInCell="1" allowOverlap="1" wp14:anchorId="547F4018" wp14:editId="30CAB2A2">
              <wp:simplePos x="0" y="0"/>
              <wp:positionH relativeFrom="column">
                <wp:posOffset>-805180</wp:posOffset>
              </wp:positionH>
              <wp:positionV relativeFrom="paragraph">
                <wp:posOffset>492125</wp:posOffset>
              </wp:positionV>
              <wp:extent cx="2947670" cy="45085"/>
              <wp:effectExtent l="0" t="0" r="508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2947670" cy="45085"/>
                      </a:xfrm>
                      <a:prstGeom prst="rect">
                        <a:avLst/>
                      </a:prstGeom>
                      <a:solidFill>
                        <a:srgbClr val="FFFFFF"/>
                      </a:solidFill>
                      <a:ln w="9525">
                        <a:noFill/>
                        <a:miter lim="800000"/>
                        <a:headEnd/>
                        <a:tailEnd/>
                      </a:ln>
                    </wps:spPr>
                    <wps:txbx>
                      <w:txbxContent>
                        <w:p w14:paraId="78FE0AD2" w14:textId="77777777" w:rsidR="00C4454D" w:rsidRDefault="00C4454D" w:rsidP="00C4454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47F4018" id="_x0000_t202" coordsize="21600,21600" o:spt="202" path="m,l,21600r21600,l21600,xe">
              <v:stroke joinstyle="miter"/>
              <v:path gradientshapeok="t" o:connecttype="rect"/>
            </v:shapetype>
            <v:shape id="Text Box 2" o:spid="_x0000_s1030" type="#_x0000_t202" style="position:absolute;margin-left:-63.4pt;margin-top:38.75pt;width:232.1pt;height:3.55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" stroked="f">
              <v:textbox>
                <w:txbxContent>
                  <w:p w14:paraId="78FE0AD2" w14:textId="77777777" w:rsidR="00C4454D" w:rsidRDefault="00C4454D" w:rsidP="00C4454D"/>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20212B8"/>
    <w:multiLevelType w:val="multilevel"/>
    <w:tmpl w:val="C13A79F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454D"/>
    <w:rsid w:val="008D01BC"/>
    <w:rsid w:val="00A96B07"/>
    <w:rsid w:val="00BD55CF"/>
    <w:rsid w:val="00C4454D"/>
    <w:rsid w:val="00E7337E"/>
    <w:rsid w:val="00F226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docId w15:val="{9295D10E-874E-468E-91D2-BEF1972C15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D55C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D55C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chart" Target="charts/chart5.xml"/><Relationship Id="rId39" Type="http://schemas.openxmlformats.org/officeDocument/2006/relationships/footer" Target="footer1.xml"/><Relationship Id="rId21" Type="http://schemas.openxmlformats.org/officeDocument/2006/relationships/chart" Target="charts/chart1.xml"/><Relationship Id="rId34" Type="http://schemas.openxmlformats.org/officeDocument/2006/relationships/image" Target="media/image15.png"/><Relationship Id="rId42" Type="http://schemas.openxmlformats.org/officeDocument/2006/relationships/image" Target="media/image20.png"/><Relationship Id="rId47" Type="http://schemas.openxmlformats.org/officeDocument/2006/relationships/chart" Target="charts/chart15.xml"/><Relationship Id="rId50" Type="http://schemas.openxmlformats.org/officeDocument/2006/relationships/image" Target="media/image22.png"/><Relationship Id="rId55" Type="http://schemas.openxmlformats.org/officeDocument/2006/relationships/image" Target="media/image27.png"/><Relationship Id="rId63" Type="http://schemas.openxmlformats.org/officeDocument/2006/relationships/image" Target="media/image35.png"/><Relationship Id="rId68" Type="http://schemas.openxmlformats.org/officeDocument/2006/relationships/image" Target="media/image40.png"/><Relationship Id="rId76" Type="http://schemas.openxmlformats.org/officeDocument/2006/relationships/image" Target="media/image48.png"/><Relationship Id="rId84" Type="http://schemas.openxmlformats.org/officeDocument/2006/relationships/chart" Target="charts/chart18.xml"/><Relationship Id="rId7" Type="http://schemas.openxmlformats.org/officeDocument/2006/relationships/image" Target="media/image1.png"/><Relationship Id="rId71" Type="http://schemas.openxmlformats.org/officeDocument/2006/relationships/image" Target="media/image43.png"/><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chart" Target="charts/chart8.xml"/><Relationship Id="rId11" Type="http://schemas.openxmlformats.org/officeDocument/2006/relationships/package" Target="embeddings/Microsoft_PowerPoint_Slide2.sldx"/><Relationship Id="rId24" Type="http://schemas.openxmlformats.org/officeDocument/2006/relationships/chart" Target="charts/chart3.xml"/><Relationship Id="rId32" Type="http://schemas.openxmlformats.org/officeDocument/2006/relationships/chart" Target="charts/chart11.xml"/><Relationship Id="rId37" Type="http://schemas.openxmlformats.org/officeDocument/2006/relationships/image" Target="media/image18.emf"/><Relationship Id="rId40" Type="http://schemas.openxmlformats.org/officeDocument/2006/relationships/footer" Target="footer2.xml"/><Relationship Id="rId45" Type="http://schemas.openxmlformats.org/officeDocument/2006/relationships/chart" Target="charts/chart13.xml"/><Relationship Id="rId53" Type="http://schemas.openxmlformats.org/officeDocument/2006/relationships/image" Target="media/image25.png"/><Relationship Id="rId58" Type="http://schemas.openxmlformats.org/officeDocument/2006/relationships/image" Target="media/image30.png"/><Relationship Id="rId66" Type="http://schemas.openxmlformats.org/officeDocument/2006/relationships/image" Target="media/image38.png"/><Relationship Id="rId74" Type="http://schemas.openxmlformats.org/officeDocument/2006/relationships/image" Target="media/image46.png"/><Relationship Id="rId79" Type="http://schemas.openxmlformats.org/officeDocument/2006/relationships/image" Target="media/image51.png"/><Relationship Id="rId87"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33.png"/><Relationship Id="rId82" Type="http://schemas.openxmlformats.org/officeDocument/2006/relationships/image" Target="media/image54.pn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package" Target="embeddings/Microsoft_PowerPoint_Slide1.sldx"/><Relationship Id="rId14" Type="http://schemas.openxmlformats.org/officeDocument/2006/relationships/image" Target="media/image6.png"/><Relationship Id="rId22" Type="http://schemas.openxmlformats.org/officeDocument/2006/relationships/chart" Target="charts/chart2.xml"/><Relationship Id="rId27" Type="http://schemas.openxmlformats.org/officeDocument/2006/relationships/chart" Target="charts/chart6.xml"/><Relationship Id="rId30" Type="http://schemas.openxmlformats.org/officeDocument/2006/relationships/chart" Target="charts/chart9.xml"/><Relationship Id="rId35" Type="http://schemas.openxmlformats.org/officeDocument/2006/relationships/image" Target="media/image16.png"/><Relationship Id="rId43" Type="http://schemas.openxmlformats.org/officeDocument/2006/relationships/image" Target="media/image21.emf"/><Relationship Id="rId48" Type="http://schemas.openxmlformats.org/officeDocument/2006/relationships/chart" Target="charts/chart16.xml"/><Relationship Id="rId56" Type="http://schemas.openxmlformats.org/officeDocument/2006/relationships/image" Target="media/image28.png"/><Relationship Id="rId64" Type="http://schemas.openxmlformats.org/officeDocument/2006/relationships/image" Target="media/image36.png"/><Relationship Id="rId69" Type="http://schemas.openxmlformats.org/officeDocument/2006/relationships/image" Target="media/image41.png"/><Relationship Id="rId77" Type="http://schemas.openxmlformats.org/officeDocument/2006/relationships/image" Target="media/image49.png"/><Relationship Id="rId8" Type="http://schemas.openxmlformats.org/officeDocument/2006/relationships/image" Target="media/image2.emf"/><Relationship Id="rId51" Type="http://schemas.openxmlformats.org/officeDocument/2006/relationships/image" Target="media/image23.png"/><Relationship Id="rId72" Type="http://schemas.openxmlformats.org/officeDocument/2006/relationships/image" Target="media/image44.png"/><Relationship Id="rId80" Type="http://schemas.openxmlformats.org/officeDocument/2006/relationships/image" Target="media/image52.png"/><Relationship Id="rId85" Type="http://schemas.openxmlformats.org/officeDocument/2006/relationships/chart" Target="charts/chart19.xml"/><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9.gif"/><Relationship Id="rId25" Type="http://schemas.openxmlformats.org/officeDocument/2006/relationships/chart" Target="charts/chart4.xml"/><Relationship Id="rId33" Type="http://schemas.openxmlformats.org/officeDocument/2006/relationships/image" Target="media/image14.png"/><Relationship Id="rId38" Type="http://schemas.openxmlformats.org/officeDocument/2006/relationships/header" Target="header1.xml"/><Relationship Id="rId46" Type="http://schemas.openxmlformats.org/officeDocument/2006/relationships/chart" Target="charts/chart14.xml"/><Relationship Id="rId59" Type="http://schemas.openxmlformats.org/officeDocument/2006/relationships/image" Target="media/image31.png"/><Relationship Id="rId67" Type="http://schemas.openxmlformats.org/officeDocument/2006/relationships/image" Target="media/image39.png"/><Relationship Id="rId20" Type="http://schemas.openxmlformats.org/officeDocument/2006/relationships/image" Target="media/image12.jpeg"/><Relationship Id="rId41" Type="http://schemas.openxmlformats.org/officeDocument/2006/relationships/image" Target="media/image19.emf"/><Relationship Id="rId54" Type="http://schemas.openxmlformats.org/officeDocument/2006/relationships/image" Target="media/image26.png"/><Relationship Id="rId62" Type="http://schemas.openxmlformats.org/officeDocument/2006/relationships/image" Target="media/image34.png"/><Relationship Id="rId70" Type="http://schemas.openxmlformats.org/officeDocument/2006/relationships/image" Target="media/image42.png"/><Relationship Id="rId75" Type="http://schemas.openxmlformats.org/officeDocument/2006/relationships/image" Target="media/image47.png"/><Relationship Id="rId83" Type="http://schemas.openxmlformats.org/officeDocument/2006/relationships/footer" Target="footer3.xml"/><Relationship Id="rId88"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3.jpeg"/><Relationship Id="rId28" Type="http://schemas.openxmlformats.org/officeDocument/2006/relationships/chart" Target="charts/chart7.xml"/><Relationship Id="rId36" Type="http://schemas.openxmlformats.org/officeDocument/2006/relationships/image" Target="media/image17.png"/><Relationship Id="rId49" Type="http://schemas.openxmlformats.org/officeDocument/2006/relationships/chart" Target="charts/chart17.xml"/><Relationship Id="rId57" Type="http://schemas.openxmlformats.org/officeDocument/2006/relationships/image" Target="media/image29.png"/><Relationship Id="rId10" Type="http://schemas.openxmlformats.org/officeDocument/2006/relationships/image" Target="media/image3.emf"/><Relationship Id="rId31" Type="http://schemas.openxmlformats.org/officeDocument/2006/relationships/chart" Target="charts/chart10.xml"/><Relationship Id="rId44" Type="http://schemas.openxmlformats.org/officeDocument/2006/relationships/chart" Target="charts/chart12.xml"/><Relationship Id="rId52" Type="http://schemas.openxmlformats.org/officeDocument/2006/relationships/image" Target="media/image24.png"/><Relationship Id="rId60" Type="http://schemas.openxmlformats.org/officeDocument/2006/relationships/image" Target="media/image32.png"/><Relationship Id="rId65" Type="http://schemas.openxmlformats.org/officeDocument/2006/relationships/image" Target="media/image37.png"/><Relationship Id="rId73" Type="http://schemas.openxmlformats.org/officeDocument/2006/relationships/image" Target="media/image45.png"/><Relationship Id="rId78" Type="http://schemas.openxmlformats.org/officeDocument/2006/relationships/image" Target="media/image50.png"/><Relationship Id="rId81" Type="http://schemas.openxmlformats.org/officeDocument/2006/relationships/image" Target="media/image53.png"/><Relationship Id="rId86" Type="http://schemas.openxmlformats.org/officeDocument/2006/relationships/chart" Target="charts/chart20.xml"/></Relationships>
</file>

<file path=word/_rels/endnotes.xml.rels><?xml version="1.0" encoding="UTF-8" standalone="yes"?>
<Relationships xmlns="http://schemas.openxmlformats.org/package/2006/relationships"><Relationship Id="rId3" Type="http://schemas.openxmlformats.org/officeDocument/2006/relationships/hyperlink" Target="http://www.itu.int/en/ITU-D/Statistics/Documents/facts/ICTFactsFigures2013-e.pdf" TargetMode="External"/><Relationship Id="rId2" Type="http://schemas.openxmlformats.org/officeDocument/2006/relationships/hyperlink" Target="http://egateg.usaid.gov/sites/default/files/West%20Africa%20FastPath%20Analysis%20-%20Tema%20Ouagadougou.pdf" TargetMode="External"/><Relationship Id="rId1" Type="http://schemas.openxmlformats.org/officeDocument/2006/relationships/hyperlink" Target="http://www.competeafrica.org/Files/Analytical_Comparative_Transport_Cost_Study_on_the_Northern_Corridor_(1).pdf"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Peter\Documents\2012-id\2013_04_WB-Regional-Indicators-Development\Resources-2\New-Indicators-for-Monitoring-RTAs.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wb239509\Documents\My%20documents\Indicators%20project\Copy%20of%20Trade%20survey%20-%20complete%20dataset%20-%20call%20center%20CONVERTED.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wb239509\Documents\My%20documents\Indicators%20project\Copy%20of%20Trade%20survey%20-%20complete%20dataset%20-%20call%20center%20CONVERTED.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wb354710\Documents\00_AFRICA_TRADE\Paul_Brenton\Agriculture_Traders\Paper_results.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wb354710\Documents\00_AFRICA_TRADE\Paul_Brenton\Agriculture_Traders\Paper_results.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wb354710\Documents\00_AFRICA_TRADE\Paul_Brenton\Agriculture_Traders\Paper_results.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wb354710\Documents\00_AFRICA_TRADE\Paul_Brenton\Agriculture_Traders\Paper_results.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wb354710\Documents\00_AFRICA_TRADE\Paul_Brenton\Agriculture_Traders\Paper_results.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wb354710\Documents\00_AFRICA_TRADE\Paul_Brenton\Agriculture_Traders\Paper_results.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F:\AAA_wb-stc\2012_04_WB-ASEAN-Services-Study\AIMR_chapter-3_Services-Trade-intraregional.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W:\2012-id\2012_04_WB-ASEAN-Services-Study\AIMR_chapter-3_STRI.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Peter\Documents\2012-id\2013_04_WB-Regional-Indicators-Development\Resources-2\New-Indicators-for-Monitoring-RTAs.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F:\AAA_wb-stc\2012_04_WB-ASEAN-Services-Study\Resources\ASEAN_AFAS_compared%20to%20GATS_DOHA_6_June.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Peter\Documents\2012-id\2014_07_WB-Bulgaria-TiVA-Study\Resources\BGR_TiVA-Analysis.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Peter\Documents\2012-id\2013_04_WB-Regional-Indicators-Development\Resources-2\New-Indicators-for-Monitoring-RTA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Peter\Documents\2012-id\2013_04_WB-Regional-Indicators-Development\Resources-2\New-Indicators-for-Monitoring-RTA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Peter\Documents\2012-id\2013_04_WB-Regional-Indicators-Development\Resources-2\New-Indicators-for-Monitoring-RTAs.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wb354710\Documents\00_AFRICA_TRADE\Paul_Brenton\Agriculture_Traders\Paper_results.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wb239509\Documents\My%20documents\Indicators%20project\Ag%20Results_comparison_by_countries.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Peter\Documents\2012-id\2013_04_WB-Regional-Indicators-Development\Resources-2\New-Indicators-for-Monitoring-RTA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9002405949256435E-2"/>
          <c:y val="5.1400554097404488E-2"/>
          <c:w val="0.9008875765529305"/>
          <c:h val="0.8326195683872849"/>
        </c:manualLayout>
      </c:layout>
      <c:barChart>
        <c:barDir val="col"/>
        <c:grouping val="clustered"/>
        <c:varyColors val="0"/>
        <c:ser>
          <c:idx val="0"/>
          <c:order val="0"/>
          <c:tx>
            <c:strRef>
              <c:f>'Firm-level data'!$C$10</c:f>
              <c:strCache>
                <c:ptCount val="1"/>
                <c:pt idx="0">
                  <c:v>Global</c:v>
                </c:pt>
              </c:strCache>
            </c:strRef>
          </c:tx>
          <c:invertIfNegative val="0"/>
          <c:cat>
            <c:strRef>
              <c:f>'Firm-level data'!$B$11:$B$14</c:f>
              <c:strCache>
                <c:ptCount val="4"/>
                <c:pt idx="0">
                  <c:v>BFA</c:v>
                </c:pt>
                <c:pt idx="1">
                  <c:v>CIV</c:v>
                </c:pt>
                <c:pt idx="2">
                  <c:v>NER</c:v>
                </c:pt>
                <c:pt idx="3">
                  <c:v>SEN</c:v>
                </c:pt>
              </c:strCache>
            </c:strRef>
          </c:cat>
          <c:val>
            <c:numRef>
              <c:f>'Firm-level data'!$C$11:$C$14</c:f>
              <c:numCache>
                <c:formatCode>General</c:formatCode>
                <c:ptCount val="4"/>
                <c:pt idx="0">
                  <c:v>2.0863702857142843</c:v>
                </c:pt>
                <c:pt idx="1">
                  <c:v>3.6827862922251997</c:v>
                </c:pt>
                <c:pt idx="2">
                  <c:v>1.5378291562500002</c:v>
                </c:pt>
                <c:pt idx="3">
                  <c:v>2.806648130081292</c:v>
                </c:pt>
              </c:numCache>
            </c:numRef>
          </c:val>
        </c:ser>
        <c:ser>
          <c:idx val="1"/>
          <c:order val="1"/>
          <c:tx>
            <c:strRef>
              <c:f>'Firm-level data'!$D$10</c:f>
              <c:strCache>
                <c:ptCount val="1"/>
                <c:pt idx="0">
                  <c:v>UEMOA</c:v>
                </c:pt>
              </c:strCache>
            </c:strRef>
          </c:tx>
          <c:invertIfNegative val="0"/>
          <c:cat>
            <c:strRef>
              <c:f>'Firm-level data'!$B$11:$B$14</c:f>
              <c:strCache>
                <c:ptCount val="4"/>
                <c:pt idx="0">
                  <c:v>BFA</c:v>
                </c:pt>
                <c:pt idx="1">
                  <c:v>CIV</c:v>
                </c:pt>
                <c:pt idx="2">
                  <c:v>NER</c:v>
                </c:pt>
                <c:pt idx="3">
                  <c:v>SEN</c:v>
                </c:pt>
              </c:strCache>
            </c:strRef>
          </c:cat>
          <c:val>
            <c:numRef>
              <c:f>'Firm-level data'!$D$11:$D$14</c:f>
              <c:numCache>
                <c:formatCode>General</c:formatCode>
                <c:ptCount val="4"/>
                <c:pt idx="0">
                  <c:v>1.5620033763440868</c:v>
                </c:pt>
                <c:pt idx="1">
                  <c:v>2.0683521155778797</c:v>
                </c:pt>
                <c:pt idx="2">
                  <c:v>1.6885427241379329</c:v>
                </c:pt>
                <c:pt idx="3">
                  <c:v>1.9140704415584398</c:v>
                </c:pt>
              </c:numCache>
            </c:numRef>
          </c:val>
        </c:ser>
        <c:dLbls>
          <c:showLegendKey val="0"/>
          <c:showVal val="0"/>
          <c:showCatName val="0"/>
          <c:showSerName val="0"/>
          <c:showPercent val="0"/>
          <c:showBubbleSize val="0"/>
        </c:dLbls>
        <c:gapWidth val="150"/>
        <c:axId val="388766856"/>
        <c:axId val="388767248"/>
      </c:barChart>
      <c:catAx>
        <c:axId val="388766856"/>
        <c:scaling>
          <c:orientation val="minMax"/>
        </c:scaling>
        <c:delete val="0"/>
        <c:axPos val="b"/>
        <c:numFmt formatCode="General" sourceLinked="0"/>
        <c:majorTickMark val="out"/>
        <c:minorTickMark val="none"/>
        <c:tickLblPos val="nextTo"/>
        <c:crossAx val="388767248"/>
        <c:crosses val="autoZero"/>
        <c:auto val="1"/>
        <c:lblAlgn val="ctr"/>
        <c:lblOffset val="100"/>
        <c:noMultiLvlLbl val="0"/>
      </c:catAx>
      <c:valAx>
        <c:axId val="388767248"/>
        <c:scaling>
          <c:orientation val="minMax"/>
        </c:scaling>
        <c:delete val="0"/>
        <c:axPos val="l"/>
        <c:numFmt formatCode="#,##0.0" sourceLinked="0"/>
        <c:majorTickMark val="out"/>
        <c:minorTickMark val="none"/>
        <c:tickLblPos val="nextTo"/>
        <c:crossAx val="388766856"/>
        <c:crosses val="autoZero"/>
        <c:crossBetween val="between"/>
      </c:valAx>
    </c:plotArea>
    <c:legend>
      <c:legendPos val="r"/>
      <c:layout>
        <c:manualLayout>
          <c:xMode val="edge"/>
          <c:yMode val="edge"/>
          <c:x val="0.82155664916885351"/>
          <c:y val="6.4430956547098336E-2"/>
          <c:w val="0.13677668416447944"/>
          <c:h val="0.16743438320209994"/>
        </c:manualLayout>
      </c:layout>
      <c:overlay val="0"/>
    </c:legend>
    <c:plotVisOnly val="1"/>
    <c:dispBlanksAs val="gap"/>
    <c:showDLblsOverMax val="0"/>
  </c:chart>
  <c:txPr>
    <a:bodyPr/>
    <a:lstStyle/>
    <a:p>
      <a:pPr>
        <a:defRPr sz="900"/>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percentStacked"/>
        <c:varyColors val="0"/>
        <c:ser>
          <c:idx val="0"/>
          <c:order val="0"/>
          <c:tx>
            <c:strRef>
              <c:f>Sheet2!$B$2</c:f>
              <c:strCache>
                <c:ptCount val="1"/>
                <c:pt idx="0">
                  <c:v>&lt;1 Hour</c:v>
                </c:pt>
              </c:strCache>
            </c:strRef>
          </c:tx>
          <c:invertIfNegative val="0"/>
          <c:cat>
            <c:strRef>
              <c:f>Sheet2!$A$3:$A$6</c:f>
              <c:strCache>
                <c:ptCount val="4"/>
                <c:pt idx="0">
                  <c:v>Kenya</c:v>
                </c:pt>
                <c:pt idx="1">
                  <c:v>Tanzania</c:v>
                </c:pt>
                <c:pt idx="2">
                  <c:v>Malawi</c:v>
                </c:pt>
                <c:pt idx="3">
                  <c:v>Zambia</c:v>
                </c:pt>
              </c:strCache>
            </c:strRef>
          </c:cat>
          <c:val>
            <c:numRef>
              <c:f>Sheet2!$B$3:$B$6</c:f>
              <c:numCache>
                <c:formatCode>General</c:formatCode>
                <c:ptCount val="4"/>
                <c:pt idx="0">
                  <c:v>21</c:v>
                </c:pt>
                <c:pt idx="1">
                  <c:v>4</c:v>
                </c:pt>
                <c:pt idx="2">
                  <c:v>26</c:v>
                </c:pt>
                <c:pt idx="3">
                  <c:v>7</c:v>
                </c:pt>
              </c:numCache>
            </c:numRef>
          </c:val>
        </c:ser>
        <c:ser>
          <c:idx val="1"/>
          <c:order val="1"/>
          <c:tx>
            <c:strRef>
              <c:f>Sheet2!$C$2</c:f>
              <c:strCache>
                <c:ptCount val="1"/>
                <c:pt idx="0">
                  <c:v>1-5 Hours</c:v>
                </c:pt>
              </c:strCache>
            </c:strRef>
          </c:tx>
          <c:invertIfNegative val="0"/>
          <c:cat>
            <c:strRef>
              <c:f>Sheet2!$A$3:$A$6</c:f>
              <c:strCache>
                <c:ptCount val="4"/>
                <c:pt idx="0">
                  <c:v>Kenya</c:v>
                </c:pt>
                <c:pt idx="1">
                  <c:v>Tanzania</c:v>
                </c:pt>
                <c:pt idx="2">
                  <c:v>Malawi</c:v>
                </c:pt>
                <c:pt idx="3">
                  <c:v>Zambia</c:v>
                </c:pt>
              </c:strCache>
            </c:strRef>
          </c:cat>
          <c:val>
            <c:numRef>
              <c:f>Sheet2!$C$3:$C$6</c:f>
              <c:numCache>
                <c:formatCode>General</c:formatCode>
                <c:ptCount val="4"/>
                <c:pt idx="0">
                  <c:v>5</c:v>
                </c:pt>
                <c:pt idx="1">
                  <c:v>4</c:v>
                </c:pt>
                <c:pt idx="2">
                  <c:v>40</c:v>
                </c:pt>
                <c:pt idx="3">
                  <c:v>7</c:v>
                </c:pt>
              </c:numCache>
            </c:numRef>
          </c:val>
        </c:ser>
        <c:ser>
          <c:idx val="2"/>
          <c:order val="2"/>
          <c:tx>
            <c:strRef>
              <c:f>Sheet2!$D$2</c:f>
              <c:strCache>
                <c:ptCount val="1"/>
                <c:pt idx="0">
                  <c:v>6-10 Hours</c:v>
                </c:pt>
              </c:strCache>
            </c:strRef>
          </c:tx>
          <c:invertIfNegative val="0"/>
          <c:cat>
            <c:strRef>
              <c:f>Sheet2!$A$3:$A$6</c:f>
              <c:strCache>
                <c:ptCount val="4"/>
                <c:pt idx="0">
                  <c:v>Kenya</c:v>
                </c:pt>
                <c:pt idx="1">
                  <c:v>Tanzania</c:v>
                </c:pt>
                <c:pt idx="2">
                  <c:v>Malawi</c:v>
                </c:pt>
                <c:pt idx="3">
                  <c:v>Zambia</c:v>
                </c:pt>
              </c:strCache>
            </c:strRef>
          </c:cat>
          <c:val>
            <c:numRef>
              <c:f>Sheet2!$D$3:$D$6</c:f>
              <c:numCache>
                <c:formatCode>General</c:formatCode>
                <c:ptCount val="4"/>
                <c:pt idx="0">
                  <c:v>0</c:v>
                </c:pt>
                <c:pt idx="1">
                  <c:v>0</c:v>
                </c:pt>
                <c:pt idx="2">
                  <c:v>10</c:v>
                </c:pt>
                <c:pt idx="3">
                  <c:v>2</c:v>
                </c:pt>
              </c:numCache>
            </c:numRef>
          </c:val>
        </c:ser>
        <c:dLbls>
          <c:showLegendKey val="0"/>
          <c:showVal val="0"/>
          <c:showCatName val="0"/>
          <c:showSerName val="0"/>
          <c:showPercent val="0"/>
          <c:showBubbleSize val="0"/>
        </c:dLbls>
        <c:gapWidth val="150"/>
        <c:shape val="box"/>
        <c:axId val="389852720"/>
        <c:axId val="389853112"/>
        <c:axId val="0"/>
      </c:bar3DChart>
      <c:catAx>
        <c:axId val="389852720"/>
        <c:scaling>
          <c:orientation val="minMax"/>
        </c:scaling>
        <c:delete val="0"/>
        <c:axPos val="b"/>
        <c:numFmt formatCode="General" sourceLinked="0"/>
        <c:majorTickMark val="out"/>
        <c:minorTickMark val="none"/>
        <c:tickLblPos val="nextTo"/>
        <c:crossAx val="389853112"/>
        <c:crosses val="autoZero"/>
        <c:auto val="1"/>
        <c:lblAlgn val="ctr"/>
        <c:lblOffset val="100"/>
        <c:noMultiLvlLbl val="0"/>
      </c:catAx>
      <c:valAx>
        <c:axId val="389853112"/>
        <c:scaling>
          <c:orientation val="minMax"/>
        </c:scaling>
        <c:delete val="0"/>
        <c:axPos val="l"/>
        <c:majorGridlines/>
        <c:numFmt formatCode="0%" sourceLinked="1"/>
        <c:majorTickMark val="out"/>
        <c:minorTickMark val="none"/>
        <c:tickLblPos val="nextTo"/>
        <c:crossAx val="389852720"/>
        <c:crosses val="autoZero"/>
        <c:crossBetween val="between"/>
      </c:valAx>
    </c:plotArea>
    <c:legend>
      <c:legendPos val="r"/>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Sheet2!$B$16</c:f>
              <c:strCache>
                <c:ptCount val="1"/>
                <c:pt idx="0">
                  <c:v>Unofficial fees</c:v>
                </c:pt>
              </c:strCache>
            </c:strRef>
          </c:tx>
          <c:invertIfNegative val="0"/>
          <c:cat>
            <c:strRef>
              <c:f>Sheet2!$A$17:$A$20</c:f>
              <c:strCache>
                <c:ptCount val="4"/>
                <c:pt idx="0">
                  <c:v>Kenya</c:v>
                </c:pt>
                <c:pt idx="1">
                  <c:v>Tanzania</c:v>
                </c:pt>
                <c:pt idx="2">
                  <c:v>Malawi</c:v>
                </c:pt>
                <c:pt idx="3">
                  <c:v>Zambia</c:v>
                </c:pt>
              </c:strCache>
            </c:strRef>
          </c:cat>
          <c:val>
            <c:numRef>
              <c:f>Sheet2!$B$17:$B$20</c:f>
              <c:numCache>
                <c:formatCode>General</c:formatCode>
                <c:ptCount val="4"/>
                <c:pt idx="0">
                  <c:v>21.428571428571427</c:v>
                </c:pt>
                <c:pt idx="1">
                  <c:v>11.111111111111098</c:v>
                </c:pt>
                <c:pt idx="2">
                  <c:v>13.186813186813179</c:v>
                </c:pt>
                <c:pt idx="3">
                  <c:v>27.777777777777779</c:v>
                </c:pt>
              </c:numCache>
            </c:numRef>
          </c:val>
        </c:ser>
        <c:ser>
          <c:idx val="1"/>
          <c:order val="1"/>
          <c:tx>
            <c:strRef>
              <c:f>Sheet2!$C$16</c:f>
              <c:strCache>
                <c:ptCount val="1"/>
                <c:pt idx="0">
                  <c:v>Harassment</c:v>
                </c:pt>
              </c:strCache>
            </c:strRef>
          </c:tx>
          <c:invertIfNegative val="0"/>
          <c:cat>
            <c:strRef>
              <c:f>Sheet2!$A$17:$A$20</c:f>
              <c:strCache>
                <c:ptCount val="4"/>
                <c:pt idx="0">
                  <c:v>Kenya</c:v>
                </c:pt>
                <c:pt idx="1">
                  <c:v>Tanzania</c:v>
                </c:pt>
                <c:pt idx="2">
                  <c:v>Malawi</c:v>
                </c:pt>
                <c:pt idx="3">
                  <c:v>Zambia</c:v>
                </c:pt>
              </c:strCache>
            </c:strRef>
          </c:cat>
          <c:val>
            <c:numRef>
              <c:f>Sheet2!$C$17:$C$20</c:f>
              <c:numCache>
                <c:formatCode>General</c:formatCode>
                <c:ptCount val="4"/>
                <c:pt idx="0">
                  <c:v>14.285714285714286</c:v>
                </c:pt>
                <c:pt idx="1">
                  <c:v>22.222222222222193</c:v>
                </c:pt>
                <c:pt idx="2">
                  <c:v>28.571428571428569</c:v>
                </c:pt>
                <c:pt idx="3">
                  <c:v>16.666666666666664</c:v>
                </c:pt>
              </c:numCache>
            </c:numRef>
          </c:val>
        </c:ser>
        <c:dLbls>
          <c:showLegendKey val="0"/>
          <c:showVal val="0"/>
          <c:showCatName val="0"/>
          <c:showSerName val="0"/>
          <c:showPercent val="0"/>
          <c:showBubbleSize val="0"/>
        </c:dLbls>
        <c:gapWidth val="150"/>
        <c:axId val="389853896"/>
        <c:axId val="389854288"/>
      </c:barChart>
      <c:catAx>
        <c:axId val="389853896"/>
        <c:scaling>
          <c:orientation val="minMax"/>
        </c:scaling>
        <c:delete val="0"/>
        <c:axPos val="b"/>
        <c:numFmt formatCode="General" sourceLinked="0"/>
        <c:majorTickMark val="out"/>
        <c:minorTickMark val="none"/>
        <c:tickLblPos val="nextTo"/>
        <c:crossAx val="389854288"/>
        <c:crosses val="autoZero"/>
        <c:auto val="1"/>
        <c:lblAlgn val="ctr"/>
        <c:lblOffset val="100"/>
        <c:noMultiLvlLbl val="0"/>
      </c:catAx>
      <c:valAx>
        <c:axId val="389854288"/>
        <c:scaling>
          <c:orientation val="minMax"/>
        </c:scaling>
        <c:delete val="0"/>
        <c:axPos val="l"/>
        <c:majorGridlines/>
        <c:numFmt formatCode="General" sourceLinked="1"/>
        <c:majorTickMark val="out"/>
        <c:minorTickMark val="none"/>
        <c:tickLblPos val="nextTo"/>
        <c:crossAx val="389853896"/>
        <c:crosses val="autoZero"/>
        <c:crossBetween val="between"/>
      </c:valAx>
    </c:plotArea>
    <c:legend>
      <c:legendPos val="r"/>
      <c:overlay val="0"/>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048274954488601"/>
          <c:y val="7.3186959414504302E-2"/>
          <c:w val="0.81844946958231901"/>
          <c:h val="0.69764276151907445"/>
        </c:manualLayout>
      </c:layout>
      <c:barChart>
        <c:barDir val="col"/>
        <c:grouping val="clustered"/>
        <c:varyColors val="0"/>
        <c:ser>
          <c:idx val="0"/>
          <c:order val="0"/>
          <c:tx>
            <c:strRef>
              <c:f>General!$H$2</c:f>
              <c:strCache>
                <c:ptCount val="1"/>
                <c:pt idx="0">
                  <c:v>Price of maize per Kg (US$)</c:v>
                </c:pt>
              </c:strCache>
            </c:strRef>
          </c:tx>
          <c:spPr>
            <a:solidFill>
              <a:schemeClr val="accent1"/>
            </a:solidFill>
          </c:spPr>
          <c:invertIfNegative val="0"/>
          <c:dPt>
            <c:idx val="0"/>
            <c:invertIfNegative val="0"/>
            <c:bubble3D val="0"/>
            <c:spPr>
              <a:solidFill>
                <a:schemeClr val="accent1">
                  <a:alpha val="25000"/>
                </a:schemeClr>
              </a:solidFill>
            </c:spPr>
          </c:dPt>
          <c:dPt>
            <c:idx val="1"/>
            <c:invertIfNegative val="0"/>
            <c:bubble3D val="0"/>
            <c:spPr>
              <a:solidFill>
                <a:schemeClr val="accent1">
                  <a:alpha val="25000"/>
                </a:schemeClr>
              </a:solidFill>
            </c:spPr>
          </c:dPt>
          <c:dPt>
            <c:idx val="5"/>
            <c:invertIfNegative val="0"/>
            <c:bubble3D val="0"/>
            <c:spPr>
              <a:solidFill>
                <a:schemeClr val="accent1">
                  <a:alpha val="25000"/>
                </a:schemeClr>
              </a:solidFill>
            </c:spPr>
          </c:dPt>
          <c:dPt>
            <c:idx val="8"/>
            <c:invertIfNegative val="0"/>
            <c:bubble3D val="0"/>
            <c:spPr>
              <a:solidFill>
                <a:schemeClr val="accent1">
                  <a:alpha val="25000"/>
                </a:schemeClr>
              </a:solidFill>
            </c:spPr>
          </c:dPt>
          <c:cat>
            <c:strRef>
              <c:f>General!$G$3:$G$11</c:f>
              <c:strCache>
                <c:ptCount val="9"/>
                <c:pt idx="0">
                  <c:v>Burkina</c:v>
                </c:pt>
                <c:pt idx="1">
                  <c:v>Cameroon</c:v>
                </c:pt>
                <c:pt idx="2">
                  <c:v>Ghana</c:v>
                </c:pt>
                <c:pt idx="3">
                  <c:v>Kenya</c:v>
                </c:pt>
                <c:pt idx="4">
                  <c:v>Malawi</c:v>
                </c:pt>
                <c:pt idx="5">
                  <c:v>Tanzania</c:v>
                </c:pt>
                <c:pt idx="6">
                  <c:v>Uganda</c:v>
                </c:pt>
                <c:pt idx="7">
                  <c:v>Zambia</c:v>
                </c:pt>
                <c:pt idx="8">
                  <c:v>Mali</c:v>
                </c:pt>
              </c:strCache>
            </c:strRef>
          </c:cat>
          <c:val>
            <c:numRef>
              <c:f>General!$H$3:$H$11</c:f>
              <c:numCache>
                <c:formatCode>#,##0.00</c:formatCode>
                <c:ptCount val="9"/>
                <c:pt idx="0">
                  <c:v>0.35100280000000023</c:v>
                </c:pt>
                <c:pt idx="1">
                  <c:v>0.3861031000000002</c:v>
                </c:pt>
                <c:pt idx="2">
                  <c:v>0.43642860000000044</c:v>
                </c:pt>
                <c:pt idx="3">
                  <c:v>0.3837151000000002</c:v>
                </c:pt>
                <c:pt idx="4">
                  <c:v>0.2601118</c:v>
                </c:pt>
                <c:pt idx="5">
                  <c:v>0.27405600000000002</c:v>
                </c:pt>
                <c:pt idx="6">
                  <c:v>0.27788810000000042</c:v>
                </c:pt>
                <c:pt idx="7">
                  <c:v>0.34015890000000026</c:v>
                </c:pt>
                <c:pt idx="8">
                  <c:v>1.549107</c:v>
                </c:pt>
              </c:numCache>
            </c:numRef>
          </c:val>
        </c:ser>
        <c:dLbls>
          <c:showLegendKey val="0"/>
          <c:showVal val="0"/>
          <c:showCatName val="0"/>
          <c:showSerName val="0"/>
          <c:showPercent val="0"/>
          <c:showBubbleSize val="0"/>
        </c:dLbls>
        <c:gapWidth val="90"/>
        <c:overlap val="37"/>
        <c:axId val="389855464"/>
        <c:axId val="389855856"/>
      </c:barChart>
      <c:catAx>
        <c:axId val="389855464"/>
        <c:scaling>
          <c:orientation val="minMax"/>
        </c:scaling>
        <c:delete val="0"/>
        <c:axPos val="b"/>
        <c:numFmt formatCode="General" sourceLinked="0"/>
        <c:majorTickMark val="out"/>
        <c:minorTickMark val="none"/>
        <c:tickLblPos val="nextTo"/>
        <c:txPr>
          <a:bodyPr/>
          <a:lstStyle/>
          <a:p>
            <a:pPr>
              <a:defRPr sz="800"/>
            </a:pPr>
            <a:endParaRPr lang="en-US"/>
          </a:p>
        </c:txPr>
        <c:crossAx val="389855856"/>
        <c:crosses val="autoZero"/>
        <c:auto val="1"/>
        <c:lblAlgn val="ctr"/>
        <c:lblOffset val="100"/>
        <c:noMultiLvlLbl val="0"/>
      </c:catAx>
      <c:valAx>
        <c:axId val="389855856"/>
        <c:scaling>
          <c:orientation val="minMax"/>
          <c:max val="0.5"/>
        </c:scaling>
        <c:delete val="0"/>
        <c:axPos val="l"/>
        <c:majorGridlines/>
        <c:numFmt formatCode="#,##0.00" sourceLinked="1"/>
        <c:majorTickMark val="out"/>
        <c:minorTickMark val="none"/>
        <c:tickLblPos val="nextTo"/>
        <c:txPr>
          <a:bodyPr/>
          <a:lstStyle/>
          <a:p>
            <a:pPr>
              <a:defRPr sz="800"/>
            </a:pPr>
            <a:endParaRPr lang="en-US"/>
          </a:p>
        </c:txPr>
        <c:crossAx val="389855464"/>
        <c:crosses val="autoZero"/>
        <c:crossBetween val="between"/>
      </c:valAx>
      <c:spPr>
        <a:ln>
          <a:solidFill>
            <a:schemeClr val="tx1"/>
          </a:solidFill>
        </a:ln>
      </c:spPr>
    </c:plotArea>
    <c:plotVisOnly val="1"/>
    <c:dispBlanksAs val="gap"/>
    <c:showDLblsOverMax val="0"/>
  </c:chart>
  <c:spPr>
    <a:ln>
      <a:noFill/>
    </a:ln>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General!$R$17</c:f>
              <c:strCache>
                <c:ptCount val="1"/>
                <c:pt idx="0">
                  <c:v>Maize</c:v>
                </c:pt>
              </c:strCache>
            </c:strRef>
          </c:tx>
          <c:invertIfNegative val="0"/>
          <c:cat>
            <c:strRef>
              <c:f>General!$S$16:$W$16</c:f>
              <c:strCache>
                <c:ptCount val="5"/>
                <c:pt idx="0">
                  <c:v>Ghana</c:v>
                </c:pt>
                <c:pt idx="1">
                  <c:v>Kenya</c:v>
                </c:pt>
                <c:pt idx="2">
                  <c:v>Malawi</c:v>
                </c:pt>
                <c:pt idx="3">
                  <c:v>Uganda</c:v>
                </c:pt>
                <c:pt idx="4">
                  <c:v>Zambia</c:v>
                </c:pt>
              </c:strCache>
            </c:strRef>
          </c:cat>
          <c:val>
            <c:numRef>
              <c:f>General!$S$17:$W$17</c:f>
              <c:numCache>
                <c:formatCode>0.00</c:formatCode>
                <c:ptCount val="5"/>
                <c:pt idx="0" formatCode="General">
                  <c:v>0.42000000000000021</c:v>
                </c:pt>
                <c:pt idx="1">
                  <c:v>0.38600000000000023</c:v>
                </c:pt>
                <c:pt idx="2">
                  <c:v>0.27</c:v>
                </c:pt>
                <c:pt idx="3">
                  <c:v>0.2920000000000002</c:v>
                </c:pt>
                <c:pt idx="4">
                  <c:v>0.32400000000000023</c:v>
                </c:pt>
              </c:numCache>
            </c:numRef>
          </c:val>
        </c:ser>
        <c:dLbls>
          <c:showLegendKey val="0"/>
          <c:showVal val="0"/>
          <c:showCatName val="0"/>
          <c:showSerName val="0"/>
          <c:showPercent val="0"/>
          <c:showBubbleSize val="0"/>
        </c:dLbls>
        <c:gapWidth val="258"/>
        <c:axId val="389986552"/>
        <c:axId val="389986944"/>
      </c:barChart>
      <c:catAx>
        <c:axId val="389986552"/>
        <c:scaling>
          <c:orientation val="minMax"/>
        </c:scaling>
        <c:delete val="0"/>
        <c:axPos val="b"/>
        <c:numFmt formatCode="General" sourceLinked="0"/>
        <c:majorTickMark val="out"/>
        <c:minorTickMark val="none"/>
        <c:tickLblPos val="nextTo"/>
        <c:txPr>
          <a:bodyPr rot="-2700000"/>
          <a:lstStyle/>
          <a:p>
            <a:pPr>
              <a:defRPr sz="800"/>
            </a:pPr>
            <a:endParaRPr lang="en-US"/>
          </a:p>
        </c:txPr>
        <c:crossAx val="389986944"/>
        <c:crosses val="autoZero"/>
        <c:auto val="1"/>
        <c:lblAlgn val="ctr"/>
        <c:lblOffset val="100"/>
        <c:noMultiLvlLbl val="0"/>
      </c:catAx>
      <c:valAx>
        <c:axId val="389986944"/>
        <c:scaling>
          <c:orientation val="minMax"/>
          <c:max val="0.5"/>
        </c:scaling>
        <c:delete val="0"/>
        <c:axPos val="l"/>
        <c:majorGridlines/>
        <c:numFmt formatCode="#,##0.00" sourceLinked="0"/>
        <c:majorTickMark val="out"/>
        <c:minorTickMark val="none"/>
        <c:tickLblPos val="nextTo"/>
        <c:txPr>
          <a:bodyPr/>
          <a:lstStyle/>
          <a:p>
            <a:pPr>
              <a:defRPr sz="800"/>
            </a:pPr>
            <a:endParaRPr lang="en-US"/>
          </a:p>
        </c:txPr>
        <c:crossAx val="389986552"/>
        <c:crosses val="autoZero"/>
        <c:crossBetween val="between"/>
        <c:majorUnit val="0.05"/>
      </c:valAx>
      <c:spPr>
        <a:ln>
          <a:solidFill>
            <a:schemeClr val="tx1"/>
          </a:solidFill>
        </a:ln>
      </c:spPr>
    </c:plotArea>
    <c:plotVisOnly val="1"/>
    <c:dispBlanksAs val="gap"/>
    <c:showDLblsOverMax val="0"/>
  </c:chart>
  <c:spPr>
    <a:ln>
      <a:noFill/>
    </a:ln>
  </c:sp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576057905124788"/>
          <c:y val="7.1794075883820058E-2"/>
          <c:w val="0.82501978298261758"/>
          <c:h val="0.64466763248628089"/>
        </c:manualLayout>
      </c:layout>
      <c:barChart>
        <c:barDir val="col"/>
        <c:grouping val="clustered"/>
        <c:varyColors val="0"/>
        <c:ser>
          <c:idx val="0"/>
          <c:order val="0"/>
          <c:tx>
            <c:strRef>
              <c:f>General!$H$27</c:f>
              <c:strCache>
                <c:ptCount val="1"/>
                <c:pt idx="0">
                  <c:v>Price of fertilizer per Kg (US$)</c:v>
                </c:pt>
              </c:strCache>
            </c:strRef>
          </c:tx>
          <c:invertIfNegative val="0"/>
          <c:cat>
            <c:strRef>
              <c:f>General!$G$28:$G$36</c:f>
              <c:strCache>
                <c:ptCount val="9"/>
                <c:pt idx="0">
                  <c:v>Burkina</c:v>
                </c:pt>
                <c:pt idx="1">
                  <c:v>Cameroon</c:v>
                </c:pt>
                <c:pt idx="2">
                  <c:v>Ghana</c:v>
                </c:pt>
                <c:pt idx="3">
                  <c:v>Kenya</c:v>
                </c:pt>
                <c:pt idx="4">
                  <c:v>Malawi</c:v>
                </c:pt>
                <c:pt idx="5">
                  <c:v>Tanzania</c:v>
                </c:pt>
                <c:pt idx="6">
                  <c:v>Uganda</c:v>
                </c:pt>
                <c:pt idx="7">
                  <c:v>Zambia</c:v>
                </c:pt>
                <c:pt idx="8">
                  <c:v>Mali</c:v>
                </c:pt>
              </c:strCache>
            </c:strRef>
          </c:cat>
          <c:val>
            <c:numRef>
              <c:f>General!$H$28:$H$36</c:f>
              <c:numCache>
                <c:formatCode>#,##0.00</c:formatCode>
                <c:ptCount val="9"/>
                <c:pt idx="0">
                  <c:v>0.75816609999999951</c:v>
                </c:pt>
                <c:pt idx="1">
                  <c:v>0.77922619999999998</c:v>
                </c:pt>
                <c:pt idx="2">
                  <c:v>0.53571429999999998</c:v>
                </c:pt>
                <c:pt idx="3">
                  <c:v>0.73673299999999997</c:v>
                </c:pt>
                <c:pt idx="4">
                  <c:v>0.78033549999999996</c:v>
                </c:pt>
                <c:pt idx="5">
                  <c:v>0.60901340000000004</c:v>
                </c:pt>
                <c:pt idx="6">
                  <c:v>0.65502180000000076</c:v>
                </c:pt>
                <c:pt idx="7">
                  <c:v>0.83761660000000004</c:v>
                </c:pt>
                <c:pt idx="8">
                  <c:v>0.72291649999999996</c:v>
                </c:pt>
              </c:numCache>
            </c:numRef>
          </c:val>
        </c:ser>
        <c:dLbls>
          <c:showLegendKey val="0"/>
          <c:showVal val="0"/>
          <c:showCatName val="0"/>
          <c:showSerName val="0"/>
          <c:showPercent val="0"/>
          <c:showBubbleSize val="0"/>
        </c:dLbls>
        <c:gapWidth val="150"/>
        <c:axId val="389987728"/>
        <c:axId val="389988120"/>
      </c:barChart>
      <c:catAx>
        <c:axId val="389987728"/>
        <c:scaling>
          <c:orientation val="minMax"/>
        </c:scaling>
        <c:delete val="0"/>
        <c:axPos val="b"/>
        <c:numFmt formatCode="General" sourceLinked="0"/>
        <c:majorTickMark val="out"/>
        <c:minorTickMark val="none"/>
        <c:tickLblPos val="nextTo"/>
        <c:txPr>
          <a:bodyPr/>
          <a:lstStyle/>
          <a:p>
            <a:pPr>
              <a:defRPr sz="800"/>
            </a:pPr>
            <a:endParaRPr lang="en-US"/>
          </a:p>
        </c:txPr>
        <c:crossAx val="389988120"/>
        <c:crosses val="autoZero"/>
        <c:auto val="1"/>
        <c:lblAlgn val="ctr"/>
        <c:lblOffset val="100"/>
        <c:noMultiLvlLbl val="0"/>
      </c:catAx>
      <c:valAx>
        <c:axId val="389988120"/>
        <c:scaling>
          <c:orientation val="minMax"/>
          <c:max val="1.2"/>
        </c:scaling>
        <c:delete val="0"/>
        <c:axPos val="l"/>
        <c:majorGridlines/>
        <c:numFmt formatCode="#,##0.00" sourceLinked="1"/>
        <c:majorTickMark val="out"/>
        <c:minorTickMark val="none"/>
        <c:tickLblPos val="nextTo"/>
        <c:txPr>
          <a:bodyPr/>
          <a:lstStyle/>
          <a:p>
            <a:pPr>
              <a:defRPr sz="800"/>
            </a:pPr>
            <a:endParaRPr lang="en-US"/>
          </a:p>
        </c:txPr>
        <c:crossAx val="389987728"/>
        <c:crosses val="autoZero"/>
        <c:crossBetween val="between"/>
      </c:valAx>
      <c:spPr>
        <a:ln>
          <a:solidFill>
            <a:schemeClr val="tx1"/>
          </a:solidFill>
        </a:ln>
      </c:spPr>
    </c:plotArea>
    <c:plotVisOnly val="1"/>
    <c:dispBlanksAs val="gap"/>
    <c:showDLblsOverMax val="0"/>
  </c:chart>
  <c:spPr>
    <a:ln>
      <a:noFill/>
    </a:ln>
  </c:sp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3085739282589702E-2"/>
          <c:y val="5.1400554097404495E-2"/>
          <c:w val="0.87635870516185499"/>
          <c:h val="0.67366863016168876"/>
        </c:manualLayout>
      </c:layout>
      <c:barChart>
        <c:barDir val="col"/>
        <c:grouping val="clustered"/>
        <c:varyColors val="0"/>
        <c:ser>
          <c:idx val="0"/>
          <c:order val="0"/>
          <c:tx>
            <c:strRef>
              <c:f>'Fertilizert by type'!$B$2</c:f>
              <c:strCache>
                <c:ptCount val="1"/>
                <c:pt idx="0">
                  <c:v>Basal</c:v>
                </c:pt>
              </c:strCache>
            </c:strRef>
          </c:tx>
          <c:invertIfNegative val="0"/>
          <c:cat>
            <c:strRef>
              <c:f>'Fertilizert by type'!$C$1:$K$1</c:f>
              <c:strCache>
                <c:ptCount val="9"/>
                <c:pt idx="0">
                  <c:v>Burkina Faso</c:v>
                </c:pt>
                <c:pt idx="1">
                  <c:v>Cameroon</c:v>
                </c:pt>
                <c:pt idx="2">
                  <c:v>Ghana</c:v>
                </c:pt>
                <c:pt idx="3">
                  <c:v>Kenya</c:v>
                </c:pt>
                <c:pt idx="4">
                  <c:v>Malawi</c:v>
                </c:pt>
                <c:pt idx="5">
                  <c:v>Tanzania</c:v>
                </c:pt>
                <c:pt idx="6">
                  <c:v>Uganda</c:v>
                </c:pt>
                <c:pt idx="7">
                  <c:v>Zambia</c:v>
                </c:pt>
                <c:pt idx="8">
                  <c:v>Mali</c:v>
                </c:pt>
              </c:strCache>
            </c:strRef>
          </c:cat>
          <c:val>
            <c:numRef>
              <c:f>'Fertilizert by type'!$C$2:$K$2</c:f>
              <c:numCache>
                <c:formatCode>0.00</c:formatCode>
                <c:ptCount val="9"/>
                <c:pt idx="0">
                  <c:v>0.80028639999999929</c:v>
                </c:pt>
                <c:pt idx="1">
                  <c:v>0.75816609999999951</c:v>
                </c:pt>
                <c:pt idx="2">
                  <c:v>0.71428570000000002</c:v>
                </c:pt>
                <c:pt idx="3">
                  <c:v>0.80580169999999995</c:v>
                </c:pt>
                <c:pt idx="5">
                  <c:v>0.6000122</c:v>
                </c:pt>
                <c:pt idx="6">
                  <c:v>0.57997420000000044</c:v>
                </c:pt>
                <c:pt idx="7">
                  <c:v>0.81857990000000003</c:v>
                </c:pt>
                <c:pt idx="8">
                  <c:v>0.72291649999999996</c:v>
                </c:pt>
              </c:numCache>
            </c:numRef>
          </c:val>
        </c:ser>
        <c:ser>
          <c:idx val="1"/>
          <c:order val="1"/>
          <c:tx>
            <c:strRef>
              <c:f>'Fertilizert by type'!$B$3</c:f>
              <c:strCache>
                <c:ptCount val="1"/>
                <c:pt idx="0">
                  <c:v>Urea</c:v>
                </c:pt>
              </c:strCache>
            </c:strRef>
          </c:tx>
          <c:invertIfNegative val="0"/>
          <c:cat>
            <c:strRef>
              <c:f>'Fertilizert by type'!$C$1:$K$1</c:f>
              <c:strCache>
                <c:ptCount val="9"/>
                <c:pt idx="0">
                  <c:v>Burkina Faso</c:v>
                </c:pt>
                <c:pt idx="1">
                  <c:v>Cameroon</c:v>
                </c:pt>
                <c:pt idx="2">
                  <c:v>Ghana</c:v>
                </c:pt>
                <c:pt idx="3">
                  <c:v>Kenya</c:v>
                </c:pt>
                <c:pt idx="4">
                  <c:v>Malawi</c:v>
                </c:pt>
                <c:pt idx="5">
                  <c:v>Tanzania</c:v>
                </c:pt>
                <c:pt idx="6">
                  <c:v>Uganda</c:v>
                </c:pt>
                <c:pt idx="7">
                  <c:v>Zambia</c:v>
                </c:pt>
                <c:pt idx="8">
                  <c:v>Mali</c:v>
                </c:pt>
              </c:strCache>
            </c:strRef>
          </c:cat>
          <c:val>
            <c:numRef>
              <c:f>'Fertilizert by type'!$C$3:$K$3</c:f>
              <c:numCache>
                <c:formatCode>0.00</c:formatCode>
                <c:ptCount val="9"/>
                <c:pt idx="0">
                  <c:v>0.75816609999999951</c:v>
                </c:pt>
                <c:pt idx="1">
                  <c:v>0.84240680000000001</c:v>
                </c:pt>
                <c:pt idx="2">
                  <c:v>0.71428570000000002</c:v>
                </c:pt>
                <c:pt idx="3">
                  <c:v>0.71371010000000001</c:v>
                </c:pt>
                <c:pt idx="4">
                  <c:v>0.78033549999999996</c:v>
                </c:pt>
                <c:pt idx="5">
                  <c:v>0.60901340000000004</c:v>
                </c:pt>
                <c:pt idx="6">
                  <c:v>0.65502180000000076</c:v>
                </c:pt>
                <c:pt idx="7">
                  <c:v>0.83761660000000004</c:v>
                </c:pt>
                <c:pt idx="8">
                  <c:v>1.1360120000000009</c:v>
                </c:pt>
              </c:numCache>
            </c:numRef>
          </c:val>
        </c:ser>
        <c:dLbls>
          <c:showLegendKey val="0"/>
          <c:showVal val="0"/>
          <c:showCatName val="0"/>
          <c:showSerName val="0"/>
          <c:showPercent val="0"/>
          <c:showBubbleSize val="0"/>
        </c:dLbls>
        <c:gapWidth val="150"/>
        <c:axId val="389988904"/>
        <c:axId val="389989296"/>
      </c:barChart>
      <c:catAx>
        <c:axId val="389988904"/>
        <c:scaling>
          <c:orientation val="minMax"/>
        </c:scaling>
        <c:delete val="0"/>
        <c:axPos val="b"/>
        <c:numFmt formatCode="General" sourceLinked="0"/>
        <c:majorTickMark val="out"/>
        <c:minorTickMark val="none"/>
        <c:tickLblPos val="nextTo"/>
        <c:txPr>
          <a:bodyPr/>
          <a:lstStyle/>
          <a:p>
            <a:pPr>
              <a:defRPr sz="800"/>
            </a:pPr>
            <a:endParaRPr lang="en-US"/>
          </a:p>
        </c:txPr>
        <c:crossAx val="389989296"/>
        <c:crosses val="autoZero"/>
        <c:auto val="1"/>
        <c:lblAlgn val="ctr"/>
        <c:lblOffset val="100"/>
        <c:noMultiLvlLbl val="0"/>
      </c:catAx>
      <c:valAx>
        <c:axId val="389989296"/>
        <c:scaling>
          <c:orientation val="minMax"/>
        </c:scaling>
        <c:delete val="0"/>
        <c:axPos val="l"/>
        <c:majorGridlines/>
        <c:numFmt formatCode="0.00" sourceLinked="1"/>
        <c:majorTickMark val="out"/>
        <c:minorTickMark val="none"/>
        <c:tickLblPos val="nextTo"/>
        <c:txPr>
          <a:bodyPr/>
          <a:lstStyle/>
          <a:p>
            <a:pPr>
              <a:defRPr sz="800"/>
            </a:pPr>
            <a:endParaRPr lang="en-US"/>
          </a:p>
        </c:txPr>
        <c:crossAx val="389988904"/>
        <c:crosses val="autoZero"/>
        <c:crossBetween val="between"/>
      </c:valAx>
      <c:spPr>
        <a:ln>
          <a:solidFill>
            <a:schemeClr val="tx1"/>
          </a:solidFill>
        </a:ln>
      </c:spPr>
    </c:plotArea>
    <c:legend>
      <c:legendPos val="b"/>
      <c:layout>
        <c:manualLayout>
          <c:xMode val="edge"/>
          <c:yMode val="edge"/>
          <c:x val="0.21672192128139212"/>
          <c:y val="0.9162828083989496"/>
          <c:w val="0.55197598312139395"/>
          <c:h val="8.371719160104997E-2"/>
        </c:manualLayout>
      </c:layout>
      <c:overlay val="0"/>
      <c:txPr>
        <a:bodyPr/>
        <a:lstStyle/>
        <a:p>
          <a:pPr>
            <a:defRPr sz="800"/>
          </a:pPr>
          <a:endParaRPr lang="en-US"/>
        </a:p>
      </c:txPr>
    </c:legend>
    <c:plotVisOnly val="1"/>
    <c:dispBlanksAs val="gap"/>
    <c:showDLblsOverMax val="0"/>
  </c:chart>
  <c:spPr>
    <a:ln>
      <a:noFill/>
    </a:ln>
  </c:sp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General!$H$14</c:f>
              <c:strCache>
                <c:ptCount val="1"/>
                <c:pt idx="0">
                  <c:v>Price of seeds per Kg (US$)</c:v>
                </c:pt>
              </c:strCache>
            </c:strRef>
          </c:tx>
          <c:invertIfNegative val="0"/>
          <c:cat>
            <c:strRef>
              <c:f>General!$G$15:$G$23</c:f>
              <c:strCache>
                <c:ptCount val="9"/>
                <c:pt idx="0">
                  <c:v>Burkina</c:v>
                </c:pt>
                <c:pt idx="1">
                  <c:v>Cameroon</c:v>
                </c:pt>
                <c:pt idx="2">
                  <c:v>Ghana</c:v>
                </c:pt>
                <c:pt idx="3">
                  <c:v>Kenya</c:v>
                </c:pt>
                <c:pt idx="4">
                  <c:v>Malawi</c:v>
                </c:pt>
                <c:pt idx="5">
                  <c:v>Tanzania</c:v>
                </c:pt>
                <c:pt idx="6">
                  <c:v>Uganda</c:v>
                </c:pt>
                <c:pt idx="7">
                  <c:v>Zambia</c:v>
                </c:pt>
                <c:pt idx="8">
                  <c:v>Mali</c:v>
                </c:pt>
              </c:strCache>
            </c:strRef>
          </c:cat>
          <c:val>
            <c:numRef>
              <c:f>General!$H$15:$H$23</c:f>
              <c:numCache>
                <c:formatCode>#,##0.00</c:formatCode>
                <c:ptCount val="9"/>
                <c:pt idx="0">
                  <c:v>1.0530079999999999</c:v>
                </c:pt>
                <c:pt idx="1">
                  <c:v>0.52650419999999942</c:v>
                </c:pt>
                <c:pt idx="2">
                  <c:v>1.4285709999999998</c:v>
                </c:pt>
                <c:pt idx="3">
                  <c:v>1.726718</c:v>
                </c:pt>
                <c:pt idx="4">
                  <c:v>1.2517879999999999</c:v>
                </c:pt>
                <c:pt idx="5">
                  <c:v>1.82704</c:v>
                </c:pt>
                <c:pt idx="6">
                  <c:v>1.026484</c:v>
                </c:pt>
                <c:pt idx="7">
                  <c:v>2.474777</c:v>
                </c:pt>
                <c:pt idx="8">
                  <c:v>2.9949399999999997</c:v>
                </c:pt>
              </c:numCache>
            </c:numRef>
          </c:val>
        </c:ser>
        <c:dLbls>
          <c:showLegendKey val="0"/>
          <c:showVal val="0"/>
          <c:showCatName val="0"/>
          <c:showSerName val="0"/>
          <c:showPercent val="0"/>
          <c:showBubbleSize val="0"/>
        </c:dLbls>
        <c:gapWidth val="150"/>
        <c:axId val="390704376"/>
        <c:axId val="390704768"/>
      </c:barChart>
      <c:catAx>
        <c:axId val="390704376"/>
        <c:scaling>
          <c:orientation val="minMax"/>
        </c:scaling>
        <c:delete val="0"/>
        <c:axPos val="b"/>
        <c:numFmt formatCode="General" sourceLinked="0"/>
        <c:majorTickMark val="out"/>
        <c:minorTickMark val="none"/>
        <c:tickLblPos val="nextTo"/>
        <c:txPr>
          <a:bodyPr/>
          <a:lstStyle/>
          <a:p>
            <a:pPr>
              <a:defRPr sz="800"/>
            </a:pPr>
            <a:endParaRPr lang="en-US"/>
          </a:p>
        </c:txPr>
        <c:crossAx val="390704768"/>
        <c:crosses val="autoZero"/>
        <c:auto val="1"/>
        <c:lblAlgn val="ctr"/>
        <c:lblOffset val="100"/>
        <c:noMultiLvlLbl val="0"/>
      </c:catAx>
      <c:valAx>
        <c:axId val="390704768"/>
        <c:scaling>
          <c:orientation val="minMax"/>
          <c:max val="3"/>
        </c:scaling>
        <c:delete val="0"/>
        <c:axPos val="l"/>
        <c:majorGridlines/>
        <c:numFmt formatCode="#,##0.00" sourceLinked="1"/>
        <c:majorTickMark val="out"/>
        <c:minorTickMark val="none"/>
        <c:tickLblPos val="nextTo"/>
        <c:txPr>
          <a:bodyPr/>
          <a:lstStyle/>
          <a:p>
            <a:pPr>
              <a:defRPr sz="800"/>
            </a:pPr>
            <a:endParaRPr lang="en-US"/>
          </a:p>
        </c:txPr>
        <c:crossAx val="390704376"/>
        <c:crosses val="autoZero"/>
        <c:crossBetween val="between"/>
        <c:majorUnit val="0.30000000000000021"/>
      </c:valAx>
      <c:spPr>
        <a:ln>
          <a:solidFill>
            <a:schemeClr val="tx1"/>
          </a:solidFill>
        </a:ln>
      </c:spPr>
    </c:plotArea>
    <c:plotVisOnly val="1"/>
    <c:dispBlanksAs val="gap"/>
    <c:showDLblsOverMax val="0"/>
  </c:chart>
  <c:spPr>
    <a:ln>
      <a:noFill/>
    </a:ln>
  </c:sp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3085739282589702E-2"/>
          <c:y val="4.2141294838145285E-2"/>
          <c:w val="0.86060586880016243"/>
          <c:h val="0.64186205890930303"/>
        </c:manualLayout>
      </c:layout>
      <c:barChart>
        <c:barDir val="col"/>
        <c:grouping val="clustered"/>
        <c:varyColors val="0"/>
        <c:ser>
          <c:idx val="0"/>
          <c:order val="0"/>
          <c:tx>
            <c:strRef>
              <c:f>'Seed by venue'!$B$2</c:f>
              <c:strCache>
                <c:ptCount val="1"/>
                <c:pt idx="0">
                  <c:v>Licensed shop</c:v>
                </c:pt>
              </c:strCache>
            </c:strRef>
          </c:tx>
          <c:invertIfNegative val="0"/>
          <c:cat>
            <c:strRef>
              <c:f>'Seed by venue'!$C$1:$K$1</c:f>
              <c:strCache>
                <c:ptCount val="9"/>
                <c:pt idx="0">
                  <c:v>Burkina Faso</c:v>
                </c:pt>
                <c:pt idx="1">
                  <c:v>Cameroon</c:v>
                </c:pt>
                <c:pt idx="2">
                  <c:v>Ghana</c:v>
                </c:pt>
                <c:pt idx="3">
                  <c:v>Kenya</c:v>
                </c:pt>
                <c:pt idx="4">
                  <c:v>Malawi</c:v>
                </c:pt>
                <c:pt idx="5">
                  <c:v>Tanzania</c:v>
                </c:pt>
                <c:pt idx="6">
                  <c:v>Uganda</c:v>
                </c:pt>
                <c:pt idx="7">
                  <c:v>Zambia</c:v>
                </c:pt>
                <c:pt idx="8">
                  <c:v>Mali</c:v>
                </c:pt>
              </c:strCache>
            </c:strRef>
          </c:cat>
          <c:val>
            <c:numRef>
              <c:f>'Seed by venue'!$C$2:$K$2</c:f>
              <c:numCache>
                <c:formatCode>#,##0.00</c:formatCode>
                <c:ptCount val="9"/>
                <c:pt idx="0">
                  <c:v>1.263609999999999</c:v>
                </c:pt>
                <c:pt idx="1">
                  <c:v>0.58968469999999951</c:v>
                </c:pt>
                <c:pt idx="2">
                  <c:v>1.275509999999999</c:v>
                </c:pt>
                <c:pt idx="3">
                  <c:v>1.726718</c:v>
                </c:pt>
                <c:pt idx="4">
                  <c:v>2.601118</c:v>
                </c:pt>
                <c:pt idx="5">
                  <c:v>2.4360539999999959</c:v>
                </c:pt>
                <c:pt idx="6">
                  <c:v>1.190949</c:v>
                </c:pt>
                <c:pt idx="7">
                  <c:v>2.474777</c:v>
                </c:pt>
                <c:pt idx="8">
                  <c:v>2.6851180000000001</c:v>
                </c:pt>
              </c:numCache>
            </c:numRef>
          </c:val>
        </c:ser>
        <c:ser>
          <c:idx val="1"/>
          <c:order val="1"/>
          <c:tx>
            <c:strRef>
              <c:f>'Seed by venue'!$B$3</c:f>
              <c:strCache>
                <c:ptCount val="1"/>
                <c:pt idx="0">
                  <c:v>Open market</c:v>
                </c:pt>
              </c:strCache>
            </c:strRef>
          </c:tx>
          <c:invertIfNegative val="0"/>
          <c:cat>
            <c:strRef>
              <c:f>'Seed by venue'!$C$1:$K$1</c:f>
              <c:strCache>
                <c:ptCount val="9"/>
                <c:pt idx="0">
                  <c:v>Burkina Faso</c:v>
                </c:pt>
                <c:pt idx="1">
                  <c:v>Cameroon</c:v>
                </c:pt>
                <c:pt idx="2">
                  <c:v>Ghana</c:v>
                </c:pt>
                <c:pt idx="3">
                  <c:v>Kenya</c:v>
                </c:pt>
                <c:pt idx="4">
                  <c:v>Malawi</c:v>
                </c:pt>
                <c:pt idx="5">
                  <c:v>Tanzania</c:v>
                </c:pt>
                <c:pt idx="6">
                  <c:v>Uganda</c:v>
                </c:pt>
                <c:pt idx="7">
                  <c:v>Zambia</c:v>
                </c:pt>
                <c:pt idx="8">
                  <c:v>Mali</c:v>
                </c:pt>
              </c:strCache>
            </c:strRef>
          </c:cat>
          <c:val>
            <c:numRef>
              <c:f>'Seed by venue'!$C$3:$K$3</c:f>
              <c:numCache>
                <c:formatCode>General</c:formatCode>
                <c:ptCount val="9"/>
                <c:pt idx="0" formatCode="#,##0.00">
                  <c:v>1.368911</c:v>
                </c:pt>
                <c:pt idx="2" formatCode="#,##0.00">
                  <c:v>1.4285709999999998</c:v>
                </c:pt>
                <c:pt idx="3" formatCode="#,##0.00">
                  <c:v>1.8130539999999999</c:v>
                </c:pt>
                <c:pt idx="4" formatCode="#,##0.00">
                  <c:v>1.300559</c:v>
                </c:pt>
                <c:pt idx="5" formatCode="#,##0.00">
                  <c:v>1.82704</c:v>
                </c:pt>
                <c:pt idx="6" formatCode="#,##0.00">
                  <c:v>1.190949</c:v>
                </c:pt>
                <c:pt idx="7" formatCode="#,##0.00">
                  <c:v>1.5419759999999998</c:v>
                </c:pt>
                <c:pt idx="8" formatCode="#,##0.00">
                  <c:v>3.0982129999999977</c:v>
                </c:pt>
              </c:numCache>
            </c:numRef>
          </c:val>
        </c:ser>
        <c:ser>
          <c:idx val="2"/>
          <c:order val="2"/>
          <c:tx>
            <c:strRef>
              <c:f>'Seed by venue'!$B$4</c:f>
              <c:strCache>
                <c:ptCount val="1"/>
                <c:pt idx="0">
                  <c:v>Traded with peers</c:v>
                </c:pt>
              </c:strCache>
            </c:strRef>
          </c:tx>
          <c:spPr>
            <a:solidFill>
              <a:schemeClr val="bg1">
                <a:lumMod val="65000"/>
              </a:schemeClr>
            </a:solidFill>
          </c:spPr>
          <c:invertIfNegative val="0"/>
          <c:cat>
            <c:strRef>
              <c:f>'Seed by venue'!$C$1:$K$1</c:f>
              <c:strCache>
                <c:ptCount val="9"/>
                <c:pt idx="0">
                  <c:v>Burkina Faso</c:v>
                </c:pt>
                <c:pt idx="1">
                  <c:v>Cameroon</c:v>
                </c:pt>
                <c:pt idx="2">
                  <c:v>Ghana</c:v>
                </c:pt>
                <c:pt idx="3">
                  <c:v>Kenya</c:v>
                </c:pt>
                <c:pt idx="4">
                  <c:v>Malawi</c:v>
                </c:pt>
                <c:pt idx="5">
                  <c:v>Tanzania</c:v>
                </c:pt>
                <c:pt idx="6">
                  <c:v>Uganda</c:v>
                </c:pt>
                <c:pt idx="7">
                  <c:v>Zambia</c:v>
                </c:pt>
                <c:pt idx="8">
                  <c:v>Mali</c:v>
                </c:pt>
              </c:strCache>
            </c:strRef>
          </c:cat>
          <c:val>
            <c:numRef>
              <c:f>'Seed by venue'!$C$4:$K$4</c:f>
              <c:numCache>
                <c:formatCode>#,##0.00</c:formatCode>
                <c:ptCount val="9"/>
                <c:pt idx="0">
                  <c:v>0.84240680000000001</c:v>
                </c:pt>
                <c:pt idx="1">
                  <c:v>1.0530079999999999</c:v>
                </c:pt>
                <c:pt idx="2">
                  <c:v>1.0714289999999991</c:v>
                </c:pt>
                <c:pt idx="3">
                  <c:v>1.496489</c:v>
                </c:pt>
                <c:pt idx="4">
                  <c:v>1.538994999999999</c:v>
                </c:pt>
                <c:pt idx="5">
                  <c:v>1.82704</c:v>
                </c:pt>
                <c:pt idx="6">
                  <c:v>0.99245729999999943</c:v>
                </c:pt>
                <c:pt idx="7">
                  <c:v>1.9036739999999999</c:v>
                </c:pt>
                <c:pt idx="8">
                  <c:v>2.753968</c:v>
                </c:pt>
              </c:numCache>
            </c:numRef>
          </c:val>
        </c:ser>
        <c:dLbls>
          <c:showLegendKey val="0"/>
          <c:showVal val="0"/>
          <c:showCatName val="0"/>
          <c:showSerName val="0"/>
          <c:showPercent val="0"/>
          <c:showBubbleSize val="0"/>
        </c:dLbls>
        <c:gapWidth val="150"/>
        <c:axId val="390705552"/>
        <c:axId val="390705944"/>
      </c:barChart>
      <c:catAx>
        <c:axId val="390705552"/>
        <c:scaling>
          <c:orientation val="minMax"/>
        </c:scaling>
        <c:delete val="0"/>
        <c:axPos val="b"/>
        <c:numFmt formatCode="General" sourceLinked="0"/>
        <c:majorTickMark val="out"/>
        <c:minorTickMark val="none"/>
        <c:tickLblPos val="nextTo"/>
        <c:txPr>
          <a:bodyPr/>
          <a:lstStyle/>
          <a:p>
            <a:pPr>
              <a:defRPr sz="800"/>
            </a:pPr>
            <a:endParaRPr lang="en-US"/>
          </a:p>
        </c:txPr>
        <c:crossAx val="390705944"/>
        <c:crosses val="autoZero"/>
        <c:auto val="1"/>
        <c:lblAlgn val="ctr"/>
        <c:lblOffset val="100"/>
        <c:noMultiLvlLbl val="0"/>
      </c:catAx>
      <c:valAx>
        <c:axId val="390705944"/>
        <c:scaling>
          <c:orientation val="minMax"/>
          <c:max val="3"/>
        </c:scaling>
        <c:delete val="0"/>
        <c:axPos val="l"/>
        <c:majorGridlines/>
        <c:numFmt formatCode="#,##0.00" sourceLinked="1"/>
        <c:majorTickMark val="out"/>
        <c:minorTickMark val="none"/>
        <c:tickLblPos val="nextTo"/>
        <c:txPr>
          <a:bodyPr/>
          <a:lstStyle/>
          <a:p>
            <a:pPr>
              <a:defRPr sz="800"/>
            </a:pPr>
            <a:endParaRPr lang="en-US"/>
          </a:p>
        </c:txPr>
        <c:crossAx val="390705552"/>
        <c:crosses val="autoZero"/>
        <c:crossBetween val="between"/>
      </c:valAx>
      <c:spPr>
        <a:ln>
          <a:solidFill>
            <a:schemeClr val="tx1"/>
          </a:solidFill>
        </a:ln>
      </c:spPr>
    </c:plotArea>
    <c:legend>
      <c:legendPos val="b"/>
      <c:layout>
        <c:manualLayout>
          <c:xMode val="edge"/>
          <c:yMode val="edge"/>
          <c:x val="6.5587051618547734E-2"/>
          <c:y val="0.9162828083989496"/>
          <c:w val="0.87715923009623842"/>
          <c:h val="8.371719160104997E-2"/>
        </c:manualLayout>
      </c:layout>
      <c:overlay val="0"/>
      <c:txPr>
        <a:bodyPr/>
        <a:lstStyle/>
        <a:p>
          <a:pPr>
            <a:defRPr sz="800"/>
          </a:pPr>
          <a:endParaRPr lang="en-US"/>
        </a:p>
      </c:txPr>
    </c:legend>
    <c:plotVisOnly val="1"/>
    <c:dispBlanksAs val="gap"/>
    <c:showDLblsOverMax val="0"/>
  </c:chart>
  <c:spPr>
    <a:ln>
      <a:noFill/>
    </a:ln>
  </c:sp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593285214348212"/>
          <c:y val="5.1400554097404488E-2"/>
          <c:w val="0.50221762904636225"/>
          <c:h val="0.8326195683872849"/>
        </c:manualLayout>
      </c:layout>
      <c:lineChart>
        <c:grouping val="standard"/>
        <c:varyColors val="0"/>
        <c:ser>
          <c:idx val="0"/>
          <c:order val="0"/>
          <c:tx>
            <c:strRef>
              <c:f>Imports!$Q$48</c:f>
              <c:strCache>
                <c:ptCount val="1"/>
                <c:pt idx="0">
                  <c:v>Import volume (2005 = 100, LHS)</c:v>
                </c:pt>
              </c:strCache>
            </c:strRef>
          </c:tx>
          <c:marker>
            <c:symbol val="none"/>
          </c:marker>
          <c:cat>
            <c:numRef>
              <c:f>Imports!$R$47:$W$47</c:f>
              <c:numCache>
                <c:formatCode>General</c:formatCode>
                <c:ptCount val="6"/>
                <c:pt idx="0">
                  <c:v>2005</c:v>
                </c:pt>
                <c:pt idx="1">
                  <c:v>2006</c:v>
                </c:pt>
                <c:pt idx="2">
                  <c:v>2007</c:v>
                </c:pt>
                <c:pt idx="3">
                  <c:v>2008</c:v>
                </c:pt>
                <c:pt idx="4">
                  <c:v>2009</c:v>
                </c:pt>
                <c:pt idx="5">
                  <c:v>2010</c:v>
                </c:pt>
              </c:numCache>
            </c:numRef>
          </c:cat>
          <c:val>
            <c:numRef>
              <c:f>Imports!$R$48:$W$48</c:f>
              <c:numCache>
                <c:formatCode>0</c:formatCode>
                <c:ptCount val="6"/>
                <c:pt idx="0">
                  <c:v>100</c:v>
                </c:pt>
                <c:pt idx="1">
                  <c:v>112.21760591348468</c:v>
                </c:pt>
                <c:pt idx="2">
                  <c:v>131.86934792014554</c:v>
                </c:pt>
                <c:pt idx="3">
                  <c:v>151.11282783961641</c:v>
                </c:pt>
                <c:pt idx="4">
                  <c:v>126.55677832137278</c:v>
                </c:pt>
                <c:pt idx="5">
                  <c:v>154.89958116157882</c:v>
                </c:pt>
              </c:numCache>
            </c:numRef>
          </c:val>
          <c:smooth val="0"/>
        </c:ser>
        <c:dLbls>
          <c:showLegendKey val="0"/>
          <c:showVal val="0"/>
          <c:showCatName val="0"/>
          <c:showSerName val="0"/>
          <c:showPercent val="0"/>
          <c:showBubbleSize val="0"/>
        </c:dLbls>
        <c:marker val="1"/>
        <c:smooth val="0"/>
        <c:axId val="390706728"/>
        <c:axId val="390707120"/>
      </c:lineChart>
      <c:lineChart>
        <c:grouping val="standard"/>
        <c:varyColors val="0"/>
        <c:ser>
          <c:idx val="1"/>
          <c:order val="1"/>
          <c:tx>
            <c:strRef>
              <c:f>Imports!$Q$49</c:f>
              <c:strCache>
                <c:ptCount val="1"/>
                <c:pt idx="0">
                  <c:v>Percent of total services imports (RHS)</c:v>
                </c:pt>
              </c:strCache>
            </c:strRef>
          </c:tx>
          <c:marker>
            <c:symbol val="none"/>
          </c:marker>
          <c:cat>
            <c:numRef>
              <c:f>Imports!$R$47:$W$47</c:f>
              <c:numCache>
                <c:formatCode>General</c:formatCode>
                <c:ptCount val="6"/>
                <c:pt idx="0">
                  <c:v>2005</c:v>
                </c:pt>
                <c:pt idx="1">
                  <c:v>2006</c:v>
                </c:pt>
                <c:pt idx="2">
                  <c:v>2007</c:v>
                </c:pt>
                <c:pt idx="3">
                  <c:v>2008</c:v>
                </c:pt>
                <c:pt idx="4">
                  <c:v>2009</c:v>
                </c:pt>
                <c:pt idx="5">
                  <c:v>2010</c:v>
                </c:pt>
              </c:numCache>
            </c:numRef>
          </c:cat>
          <c:val>
            <c:numRef>
              <c:f>Imports!$R$49:$W$49</c:f>
              <c:numCache>
                <c:formatCode>0%</c:formatCode>
                <c:ptCount val="6"/>
                <c:pt idx="0">
                  <c:v>7.8192831293036058E-2</c:v>
                </c:pt>
                <c:pt idx="1">
                  <c:v>7.850005118649811E-2</c:v>
                </c:pt>
                <c:pt idx="2">
                  <c:v>8.2301931460159433E-2</c:v>
                </c:pt>
                <c:pt idx="3">
                  <c:v>8.3262557052783834E-2</c:v>
                </c:pt>
                <c:pt idx="4">
                  <c:v>7.7923860010586848E-2</c:v>
                </c:pt>
                <c:pt idx="5">
                  <c:v>8.1869093319154068E-2</c:v>
                </c:pt>
              </c:numCache>
            </c:numRef>
          </c:val>
          <c:smooth val="0"/>
        </c:ser>
        <c:dLbls>
          <c:showLegendKey val="0"/>
          <c:showVal val="0"/>
          <c:showCatName val="0"/>
          <c:showSerName val="0"/>
          <c:showPercent val="0"/>
          <c:showBubbleSize val="0"/>
        </c:dLbls>
        <c:marker val="1"/>
        <c:smooth val="0"/>
        <c:axId val="390707904"/>
        <c:axId val="390707512"/>
      </c:lineChart>
      <c:catAx>
        <c:axId val="390706728"/>
        <c:scaling>
          <c:orientation val="minMax"/>
        </c:scaling>
        <c:delete val="0"/>
        <c:axPos val="b"/>
        <c:numFmt formatCode="General" sourceLinked="1"/>
        <c:majorTickMark val="out"/>
        <c:minorTickMark val="none"/>
        <c:tickLblPos val="nextTo"/>
        <c:crossAx val="390707120"/>
        <c:crosses val="autoZero"/>
        <c:auto val="1"/>
        <c:lblAlgn val="ctr"/>
        <c:lblOffset val="100"/>
        <c:noMultiLvlLbl val="0"/>
      </c:catAx>
      <c:valAx>
        <c:axId val="390707120"/>
        <c:scaling>
          <c:orientation val="minMax"/>
          <c:max val="160"/>
          <c:min val="100"/>
        </c:scaling>
        <c:delete val="0"/>
        <c:axPos val="l"/>
        <c:majorGridlines>
          <c:spPr>
            <a:ln>
              <a:prstDash val="dash"/>
            </a:ln>
          </c:spPr>
        </c:majorGridlines>
        <c:numFmt formatCode="0" sourceLinked="1"/>
        <c:majorTickMark val="out"/>
        <c:minorTickMark val="none"/>
        <c:tickLblPos val="nextTo"/>
        <c:crossAx val="390706728"/>
        <c:crosses val="autoZero"/>
        <c:crossBetween val="midCat"/>
        <c:majorUnit val="10"/>
      </c:valAx>
      <c:valAx>
        <c:axId val="390707512"/>
        <c:scaling>
          <c:orientation val="minMax"/>
          <c:max val="0.13"/>
          <c:min val="7.0000000000000034E-2"/>
        </c:scaling>
        <c:delete val="0"/>
        <c:axPos val="r"/>
        <c:numFmt formatCode="0%" sourceLinked="1"/>
        <c:majorTickMark val="out"/>
        <c:minorTickMark val="none"/>
        <c:tickLblPos val="nextTo"/>
        <c:crossAx val="390707904"/>
        <c:crosses val="max"/>
        <c:crossBetween val="between"/>
      </c:valAx>
      <c:catAx>
        <c:axId val="390707904"/>
        <c:scaling>
          <c:orientation val="minMax"/>
        </c:scaling>
        <c:delete val="1"/>
        <c:axPos val="b"/>
        <c:numFmt formatCode="General" sourceLinked="1"/>
        <c:majorTickMark val="out"/>
        <c:minorTickMark val="none"/>
        <c:tickLblPos val="none"/>
        <c:crossAx val="390707512"/>
        <c:crosses val="autoZero"/>
        <c:auto val="1"/>
        <c:lblAlgn val="ctr"/>
        <c:lblOffset val="100"/>
        <c:noMultiLvlLbl val="0"/>
      </c:catAx>
    </c:plotArea>
    <c:legend>
      <c:legendPos val="r"/>
      <c:layout>
        <c:manualLayout>
          <c:xMode val="edge"/>
          <c:yMode val="edge"/>
          <c:x val="0.69722222222222241"/>
          <c:y val="0.23071376494604842"/>
          <c:w val="0.28611111111111109"/>
          <c:h val="0.52468358121901426"/>
        </c:manualLayout>
      </c:layout>
      <c:overlay val="0"/>
    </c:legend>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Change!$D$10</c:f>
              <c:strCache>
                <c:ptCount val="1"/>
                <c:pt idx="0">
                  <c:v>less restrictive</c:v>
                </c:pt>
              </c:strCache>
            </c:strRef>
          </c:tx>
          <c:spPr>
            <a:solidFill>
              <a:srgbClr val="00B05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Change!$B$11:$C$15</c:f>
              <c:strCache>
                <c:ptCount val="5"/>
                <c:pt idx="0">
                  <c:v>Indonesia</c:v>
                </c:pt>
                <c:pt idx="1">
                  <c:v>Malaysia</c:v>
                </c:pt>
                <c:pt idx="2">
                  <c:v>The Philippines</c:v>
                </c:pt>
                <c:pt idx="3">
                  <c:v>Thailand</c:v>
                </c:pt>
                <c:pt idx="4">
                  <c:v>Viet Nam</c:v>
                </c:pt>
              </c:strCache>
            </c:strRef>
          </c:cat>
          <c:val>
            <c:numRef>
              <c:f>Change!$D$11:$D$15</c:f>
              <c:numCache>
                <c:formatCode>General</c:formatCode>
                <c:ptCount val="5"/>
                <c:pt idx="0">
                  <c:v>6</c:v>
                </c:pt>
                <c:pt idx="1">
                  <c:v>1</c:v>
                </c:pt>
                <c:pt idx="2">
                  <c:v>8</c:v>
                </c:pt>
                <c:pt idx="3">
                  <c:v>2</c:v>
                </c:pt>
                <c:pt idx="4">
                  <c:v>1</c:v>
                </c:pt>
              </c:numCache>
            </c:numRef>
          </c:val>
        </c:ser>
        <c:ser>
          <c:idx val="1"/>
          <c:order val="1"/>
          <c:tx>
            <c:strRef>
              <c:f>Change!$E$10</c:f>
              <c:strCache>
                <c:ptCount val="1"/>
                <c:pt idx="0">
                  <c:v>no change</c:v>
                </c:pt>
              </c:strCache>
            </c:strRef>
          </c:tx>
          <c:spPr>
            <a:solidFill>
              <a:srgbClr val="FFFF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Change!$B$11:$C$15</c:f>
              <c:strCache>
                <c:ptCount val="5"/>
                <c:pt idx="0">
                  <c:v>Indonesia</c:v>
                </c:pt>
                <c:pt idx="1">
                  <c:v>Malaysia</c:v>
                </c:pt>
                <c:pt idx="2">
                  <c:v>The Philippines</c:v>
                </c:pt>
                <c:pt idx="3">
                  <c:v>Thailand</c:v>
                </c:pt>
                <c:pt idx="4">
                  <c:v>Viet Nam</c:v>
                </c:pt>
              </c:strCache>
            </c:strRef>
          </c:cat>
          <c:val>
            <c:numRef>
              <c:f>Change!$E$11:$E$15</c:f>
              <c:numCache>
                <c:formatCode>General</c:formatCode>
                <c:ptCount val="5"/>
                <c:pt idx="0">
                  <c:v>9</c:v>
                </c:pt>
                <c:pt idx="1">
                  <c:v>13</c:v>
                </c:pt>
                <c:pt idx="2">
                  <c:v>7</c:v>
                </c:pt>
                <c:pt idx="3">
                  <c:v>11</c:v>
                </c:pt>
                <c:pt idx="4">
                  <c:v>9</c:v>
                </c:pt>
              </c:numCache>
            </c:numRef>
          </c:val>
        </c:ser>
        <c:ser>
          <c:idx val="2"/>
          <c:order val="2"/>
          <c:tx>
            <c:strRef>
              <c:f>Change!$F$10</c:f>
              <c:strCache>
                <c:ptCount val="1"/>
                <c:pt idx="0">
                  <c:v>more restrictive</c:v>
                </c:pt>
              </c:strCache>
            </c:strRef>
          </c:tx>
          <c:spPr>
            <a:solidFill>
              <a:srgbClr val="FF00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Change!$B$11:$C$15</c:f>
              <c:strCache>
                <c:ptCount val="5"/>
                <c:pt idx="0">
                  <c:v>Indonesia</c:v>
                </c:pt>
                <c:pt idx="1">
                  <c:v>Malaysia</c:v>
                </c:pt>
                <c:pt idx="2">
                  <c:v>The Philippines</c:v>
                </c:pt>
                <c:pt idx="3">
                  <c:v>Thailand</c:v>
                </c:pt>
                <c:pt idx="4">
                  <c:v>Viet Nam</c:v>
                </c:pt>
              </c:strCache>
            </c:strRef>
          </c:cat>
          <c:val>
            <c:numRef>
              <c:f>Change!$F$11:$F$15</c:f>
              <c:numCache>
                <c:formatCode>General</c:formatCode>
                <c:ptCount val="5"/>
                <c:pt idx="0">
                  <c:v>5</c:v>
                </c:pt>
                <c:pt idx="1">
                  <c:v>5</c:v>
                </c:pt>
                <c:pt idx="2">
                  <c:v>4</c:v>
                </c:pt>
                <c:pt idx="3">
                  <c:v>4</c:v>
                </c:pt>
                <c:pt idx="4">
                  <c:v>7</c:v>
                </c:pt>
              </c:numCache>
            </c:numRef>
          </c:val>
        </c:ser>
        <c:dLbls>
          <c:showLegendKey val="0"/>
          <c:showVal val="0"/>
          <c:showCatName val="0"/>
          <c:showSerName val="0"/>
          <c:showPercent val="0"/>
          <c:showBubbleSize val="0"/>
        </c:dLbls>
        <c:gapWidth val="150"/>
        <c:overlap val="100"/>
        <c:axId val="390777944"/>
        <c:axId val="390778336"/>
      </c:barChart>
      <c:catAx>
        <c:axId val="390777944"/>
        <c:scaling>
          <c:orientation val="minMax"/>
        </c:scaling>
        <c:delete val="0"/>
        <c:axPos val="b"/>
        <c:numFmt formatCode="General" sourceLinked="0"/>
        <c:majorTickMark val="out"/>
        <c:minorTickMark val="none"/>
        <c:tickLblPos val="nextTo"/>
        <c:crossAx val="390778336"/>
        <c:crosses val="autoZero"/>
        <c:auto val="1"/>
        <c:lblAlgn val="ctr"/>
        <c:lblOffset val="100"/>
        <c:noMultiLvlLbl val="0"/>
      </c:catAx>
      <c:valAx>
        <c:axId val="390778336"/>
        <c:scaling>
          <c:orientation val="minMax"/>
          <c:max val="20"/>
        </c:scaling>
        <c:delete val="0"/>
        <c:axPos val="l"/>
        <c:numFmt formatCode="General" sourceLinked="1"/>
        <c:majorTickMark val="out"/>
        <c:minorTickMark val="none"/>
        <c:tickLblPos val="none"/>
        <c:crossAx val="390777944"/>
        <c:crosses val="autoZero"/>
        <c:crossBetween val="between"/>
      </c:valAx>
    </c:plotArea>
    <c:legend>
      <c:legendPos val="r"/>
      <c:overlay val="0"/>
    </c:legend>
    <c:plotVisOnly val="1"/>
    <c:dispBlanksAs val="gap"/>
    <c:showDLblsOverMax val="0"/>
  </c:chart>
  <c:txPr>
    <a:bodyPr/>
    <a:lstStyle/>
    <a:p>
      <a:pPr>
        <a:defRPr sz="800"/>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829052930883642"/>
          <c:y val="5.1400554097404488E-2"/>
          <c:w val="0.7987060367454073"/>
          <c:h val="0.8326195683872849"/>
        </c:manualLayout>
      </c:layout>
      <c:barChart>
        <c:barDir val="col"/>
        <c:grouping val="clustered"/>
        <c:varyColors val="0"/>
        <c:ser>
          <c:idx val="0"/>
          <c:order val="0"/>
          <c:tx>
            <c:strRef>
              <c:f>'Firm-level data'!$C$28</c:f>
              <c:strCache>
                <c:ptCount val="1"/>
                <c:pt idx="0">
                  <c:v>Global</c:v>
                </c:pt>
              </c:strCache>
            </c:strRef>
          </c:tx>
          <c:invertIfNegative val="0"/>
          <c:cat>
            <c:strRef>
              <c:f>'Firm-level data'!$B$29:$B$32</c:f>
              <c:strCache>
                <c:ptCount val="4"/>
                <c:pt idx="0">
                  <c:v>BFA</c:v>
                </c:pt>
                <c:pt idx="1">
                  <c:v>CIV</c:v>
                </c:pt>
                <c:pt idx="2">
                  <c:v>NER</c:v>
                </c:pt>
                <c:pt idx="3">
                  <c:v>SEN</c:v>
                </c:pt>
              </c:strCache>
            </c:strRef>
          </c:cat>
          <c:val>
            <c:numRef>
              <c:f>'Firm-level data'!$C$29:$C$32</c:f>
              <c:numCache>
                <c:formatCode>_(* #,##0_);_(* \(#,##0\);_(* "-"??_);_(@_)</c:formatCode>
                <c:ptCount val="4"/>
                <c:pt idx="0">
                  <c:v>1552742.85</c:v>
                </c:pt>
                <c:pt idx="1">
                  <c:v>3628149.1549999998</c:v>
                </c:pt>
                <c:pt idx="2">
                  <c:v>865059.05</c:v>
                </c:pt>
                <c:pt idx="3">
                  <c:v>7353621.5</c:v>
                </c:pt>
              </c:numCache>
            </c:numRef>
          </c:val>
        </c:ser>
        <c:ser>
          <c:idx val="1"/>
          <c:order val="1"/>
          <c:tx>
            <c:strRef>
              <c:f>'Firm-level data'!$D$28</c:f>
              <c:strCache>
                <c:ptCount val="1"/>
                <c:pt idx="0">
                  <c:v>Global &amp; regional</c:v>
                </c:pt>
              </c:strCache>
            </c:strRef>
          </c:tx>
          <c:invertIfNegative val="0"/>
          <c:cat>
            <c:strRef>
              <c:f>'Firm-level data'!$B$29:$B$32</c:f>
              <c:strCache>
                <c:ptCount val="4"/>
                <c:pt idx="0">
                  <c:v>BFA</c:v>
                </c:pt>
                <c:pt idx="1">
                  <c:v>CIV</c:v>
                </c:pt>
                <c:pt idx="2">
                  <c:v>NER</c:v>
                </c:pt>
                <c:pt idx="3">
                  <c:v>SEN</c:v>
                </c:pt>
              </c:strCache>
            </c:strRef>
          </c:cat>
          <c:val>
            <c:numRef>
              <c:f>'Firm-level data'!$D$29:$D$32</c:f>
              <c:numCache>
                <c:formatCode>_(* #,##0_);_(* \(#,##0\);_(* "-"??_);_(@_)</c:formatCode>
                <c:ptCount val="4"/>
                <c:pt idx="0">
                  <c:v>1426559.5</c:v>
                </c:pt>
                <c:pt idx="1">
                  <c:v>21833925.5</c:v>
                </c:pt>
                <c:pt idx="2">
                  <c:v>3444096.25</c:v>
                </c:pt>
                <c:pt idx="3">
                  <c:v>5110953</c:v>
                </c:pt>
              </c:numCache>
            </c:numRef>
          </c:val>
        </c:ser>
        <c:ser>
          <c:idx val="2"/>
          <c:order val="2"/>
          <c:tx>
            <c:strRef>
              <c:f>'Firm-level data'!$E$28</c:f>
              <c:strCache>
                <c:ptCount val="1"/>
                <c:pt idx="0">
                  <c:v>Regional</c:v>
                </c:pt>
              </c:strCache>
            </c:strRef>
          </c:tx>
          <c:invertIfNegative val="0"/>
          <c:cat>
            <c:strRef>
              <c:f>'Firm-level data'!$B$29:$B$32</c:f>
              <c:strCache>
                <c:ptCount val="4"/>
                <c:pt idx="0">
                  <c:v>BFA</c:v>
                </c:pt>
                <c:pt idx="1">
                  <c:v>CIV</c:v>
                </c:pt>
                <c:pt idx="2">
                  <c:v>NER</c:v>
                </c:pt>
                <c:pt idx="3">
                  <c:v>SEN</c:v>
                </c:pt>
              </c:strCache>
            </c:strRef>
          </c:cat>
          <c:val>
            <c:numRef>
              <c:f>'Firm-level data'!$E$29:$E$32</c:f>
              <c:numCache>
                <c:formatCode>_(* #,##0_);_(* \(#,##0\);_(* "-"??_);_(@_)</c:formatCode>
                <c:ptCount val="4"/>
                <c:pt idx="0">
                  <c:v>150174.65</c:v>
                </c:pt>
                <c:pt idx="1">
                  <c:v>147242.49</c:v>
                </c:pt>
                <c:pt idx="2">
                  <c:v>138099.1</c:v>
                </c:pt>
                <c:pt idx="3">
                  <c:v>436461.55</c:v>
                </c:pt>
              </c:numCache>
            </c:numRef>
          </c:val>
        </c:ser>
        <c:dLbls>
          <c:showLegendKey val="0"/>
          <c:showVal val="0"/>
          <c:showCatName val="0"/>
          <c:showSerName val="0"/>
          <c:showPercent val="0"/>
          <c:showBubbleSize val="0"/>
        </c:dLbls>
        <c:gapWidth val="150"/>
        <c:axId val="388768032"/>
        <c:axId val="388768424"/>
      </c:barChart>
      <c:catAx>
        <c:axId val="388768032"/>
        <c:scaling>
          <c:orientation val="minMax"/>
        </c:scaling>
        <c:delete val="0"/>
        <c:axPos val="b"/>
        <c:numFmt formatCode="General" sourceLinked="0"/>
        <c:majorTickMark val="out"/>
        <c:minorTickMark val="none"/>
        <c:tickLblPos val="nextTo"/>
        <c:crossAx val="388768424"/>
        <c:crosses val="autoZero"/>
        <c:auto val="1"/>
        <c:lblAlgn val="ctr"/>
        <c:lblOffset val="100"/>
        <c:noMultiLvlLbl val="0"/>
      </c:catAx>
      <c:valAx>
        <c:axId val="388768424"/>
        <c:scaling>
          <c:orientation val="minMax"/>
        </c:scaling>
        <c:delete val="0"/>
        <c:axPos val="l"/>
        <c:numFmt formatCode="_(* #,##0_);_(* \(#,##0\);_(* &quot;-&quot;??_);_(@_)" sourceLinked="1"/>
        <c:majorTickMark val="out"/>
        <c:minorTickMark val="none"/>
        <c:tickLblPos val="nextTo"/>
        <c:crossAx val="388768032"/>
        <c:crosses val="autoZero"/>
        <c:crossBetween val="between"/>
      </c:valAx>
    </c:plotArea>
    <c:legend>
      <c:legendPos val="r"/>
      <c:layout>
        <c:manualLayout>
          <c:xMode val="edge"/>
          <c:yMode val="edge"/>
          <c:x val="0.71772244094488258"/>
          <c:y val="6.423884514435696E-2"/>
          <c:w val="0.24338867016622934"/>
          <c:h val="0.25115157480314959"/>
        </c:manualLayout>
      </c:layout>
      <c:overlay val="0"/>
    </c:legend>
    <c:plotVisOnly val="1"/>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The Philippines</a:t>
            </a:r>
          </a:p>
        </c:rich>
      </c:tx>
      <c:layout>
        <c:manualLayout>
          <c:xMode val="edge"/>
          <c:yMode val="edge"/>
          <c:x val="0.78145144356955465"/>
          <c:y val="5.0925925925925923E-2"/>
        </c:manualLayout>
      </c:layout>
      <c:overlay val="1"/>
    </c:title>
    <c:autoTitleDeleted val="0"/>
    <c:plotArea>
      <c:layout>
        <c:manualLayout>
          <c:layoutTarget val="inner"/>
          <c:xMode val="edge"/>
          <c:yMode val="edge"/>
          <c:x val="0.1968702974628172"/>
          <c:y val="0.17989975211431924"/>
          <c:w val="0.40078696412948872"/>
          <c:h val="0.6679782735491524"/>
        </c:manualLayout>
      </c:layout>
      <c:radarChart>
        <c:radarStyle val="marker"/>
        <c:varyColors val="0"/>
        <c:ser>
          <c:idx val="0"/>
          <c:order val="0"/>
          <c:tx>
            <c:strRef>
              <c:f>Aggregate!$M$1</c:f>
              <c:strCache>
                <c:ptCount val="1"/>
                <c:pt idx="0">
                  <c:v>GATS-UR</c:v>
                </c:pt>
              </c:strCache>
            </c:strRef>
          </c:tx>
          <c:marker>
            <c:symbol val="none"/>
          </c:marker>
          <c:cat>
            <c:strRef>
              <c:f>Aggregate!$E$92:$AB$96</c:f>
              <c:strCache>
                <c:ptCount val="25"/>
                <c:pt idx="0">
                  <c:v>Financial services</c:v>
                </c:pt>
                <c:pt idx="1">
                  <c:v>Telecom</c:v>
                </c:pt>
                <c:pt idx="2">
                  <c:v>Retailing</c:v>
                </c:pt>
                <c:pt idx="3">
                  <c:v>Transport</c:v>
                </c:pt>
                <c:pt idx="4">
                  <c:v>Professional services</c:v>
                </c:pt>
                <c:pt idx="5">
                  <c:v>70.00</c:v>
                </c:pt>
                <c:pt idx="6">
                  <c:v>100.00</c:v>
                </c:pt>
                <c:pt idx="7">
                  <c:v>100.00</c:v>
                </c:pt>
                <c:pt idx="8">
                  <c:v>50.00</c:v>
                </c:pt>
                <c:pt idx="9">
                  <c:v>100.00</c:v>
                </c:pt>
                <c:pt idx="10">
                  <c:v>70.00</c:v>
                </c:pt>
                <c:pt idx="11">
                  <c:v>75.00</c:v>
                </c:pt>
                <c:pt idx="12">
                  <c:v>100.00</c:v>
                </c:pt>
                <c:pt idx="13">
                  <c:v>50.00</c:v>
                </c:pt>
                <c:pt idx="14">
                  <c:v>100.00</c:v>
                </c:pt>
                <c:pt idx="15">
                  <c:v>70.00</c:v>
                </c:pt>
                <c:pt idx="16">
                  <c:v>75.00</c:v>
                </c:pt>
                <c:pt idx="17">
                  <c:v>50.00</c:v>
                </c:pt>
                <c:pt idx="18">
                  <c:v>40.00</c:v>
                </c:pt>
                <c:pt idx="19">
                  <c:v>66.67</c:v>
                </c:pt>
                <c:pt idx="20">
                  <c:v>50.00</c:v>
                </c:pt>
                <c:pt idx="21">
                  <c:v>50.00</c:v>
                </c:pt>
                <c:pt idx="22">
                  <c:v>50.00</c:v>
                </c:pt>
                <c:pt idx="23">
                  <c:v>50.00</c:v>
                </c:pt>
                <c:pt idx="24">
                  <c:v>63.64</c:v>
                </c:pt>
              </c:strCache>
            </c:strRef>
          </c:cat>
          <c:val>
            <c:numRef>
              <c:f>Aggregate!$M$92:$M$96</c:f>
              <c:numCache>
                <c:formatCode>0.00</c:formatCode>
                <c:ptCount val="5"/>
                <c:pt idx="0">
                  <c:v>70</c:v>
                </c:pt>
                <c:pt idx="1">
                  <c:v>100</c:v>
                </c:pt>
                <c:pt idx="2">
                  <c:v>100</c:v>
                </c:pt>
                <c:pt idx="3">
                  <c:v>50</c:v>
                </c:pt>
                <c:pt idx="4">
                  <c:v>100</c:v>
                </c:pt>
              </c:numCache>
            </c:numRef>
          </c:val>
        </c:ser>
        <c:ser>
          <c:idx val="1"/>
          <c:order val="1"/>
          <c:tx>
            <c:strRef>
              <c:f>Aggregate!$N$1</c:f>
              <c:strCache>
                <c:ptCount val="1"/>
              </c:strCache>
            </c:strRef>
          </c:tx>
          <c:marker>
            <c:symbol val="none"/>
          </c:marker>
          <c:cat>
            <c:strRef>
              <c:f>Aggregate!$E$92:$AB$96</c:f>
              <c:strCache>
                <c:ptCount val="25"/>
                <c:pt idx="0">
                  <c:v>Financial services</c:v>
                </c:pt>
                <c:pt idx="1">
                  <c:v>Telecom</c:v>
                </c:pt>
                <c:pt idx="2">
                  <c:v>Retailing</c:v>
                </c:pt>
                <c:pt idx="3">
                  <c:v>Transport</c:v>
                </c:pt>
                <c:pt idx="4">
                  <c:v>Professional services</c:v>
                </c:pt>
                <c:pt idx="5">
                  <c:v>70.00</c:v>
                </c:pt>
                <c:pt idx="6">
                  <c:v>100.00</c:v>
                </c:pt>
                <c:pt idx="7">
                  <c:v>100.00</c:v>
                </c:pt>
                <c:pt idx="8">
                  <c:v>50.00</c:v>
                </c:pt>
                <c:pt idx="9">
                  <c:v>100.00</c:v>
                </c:pt>
                <c:pt idx="10">
                  <c:v>70.00</c:v>
                </c:pt>
                <c:pt idx="11">
                  <c:v>75.00</c:v>
                </c:pt>
                <c:pt idx="12">
                  <c:v>100.00</c:v>
                </c:pt>
                <c:pt idx="13">
                  <c:v>50.00</c:v>
                </c:pt>
                <c:pt idx="14">
                  <c:v>100.00</c:v>
                </c:pt>
                <c:pt idx="15">
                  <c:v>70.00</c:v>
                </c:pt>
                <c:pt idx="16">
                  <c:v>75.00</c:v>
                </c:pt>
                <c:pt idx="17">
                  <c:v>50.00</c:v>
                </c:pt>
                <c:pt idx="18">
                  <c:v>40.00</c:v>
                </c:pt>
                <c:pt idx="19">
                  <c:v>66.67</c:v>
                </c:pt>
                <c:pt idx="20">
                  <c:v>50.00</c:v>
                </c:pt>
                <c:pt idx="21">
                  <c:v>50.00</c:v>
                </c:pt>
                <c:pt idx="22">
                  <c:v>50.00</c:v>
                </c:pt>
                <c:pt idx="23">
                  <c:v>50.00</c:v>
                </c:pt>
                <c:pt idx="24">
                  <c:v>63.64</c:v>
                </c:pt>
              </c:strCache>
            </c:strRef>
          </c:cat>
          <c:val>
            <c:numRef>
              <c:f>Aggregate!$N$92:$N$96</c:f>
            </c:numRef>
          </c:val>
        </c:ser>
        <c:ser>
          <c:idx val="2"/>
          <c:order val="2"/>
          <c:tx>
            <c:strRef>
              <c:f>Aggregate!$O$1</c:f>
              <c:strCache>
                <c:ptCount val="1"/>
              </c:strCache>
            </c:strRef>
          </c:tx>
          <c:marker>
            <c:symbol val="none"/>
          </c:marker>
          <c:cat>
            <c:strRef>
              <c:f>Aggregate!$E$92:$AB$96</c:f>
              <c:strCache>
                <c:ptCount val="25"/>
                <c:pt idx="0">
                  <c:v>Financial services</c:v>
                </c:pt>
                <c:pt idx="1">
                  <c:v>Telecom</c:v>
                </c:pt>
                <c:pt idx="2">
                  <c:v>Retailing</c:v>
                </c:pt>
                <c:pt idx="3">
                  <c:v>Transport</c:v>
                </c:pt>
                <c:pt idx="4">
                  <c:v>Professional services</c:v>
                </c:pt>
                <c:pt idx="5">
                  <c:v>70.00</c:v>
                </c:pt>
                <c:pt idx="6">
                  <c:v>100.00</c:v>
                </c:pt>
                <c:pt idx="7">
                  <c:v>100.00</c:v>
                </c:pt>
                <c:pt idx="8">
                  <c:v>50.00</c:v>
                </c:pt>
                <c:pt idx="9">
                  <c:v>100.00</c:v>
                </c:pt>
                <c:pt idx="10">
                  <c:v>70.00</c:v>
                </c:pt>
                <c:pt idx="11">
                  <c:v>75.00</c:v>
                </c:pt>
                <c:pt idx="12">
                  <c:v>100.00</c:v>
                </c:pt>
                <c:pt idx="13">
                  <c:v>50.00</c:v>
                </c:pt>
                <c:pt idx="14">
                  <c:v>100.00</c:v>
                </c:pt>
                <c:pt idx="15">
                  <c:v>70.00</c:v>
                </c:pt>
                <c:pt idx="16">
                  <c:v>75.00</c:v>
                </c:pt>
                <c:pt idx="17">
                  <c:v>50.00</c:v>
                </c:pt>
                <c:pt idx="18">
                  <c:v>40.00</c:v>
                </c:pt>
                <c:pt idx="19">
                  <c:v>66.67</c:v>
                </c:pt>
                <c:pt idx="20">
                  <c:v>50.00</c:v>
                </c:pt>
                <c:pt idx="21">
                  <c:v>50.00</c:v>
                </c:pt>
                <c:pt idx="22">
                  <c:v>50.00</c:v>
                </c:pt>
                <c:pt idx="23">
                  <c:v>50.00</c:v>
                </c:pt>
                <c:pt idx="24">
                  <c:v>63.64</c:v>
                </c:pt>
              </c:strCache>
            </c:strRef>
          </c:cat>
          <c:val>
            <c:numRef>
              <c:f>Aggregate!$O$92:$O$96</c:f>
            </c:numRef>
          </c:val>
        </c:ser>
        <c:ser>
          <c:idx val="3"/>
          <c:order val="3"/>
          <c:tx>
            <c:strRef>
              <c:f>Aggregate!$P$1</c:f>
              <c:strCache>
                <c:ptCount val="1"/>
              </c:strCache>
            </c:strRef>
          </c:tx>
          <c:marker>
            <c:symbol val="none"/>
          </c:marker>
          <c:cat>
            <c:strRef>
              <c:f>Aggregate!$E$92:$AB$96</c:f>
              <c:strCache>
                <c:ptCount val="25"/>
                <c:pt idx="0">
                  <c:v>Financial services</c:v>
                </c:pt>
                <c:pt idx="1">
                  <c:v>Telecom</c:v>
                </c:pt>
                <c:pt idx="2">
                  <c:v>Retailing</c:v>
                </c:pt>
                <c:pt idx="3">
                  <c:v>Transport</c:v>
                </c:pt>
                <c:pt idx="4">
                  <c:v>Professional services</c:v>
                </c:pt>
                <c:pt idx="5">
                  <c:v>70.00</c:v>
                </c:pt>
                <c:pt idx="6">
                  <c:v>100.00</c:v>
                </c:pt>
                <c:pt idx="7">
                  <c:v>100.00</c:v>
                </c:pt>
                <c:pt idx="8">
                  <c:v>50.00</c:v>
                </c:pt>
                <c:pt idx="9">
                  <c:v>100.00</c:v>
                </c:pt>
                <c:pt idx="10">
                  <c:v>70.00</c:v>
                </c:pt>
                <c:pt idx="11">
                  <c:v>75.00</c:v>
                </c:pt>
                <c:pt idx="12">
                  <c:v>100.00</c:v>
                </c:pt>
                <c:pt idx="13">
                  <c:v>50.00</c:v>
                </c:pt>
                <c:pt idx="14">
                  <c:v>100.00</c:v>
                </c:pt>
                <c:pt idx="15">
                  <c:v>70.00</c:v>
                </c:pt>
                <c:pt idx="16">
                  <c:v>75.00</c:v>
                </c:pt>
                <c:pt idx="17">
                  <c:v>50.00</c:v>
                </c:pt>
                <c:pt idx="18">
                  <c:v>40.00</c:v>
                </c:pt>
                <c:pt idx="19">
                  <c:v>66.67</c:v>
                </c:pt>
                <c:pt idx="20">
                  <c:v>50.00</c:v>
                </c:pt>
                <c:pt idx="21">
                  <c:v>50.00</c:v>
                </c:pt>
                <c:pt idx="22">
                  <c:v>50.00</c:v>
                </c:pt>
                <c:pt idx="23">
                  <c:v>50.00</c:v>
                </c:pt>
                <c:pt idx="24">
                  <c:v>63.64</c:v>
                </c:pt>
              </c:strCache>
            </c:strRef>
          </c:cat>
          <c:val>
            <c:numRef>
              <c:f>Aggregate!$P$92:$P$96</c:f>
            </c:numRef>
          </c:val>
        </c:ser>
        <c:ser>
          <c:idx val="4"/>
          <c:order val="4"/>
          <c:tx>
            <c:strRef>
              <c:f>Aggregate!$Q$1</c:f>
              <c:strCache>
                <c:ptCount val="1"/>
                <c:pt idx="0">
                  <c:v>Doha</c:v>
                </c:pt>
              </c:strCache>
            </c:strRef>
          </c:tx>
          <c:spPr>
            <a:ln>
              <a:solidFill>
                <a:srgbClr val="FFC000"/>
              </a:solidFill>
              <a:prstDash val="dash"/>
            </a:ln>
          </c:spPr>
          <c:marker>
            <c:symbol val="none"/>
          </c:marker>
          <c:cat>
            <c:strRef>
              <c:f>Aggregate!$E$92:$AB$96</c:f>
              <c:strCache>
                <c:ptCount val="25"/>
                <c:pt idx="0">
                  <c:v>Financial services</c:v>
                </c:pt>
                <c:pt idx="1">
                  <c:v>Telecom</c:v>
                </c:pt>
                <c:pt idx="2">
                  <c:v>Retailing</c:v>
                </c:pt>
                <c:pt idx="3">
                  <c:v>Transport</c:v>
                </c:pt>
                <c:pt idx="4">
                  <c:v>Professional services</c:v>
                </c:pt>
                <c:pt idx="5">
                  <c:v>70.00</c:v>
                </c:pt>
                <c:pt idx="6">
                  <c:v>100.00</c:v>
                </c:pt>
                <c:pt idx="7">
                  <c:v>100.00</c:v>
                </c:pt>
                <c:pt idx="8">
                  <c:v>50.00</c:v>
                </c:pt>
                <c:pt idx="9">
                  <c:v>100.00</c:v>
                </c:pt>
                <c:pt idx="10">
                  <c:v>70.00</c:v>
                </c:pt>
                <c:pt idx="11">
                  <c:v>75.00</c:v>
                </c:pt>
                <c:pt idx="12">
                  <c:v>100.00</c:v>
                </c:pt>
                <c:pt idx="13">
                  <c:v>50.00</c:v>
                </c:pt>
                <c:pt idx="14">
                  <c:v>100.00</c:v>
                </c:pt>
                <c:pt idx="15">
                  <c:v>70.00</c:v>
                </c:pt>
                <c:pt idx="16">
                  <c:v>75.00</c:v>
                </c:pt>
                <c:pt idx="17">
                  <c:v>50.00</c:v>
                </c:pt>
                <c:pt idx="18">
                  <c:v>40.00</c:v>
                </c:pt>
                <c:pt idx="19">
                  <c:v>66.67</c:v>
                </c:pt>
                <c:pt idx="20">
                  <c:v>50.00</c:v>
                </c:pt>
                <c:pt idx="21">
                  <c:v>50.00</c:v>
                </c:pt>
                <c:pt idx="22">
                  <c:v>50.00</c:v>
                </c:pt>
                <c:pt idx="23">
                  <c:v>50.00</c:v>
                </c:pt>
                <c:pt idx="24">
                  <c:v>63.64</c:v>
                </c:pt>
              </c:strCache>
            </c:strRef>
          </c:cat>
          <c:val>
            <c:numRef>
              <c:f>Aggregate!$Q$92:$Q$96</c:f>
              <c:numCache>
                <c:formatCode>0.00</c:formatCode>
                <c:ptCount val="5"/>
                <c:pt idx="0">
                  <c:v>70</c:v>
                </c:pt>
                <c:pt idx="1">
                  <c:v>75</c:v>
                </c:pt>
                <c:pt idx="2">
                  <c:v>100</c:v>
                </c:pt>
                <c:pt idx="3">
                  <c:v>50</c:v>
                </c:pt>
                <c:pt idx="4">
                  <c:v>100</c:v>
                </c:pt>
              </c:numCache>
            </c:numRef>
          </c:val>
        </c:ser>
        <c:ser>
          <c:idx val="5"/>
          <c:order val="5"/>
          <c:tx>
            <c:strRef>
              <c:f>Aggregate!$R$1</c:f>
              <c:strCache>
                <c:ptCount val="1"/>
              </c:strCache>
            </c:strRef>
          </c:tx>
          <c:marker>
            <c:symbol val="none"/>
          </c:marker>
          <c:cat>
            <c:strRef>
              <c:f>Aggregate!$E$92:$AB$96</c:f>
              <c:strCache>
                <c:ptCount val="25"/>
                <c:pt idx="0">
                  <c:v>Financial services</c:v>
                </c:pt>
                <c:pt idx="1">
                  <c:v>Telecom</c:v>
                </c:pt>
                <c:pt idx="2">
                  <c:v>Retailing</c:v>
                </c:pt>
                <c:pt idx="3">
                  <c:v>Transport</c:v>
                </c:pt>
                <c:pt idx="4">
                  <c:v>Professional services</c:v>
                </c:pt>
                <c:pt idx="5">
                  <c:v>70.00</c:v>
                </c:pt>
                <c:pt idx="6">
                  <c:v>100.00</c:v>
                </c:pt>
                <c:pt idx="7">
                  <c:v>100.00</c:v>
                </c:pt>
                <c:pt idx="8">
                  <c:v>50.00</c:v>
                </c:pt>
                <c:pt idx="9">
                  <c:v>100.00</c:v>
                </c:pt>
                <c:pt idx="10">
                  <c:v>70.00</c:v>
                </c:pt>
                <c:pt idx="11">
                  <c:v>75.00</c:v>
                </c:pt>
                <c:pt idx="12">
                  <c:v>100.00</c:v>
                </c:pt>
                <c:pt idx="13">
                  <c:v>50.00</c:v>
                </c:pt>
                <c:pt idx="14">
                  <c:v>100.00</c:v>
                </c:pt>
                <c:pt idx="15">
                  <c:v>70.00</c:v>
                </c:pt>
                <c:pt idx="16">
                  <c:v>75.00</c:v>
                </c:pt>
                <c:pt idx="17">
                  <c:v>50.00</c:v>
                </c:pt>
                <c:pt idx="18">
                  <c:v>40.00</c:v>
                </c:pt>
                <c:pt idx="19">
                  <c:v>66.67</c:v>
                </c:pt>
                <c:pt idx="20">
                  <c:v>50.00</c:v>
                </c:pt>
                <c:pt idx="21">
                  <c:v>50.00</c:v>
                </c:pt>
                <c:pt idx="22">
                  <c:v>50.00</c:v>
                </c:pt>
                <c:pt idx="23">
                  <c:v>50.00</c:v>
                </c:pt>
                <c:pt idx="24">
                  <c:v>63.64</c:v>
                </c:pt>
              </c:strCache>
            </c:strRef>
          </c:cat>
          <c:val>
            <c:numRef>
              <c:f>Aggregate!$R$92:$R$96</c:f>
            </c:numRef>
          </c:val>
        </c:ser>
        <c:ser>
          <c:idx val="6"/>
          <c:order val="6"/>
          <c:tx>
            <c:strRef>
              <c:f>Aggregate!$S$1</c:f>
              <c:strCache>
                <c:ptCount val="1"/>
              </c:strCache>
            </c:strRef>
          </c:tx>
          <c:marker>
            <c:symbol val="none"/>
          </c:marker>
          <c:cat>
            <c:strRef>
              <c:f>Aggregate!$E$92:$AB$96</c:f>
              <c:strCache>
                <c:ptCount val="25"/>
                <c:pt idx="0">
                  <c:v>Financial services</c:v>
                </c:pt>
                <c:pt idx="1">
                  <c:v>Telecom</c:v>
                </c:pt>
                <c:pt idx="2">
                  <c:v>Retailing</c:v>
                </c:pt>
                <c:pt idx="3">
                  <c:v>Transport</c:v>
                </c:pt>
                <c:pt idx="4">
                  <c:v>Professional services</c:v>
                </c:pt>
                <c:pt idx="5">
                  <c:v>70.00</c:v>
                </c:pt>
                <c:pt idx="6">
                  <c:v>100.00</c:v>
                </c:pt>
                <c:pt idx="7">
                  <c:v>100.00</c:v>
                </c:pt>
                <c:pt idx="8">
                  <c:v>50.00</c:v>
                </c:pt>
                <c:pt idx="9">
                  <c:v>100.00</c:v>
                </c:pt>
                <c:pt idx="10">
                  <c:v>70.00</c:v>
                </c:pt>
                <c:pt idx="11">
                  <c:v>75.00</c:v>
                </c:pt>
                <c:pt idx="12">
                  <c:v>100.00</c:v>
                </c:pt>
                <c:pt idx="13">
                  <c:v>50.00</c:v>
                </c:pt>
                <c:pt idx="14">
                  <c:v>100.00</c:v>
                </c:pt>
                <c:pt idx="15">
                  <c:v>70.00</c:v>
                </c:pt>
                <c:pt idx="16">
                  <c:v>75.00</c:v>
                </c:pt>
                <c:pt idx="17">
                  <c:v>50.00</c:v>
                </c:pt>
                <c:pt idx="18">
                  <c:v>40.00</c:v>
                </c:pt>
                <c:pt idx="19">
                  <c:v>66.67</c:v>
                </c:pt>
                <c:pt idx="20">
                  <c:v>50.00</c:v>
                </c:pt>
                <c:pt idx="21">
                  <c:v>50.00</c:v>
                </c:pt>
                <c:pt idx="22">
                  <c:v>50.00</c:v>
                </c:pt>
                <c:pt idx="23">
                  <c:v>50.00</c:v>
                </c:pt>
                <c:pt idx="24">
                  <c:v>63.64</c:v>
                </c:pt>
              </c:strCache>
            </c:strRef>
          </c:cat>
          <c:val>
            <c:numRef>
              <c:f>Aggregate!$S$92:$S$96</c:f>
            </c:numRef>
          </c:val>
        </c:ser>
        <c:ser>
          <c:idx val="7"/>
          <c:order val="7"/>
          <c:tx>
            <c:strRef>
              <c:f>Aggregate!$T$1</c:f>
              <c:strCache>
                <c:ptCount val="1"/>
              </c:strCache>
            </c:strRef>
          </c:tx>
          <c:marker>
            <c:symbol val="none"/>
          </c:marker>
          <c:cat>
            <c:strRef>
              <c:f>Aggregate!$E$92:$AB$96</c:f>
              <c:strCache>
                <c:ptCount val="25"/>
                <c:pt idx="0">
                  <c:v>Financial services</c:v>
                </c:pt>
                <c:pt idx="1">
                  <c:v>Telecom</c:v>
                </c:pt>
                <c:pt idx="2">
                  <c:v>Retailing</c:v>
                </c:pt>
                <c:pt idx="3">
                  <c:v>Transport</c:v>
                </c:pt>
                <c:pt idx="4">
                  <c:v>Professional services</c:v>
                </c:pt>
                <c:pt idx="5">
                  <c:v>70.00</c:v>
                </c:pt>
                <c:pt idx="6">
                  <c:v>100.00</c:v>
                </c:pt>
                <c:pt idx="7">
                  <c:v>100.00</c:v>
                </c:pt>
                <c:pt idx="8">
                  <c:v>50.00</c:v>
                </c:pt>
                <c:pt idx="9">
                  <c:v>100.00</c:v>
                </c:pt>
                <c:pt idx="10">
                  <c:v>70.00</c:v>
                </c:pt>
                <c:pt idx="11">
                  <c:v>75.00</c:v>
                </c:pt>
                <c:pt idx="12">
                  <c:v>100.00</c:v>
                </c:pt>
                <c:pt idx="13">
                  <c:v>50.00</c:v>
                </c:pt>
                <c:pt idx="14">
                  <c:v>100.00</c:v>
                </c:pt>
                <c:pt idx="15">
                  <c:v>70.00</c:v>
                </c:pt>
                <c:pt idx="16">
                  <c:v>75.00</c:v>
                </c:pt>
                <c:pt idx="17">
                  <c:v>50.00</c:v>
                </c:pt>
                <c:pt idx="18">
                  <c:v>40.00</c:v>
                </c:pt>
                <c:pt idx="19">
                  <c:v>66.67</c:v>
                </c:pt>
                <c:pt idx="20">
                  <c:v>50.00</c:v>
                </c:pt>
                <c:pt idx="21">
                  <c:v>50.00</c:v>
                </c:pt>
                <c:pt idx="22">
                  <c:v>50.00</c:v>
                </c:pt>
                <c:pt idx="23">
                  <c:v>50.00</c:v>
                </c:pt>
                <c:pt idx="24">
                  <c:v>63.64</c:v>
                </c:pt>
              </c:strCache>
            </c:strRef>
          </c:cat>
          <c:val>
            <c:numRef>
              <c:f>Aggregate!$T$92:$T$96</c:f>
            </c:numRef>
          </c:val>
        </c:ser>
        <c:ser>
          <c:idx val="8"/>
          <c:order val="8"/>
          <c:tx>
            <c:strRef>
              <c:f>Aggregate!$U$1</c:f>
              <c:strCache>
                <c:ptCount val="1"/>
              </c:strCache>
            </c:strRef>
          </c:tx>
          <c:marker>
            <c:symbol val="none"/>
          </c:marker>
          <c:cat>
            <c:strRef>
              <c:f>Aggregate!$E$92:$AB$96</c:f>
              <c:strCache>
                <c:ptCount val="25"/>
                <c:pt idx="0">
                  <c:v>Financial services</c:v>
                </c:pt>
                <c:pt idx="1">
                  <c:v>Telecom</c:v>
                </c:pt>
                <c:pt idx="2">
                  <c:v>Retailing</c:v>
                </c:pt>
                <c:pt idx="3">
                  <c:v>Transport</c:v>
                </c:pt>
                <c:pt idx="4">
                  <c:v>Professional services</c:v>
                </c:pt>
                <c:pt idx="5">
                  <c:v>70.00</c:v>
                </c:pt>
                <c:pt idx="6">
                  <c:v>100.00</c:v>
                </c:pt>
                <c:pt idx="7">
                  <c:v>100.00</c:v>
                </c:pt>
                <c:pt idx="8">
                  <c:v>50.00</c:v>
                </c:pt>
                <c:pt idx="9">
                  <c:v>100.00</c:v>
                </c:pt>
                <c:pt idx="10">
                  <c:v>70.00</c:v>
                </c:pt>
                <c:pt idx="11">
                  <c:v>75.00</c:v>
                </c:pt>
                <c:pt idx="12">
                  <c:v>100.00</c:v>
                </c:pt>
                <c:pt idx="13">
                  <c:v>50.00</c:v>
                </c:pt>
                <c:pt idx="14">
                  <c:v>100.00</c:v>
                </c:pt>
                <c:pt idx="15">
                  <c:v>70.00</c:v>
                </c:pt>
                <c:pt idx="16">
                  <c:v>75.00</c:v>
                </c:pt>
                <c:pt idx="17">
                  <c:v>50.00</c:v>
                </c:pt>
                <c:pt idx="18">
                  <c:v>40.00</c:v>
                </c:pt>
                <c:pt idx="19">
                  <c:v>66.67</c:v>
                </c:pt>
                <c:pt idx="20">
                  <c:v>50.00</c:v>
                </c:pt>
                <c:pt idx="21">
                  <c:v>50.00</c:v>
                </c:pt>
                <c:pt idx="22">
                  <c:v>50.00</c:v>
                </c:pt>
                <c:pt idx="23">
                  <c:v>50.00</c:v>
                </c:pt>
                <c:pt idx="24">
                  <c:v>63.64</c:v>
                </c:pt>
              </c:strCache>
            </c:strRef>
          </c:cat>
          <c:val>
            <c:numRef>
              <c:f>Aggregate!$U$92:$U$96</c:f>
            </c:numRef>
          </c:val>
        </c:ser>
        <c:ser>
          <c:idx val="9"/>
          <c:order val="9"/>
          <c:tx>
            <c:strRef>
              <c:f>Aggregate!$V$1</c:f>
              <c:strCache>
                <c:ptCount val="1"/>
              </c:strCache>
            </c:strRef>
          </c:tx>
          <c:marker>
            <c:symbol val="none"/>
          </c:marker>
          <c:cat>
            <c:strRef>
              <c:f>Aggregate!$E$92:$AB$96</c:f>
              <c:strCache>
                <c:ptCount val="25"/>
                <c:pt idx="0">
                  <c:v>Financial services</c:v>
                </c:pt>
                <c:pt idx="1">
                  <c:v>Telecom</c:v>
                </c:pt>
                <c:pt idx="2">
                  <c:v>Retailing</c:v>
                </c:pt>
                <c:pt idx="3">
                  <c:v>Transport</c:v>
                </c:pt>
                <c:pt idx="4">
                  <c:v>Professional services</c:v>
                </c:pt>
                <c:pt idx="5">
                  <c:v>70.00</c:v>
                </c:pt>
                <c:pt idx="6">
                  <c:v>100.00</c:v>
                </c:pt>
                <c:pt idx="7">
                  <c:v>100.00</c:v>
                </c:pt>
                <c:pt idx="8">
                  <c:v>50.00</c:v>
                </c:pt>
                <c:pt idx="9">
                  <c:v>100.00</c:v>
                </c:pt>
                <c:pt idx="10">
                  <c:v>70.00</c:v>
                </c:pt>
                <c:pt idx="11">
                  <c:v>75.00</c:v>
                </c:pt>
                <c:pt idx="12">
                  <c:v>100.00</c:v>
                </c:pt>
                <c:pt idx="13">
                  <c:v>50.00</c:v>
                </c:pt>
                <c:pt idx="14">
                  <c:v>100.00</c:v>
                </c:pt>
                <c:pt idx="15">
                  <c:v>70.00</c:v>
                </c:pt>
                <c:pt idx="16">
                  <c:v>75.00</c:v>
                </c:pt>
                <c:pt idx="17">
                  <c:v>50.00</c:v>
                </c:pt>
                <c:pt idx="18">
                  <c:v>40.00</c:v>
                </c:pt>
                <c:pt idx="19">
                  <c:v>66.67</c:v>
                </c:pt>
                <c:pt idx="20">
                  <c:v>50.00</c:v>
                </c:pt>
                <c:pt idx="21">
                  <c:v>50.00</c:v>
                </c:pt>
                <c:pt idx="22">
                  <c:v>50.00</c:v>
                </c:pt>
                <c:pt idx="23">
                  <c:v>50.00</c:v>
                </c:pt>
                <c:pt idx="24">
                  <c:v>63.64</c:v>
                </c:pt>
              </c:strCache>
            </c:strRef>
          </c:cat>
          <c:val>
            <c:numRef>
              <c:f>Aggregate!$V$92:$V$96</c:f>
            </c:numRef>
          </c:val>
        </c:ser>
        <c:ser>
          <c:idx val="10"/>
          <c:order val="10"/>
          <c:tx>
            <c:strRef>
              <c:f>Aggregate!$W$1</c:f>
              <c:strCache>
                <c:ptCount val="1"/>
              </c:strCache>
            </c:strRef>
          </c:tx>
          <c:marker>
            <c:symbol val="none"/>
          </c:marker>
          <c:cat>
            <c:strRef>
              <c:f>Aggregate!$E$92:$AB$96</c:f>
              <c:strCache>
                <c:ptCount val="25"/>
                <c:pt idx="0">
                  <c:v>Financial services</c:v>
                </c:pt>
                <c:pt idx="1">
                  <c:v>Telecom</c:v>
                </c:pt>
                <c:pt idx="2">
                  <c:v>Retailing</c:v>
                </c:pt>
                <c:pt idx="3">
                  <c:v>Transport</c:v>
                </c:pt>
                <c:pt idx="4">
                  <c:v>Professional services</c:v>
                </c:pt>
                <c:pt idx="5">
                  <c:v>70.00</c:v>
                </c:pt>
                <c:pt idx="6">
                  <c:v>100.00</c:v>
                </c:pt>
                <c:pt idx="7">
                  <c:v>100.00</c:v>
                </c:pt>
                <c:pt idx="8">
                  <c:v>50.00</c:v>
                </c:pt>
                <c:pt idx="9">
                  <c:v>100.00</c:v>
                </c:pt>
                <c:pt idx="10">
                  <c:v>70.00</c:v>
                </c:pt>
                <c:pt idx="11">
                  <c:v>75.00</c:v>
                </c:pt>
                <c:pt idx="12">
                  <c:v>100.00</c:v>
                </c:pt>
                <c:pt idx="13">
                  <c:v>50.00</c:v>
                </c:pt>
                <c:pt idx="14">
                  <c:v>100.00</c:v>
                </c:pt>
                <c:pt idx="15">
                  <c:v>70.00</c:v>
                </c:pt>
                <c:pt idx="16">
                  <c:v>75.00</c:v>
                </c:pt>
                <c:pt idx="17">
                  <c:v>50.00</c:v>
                </c:pt>
                <c:pt idx="18">
                  <c:v>40.00</c:v>
                </c:pt>
                <c:pt idx="19">
                  <c:v>66.67</c:v>
                </c:pt>
                <c:pt idx="20">
                  <c:v>50.00</c:v>
                </c:pt>
                <c:pt idx="21">
                  <c:v>50.00</c:v>
                </c:pt>
                <c:pt idx="22">
                  <c:v>50.00</c:v>
                </c:pt>
                <c:pt idx="23">
                  <c:v>50.00</c:v>
                </c:pt>
                <c:pt idx="24">
                  <c:v>63.64</c:v>
                </c:pt>
              </c:strCache>
            </c:strRef>
          </c:cat>
          <c:val>
            <c:numRef>
              <c:f>Aggregate!$W$92:$W$96</c:f>
            </c:numRef>
          </c:val>
        </c:ser>
        <c:ser>
          <c:idx val="11"/>
          <c:order val="11"/>
          <c:tx>
            <c:strRef>
              <c:f>Aggregate!$X$1</c:f>
              <c:strCache>
                <c:ptCount val="1"/>
                <c:pt idx="0">
                  <c:v>AFAS</c:v>
                </c:pt>
              </c:strCache>
            </c:strRef>
          </c:tx>
          <c:spPr>
            <a:ln>
              <a:solidFill>
                <a:srgbClr val="FF0000"/>
              </a:solidFill>
              <a:prstDash val="dashDot"/>
            </a:ln>
          </c:spPr>
          <c:marker>
            <c:symbol val="none"/>
          </c:marker>
          <c:cat>
            <c:strRef>
              <c:f>Aggregate!$E$92:$AB$96</c:f>
              <c:strCache>
                <c:ptCount val="25"/>
                <c:pt idx="0">
                  <c:v>Financial services</c:v>
                </c:pt>
                <c:pt idx="1">
                  <c:v>Telecom</c:v>
                </c:pt>
                <c:pt idx="2">
                  <c:v>Retailing</c:v>
                </c:pt>
                <c:pt idx="3">
                  <c:v>Transport</c:v>
                </c:pt>
                <c:pt idx="4">
                  <c:v>Professional services</c:v>
                </c:pt>
                <c:pt idx="5">
                  <c:v>70.00</c:v>
                </c:pt>
                <c:pt idx="6">
                  <c:v>100.00</c:v>
                </c:pt>
                <c:pt idx="7">
                  <c:v>100.00</c:v>
                </c:pt>
                <c:pt idx="8">
                  <c:v>50.00</c:v>
                </c:pt>
                <c:pt idx="9">
                  <c:v>100.00</c:v>
                </c:pt>
                <c:pt idx="10">
                  <c:v>70.00</c:v>
                </c:pt>
                <c:pt idx="11">
                  <c:v>75.00</c:v>
                </c:pt>
                <c:pt idx="12">
                  <c:v>100.00</c:v>
                </c:pt>
                <c:pt idx="13">
                  <c:v>50.00</c:v>
                </c:pt>
                <c:pt idx="14">
                  <c:v>100.00</c:v>
                </c:pt>
                <c:pt idx="15">
                  <c:v>70.00</c:v>
                </c:pt>
                <c:pt idx="16">
                  <c:v>75.00</c:v>
                </c:pt>
                <c:pt idx="17">
                  <c:v>50.00</c:v>
                </c:pt>
                <c:pt idx="18">
                  <c:v>40.00</c:v>
                </c:pt>
                <c:pt idx="19">
                  <c:v>66.67</c:v>
                </c:pt>
                <c:pt idx="20">
                  <c:v>50.00</c:v>
                </c:pt>
                <c:pt idx="21">
                  <c:v>50.00</c:v>
                </c:pt>
                <c:pt idx="22">
                  <c:v>50.00</c:v>
                </c:pt>
                <c:pt idx="23">
                  <c:v>50.00</c:v>
                </c:pt>
                <c:pt idx="24">
                  <c:v>63.64</c:v>
                </c:pt>
              </c:strCache>
            </c:strRef>
          </c:cat>
          <c:val>
            <c:numRef>
              <c:f>Aggregate!$X$92:$X$96</c:f>
              <c:numCache>
                <c:formatCode>0.00</c:formatCode>
                <c:ptCount val="5"/>
                <c:pt idx="0">
                  <c:v>70</c:v>
                </c:pt>
                <c:pt idx="1">
                  <c:v>75</c:v>
                </c:pt>
                <c:pt idx="2">
                  <c:v>50</c:v>
                </c:pt>
                <c:pt idx="3">
                  <c:v>40</c:v>
                </c:pt>
                <c:pt idx="4">
                  <c:v>66.666666666666657</c:v>
                </c:pt>
              </c:numCache>
            </c:numRef>
          </c:val>
        </c:ser>
        <c:ser>
          <c:idx val="12"/>
          <c:order val="12"/>
          <c:tx>
            <c:strRef>
              <c:f>Aggregate!$Y$1</c:f>
              <c:strCache>
                <c:ptCount val="1"/>
              </c:strCache>
            </c:strRef>
          </c:tx>
          <c:marker>
            <c:symbol val="none"/>
          </c:marker>
          <c:cat>
            <c:strRef>
              <c:f>Aggregate!$E$92:$AB$96</c:f>
              <c:strCache>
                <c:ptCount val="25"/>
                <c:pt idx="0">
                  <c:v>Financial services</c:v>
                </c:pt>
                <c:pt idx="1">
                  <c:v>Telecom</c:v>
                </c:pt>
                <c:pt idx="2">
                  <c:v>Retailing</c:v>
                </c:pt>
                <c:pt idx="3">
                  <c:v>Transport</c:v>
                </c:pt>
                <c:pt idx="4">
                  <c:v>Professional services</c:v>
                </c:pt>
                <c:pt idx="5">
                  <c:v>70.00</c:v>
                </c:pt>
                <c:pt idx="6">
                  <c:v>100.00</c:v>
                </c:pt>
                <c:pt idx="7">
                  <c:v>100.00</c:v>
                </c:pt>
                <c:pt idx="8">
                  <c:v>50.00</c:v>
                </c:pt>
                <c:pt idx="9">
                  <c:v>100.00</c:v>
                </c:pt>
                <c:pt idx="10">
                  <c:v>70.00</c:v>
                </c:pt>
                <c:pt idx="11">
                  <c:v>75.00</c:v>
                </c:pt>
                <c:pt idx="12">
                  <c:v>100.00</c:v>
                </c:pt>
                <c:pt idx="13">
                  <c:v>50.00</c:v>
                </c:pt>
                <c:pt idx="14">
                  <c:v>100.00</c:v>
                </c:pt>
                <c:pt idx="15">
                  <c:v>70.00</c:v>
                </c:pt>
                <c:pt idx="16">
                  <c:v>75.00</c:v>
                </c:pt>
                <c:pt idx="17">
                  <c:v>50.00</c:v>
                </c:pt>
                <c:pt idx="18">
                  <c:v>40.00</c:v>
                </c:pt>
                <c:pt idx="19">
                  <c:v>66.67</c:v>
                </c:pt>
                <c:pt idx="20">
                  <c:v>50.00</c:v>
                </c:pt>
                <c:pt idx="21">
                  <c:v>50.00</c:v>
                </c:pt>
                <c:pt idx="22">
                  <c:v>50.00</c:v>
                </c:pt>
                <c:pt idx="23">
                  <c:v>50.00</c:v>
                </c:pt>
                <c:pt idx="24">
                  <c:v>63.64</c:v>
                </c:pt>
              </c:strCache>
            </c:strRef>
          </c:cat>
          <c:val>
            <c:numRef>
              <c:f>Aggregate!$Y$92:$Y$96</c:f>
            </c:numRef>
          </c:val>
        </c:ser>
        <c:ser>
          <c:idx val="13"/>
          <c:order val="13"/>
          <c:tx>
            <c:strRef>
              <c:f>Aggregate!$Z$1</c:f>
              <c:strCache>
                <c:ptCount val="1"/>
              </c:strCache>
            </c:strRef>
          </c:tx>
          <c:marker>
            <c:symbol val="none"/>
          </c:marker>
          <c:cat>
            <c:strRef>
              <c:f>Aggregate!$E$92:$AB$96</c:f>
              <c:strCache>
                <c:ptCount val="25"/>
                <c:pt idx="0">
                  <c:v>Financial services</c:v>
                </c:pt>
                <c:pt idx="1">
                  <c:v>Telecom</c:v>
                </c:pt>
                <c:pt idx="2">
                  <c:v>Retailing</c:v>
                </c:pt>
                <c:pt idx="3">
                  <c:v>Transport</c:v>
                </c:pt>
                <c:pt idx="4">
                  <c:v>Professional services</c:v>
                </c:pt>
                <c:pt idx="5">
                  <c:v>70.00</c:v>
                </c:pt>
                <c:pt idx="6">
                  <c:v>100.00</c:v>
                </c:pt>
                <c:pt idx="7">
                  <c:v>100.00</c:v>
                </c:pt>
                <c:pt idx="8">
                  <c:v>50.00</c:v>
                </c:pt>
                <c:pt idx="9">
                  <c:v>100.00</c:v>
                </c:pt>
                <c:pt idx="10">
                  <c:v>70.00</c:v>
                </c:pt>
                <c:pt idx="11">
                  <c:v>75.00</c:v>
                </c:pt>
                <c:pt idx="12">
                  <c:v>100.00</c:v>
                </c:pt>
                <c:pt idx="13">
                  <c:v>50.00</c:v>
                </c:pt>
                <c:pt idx="14">
                  <c:v>100.00</c:v>
                </c:pt>
                <c:pt idx="15">
                  <c:v>70.00</c:v>
                </c:pt>
                <c:pt idx="16">
                  <c:v>75.00</c:v>
                </c:pt>
                <c:pt idx="17">
                  <c:v>50.00</c:v>
                </c:pt>
                <c:pt idx="18">
                  <c:v>40.00</c:v>
                </c:pt>
                <c:pt idx="19">
                  <c:v>66.67</c:v>
                </c:pt>
                <c:pt idx="20">
                  <c:v>50.00</c:v>
                </c:pt>
                <c:pt idx="21">
                  <c:v>50.00</c:v>
                </c:pt>
                <c:pt idx="22">
                  <c:v>50.00</c:v>
                </c:pt>
                <c:pt idx="23">
                  <c:v>50.00</c:v>
                </c:pt>
                <c:pt idx="24">
                  <c:v>63.64</c:v>
                </c:pt>
              </c:strCache>
            </c:strRef>
          </c:cat>
          <c:val>
            <c:numRef>
              <c:f>Aggregate!$Z$92:$Z$96</c:f>
            </c:numRef>
          </c:val>
        </c:ser>
        <c:ser>
          <c:idx val="14"/>
          <c:order val="14"/>
          <c:tx>
            <c:strRef>
              <c:f>Aggregate!$AA$1</c:f>
              <c:strCache>
                <c:ptCount val="1"/>
              </c:strCache>
            </c:strRef>
          </c:tx>
          <c:marker>
            <c:symbol val="none"/>
          </c:marker>
          <c:cat>
            <c:strRef>
              <c:f>Aggregate!$E$92:$AB$96</c:f>
              <c:strCache>
                <c:ptCount val="25"/>
                <c:pt idx="0">
                  <c:v>Financial services</c:v>
                </c:pt>
                <c:pt idx="1">
                  <c:v>Telecom</c:v>
                </c:pt>
                <c:pt idx="2">
                  <c:v>Retailing</c:v>
                </c:pt>
                <c:pt idx="3">
                  <c:v>Transport</c:v>
                </c:pt>
                <c:pt idx="4">
                  <c:v>Professional services</c:v>
                </c:pt>
                <c:pt idx="5">
                  <c:v>70.00</c:v>
                </c:pt>
                <c:pt idx="6">
                  <c:v>100.00</c:v>
                </c:pt>
                <c:pt idx="7">
                  <c:v>100.00</c:v>
                </c:pt>
                <c:pt idx="8">
                  <c:v>50.00</c:v>
                </c:pt>
                <c:pt idx="9">
                  <c:v>100.00</c:v>
                </c:pt>
                <c:pt idx="10">
                  <c:v>70.00</c:v>
                </c:pt>
                <c:pt idx="11">
                  <c:v>75.00</c:v>
                </c:pt>
                <c:pt idx="12">
                  <c:v>100.00</c:v>
                </c:pt>
                <c:pt idx="13">
                  <c:v>50.00</c:v>
                </c:pt>
                <c:pt idx="14">
                  <c:v>100.00</c:v>
                </c:pt>
                <c:pt idx="15">
                  <c:v>70.00</c:v>
                </c:pt>
                <c:pt idx="16">
                  <c:v>75.00</c:v>
                </c:pt>
                <c:pt idx="17">
                  <c:v>50.00</c:v>
                </c:pt>
                <c:pt idx="18">
                  <c:v>40.00</c:v>
                </c:pt>
                <c:pt idx="19">
                  <c:v>66.67</c:v>
                </c:pt>
                <c:pt idx="20">
                  <c:v>50.00</c:v>
                </c:pt>
                <c:pt idx="21">
                  <c:v>50.00</c:v>
                </c:pt>
                <c:pt idx="22">
                  <c:v>50.00</c:v>
                </c:pt>
                <c:pt idx="23">
                  <c:v>50.00</c:v>
                </c:pt>
                <c:pt idx="24">
                  <c:v>63.64</c:v>
                </c:pt>
              </c:strCache>
            </c:strRef>
          </c:cat>
          <c:val>
            <c:numRef>
              <c:f>Aggregate!$AA$92:$AA$96</c:f>
            </c:numRef>
          </c:val>
        </c:ser>
        <c:ser>
          <c:idx val="15"/>
          <c:order val="15"/>
          <c:tx>
            <c:strRef>
              <c:f>Aggregate!$AB$1</c:f>
              <c:strCache>
                <c:ptCount val="1"/>
                <c:pt idx="0">
                  <c:v>Applied</c:v>
                </c:pt>
              </c:strCache>
            </c:strRef>
          </c:tx>
          <c:spPr>
            <a:ln>
              <a:solidFill>
                <a:srgbClr val="00B050"/>
              </a:solidFill>
              <a:prstDash val="sysDash"/>
            </a:ln>
          </c:spPr>
          <c:marker>
            <c:symbol val="none"/>
          </c:marker>
          <c:cat>
            <c:strRef>
              <c:f>Aggregate!$E$92:$AB$96</c:f>
              <c:strCache>
                <c:ptCount val="25"/>
                <c:pt idx="0">
                  <c:v>Financial services</c:v>
                </c:pt>
                <c:pt idx="1">
                  <c:v>Telecom</c:v>
                </c:pt>
                <c:pt idx="2">
                  <c:v>Retailing</c:v>
                </c:pt>
                <c:pt idx="3">
                  <c:v>Transport</c:v>
                </c:pt>
                <c:pt idx="4">
                  <c:v>Professional services</c:v>
                </c:pt>
                <c:pt idx="5">
                  <c:v>70.00</c:v>
                </c:pt>
                <c:pt idx="6">
                  <c:v>100.00</c:v>
                </c:pt>
                <c:pt idx="7">
                  <c:v>100.00</c:v>
                </c:pt>
                <c:pt idx="8">
                  <c:v>50.00</c:v>
                </c:pt>
                <c:pt idx="9">
                  <c:v>100.00</c:v>
                </c:pt>
                <c:pt idx="10">
                  <c:v>70.00</c:v>
                </c:pt>
                <c:pt idx="11">
                  <c:v>75.00</c:v>
                </c:pt>
                <c:pt idx="12">
                  <c:v>100.00</c:v>
                </c:pt>
                <c:pt idx="13">
                  <c:v>50.00</c:v>
                </c:pt>
                <c:pt idx="14">
                  <c:v>100.00</c:v>
                </c:pt>
                <c:pt idx="15">
                  <c:v>70.00</c:v>
                </c:pt>
                <c:pt idx="16">
                  <c:v>75.00</c:v>
                </c:pt>
                <c:pt idx="17">
                  <c:v>50.00</c:v>
                </c:pt>
                <c:pt idx="18">
                  <c:v>40.00</c:v>
                </c:pt>
                <c:pt idx="19">
                  <c:v>66.67</c:v>
                </c:pt>
                <c:pt idx="20">
                  <c:v>50.00</c:v>
                </c:pt>
                <c:pt idx="21">
                  <c:v>50.00</c:v>
                </c:pt>
                <c:pt idx="22">
                  <c:v>50.00</c:v>
                </c:pt>
                <c:pt idx="23">
                  <c:v>50.00</c:v>
                </c:pt>
                <c:pt idx="24">
                  <c:v>63.64</c:v>
                </c:pt>
              </c:strCache>
            </c:strRef>
          </c:cat>
          <c:val>
            <c:numRef>
              <c:f>Aggregate!$AB$92:$AB$96</c:f>
              <c:numCache>
                <c:formatCode>0.00</c:formatCode>
                <c:ptCount val="5"/>
                <c:pt idx="0">
                  <c:v>50</c:v>
                </c:pt>
                <c:pt idx="1">
                  <c:v>50</c:v>
                </c:pt>
                <c:pt idx="2">
                  <c:v>50</c:v>
                </c:pt>
                <c:pt idx="3">
                  <c:v>50</c:v>
                </c:pt>
                <c:pt idx="4">
                  <c:v>63.636363636363626</c:v>
                </c:pt>
              </c:numCache>
            </c:numRef>
          </c:val>
        </c:ser>
        <c:dLbls>
          <c:showLegendKey val="0"/>
          <c:showVal val="0"/>
          <c:showCatName val="0"/>
          <c:showSerName val="0"/>
          <c:showPercent val="0"/>
          <c:showBubbleSize val="0"/>
        </c:dLbls>
        <c:axId val="390779120"/>
        <c:axId val="390779512"/>
      </c:radarChart>
      <c:catAx>
        <c:axId val="390779120"/>
        <c:scaling>
          <c:orientation val="minMax"/>
        </c:scaling>
        <c:delete val="0"/>
        <c:axPos val="b"/>
        <c:majorGridlines/>
        <c:numFmt formatCode="General" sourceLinked="0"/>
        <c:majorTickMark val="out"/>
        <c:minorTickMark val="none"/>
        <c:tickLblPos val="nextTo"/>
        <c:crossAx val="390779512"/>
        <c:crosses val="autoZero"/>
        <c:auto val="1"/>
        <c:lblAlgn val="ctr"/>
        <c:lblOffset val="100"/>
        <c:noMultiLvlLbl val="0"/>
      </c:catAx>
      <c:valAx>
        <c:axId val="390779512"/>
        <c:scaling>
          <c:orientation val="minMax"/>
        </c:scaling>
        <c:delete val="0"/>
        <c:axPos val="l"/>
        <c:majorGridlines/>
        <c:numFmt formatCode="0" sourceLinked="0"/>
        <c:majorTickMark val="cross"/>
        <c:minorTickMark val="none"/>
        <c:tickLblPos val="nextTo"/>
        <c:crossAx val="390779120"/>
        <c:crosses val="autoZero"/>
        <c:crossBetween val="between"/>
      </c:valAx>
    </c:plotArea>
    <c:legend>
      <c:legendPos val="r"/>
      <c:layout>
        <c:manualLayout>
          <c:xMode val="edge"/>
          <c:yMode val="edge"/>
          <c:x val="0.73063888888889605"/>
          <c:y val="0.36034339457567832"/>
          <c:w val="0.24158333333333504"/>
          <c:h val="0.33023913677456984"/>
        </c:manualLayout>
      </c:layout>
      <c:overlay val="0"/>
    </c:legend>
    <c:plotVisOnly val="1"/>
    <c:dispBlanksAs val="gap"/>
    <c:showDLblsOverMax val="0"/>
  </c:chart>
  <c:txPr>
    <a:bodyPr/>
    <a:lstStyle/>
    <a:p>
      <a:pPr>
        <a:defRPr sz="800"/>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percentStacked"/>
        <c:varyColors val="0"/>
        <c:ser>
          <c:idx val="0"/>
          <c:order val="0"/>
          <c:tx>
            <c:strRef>
              <c:f>Sectors!$B$41</c:f>
              <c:strCache>
                <c:ptCount val="1"/>
                <c:pt idx="0">
                  <c:v>primary agriculture</c:v>
                </c:pt>
              </c:strCache>
            </c:strRef>
          </c:tx>
          <c:invertIfNegative val="0"/>
          <c:cat>
            <c:strRef>
              <c:f>Sectors!$C$40:$E$40</c:f>
              <c:strCache>
                <c:ptCount val="3"/>
                <c:pt idx="0">
                  <c:v>Gross exports</c:v>
                </c:pt>
                <c:pt idx="1">
                  <c:v>VA in exports (bwd)</c:v>
                </c:pt>
                <c:pt idx="2">
                  <c:v>VA in exports (fwd)</c:v>
                </c:pt>
              </c:strCache>
            </c:strRef>
          </c:cat>
          <c:val>
            <c:numRef>
              <c:f>Sectors!$C$41:$E$41</c:f>
              <c:numCache>
                <c:formatCode>General</c:formatCode>
                <c:ptCount val="3"/>
                <c:pt idx="0">
                  <c:v>7.0859000000000019E-2</c:v>
                </c:pt>
                <c:pt idx="1">
                  <c:v>1714.3691259139998</c:v>
                </c:pt>
                <c:pt idx="2">
                  <c:v>1060.7504932428994</c:v>
                </c:pt>
              </c:numCache>
            </c:numRef>
          </c:val>
        </c:ser>
        <c:ser>
          <c:idx val="1"/>
          <c:order val="1"/>
          <c:tx>
            <c:strRef>
              <c:f>Sectors!$B$42</c:f>
              <c:strCache>
                <c:ptCount val="1"/>
                <c:pt idx="0">
                  <c:v>petroleum and coal</c:v>
                </c:pt>
              </c:strCache>
            </c:strRef>
          </c:tx>
          <c:invertIfNegative val="0"/>
          <c:cat>
            <c:strRef>
              <c:f>Sectors!$C$40:$E$40</c:f>
              <c:strCache>
                <c:ptCount val="3"/>
                <c:pt idx="0">
                  <c:v>Gross exports</c:v>
                </c:pt>
                <c:pt idx="1">
                  <c:v>VA in exports (bwd)</c:v>
                </c:pt>
                <c:pt idx="2">
                  <c:v>VA in exports (fwd)</c:v>
                </c:pt>
              </c:strCache>
            </c:strRef>
          </c:cat>
          <c:val>
            <c:numRef>
              <c:f>Sectors!$C$42:$E$42</c:f>
              <c:numCache>
                <c:formatCode>General</c:formatCode>
                <c:ptCount val="3"/>
                <c:pt idx="0">
                  <c:v>8.6999000000000007E-2</c:v>
                </c:pt>
                <c:pt idx="1">
                  <c:v>1371.9688090148002</c:v>
                </c:pt>
                <c:pt idx="2">
                  <c:v>2433.6891379000012</c:v>
                </c:pt>
              </c:numCache>
            </c:numRef>
          </c:val>
        </c:ser>
        <c:ser>
          <c:idx val="2"/>
          <c:order val="2"/>
          <c:tx>
            <c:strRef>
              <c:f>Sectors!$B$43</c:f>
              <c:strCache>
                <c:ptCount val="1"/>
                <c:pt idx="0">
                  <c:v>processed foods</c:v>
                </c:pt>
              </c:strCache>
            </c:strRef>
          </c:tx>
          <c:invertIfNegative val="0"/>
          <c:cat>
            <c:strRef>
              <c:f>Sectors!$C$40:$E$40</c:f>
              <c:strCache>
                <c:ptCount val="3"/>
                <c:pt idx="0">
                  <c:v>Gross exports</c:v>
                </c:pt>
                <c:pt idx="1">
                  <c:v>VA in exports (bwd)</c:v>
                </c:pt>
                <c:pt idx="2">
                  <c:v>VA in exports (fwd)</c:v>
                </c:pt>
              </c:strCache>
            </c:strRef>
          </c:cat>
          <c:val>
            <c:numRef>
              <c:f>Sectors!$C$43:$E$43</c:f>
              <c:numCache>
                <c:formatCode>General</c:formatCode>
                <c:ptCount val="3"/>
                <c:pt idx="0">
                  <c:v>4.8986000000000023E-2</c:v>
                </c:pt>
                <c:pt idx="1">
                  <c:v>1084.4774656651011</c:v>
                </c:pt>
                <c:pt idx="2">
                  <c:v>699.87122362558932</c:v>
                </c:pt>
              </c:numCache>
            </c:numRef>
          </c:val>
        </c:ser>
        <c:ser>
          <c:idx val="3"/>
          <c:order val="3"/>
          <c:tx>
            <c:strRef>
              <c:f>Sectors!$B$44</c:f>
              <c:strCache>
                <c:ptCount val="1"/>
                <c:pt idx="0">
                  <c:v>chemicals and plastics</c:v>
                </c:pt>
              </c:strCache>
            </c:strRef>
          </c:tx>
          <c:invertIfNegative val="0"/>
          <c:cat>
            <c:strRef>
              <c:f>Sectors!$C$40:$E$40</c:f>
              <c:strCache>
                <c:ptCount val="3"/>
                <c:pt idx="0">
                  <c:v>Gross exports</c:v>
                </c:pt>
                <c:pt idx="1">
                  <c:v>VA in exports (bwd)</c:v>
                </c:pt>
                <c:pt idx="2">
                  <c:v>VA in exports (fwd)</c:v>
                </c:pt>
              </c:strCache>
            </c:strRef>
          </c:cat>
          <c:val>
            <c:numRef>
              <c:f>Sectors!$C$44:$E$44</c:f>
              <c:numCache>
                <c:formatCode>General</c:formatCode>
                <c:ptCount val="3"/>
                <c:pt idx="0">
                  <c:v>7.3613999999999999E-2</c:v>
                </c:pt>
                <c:pt idx="1">
                  <c:v>1121.5312548859999</c:v>
                </c:pt>
                <c:pt idx="2">
                  <c:v>731.87091910569961</c:v>
                </c:pt>
              </c:numCache>
            </c:numRef>
          </c:val>
        </c:ser>
        <c:ser>
          <c:idx val="4"/>
          <c:order val="4"/>
          <c:tx>
            <c:strRef>
              <c:f>Sectors!$B$45</c:f>
              <c:strCache>
                <c:ptCount val="1"/>
                <c:pt idx="0">
                  <c:v>metals</c:v>
                </c:pt>
              </c:strCache>
            </c:strRef>
          </c:tx>
          <c:invertIfNegative val="0"/>
          <c:cat>
            <c:strRef>
              <c:f>Sectors!$C$40:$E$40</c:f>
              <c:strCache>
                <c:ptCount val="3"/>
                <c:pt idx="0">
                  <c:v>Gross exports</c:v>
                </c:pt>
                <c:pt idx="1">
                  <c:v>VA in exports (bwd)</c:v>
                </c:pt>
                <c:pt idx="2">
                  <c:v>VA in exports (fwd)</c:v>
                </c:pt>
              </c:strCache>
            </c:strRef>
          </c:cat>
          <c:val>
            <c:numRef>
              <c:f>Sectors!$C$45:$E$45</c:f>
              <c:numCache>
                <c:formatCode>General</c:formatCode>
                <c:ptCount val="3"/>
                <c:pt idx="0">
                  <c:v>0.16051799999999999</c:v>
                </c:pt>
                <c:pt idx="1">
                  <c:v>1751.878751400001</c:v>
                </c:pt>
                <c:pt idx="2">
                  <c:v>1140.8738472738989</c:v>
                </c:pt>
              </c:numCache>
            </c:numRef>
          </c:val>
        </c:ser>
        <c:ser>
          <c:idx val="5"/>
          <c:order val="5"/>
          <c:tx>
            <c:strRef>
              <c:f>Sectors!$B$46</c:f>
              <c:strCache>
                <c:ptCount val="1"/>
                <c:pt idx="0">
                  <c:v>machinery</c:v>
                </c:pt>
              </c:strCache>
            </c:strRef>
          </c:tx>
          <c:invertIfNegative val="0"/>
          <c:cat>
            <c:strRef>
              <c:f>Sectors!$C$40:$E$40</c:f>
              <c:strCache>
                <c:ptCount val="3"/>
                <c:pt idx="0">
                  <c:v>Gross exports</c:v>
                </c:pt>
                <c:pt idx="1">
                  <c:v>VA in exports (bwd)</c:v>
                </c:pt>
                <c:pt idx="2">
                  <c:v>VA in exports (fwd)</c:v>
                </c:pt>
              </c:strCache>
            </c:strRef>
          </c:cat>
          <c:val>
            <c:numRef>
              <c:f>Sectors!$C$46:$E$46</c:f>
              <c:numCache>
                <c:formatCode>General</c:formatCode>
                <c:ptCount val="3"/>
                <c:pt idx="0">
                  <c:v>0.12375600000000007</c:v>
                </c:pt>
                <c:pt idx="1">
                  <c:v>2107.7094016599985</c:v>
                </c:pt>
                <c:pt idx="2">
                  <c:v>1520.4554829028002</c:v>
                </c:pt>
              </c:numCache>
            </c:numRef>
          </c:val>
        </c:ser>
        <c:ser>
          <c:idx val="6"/>
          <c:order val="6"/>
          <c:tx>
            <c:strRef>
              <c:f>Sectors!$B$47</c:f>
              <c:strCache>
                <c:ptCount val="1"/>
                <c:pt idx="0">
                  <c:v>other merchandise trade</c:v>
                </c:pt>
              </c:strCache>
            </c:strRef>
          </c:tx>
          <c:invertIfNegative val="0"/>
          <c:cat>
            <c:strRef>
              <c:f>Sectors!$C$40:$E$40</c:f>
              <c:strCache>
                <c:ptCount val="3"/>
                <c:pt idx="0">
                  <c:v>Gross exports</c:v>
                </c:pt>
                <c:pt idx="1">
                  <c:v>VA in exports (bwd)</c:v>
                </c:pt>
                <c:pt idx="2">
                  <c:v>VA in exports (fwd)</c:v>
                </c:pt>
              </c:strCache>
            </c:strRef>
          </c:cat>
          <c:val>
            <c:numRef>
              <c:f>Sectors!$C$47:$E$47</c:f>
              <c:numCache>
                <c:formatCode>0.00</c:formatCode>
                <c:ptCount val="3"/>
                <c:pt idx="0">
                  <c:v>0.21962000000000004</c:v>
                </c:pt>
                <c:pt idx="1">
                  <c:v>3526.9425153683896</c:v>
                </c:pt>
                <c:pt idx="2">
                  <c:v>2758.1308978287298</c:v>
                </c:pt>
              </c:numCache>
            </c:numRef>
          </c:val>
        </c:ser>
        <c:ser>
          <c:idx val="7"/>
          <c:order val="7"/>
          <c:tx>
            <c:strRef>
              <c:f>Sectors!$B$48</c:f>
              <c:strCache>
                <c:ptCount val="1"/>
                <c:pt idx="0">
                  <c:v>transport</c:v>
                </c:pt>
              </c:strCache>
            </c:strRef>
          </c:tx>
          <c:invertIfNegative val="0"/>
          <c:cat>
            <c:strRef>
              <c:f>Sectors!$C$40:$E$40</c:f>
              <c:strCache>
                <c:ptCount val="3"/>
                <c:pt idx="0">
                  <c:v>Gross exports</c:v>
                </c:pt>
                <c:pt idx="1">
                  <c:v>VA in exports (bwd)</c:v>
                </c:pt>
                <c:pt idx="2">
                  <c:v>VA in exports (fwd)</c:v>
                </c:pt>
              </c:strCache>
            </c:strRef>
          </c:cat>
          <c:val>
            <c:numRef>
              <c:f>Sectors!$C$48:$E$48</c:f>
              <c:numCache>
                <c:formatCode>General</c:formatCode>
                <c:ptCount val="3"/>
                <c:pt idx="0">
                  <c:v>0.11796100000000002</c:v>
                </c:pt>
                <c:pt idx="1">
                  <c:v>2739.2934306900002</c:v>
                </c:pt>
                <c:pt idx="2">
                  <c:v>2470.9769415499995</c:v>
                </c:pt>
              </c:numCache>
            </c:numRef>
          </c:val>
        </c:ser>
        <c:ser>
          <c:idx val="8"/>
          <c:order val="8"/>
          <c:tx>
            <c:strRef>
              <c:f>Sectors!$B$49</c:f>
              <c:strCache>
                <c:ptCount val="1"/>
                <c:pt idx="0">
                  <c:v>business services and ict</c:v>
                </c:pt>
              </c:strCache>
            </c:strRef>
          </c:tx>
          <c:invertIfNegative val="0"/>
          <c:cat>
            <c:strRef>
              <c:f>Sectors!$C$40:$E$40</c:f>
              <c:strCache>
                <c:ptCount val="3"/>
                <c:pt idx="0">
                  <c:v>Gross exports</c:v>
                </c:pt>
                <c:pt idx="1">
                  <c:v>VA in exports (bwd)</c:v>
                </c:pt>
                <c:pt idx="2">
                  <c:v>VA in exports (fwd)</c:v>
                </c:pt>
              </c:strCache>
            </c:strRef>
          </c:cat>
          <c:val>
            <c:numRef>
              <c:f>Sectors!$C$49:$E$49</c:f>
              <c:numCache>
                <c:formatCode>General</c:formatCode>
                <c:ptCount val="3"/>
                <c:pt idx="0">
                  <c:v>4.3431999999999998E-2</c:v>
                </c:pt>
                <c:pt idx="1">
                  <c:v>1223.280873424301</c:v>
                </c:pt>
                <c:pt idx="2">
                  <c:v>2776.2921592000002</c:v>
                </c:pt>
              </c:numCache>
            </c:numRef>
          </c:val>
        </c:ser>
        <c:ser>
          <c:idx val="9"/>
          <c:order val="9"/>
          <c:tx>
            <c:strRef>
              <c:f>Sectors!$B$50</c:f>
              <c:strCache>
                <c:ptCount val="1"/>
                <c:pt idx="0">
                  <c:v>all other services</c:v>
                </c:pt>
              </c:strCache>
            </c:strRef>
          </c:tx>
          <c:invertIfNegative val="0"/>
          <c:cat>
            <c:strRef>
              <c:f>Sectors!$C$40:$E$40</c:f>
              <c:strCache>
                <c:ptCount val="3"/>
                <c:pt idx="0">
                  <c:v>Gross exports</c:v>
                </c:pt>
                <c:pt idx="1">
                  <c:v>VA in exports (bwd)</c:v>
                </c:pt>
                <c:pt idx="2">
                  <c:v>VA in exports (fwd)</c:v>
                </c:pt>
              </c:strCache>
            </c:strRef>
          </c:cat>
          <c:val>
            <c:numRef>
              <c:f>Sectors!$C$50:$E$50</c:f>
              <c:numCache>
                <c:formatCode>0.00</c:formatCode>
                <c:ptCount val="3"/>
                <c:pt idx="0">
                  <c:v>5.4253999999999983E-2</c:v>
                </c:pt>
                <c:pt idx="1">
                  <c:v>1215.1842056238665</c:v>
                </c:pt>
                <c:pt idx="2">
                  <c:v>2263.7247310168368</c:v>
                </c:pt>
              </c:numCache>
            </c:numRef>
          </c:val>
        </c:ser>
        <c:dLbls>
          <c:showLegendKey val="0"/>
          <c:showVal val="0"/>
          <c:showCatName val="0"/>
          <c:showSerName val="0"/>
          <c:showPercent val="0"/>
          <c:showBubbleSize val="0"/>
        </c:dLbls>
        <c:gapWidth val="150"/>
        <c:overlap val="100"/>
        <c:axId val="388769600"/>
        <c:axId val="389547528"/>
      </c:barChart>
      <c:catAx>
        <c:axId val="388769600"/>
        <c:scaling>
          <c:orientation val="minMax"/>
        </c:scaling>
        <c:delete val="0"/>
        <c:axPos val="b"/>
        <c:numFmt formatCode="General" sourceLinked="0"/>
        <c:majorTickMark val="out"/>
        <c:minorTickMark val="none"/>
        <c:tickLblPos val="nextTo"/>
        <c:crossAx val="389547528"/>
        <c:crosses val="autoZero"/>
        <c:auto val="1"/>
        <c:lblAlgn val="ctr"/>
        <c:lblOffset val="100"/>
        <c:noMultiLvlLbl val="0"/>
      </c:catAx>
      <c:valAx>
        <c:axId val="389547528"/>
        <c:scaling>
          <c:orientation val="minMax"/>
        </c:scaling>
        <c:delete val="0"/>
        <c:axPos val="l"/>
        <c:majorGridlines>
          <c:spPr>
            <a:ln>
              <a:prstDash val="dash"/>
            </a:ln>
          </c:spPr>
        </c:majorGridlines>
        <c:numFmt formatCode="0%" sourceLinked="1"/>
        <c:majorTickMark val="out"/>
        <c:minorTickMark val="none"/>
        <c:tickLblPos val="nextTo"/>
        <c:crossAx val="388769600"/>
        <c:crosses val="autoZero"/>
        <c:crossBetween val="between"/>
      </c:valAx>
    </c:plotArea>
    <c:legend>
      <c:legendPos val="r"/>
      <c:layout>
        <c:manualLayout>
          <c:xMode val="edge"/>
          <c:yMode val="edge"/>
          <c:x val="0.66111111111111154"/>
          <c:y val="3.0104257801108196E-2"/>
          <c:w val="0.32222222222222252"/>
          <c:h val="0.93516185476815394"/>
        </c:manualLayout>
      </c:layou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0518180841429942E-2"/>
          <c:y val="3.5079051137565181E-2"/>
          <c:w val="0.9280393240318644"/>
          <c:h val="0.62382555261161177"/>
        </c:manualLayout>
      </c:layout>
      <c:stockChart>
        <c:ser>
          <c:idx val="0"/>
          <c:order val="0"/>
          <c:tx>
            <c:strRef>
              <c:f>'Mystery shopping'!$C$10</c:f>
              <c:strCache>
                <c:ptCount val="1"/>
                <c:pt idx="0">
                  <c:v>High</c:v>
                </c:pt>
              </c:strCache>
            </c:strRef>
          </c:tx>
          <c:spPr>
            <a:ln w="28575">
              <a:noFill/>
            </a:ln>
          </c:spPr>
          <c:marker>
            <c:symbol val="none"/>
          </c:marker>
          <c:cat>
            <c:strRef>
              <c:f>'Mystery shopping'!$B$11:$B$44</c:f>
              <c:strCache>
                <c:ptCount val="34"/>
                <c:pt idx="0">
                  <c:v>KEN</c:v>
                </c:pt>
                <c:pt idx="1">
                  <c:v>TZA</c:v>
                </c:pt>
                <c:pt idx="2">
                  <c:v>UGA</c:v>
                </c:pt>
                <c:pt idx="3">
                  <c:v>RWA</c:v>
                </c:pt>
                <c:pt idx="4">
                  <c:v>MWI</c:v>
                </c:pt>
                <c:pt idx="5">
                  <c:v>ZMB</c:v>
                </c:pt>
                <c:pt idx="7">
                  <c:v>KEN</c:v>
                </c:pt>
                <c:pt idx="8">
                  <c:v>TZA</c:v>
                </c:pt>
                <c:pt idx="9">
                  <c:v>UGA</c:v>
                </c:pt>
                <c:pt idx="10">
                  <c:v>RWA</c:v>
                </c:pt>
                <c:pt idx="11">
                  <c:v>MWI</c:v>
                </c:pt>
                <c:pt idx="12">
                  <c:v>ZMB</c:v>
                </c:pt>
                <c:pt idx="14">
                  <c:v>KEN</c:v>
                </c:pt>
                <c:pt idx="15">
                  <c:v>TZA</c:v>
                </c:pt>
                <c:pt idx="16">
                  <c:v>UGA</c:v>
                </c:pt>
                <c:pt idx="17">
                  <c:v>RWA</c:v>
                </c:pt>
                <c:pt idx="18">
                  <c:v>MWI</c:v>
                </c:pt>
                <c:pt idx="19">
                  <c:v>ZMB</c:v>
                </c:pt>
                <c:pt idx="21">
                  <c:v>KEN</c:v>
                </c:pt>
                <c:pt idx="22">
                  <c:v>TZA</c:v>
                </c:pt>
                <c:pt idx="23">
                  <c:v>UGA</c:v>
                </c:pt>
                <c:pt idx="24">
                  <c:v>RWA</c:v>
                </c:pt>
                <c:pt idx="25">
                  <c:v>MWI</c:v>
                </c:pt>
                <c:pt idx="26">
                  <c:v>ZMB</c:v>
                </c:pt>
                <c:pt idx="28">
                  <c:v>KEN</c:v>
                </c:pt>
                <c:pt idx="29">
                  <c:v>TZA</c:v>
                </c:pt>
                <c:pt idx="30">
                  <c:v>UGA</c:v>
                </c:pt>
                <c:pt idx="31">
                  <c:v>RWA</c:v>
                </c:pt>
                <c:pt idx="32">
                  <c:v>MWI</c:v>
                </c:pt>
                <c:pt idx="33">
                  <c:v>ZMB</c:v>
                </c:pt>
              </c:strCache>
            </c:strRef>
          </c:cat>
          <c:val>
            <c:numRef>
              <c:f>'Mystery shopping'!$C$11:$C$44</c:f>
              <c:numCache>
                <c:formatCode>General</c:formatCode>
                <c:ptCount val="34"/>
                <c:pt idx="0">
                  <c:v>1.5</c:v>
                </c:pt>
                <c:pt idx="1">
                  <c:v>6</c:v>
                </c:pt>
                <c:pt idx="2">
                  <c:v>11.5</c:v>
                </c:pt>
                <c:pt idx="3">
                  <c:v>1</c:v>
                </c:pt>
                <c:pt idx="4">
                  <c:v>4.5</c:v>
                </c:pt>
                <c:pt idx="5">
                  <c:v>8.5</c:v>
                </c:pt>
                <c:pt idx="7">
                  <c:v>6.5</c:v>
                </c:pt>
                <c:pt idx="8">
                  <c:v>6</c:v>
                </c:pt>
                <c:pt idx="9">
                  <c:v>7.5</c:v>
                </c:pt>
                <c:pt idx="10">
                  <c:v>1</c:v>
                </c:pt>
                <c:pt idx="11">
                  <c:v>12</c:v>
                </c:pt>
                <c:pt idx="12">
                  <c:v>12</c:v>
                </c:pt>
                <c:pt idx="14">
                  <c:v>1</c:v>
                </c:pt>
                <c:pt idx="15">
                  <c:v>1</c:v>
                </c:pt>
                <c:pt idx="16">
                  <c:v>5.5</c:v>
                </c:pt>
                <c:pt idx="17">
                  <c:v>4.5</c:v>
                </c:pt>
                <c:pt idx="18">
                  <c:v>3</c:v>
                </c:pt>
                <c:pt idx="19">
                  <c:v>8.5</c:v>
                </c:pt>
                <c:pt idx="21">
                  <c:v>1</c:v>
                </c:pt>
                <c:pt idx="22">
                  <c:v>1</c:v>
                </c:pt>
                <c:pt idx="23">
                  <c:v>5.5</c:v>
                </c:pt>
                <c:pt idx="24">
                  <c:v>3.5</c:v>
                </c:pt>
                <c:pt idx="25">
                  <c:v>2.5</c:v>
                </c:pt>
                <c:pt idx="26">
                  <c:v>8.5</c:v>
                </c:pt>
                <c:pt idx="28">
                  <c:v>2.5</c:v>
                </c:pt>
                <c:pt idx="29">
                  <c:v>6</c:v>
                </c:pt>
                <c:pt idx="30">
                  <c:v>9.5</c:v>
                </c:pt>
                <c:pt idx="31">
                  <c:v>0.5</c:v>
                </c:pt>
                <c:pt idx="32">
                  <c:v>4</c:v>
                </c:pt>
                <c:pt idx="33">
                  <c:v>8.5</c:v>
                </c:pt>
              </c:numCache>
            </c:numRef>
          </c:val>
          <c:smooth val="0"/>
        </c:ser>
        <c:ser>
          <c:idx val="1"/>
          <c:order val="1"/>
          <c:tx>
            <c:strRef>
              <c:f>'Mystery shopping'!$D$10</c:f>
              <c:strCache>
                <c:ptCount val="1"/>
                <c:pt idx="0">
                  <c:v>Low</c:v>
                </c:pt>
              </c:strCache>
            </c:strRef>
          </c:tx>
          <c:spPr>
            <a:ln w="28575">
              <a:noFill/>
            </a:ln>
          </c:spPr>
          <c:marker>
            <c:symbol val="none"/>
          </c:marker>
          <c:cat>
            <c:strRef>
              <c:f>'Mystery shopping'!$B$11:$B$44</c:f>
              <c:strCache>
                <c:ptCount val="34"/>
                <c:pt idx="0">
                  <c:v>KEN</c:v>
                </c:pt>
                <c:pt idx="1">
                  <c:v>TZA</c:v>
                </c:pt>
                <c:pt idx="2">
                  <c:v>UGA</c:v>
                </c:pt>
                <c:pt idx="3">
                  <c:v>RWA</c:v>
                </c:pt>
                <c:pt idx="4">
                  <c:v>MWI</c:v>
                </c:pt>
                <c:pt idx="5">
                  <c:v>ZMB</c:v>
                </c:pt>
                <c:pt idx="7">
                  <c:v>KEN</c:v>
                </c:pt>
                <c:pt idx="8">
                  <c:v>TZA</c:v>
                </c:pt>
                <c:pt idx="9">
                  <c:v>UGA</c:v>
                </c:pt>
                <c:pt idx="10">
                  <c:v>RWA</c:v>
                </c:pt>
                <c:pt idx="11">
                  <c:v>MWI</c:v>
                </c:pt>
                <c:pt idx="12">
                  <c:v>ZMB</c:v>
                </c:pt>
                <c:pt idx="14">
                  <c:v>KEN</c:v>
                </c:pt>
                <c:pt idx="15">
                  <c:v>TZA</c:v>
                </c:pt>
                <c:pt idx="16">
                  <c:v>UGA</c:v>
                </c:pt>
                <c:pt idx="17">
                  <c:v>RWA</c:v>
                </c:pt>
                <c:pt idx="18">
                  <c:v>MWI</c:v>
                </c:pt>
                <c:pt idx="19">
                  <c:v>ZMB</c:v>
                </c:pt>
                <c:pt idx="21">
                  <c:v>KEN</c:v>
                </c:pt>
                <c:pt idx="22">
                  <c:v>TZA</c:v>
                </c:pt>
                <c:pt idx="23">
                  <c:v>UGA</c:v>
                </c:pt>
                <c:pt idx="24">
                  <c:v>RWA</c:v>
                </c:pt>
                <c:pt idx="25">
                  <c:v>MWI</c:v>
                </c:pt>
                <c:pt idx="26">
                  <c:v>ZMB</c:v>
                </c:pt>
                <c:pt idx="28">
                  <c:v>KEN</c:v>
                </c:pt>
                <c:pt idx="29">
                  <c:v>TZA</c:v>
                </c:pt>
                <c:pt idx="30">
                  <c:v>UGA</c:v>
                </c:pt>
                <c:pt idx="31">
                  <c:v>RWA</c:v>
                </c:pt>
                <c:pt idx="32">
                  <c:v>MWI</c:v>
                </c:pt>
                <c:pt idx="33">
                  <c:v>ZMB</c:v>
                </c:pt>
              </c:strCache>
            </c:strRef>
          </c:cat>
          <c:val>
            <c:numRef>
              <c:f>'Mystery shopping'!$D$11:$D$44</c:f>
              <c:numCache>
                <c:formatCode>General</c:formatCode>
                <c:ptCount val="34"/>
                <c:pt idx="0">
                  <c:v>0</c:v>
                </c:pt>
                <c:pt idx="1">
                  <c:v>1.5</c:v>
                </c:pt>
                <c:pt idx="2">
                  <c:v>0.5</c:v>
                </c:pt>
                <c:pt idx="3">
                  <c:v>0</c:v>
                </c:pt>
                <c:pt idx="4">
                  <c:v>2</c:v>
                </c:pt>
                <c:pt idx="5">
                  <c:v>0</c:v>
                </c:pt>
                <c:pt idx="7">
                  <c:v>5.5</c:v>
                </c:pt>
                <c:pt idx="8">
                  <c:v>5.5</c:v>
                </c:pt>
                <c:pt idx="9">
                  <c:v>3.5</c:v>
                </c:pt>
                <c:pt idx="10">
                  <c:v>0</c:v>
                </c:pt>
                <c:pt idx="11">
                  <c:v>8.5</c:v>
                </c:pt>
                <c:pt idx="12">
                  <c:v>6.5</c:v>
                </c:pt>
                <c:pt idx="14">
                  <c:v>0</c:v>
                </c:pt>
                <c:pt idx="15">
                  <c:v>0.5</c:v>
                </c:pt>
                <c:pt idx="16">
                  <c:v>0</c:v>
                </c:pt>
                <c:pt idx="17">
                  <c:v>4</c:v>
                </c:pt>
                <c:pt idx="18">
                  <c:v>0.5</c:v>
                </c:pt>
                <c:pt idx="19">
                  <c:v>0</c:v>
                </c:pt>
                <c:pt idx="21">
                  <c:v>0.5</c:v>
                </c:pt>
                <c:pt idx="22">
                  <c:v>0.5</c:v>
                </c:pt>
                <c:pt idx="23">
                  <c:v>0</c:v>
                </c:pt>
                <c:pt idx="24">
                  <c:v>3</c:v>
                </c:pt>
                <c:pt idx="25">
                  <c:v>2</c:v>
                </c:pt>
                <c:pt idx="26">
                  <c:v>0</c:v>
                </c:pt>
                <c:pt idx="28">
                  <c:v>0</c:v>
                </c:pt>
                <c:pt idx="29">
                  <c:v>5.5</c:v>
                </c:pt>
                <c:pt idx="30">
                  <c:v>0</c:v>
                </c:pt>
                <c:pt idx="31">
                  <c:v>0</c:v>
                </c:pt>
                <c:pt idx="32">
                  <c:v>2</c:v>
                </c:pt>
                <c:pt idx="33">
                  <c:v>0</c:v>
                </c:pt>
              </c:numCache>
            </c:numRef>
          </c:val>
          <c:smooth val="0"/>
        </c:ser>
        <c:ser>
          <c:idx val="2"/>
          <c:order val="2"/>
          <c:tx>
            <c:strRef>
              <c:f>'Mystery shopping'!$E$10</c:f>
              <c:strCache>
                <c:ptCount val="1"/>
                <c:pt idx="0">
                  <c:v>Closing</c:v>
                </c:pt>
              </c:strCache>
            </c:strRef>
          </c:tx>
          <c:spPr>
            <a:ln w="28575">
              <a:noFill/>
            </a:ln>
          </c:spPr>
          <c:marker>
            <c:symbol val="none"/>
          </c:marker>
          <c:cat>
            <c:strRef>
              <c:f>'Mystery shopping'!$B$11:$B$44</c:f>
              <c:strCache>
                <c:ptCount val="34"/>
                <c:pt idx="0">
                  <c:v>KEN</c:v>
                </c:pt>
                <c:pt idx="1">
                  <c:v>TZA</c:v>
                </c:pt>
                <c:pt idx="2">
                  <c:v>UGA</c:v>
                </c:pt>
                <c:pt idx="3">
                  <c:v>RWA</c:v>
                </c:pt>
                <c:pt idx="4">
                  <c:v>MWI</c:v>
                </c:pt>
                <c:pt idx="5">
                  <c:v>ZMB</c:v>
                </c:pt>
                <c:pt idx="7">
                  <c:v>KEN</c:v>
                </c:pt>
                <c:pt idx="8">
                  <c:v>TZA</c:v>
                </c:pt>
                <c:pt idx="9">
                  <c:v>UGA</c:v>
                </c:pt>
                <c:pt idx="10">
                  <c:v>RWA</c:v>
                </c:pt>
                <c:pt idx="11">
                  <c:v>MWI</c:v>
                </c:pt>
                <c:pt idx="12">
                  <c:v>ZMB</c:v>
                </c:pt>
                <c:pt idx="14">
                  <c:v>KEN</c:v>
                </c:pt>
                <c:pt idx="15">
                  <c:v>TZA</c:v>
                </c:pt>
                <c:pt idx="16">
                  <c:v>UGA</c:v>
                </c:pt>
                <c:pt idx="17">
                  <c:v>RWA</c:v>
                </c:pt>
                <c:pt idx="18">
                  <c:v>MWI</c:v>
                </c:pt>
                <c:pt idx="19">
                  <c:v>ZMB</c:v>
                </c:pt>
                <c:pt idx="21">
                  <c:v>KEN</c:v>
                </c:pt>
                <c:pt idx="22">
                  <c:v>TZA</c:v>
                </c:pt>
                <c:pt idx="23">
                  <c:v>UGA</c:v>
                </c:pt>
                <c:pt idx="24">
                  <c:v>RWA</c:v>
                </c:pt>
                <c:pt idx="25">
                  <c:v>MWI</c:v>
                </c:pt>
                <c:pt idx="26">
                  <c:v>ZMB</c:v>
                </c:pt>
                <c:pt idx="28">
                  <c:v>KEN</c:v>
                </c:pt>
                <c:pt idx="29">
                  <c:v>TZA</c:v>
                </c:pt>
                <c:pt idx="30">
                  <c:v>UGA</c:v>
                </c:pt>
                <c:pt idx="31">
                  <c:v>RWA</c:v>
                </c:pt>
                <c:pt idx="32">
                  <c:v>MWI</c:v>
                </c:pt>
                <c:pt idx="33">
                  <c:v>ZMB</c:v>
                </c:pt>
              </c:strCache>
            </c:strRef>
          </c:cat>
          <c:val>
            <c:numRef>
              <c:f>'Mystery shopping'!$E$11:$E$44</c:f>
              <c:numCache>
                <c:formatCode>General</c:formatCode>
                <c:ptCount val="34"/>
                <c:pt idx="0">
                  <c:v>0</c:v>
                </c:pt>
                <c:pt idx="1">
                  <c:v>1.5</c:v>
                </c:pt>
                <c:pt idx="2">
                  <c:v>0.5</c:v>
                </c:pt>
                <c:pt idx="3">
                  <c:v>0</c:v>
                </c:pt>
                <c:pt idx="4">
                  <c:v>2</c:v>
                </c:pt>
                <c:pt idx="5">
                  <c:v>0</c:v>
                </c:pt>
                <c:pt idx="7">
                  <c:v>5.5</c:v>
                </c:pt>
                <c:pt idx="8">
                  <c:v>5.5</c:v>
                </c:pt>
                <c:pt idx="9">
                  <c:v>3.5</c:v>
                </c:pt>
                <c:pt idx="10">
                  <c:v>0</c:v>
                </c:pt>
                <c:pt idx="11">
                  <c:v>8.5</c:v>
                </c:pt>
                <c:pt idx="12">
                  <c:v>6.5</c:v>
                </c:pt>
                <c:pt idx="14">
                  <c:v>0</c:v>
                </c:pt>
                <c:pt idx="15">
                  <c:v>0.5</c:v>
                </c:pt>
                <c:pt idx="16">
                  <c:v>0</c:v>
                </c:pt>
                <c:pt idx="17">
                  <c:v>4</c:v>
                </c:pt>
                <c:pt idx="18">
                  <c:v>0.5</c:v>
                </c:pt>
                <c:pt idx="19">
                  <c:v>0</c:v>
                </c:pt>
                <c:pt idx="21">
                  <c:v>0.5</c:v>
                </c:pt>
                <c:pt idx="22">
                  <c:v>0.5</c:v>
                </c:pt>
                <c:pt idx="23">
                  <c:v>0</c:v>
                </c:pt>
                <c:pt idx="24">
                  <c:v>3</c:v>
                </c:pt>
                <c:pt idx="25">
                  <c:v>2</c:v>
                </c:pt>
                <c:pt idx="26">
                  <c:v>0</c:v>
                </c:pt>
                <c:pt idx="28">
                  <c:v>0</c:v>
                </c:pt>
                <c:pt idx="29">
                  <c:v>5.5</c:v>
                </c:pt>
                <c:pt idx="30">
                  <c:v>0</c:v>
                </c:pt>
                <c:pt idx="31">
                  <c:v>0</c:v>
                </c:pt>
                <c:pt idx="32">
                  <c:v>2</c:v>
                </c:pt>
                <c:pt idx="33">
                  <c:v>0</c:v>
                </c:pt>
              </c:numCache>
            </c:numRef>
          </c:val>
          <c:smooth val="0"/>
        </c:ser>
        <c:dLbls>
          <c:showLegendKey val="0"/>
          <c:showVal val="0"/>
          <c:showCatName val="0"/>
          <c:showSerName val="0"/>
          <c:showPercent val="0"/>
          <c:showBubbleSize val="0"/>
        </c:dLbls>
        <c:hiLowLines>
          <c:spPr>
            <a:ln w="41275" cap="rnd">
              <a:solidFill>
                <a:srgbClr val="0070C0"/>
              </a:solidFill>
              <a:miter lim="800000"/>
              <a:headEnd type="diamond"/>
              <a:tailEnd type="diamond"/>
            </a:ln>
          </c:spPr>
        </c:hiLowLines>
        <c:axId val="389548312"/>
        <c:axId val="389548704"/>
      </c:stockChart>
      <c:catAx>
        <c:axId val="389548312"/>
        <c:scaling>
          <c:orientation val="minMax"/>
        </c:scaling>
        <c:delete val="0"/>
        <c:axPos val="b"/>
        <c:numFmt formatCode="General" sourceLinked="0"/>
        <c:majorTickMark val="out"/>
        <c:minorTickMark val="none"/>
        <c:tickLblPos val="nextTo"/>
        <c:crossAx val="389548704"/>
        <c:crosses val="autoZero"/>
        <c:auto val="1"/>
        <c:lblAlgn val="ctr"/>
        <c:lblOffset val="100"/>
        <c:noMultiLvlLbl val="0"/>
      </c:catAx>
      <c:valAx>
        <c:axId val="389548704"/>
        <c:scaling>
          <c:orientation val="minMax"/>
          <c:max val="12.5"/>
          <c:min val="0"/>
        </c:scaling>
        <c:delete val="0"/>
        <c:axPos val="l"/>
        <c:numFmt formatCode="General" sourceLinked="1"/>
        <c:majorTickMark val="out"/>
        <c:minorTickMark val="none"/>
        <c:tickLblPos val="nextTo"/>
        <c:crossAx val="389548312"/>
        <c:crosses val="autoZero"/>
        <c:crossBetween val="between"/>
        <c:majorUnit val="2"/>
      </c:valAx>
    </c:plotArea>
    <c:plotVisOnly val="1"/>
    <c:dispBlanksAs val="gap"/>
    <c:showDLblsOverMax val="0"/>
  </c:chart>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1988407699037624E-2"/>
          <c:y val="5.1400554097404488E-2"/>
          <c:w val="0.89867804024496944"/>
          <c:h val="0.83105643044619493"/>
        </c:manualLayout>
      </c:layout>
      <c:barChart>
        <c:barDir val="col"/>
        <c:grouping val="clustered"/>
        <c:varyColors val="0"/>
        <c:ser>
          <c:idx val="1"/>
          <c:order val="1"/>
          <c:tx>
            <c:strRef>
              <c:f>'Mobile broadband'!$D$10</c:f>
              <c:strCache>
                <c:ptCount val="1"/>
                <c:pt idx="0">
                  <c:v>CAGR (2010-13, %)</c:v>
                </c:pt>
              </c:strCache>
            </c:strRef>
          </c:tx>
          <c:invertIfNegative val="0"/>
          <c:cat>
            <c:strRef>
              <c:f>'Mobile broadband'!$B$11:$B$16</c:f>
              <c:strCache>
                <c:ptCount val="6"/>
                <c:pt idx="0">
                  <c:v>Africa</c:v>
                </c:pt>
                <c:pt idx="1">
                  <c:v>Arab States</c:v>
                </c:pt>
                <c:pt idx="2">
                  <c:v>Asia-Pacific</c:v>
                </c:pt>
                <c:pt idx="3">
                  <c:v>Europe</c:v>
                </c:pt>
                <c:pt idx="4">
                  <c:v>Americas</c:v>
                </c:pt>
                <c:pt idx="5">
                  <c:v>CIS</c:v>
                </c:pt>
              </c:strCache>
            </c:strRef>
          </c:cat>
          <c:val>
            <c:numRef>
              <c:f>'Mobile broadband'!$D$11:$D$16</c:f>
              <c:numCache>
                <c:formatCode>General</c:formatCode>
                <c:ptCount val="6"/>
                <c:pt idx="0">
                  <c:v>85</c:v>
                </c:pt>
                <c:pt idx="1">
                  <c:v>55</c:v>
                </c:pt>
                <c:pt idx="2">
                  <c:v>45</c:v>
                </c:pt>
                <c:pt idx="3">
                  <c:v>33</c:v>
                </c:pt>
                <c:pt idx="4">
                  <c:v>28</c:v>
                </c:pt>
                <c:pt idx="5">
                  <c:v>27</c:v>
                </c:pt>
              </c:numCache>
            </c:numRef>
          </c:val>
        </c:ser>
        <c:dLbls>
          <c:showLegendKey val="0"/>
          <c:showVal val="0"/>
          <c:showCatName val="0"/>
          <c:showSerName val="0"/>
          <c:showPercent val="0"/>
          <c:showBubbleSize val="0"/>
        </c:dLbls>
        <c:gapWidth val="150"/>
        <c:axId val="389549880"/>
        <c:axId val="389550272"/>
      </c:barChart>
      <c:lineChart>
        <c:grouping val="standard"/>
        <c:varyColors val="0"/>
        <c:ser>
          <c:idx val="0"/>
          <c:order val="0"/>
          <c:tx>
            <c:strRef>
              <c:f>'Mobile broadband'!$C$10</c:f>
              <c:strCache>
                <c:ptCount val="1"/>
                <c:pt idx="0">
                  <c:v>Penetration (%)</c:v>
                </c:pt>
              </c:strCache>
            </c:strRef>
          </c:tx>
          <c:spPr>
            <a:ln>
              <a:noFill/>
            </a:ln>
          </c:spPr>
          <c:marker>
            <c:symbol val="dash"/>
            <c:size val="25"/>
            <c:spPr>
              <a:solidFill>
                <a:schemeClr val="tx1"/>
              </a:solidFill>
            </c:spPr>
          </c:marker>
          <c:cat>
            <c:strRef>
              <c:f>'Mobile broadband'!$B$11:$B$16</c:f>
              <c:strCache>
                <c:ptCount val="6"/>
                <c:pt idx="0">
                  <c:v>Africa</c:v>
                </c:pt>
                <c:pt idx="1">
                  <c:v>Arab States</c:v>
                </c:pt>
                <c:pt idx="2">
                  <c:v>Asia-Pacific</c:v>
                </c:pt>
                <c:pt idx="3">
                  <c:v>Europe</c:v>
                </c:pt>
                <c:pt idx="4">
                  <c:v>Americas</c:v>
                </c:pt>
                <c:pt idx="5">
                  <c:v>CIS</c:v>
                </c:pt>
              </c:strCache>
            </c:strRef>
          </c:cat>
          <c:val>
            <c:numRef>
              <c:f>'Mobile broadband'!$C$11:$C$16</c:f>
              <c:numCache>
                <c:formatCode>General</c:formatCode>
                <c:ptCount val="6"/>
                <c:pt idx="0">
                  <c:v>11</c:v>
                </c:pt>
                <c:pt idx="1">
                  <c:v>19</c:v>
                </c:pt>
                <c:pt idx="2">
                  <c:v>22</c:v>
                </c:pt>
                <c:pt idx="3">
                  <c:v>68</c:v>
                </c:pt>
                <c:pt idx="4">
                  <c:v>48</c:v>
                </c:pt>
                <c:pt idx="5">
                  <c:v>46</c:v>
                </c:pt>
              </c:numCache>
            </c:numRef>
          </c:val>
          <c:smooth val="0"/>
        </c:ser>
        <c:dLbls>
          <c:showLegendKey val="0"/>
          <c:showVal val="0"/>
          <c:showCatName val="0"/>
          <c:showSerName val="0"/>
          <c:showPercent val="0"/>
          <c:showBubbleSize val="0"/>
        </c:dLbls>
        <c:marker val="1"/>
        <c:smooth val="0"/>
        <c:axId val="389549880"/>
        <c:axId val="389550272"/>
      </c:lineChart>
      <c:catAx>
        <c:axId val="389549880"/>
        <c:scaling>
          <c:orientation val="minMax"/>
        </c:scaling>
        <c:delete val="0"/>
        <c:axPos val="b"/>
        <c:numFmt formatCode="General" sourceLinked="0"/>
        <c:majorTickMark val="out"/>
        <c:minorTickMark val="none"/>
        <c:tickLblPos val="nextTo"/>
        <c:crossAx val="389550272"/>
        <c:crosses val="autoZero"/>
        <c:auto val="1"/>
        <c:lblAlgn val="ctr"/>
        <c:lblOffset val="100"/>
        <c:noMultiLvlLbl val="0"/>
      </c:catAx>
      <c:valAx>
        <c:axId val="389550272"/>
        <c:scaling>
          <c:orientation val="minMax"/>
        </c:scaling>
        <c:delete val="0"/>
        <c:axPos val="l"/>
        <c:numFmt formatCode="General" sourceLinked="1"/>
        <c:majorTickMark val="out"/>
        <c:minorTickMark val="none"/>
        <c:tickLblPos val="nextTo"/>
        <c:crossAx val="389549880"/>
        <c:crosses val="autoZero"/>
        <c:crossBetween val="between"/>
      </c:valAx>
    </c:plotArea>
    <c:legend>
      <c:legendPos val="r"/>
      <c:layout>
        <c:manualLayout>
          <c:xMode val="edge"/>
          <c:yMode val="edge"/>
          <c:x val="0.67066644794400743"/>
          <c:y val="6.9060586176727903E-2"/>
          <c:w val="0.25984601924759426"/>
          <c:h val="0.16743438320209994"/>
        </c:manualLayout>
      </c:layout>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3085739282589702E-2"/>
          <c:y val="5.1400554097404488E-2"/>
          <c:w val="0.89101268591425986"/>
          <c:h val="0.6792829542140566"/>
        </c:manualLayout>
      </c:layout>
      <c:barChart>
        <c:barDir val="col"/>
        <c:grouping val="clustered"/>
        <c:varyColors val="0"/>
        <c:ser>
          <c:idx val="0"/>
          <c:order val="0"/>
          <c:tx>
            <c:strRef>
              <c:f>Maize!$C$10</c:f>
              <c:strCache>
                <c:ptCount val="1"/>
                <c:pt idx="0">
                  <c:v>SMS</c:v>
                </c:pt>
              </c:strCache>
            </c:strRef>
          </c:tx>
          <c:invertIfNegative val="0"/>
          <c:cat>
            <c:strRef>
              <c:f>Maize!$B$11:$B$19</c:f>
              <c:strCache>
                <c:ptCount val="9"/>
                <c:pt idx="0">
                  <c:v>Burkina Faso</c:v>
                </c:pt>
                <c:pt idx="1">
                  <c:v>Cameroon</c:v>
                </c:pt>
                <c:pt idx="2">
                  <c:v>Ghana</c:v>
                </c:pt>
                <c:pt idx="3">
                  <c:v>Kenya</c:v>
                </c:pt>
                <c:pt idx="4">
                  <c:v>Malawi</c:v>
                </c:pt>
                <c:pt idx="5">
                  <c:v>Mali</c:v>
                </c:pt>
                <c:pt idx="6">
                  <c:v>Tanzania</c:v>
                </c:pt>
                <c:pt idx="7">
                  <c:v>Uganda</c:v>
                </c:pt>
                <c:pt idx="8">
                  <c:v>Zambia</c:v>
                </c:pt>
              </c:strCache>
            </c:strRef>
          </c:cat>
          <c:val>
            <c:numRef>
              <c:f>Maize!$C$11:$C$19</c:f>
              <c:numCache>
                <c:formatCode>0.00</c:formatCode>
                <c:ptCount val="9"/>
                <c:pt idx="0">
                  <c:v>0.3500000000000002</c:v>
                </c:pt>
                <c:pt idx="1">
                  <c:v>0.39000000000000024</c:v>
                </c:pt>
                <c:pt idx="2">
                  <c:v>0.44</c:v>
                </c:pt>
                <c:pt idx="3">
                  <c:v>0.38000000000000023</c:v>
                </c:pt>
                <c:pt idx="4">
                  <c:v>0.26</c:v>
                </c:pt>
                <c:pt idx="5">
                  <c:v>0.5</c:v>
                </c:pt>
                <c:pt idx="6">
                  <c:v>0.27</c:v>
                </c:pt>
                <c:pt idx="7">
                  <c:v>0.27500000000000002</c:v>
                </c:pt>
                <c:pt idx="8">
                  <c:v>0.34</c:v>
                </c:pt>
              </c:numCache>
            </c:numRef>
          </c:val>
        </c:ser>
        <c:dLbls>
          <c:showLegendKey val="0"/>
          <c:showVal val="0"/>
          <c:showCatName val="0"/>
          <c:showSerName val="0"/>
          <c:showPercent val="0"/>
          <c:showBubbleSize val="0"/>
        </c:dLbls>
        <c:gapWidth val="150"/>
        <c:axId val="389551056"/>
        <c:axId val="389631168"/>
      </c:barChart>
      <c:lineChart>
        <c:grouping val="standard"/>
        <c:varyColors val="0"/>
        <c:ser>
          <c:idx val="1"/>
          <c:order val="1"/>
          <c:tx>
            <c:strRef>
              <c:f>Maize!$D$10</c:f>
              <c:strCache>
                <c:ptCount val="1"/>
                <c:pt idx="0">
                  <c:v>FAO</c:v>
                </c:pt>
              </c:strCache>
            </c:strRef>
          </c:tx>
          <c:spPr>
            <a:ln>
              <a:noFill/>
            </a:ln>
          </c:spPr>
          <c:marker>
            <c:symbol val="diamond"/>
            <c:size val="10"/>
          </c:marker>
          <c:cat>
            <c:strRef>
              <c:f>Maize!$B$11:$B$19</c:f>
              <c:strCache>
                <c:ptCount val="9"/>
                <c:pt idx="0">
                  <c:v>Burkina Faso</c:v>
                </c:pt>
                <c:pt idx="1">
                  <c:v>Cameroon</c:v>
                </c:pt>
                <c:pt idx="2">
                  <c:v>Ghana</c:v>
                </c:pt>
                <c:pt idx="3">
                  <c:v>Kenya</c:v>
                </c:pt>
                <c:pt idx="4">
                  <c:v>Malawi</c:v>
                </c:pt>
                <c:pt idx="5">
                  <c:v>Mali</c:v>
                </c:pt>
                <c:pt idx="6">
                  <c:v>Tanzania</c:v>
                </c:pt>
                <c:pt idx="7">
                  <c:v>Uganda</c:v>
                </c:pt>
                <c:pt idx="8">
                  <c:v>Zambia</c:v>
                </c:pt>
              </c:strCache>
            </c:strRef>
          </c:cat>
          <c:val>
            <c:numRef>
              <c:f>Maize!$D$11:$D$19</c:f>
              <c:numCache>
                <c:formatCode>General</c:formatCode>
                <c:ptCount val="9"/>
                <c:pt idx="2" formatCode="0.00">
                  <c:v>0.42000000000000021</c:v>
                </c:pt>
                <c:pt idx="3" formatCode="0.00">
                  <c:v>0.38600000000000023</c:v>
                </c:pt>
                <c:pt idx="4" formatCode="0.00">
                  <c:v>0.27</c:v>
                </c:pt>
                <c:pt idx="7" formatCode="0.00">
                  <c:v>0.2920000000000002</c:v>
                </c:pt>
                <c:pt idx="8" formatCode="0.00">
                  <c:v>0.32400000000000023</c:v>
                </c:pt>
              </c:numCache>
            </c:numRef>
          </c:val>
          <c:smooth val="0"/>
        </c:ser>
        <c:dLbls>
          <c:showLegendKey val="0"/>
          <c:showVal val="0"/>
          <c:showCatName val="0"/>
          <c:showSerName val="0"/>
          <c:showPercent val="0"/>
          <c:showBubbleSize val="0"/>
        </c:dLbls>
        <c:marker val="1"/>
        <c:smooth val="0"/>
        <c:axId val="389551056"/>
        <c:axId val="389631168"/>
      </c:lineChart>
      <c:catAx>
        <c:axId val="389551056"/>
        <c:scaling>
          <c:orientation val="minMax"/>
        </c:scaling>
        <c:delete val="0"/>
        <c:axPos val="b"/>
        <c:numFmt formatCode="General" sourceLinked="0"/>
        <c:majorTickMark val="out"/>
        <c:minorTickMark val="none"/>
        <c:tickLblPos val="nextTo"/>
        <c:crossAx val="389631168"/>
        <c:crosses val="autoZero"/>
        <c:auto val="1"/>
        <c:lblAlgn val="ctr"/>
        <c:lblOffset val="100"/>
        <c:noMultiLvlLbl val="0"/>
      </c:catAx>
      <c:valAx>
        <c:axId val="389631168"/>
        <c:scaling>
          <c:orientation val="minMax"/>
          <c:max val="0.5"/>
        </c:scaling>
        <c:delete val="0"/>
        <c:axPos val="l"/>
        <c:numFmt formatCode="0.00" sourceLinked="1"/>
        <c:majorTickMark val="out"/>
        <c:minorTickMark val="none"/>
        <c:tickLblPos val="nextTo"/>
        <c:crossAx val="389551056"/>
        <c:crosses val="autoZero"/>
        <c:crossBetween val="between"/>
      </c:valAx>
      <c:spPr>
        <a:noFill/>
        <a:ln w="25400">
          <a:noFill/>
        </a:ln>
      </c:spPr>
    </c:plotArea>
    <c:legend>
      <c:legendPos val="r"/>
      <c:layout>
        <c:manualLayout>
          <c:xMode val="edge"/>
          <c:yMode val="edge"/>
          <c:x val="0.86743175853018428"/>
          <c:y val="3.2023549139690875E-2"/>
          <c:w val="9.6457130358705151E-2"/>
          <c:h val="0.16743438320209994"/>
        </c:manualLayout>
      </c:layout>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3085739282589702E-2"/>
          <c:y val="5.1400554097404495E-2"/>
          <c:w val="0.87635870516185499"/>
          <c:h val="0.67366863016168876"/>
        </c:manualLayout>
      </c:layout>
      <c:barChart>
        <c:barDir val="col"/>
        <c:grouping val="clustered"/>
        <c:varyColors val="0"/>
        <c:ser>
          <c:idx val="0"/>
          <c:order val="0"/>
          <c:tx>
            <c:strRef>
              <c:f>'Fertilizert by type'!$B$2</c:f>
              <c:strCache>
                <c:ptCount val="1"/>
                <c:pt idx="0">
                  <c:v>Basal</c:v>
                </c:pt>
              </c:strCache>
            </c:strRef>
          </c:tx>
          <c:invertIfNegative val="0"/>
          <c:cat>
            <c:strRef>
              <c:f>'Fertilizert by type'!$C$1:$K$1</c:f>
              <c:strCache>
                <c:ptCount val="9"/>
                <c:pt idx="0">
                  <c:v>Burkina Faso</c:v>
                </c:pt>
                <c:pt idx="1">
                  <c:v>Cameroon</c:v>
                </c:pt>
                <c:pt idx="2">
                  <c:v>Ghana</c:v>
                </c:pt>
                <c:pt idx="3">
                  <c:v>Kenya</c:v>
                </c:pt>
                <c:pt idx="4">
                  <c:v>Malawi</c:v>
                </c:pt>
                <c:pt idx="5">
                  <c:v>Tanzania</c:v>
                </c:pt>
                <c:pt idx="6">
                  <c:v>Uganda</c:v>
                </c:pt>
                <c:pt idx="7">
                  <c:v>Zambia</c:v>
                </c:pt>
                <c:pt idx="8">
                  <c:v>Mali</c:v>
                </c:pt>
              </c:strCache>
            </c:strRef>
          </c:cat>
          <c:val>
            <c:numRef>
              <c:f>'Fertilizert by type'!$C$2:$K$2</c:f>
              <c:numCache>
                <c:formatCode>0.00</c:formatCode>
                <c:ptCount val="9"/>
                <c:pt idx="0">
                  <c:v>0.80028639999999929</c:v>
                </c:pt>
                <c:pt idx="1">
                  <c:v>0.75816609999999951</c:v>
                </c:pt>
                <c:pt idx="2">
                  <c:v>0.71428570000000002</c:v>
                </c:pt>
                <c:pt idx="3">
                  <c:v>0.80580169999999995</c:v>
                </c:pt>
                <c:pt idx="5">
                  <c:v>0.6000122</c:v>
                </c:pt>
                <c:pt idx="6">
                  <c:v>0.57997420000000044</c:v>
                </c:pt>
                <c:pt idx="7">
                  <c:v>0.81857990000000003</c:v>
                </c:pt>
                <c:pt idx="8">
                  <c:v>0.72291649999999996</c:v>
                </c:pt>
              </c:numCache>
            </c:numRef>
          </c:val>
        </c:ser>
        <c:ser>
          <c:idx val="1"/>
          <c:order val="1"/>
          <c:tx>
            <c:strRef>
              <c:f>'Fertilizert by type'!$B$3</c:f>
              <c:strCache>
                <c:ptCount val="1"/>
                <c:pt idx="0">
                  <c:v>Urea</c:v>
                </c:pt>
              </c:strCache>
            </c:strRef>
          </c:tx>
          <c:invertIfNegative val="0"/>
          <c:cat>
            <c:strRef>
              <c:f>'Fertilizert by type'!$C$1:$K$1</c:f>
              <c:strCache>
                <c:ptCount val="9"/>
                <c:pt idx="0">
                  <c:v>Burkina Faso</c:v>
                </c:pt>
                <c:pt idx="1">
                  <c:v>Cameroon</c:v>
                </c:pt>
                <c:pt idx="2">
                  <c:v>Ghana</c:v>
                </c:pt>
                <c:pt idx="3">
                  <c:v>Kenya</c:v>
                </c:pt>
                <c:pt idx="4">
                  <c:v>Malawi</c:v>
                </c:pt>
                <c:pt idx="5">
                  <c:v>Tanzania</c:v>
                </c:pt>
                <c:pt idx="6">
                  <c:v>Uganda</c:v>
                </c:pt>
                <c:pt idx="7">
                  <c:v>Zambia</c:v>
                </c:pt>
                <c:pt idx="8">
                  <c:v>Mali</c:v>
                </c:pt>
              </c:strCache>
            </c:strRef>
          </c:cat>
          <c:val>
            <c:numRef>
              <c:f>'Fertilizert by type'!$C$3:$K$3</c:f>
              <c:numCache>
                <c:formatCode>0.00</c:formatCode>
                <c:ptCount val="9"/>
                <c:pt idx="0">
                  <c:v>0.75816609999999951</c:v>
                </c:pt>
                <c:pt idx="1">
                  <c:v>0.84240680000000001</c:v>
                </c:pt>
                <c:pt idx="2">
                  <c:v>0.71428570000000002</c:v>
                </c:pt>
                <c:pt idx="3">
                  <c:v>0.71371010000000001</c:v>
                </c:pt>
                <c:pt idx="4">
                  <c:v>0.78033549999999996</c:v>
                </c:pt>
                <c:pt idx="5">
                  <c:v>0.60901340000000004</c:v>
                </c:pt>
                <c:pt idx="6">
                  <c:v>0.65502180000000076</c:v>
                </c:pt>
                <c:pt idx="7">
                  <c:v>0.83761660000000004</c:v>
                </c:pt>
                <c:pt idx="8">
                  <c:v>1.1360120000000009</c:v>
                </c:pt>
              </c:numCache>
            </c:numRef>
          </c:val>
        </c:ser>
        <c:dLbls>
          <c:showLegendKey val="0"/>
          <c:showVal val="0"/>
          <c:showCatName val="0"/>
          <c:showSerName val="0"/>
          <c:showPercent val="0"/>
          <c:showBubbleSize val="0"/>
        </c:dLbls>
        <c:gapWidth val="150"/>
        <c:axId val="389549488"/>
        <c:axId val="389631952"/>
      </c:barChart>
      <c:catAx>
        <c:axId val="389549488"/>
        <c:scaling>
          <c:orientation val="minMax"/>
        </c:scaling>
        <c:delete val="0"/>
        <c:axPos val="b"/>
        <c:numFmt formatCode="General" sourceLinked="0"/>
        <c:majorTickMark val="out"/>
        <c:minorTickMark val="none"/>
        <c:tickLblPos val="nextTo"/>
        <c:txPr>
          <a:bodyPr/>
          <a:lstStyle/>
          <a:p>
            <a:pPr>
              <a:defRPr sz="800"/>
            </a:pPr>
            <a:endParaRPr lang="en-US"/>
          </a:p>
        </c:txPr>
        <c:crossAx val="389631952"/>
        <c:crosses val="autoZero"/>
        <c:auto val="1"/>
        <c:lblAlgn val="ctr"/>
        <c:lblOffset val="100"/>
        <c:noMultiLvlLbl val="0"/>
      </c:catAx>
      <c:valAx>
        <c:axId val="389631952"/>
        <c:scaling>
          <c:orientation val="minMax"/>
        </c:scaling>
        <c:delete val="0"/>
        <c:axPos val="l"/>
        <c:majorGridlines/>
        <c:numFmt formatCode="0.00" sourceLinked="1"/>
        <c:majorTickMark val="out"/>
        <c:minorTickMark val="none"/>
        <c:tickLblPos val="nextTo"/>
        <c:txPr>
          <a:bodyPr/>
          <a:lstStyle/>
          <a:p>
            <a:pPr>
              <a:defRPr sz="800"/>
            </a:pPr>
            <a:endParaRPr lang="en-US"/>
          </a:p>
        </c:txPr>
        <c:crossAx val="389549488"/>
        <c:crosses val="autoZero"/>
        <c:crossBetween val="between"/>
      </c:valAx>
      <c:spPr>
        <a:ln>
          <a:solidFill>
            <a:schemeClr val="tx1"/>
          </a:solidFill>
        </a:ln>
      </c:spPr>
    </c:plotArea>
    <c:legend>
      <c:legendPos val="b"/>
      <c:layout>
        <c:manualLayout>
          <c:xMode val="edge"/>
          <c:yMode val="edge"/>
          <c:x val="0.21672192128139212"/>
          <c:y val="0.9162828083989496"/>
          <c:w val="0.55197598312139395"/>
          <c:h val="8.371719160104997E-2"/>
        </c:manualLayout>
      </c:layout>
      <c:overlay val="0"/>
      <c:txPr>
        <a:bodyPr/>
        <a:lstStyle/>
        <a:p>
          <a:pPr>
            <a:defRPr sz="800"/>
          </a:pPr>
          <a:endParaRPr lang="en-US"/>
        </a:p>
      </c:txPr>
    </c:legend>
    <c:plotVisOnly val="1"/>
    <c:dispBlanksAs val="gap"/>
    <c:showDLblsOverMax val="0"/>
  </c:chart>
  <c:spPr>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Sheet1!$B$35</c:f>
              <c:strCache>
                <c:ptCount val="1"/>
                <c:pt idx="0">
                  <c:v>New OPV</c:v>
                </c:pt>
              </c:strCache>
            </c:strRef>
          </c:tx>
          <c:invertIfNegative val="0"/>
          <c:cat>
            <c:strRef>
              <c:f>Sheet1!$C$34:$G$34</c:f>
              <c:strCache>
                <c:ptCount val="5"/>
                <c:pt idx="0">
                  <c:v>Kenya</c:v>
                </c:pt>
                <c:pt idx="1">
                  <c:v>Burkina</c:v>
                </c:pt>
                <c:pt idx="2">
                  <c:v>Cameroon</c:v>
                </c:pt>
                <c:pt idx="3">
                  <c:v>Tanzania</c:v>
                </c:pt>
                <c:pt idx="4">
                  <c:v>Uganda</c:v>
                </c:pt>
              </c:strCache>
            </c:strRef>
          </c:cat>
          <c:val>
            <c:numRef>
              <c:f>Sheet1!$C$35:$G$35</c:f>
              <c:numCache>
                <c:formatCode>0.00</c:formatCode>
                <c:ptCount val="5"/>
                <c:pt idx="0" formatCode="#,##0.00">
                  <c:v>3.6153849999999998</c:v>
                </c:pt>
                <c:pt idx="1">
                  <c:v>4</c:v>
                </c:pt>
                <c:pt idx="2">
                  <c:v>2.3645830000000001</c:v>
                </c:pt>
                <c:pt idx="3">
                  <c:v>3.9545449999999982</c:v>
                </c:pt>
                <c:pt idx="4" formatCode="#,##0.00">
                  <c:v>3.4666669999999984</c:v>
                </c:pt>
              </c:numCache>
            </c:numRef>
          </c:val>
        </c:ser>
        <c:ser>
          <c:idx val="1"/>
          <c:order val="1"/>
          <c:tx>
            <c:strRef>
              <c:f>Sheet1!$B$36</c:f>
              <c:strCache>
                <c:ptCount val="1"/>
                <c:pt idx="0">
                  <c:v>New hybrid</c:v>
                </c:pt>
              </c:strCache>
            </c:strRef>
          </c:tx>
          <c:invertIfNegative val="0"/>
          <c:cat>
            <c:strRef>
              <c:f>Sheet1!$C$34:$G$34</c:f>
              <c:strCache>
                <c:ptCount val="5"/>
                <c:pt idx="0">
                  <c:v>Kenya</c:v>
                </c:pt>
                <c:pt idx="1">
                  <c:v>Burkina</c:v>
                </c:pt>
                <c:pt idx="2">
                  <c:v>Cameroon</c:v>
                </c:pt>
                <c:pt idx="3">
                  <c:v>Tanzania</c:v>
                </c:pt>
                <c:pt idx="4">
                  <c:v>Uganda</c:v>
                </c:pt>
              </c:strCache>
            </c:strRef>
          </c:cat>
          <c:val>
            <c:numRef>
              <c:f>Sheet1!$C$36:$G$36</c:f>
              <c:numCache>
                <c:formatCode>0.00</c:formatCode>
                <c:ptCount val="5"/>
                <c:pt idx="0" formatCode="#,##0.00">
                  <c:v>3.776316</c:v>
                </c:pt>
                <c:pt idx="1">
                  <c:v>3.8297870000000001</c:v>
                </c:pt>
                <c:pt idx="2">
                  <c:v>2.16</c:v>
                </c:pt>
                <c:pt idx="3">
                  <c:v>3.9833330000000018</c:v>
                </c:pt>
                <c:pt idx="4" formatCode="#,##0.00">
                  <c:v>3.8194439999999963</c:v>
                </c:pt>
              </c:numCache>
            </c:numRef>
          </c:val>
        </c:ser>
        <c:ser>
          <c:idx val="2"/>
          <c:order val="2"/>
          <c:tx>
            <c:strRef>
              <c:f>Sheet1!$B$37</c:f>
              <c:strCache>
                <c:ptCount val="1"/>
                <c:pt idx="0">
                  <c:v>Recycled hybrid</c:v>
                </c:pt>
              </c:strCache>
            </c:strRef>
          </c:tx>
          <c:invertIfNegative val="0"/>
          <c:cat>
            <c:strRef>
              <c:f>Sheet1!$C$34:$G$34</c:f>
              <c:strCache>
                <c:ptCount val="5"/>
                <c:pt idx="0">
                  <c:v>Kenya</c:v>
                </c:pt>
                <c:pt idx="1">
                  <c:v>Burkina</c:v>
                </c:pt>
                <c:pt idx="2">
                  <c:v>Cameroon</c:v>
                </c:pt>
                <c:pt idx="3">
                  <c:v>Tanzania</c:v>
                </c:pt>
                <c:pt idx="4">
                  <c:v>Uganda</c:v>
                </c:pt>
              </c:strCache>
            </c:strRef>
          </c:cat>
          <c:val>
            <c:numRef>
              <c:f>Sheet1!$C$37:$G$37</c:f>
              <c:numCache>
                <c:formatCode>0.00</c:formatCode>
                <c:ptCount val="5"/>
                <c:pt idx="0" formatCode="#,##0.00">
                  <c:v>3.0270269999999999</c:v>
                </c:pt>
                <c:pt idx="1">
                  <c:v>3.9499999999999997</c:v>
                </c:pt>
                <c:pt idx="3">
                  <c:v>3.4210529999999979</c:v>
                </c:pt>
                <c:pt idx="4" formatCode="General">
                  <c:v>3.2954549999999987</c:v>
                </c:pt>
              </c:numCache>
            </c:numRef>
          </c:val>
        </c:ser>
        <c:ser>
          <c:idx val="3"/>
          <c:order val="3"/>
          <c:tx>
            <c:strRef>
              <c:f>Sheet1!$B$38</c:f>
              <c:strCache>
                <c:ptCount val="1"/>
                <c:pt idx="0">
                  <c:v>Self-saved seed</c:v>
                </c:pt>
              </c:strCache>
            </c:strRef>
          </c:tx>
          <c:invertIfNegative val="0"/>
          <c:cat>
            <c:strRef>
              <c:f>Sheet1!$C$34:$G$34</c:f>
              <c:strCache>
                <c:ptCount val="5"/>
                <c:pt idx="0">
                  <c:v>Kenya</c:v>
                </c:pt>
                <c:pt idx="1">
                  <c:v>Burkina</c:v>
                </c:pt>
                <c:pt idx="2">
                  <c:v>Cameroon</c:v>
                </c:pt>
                <c:pt idx="3">
                  <c:v>Tanzania</c:v>
                </c:pt>
                <c:pt idx="4">
                  <c:v>Uganda</c:v>
                </c:pt>
              </c:strCache>
            </c:strRef>
          </c:cat>
          <c:val>
            <c:numRef>
              <c:f>Sheet1!$C$38:$G$38</c:f>
              <c:numCache>
                <c:formatCode>0.00</c:formatCode>
                <c:ptCount val="5"/>
                <c:pt idx="0" formatCode="#,##0.00">
                  <c:v>2.8</c:v>
                </c:pt>
                <c:pt idx="1">
                  <c:v>3.6853929999999999</c:v>
                </c:pt>
                <c:pt idx="2">
                  <c:v>2.1302079999999997</c:v>
                </c:pt>
                <c:pt idx="3">
                  <c:v>3.2173910000000019</c:v>
                </c:pt>
                <c:pt idx="4" formatCode="#,##0.00">
                  <c:v>2.8095240000000001</c:v>
                </c:pt>
              </c:numCache>
            </c:numRef>
          </c:val>
        </c:ser>
        <c:dLbls>
          <c:showLegendKey val="0"/>
          <c:showVal val="0"/>
          <c:showCatName val="0"/>
          <c:showSerName val="0"/>
          <c:showPercent val="0"/>
          <c:showBubbleSize val="0"/>
        </c:dLbls>
        <c:gapWidth val="150"/>
        <c:axId val="389632736"/>
        <c:axId val="389633128"/>
      </c:barChart>
      <c:catAx>
        <c:axId val="389632736"/>
        <c:scaling>
          <c:orientation val="minMax"/>
        </c:scaling>
        <c:delete val="0"/>
        <c:axPos val="b"/>
        <c:numFmt formatCode="General" sourceLinked="0"/>
        <c:majorTickMark val="out"/>
        <c:minorTickMark val="none"/>
        <c:tickLblPos val="nextTo"/>
        <c:crossAx val="389633128"/>
        <c:crosses val="autoZero"/>
        <c:auto val="1"/>
        <c:lblAlgn val="ctr"/>
        <c:lblOffset val="100"/>
        <c:noMultiLvlLbl val="0"/>
      </c:catAx>
      <c:valAx>
        <c:axId val="389633128"/>
        <c:scaling>
          <c:orientation val="minMax"/>
        </c:scaling>
        <c:delete val="0"/>
        <c:axPos val="l"/>
        <c:majorGridlines/>
        <c:numFmt formatCode="#,##0.00" sourceLinked="1"/>
        <c:majorTickMark val="out"/>
        <c:minorTickMark val="none"/>
        <c:tickLblPos val="nextTo"/>
        <c:crossAx val="389632736"/>
        <c:crosses val="autoZero"/>
        <c:crossBetween val="between"/>
      </c:valAx>
    </c:plotArea>
    <c:legend>
      <c:legendPos val="b"/>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cat>
            <c:strRef>
              <c:f>'Degree recognition'!$B$11:$B$19</c:f>
              <c:strCache>
                <c:ptCount val="9"/>
                <c:pt idx="0">
                  <c:v>Cameroon</c:v>
                </c:pt>
                <c:pt idx="1">
                  <c:v>Uganda</c:v>
                </c:pt>
                <c:pt idx="2">
                  <c:v>Ghana</c:v>
                </c:pt>
                <c:pt idx="3">
                  <c:v>Tanzania</c:v>
                </c:pt>
                <c:pt idx="4">
                  <c:v>Rwanda</c:v>
                </c:pt>
                <c:pt idx="5">
                  <c:v>Kenya</c:v>
                </c:pt>
                <c:pt idx="6">
                  <c:v>Nigeria</c:v>
                </c:pt>
                <c:pt idx="7">
                  <c:v>Zambia</c:v>
                </c:pt>
                <c:pt idx="8">
                  <c:v>Malawi</c:v>
                </c:pt>
              </c:strCache>
            </c:strRef>
          </c:cat>
          <c:val>
            <c:numRef>
              <c:f>'Degree recognition'!$C$11:$C$19</c:f>
              <c:numCache>
                <c:formatCode>0</c:formatCode>
                <c:ptCount val="9"/>
                <c:pt idx="0">
                  <c:v>0.55000000000000004</c:v>
                </c:pt>
                <c:pt idx="1">
                  <c:v>0.8</c:v>
                </c:pt>
                <c:pt idx="2">
                  <c:v>1.6500000000000001</c:v>
                </c:pt>
                <c:pt idx="3">
                  <c:v>1.75</c:v>
                </c:pt>
                <c:pt idx="4">
                  <c:v>2.2000000000000002</c:v>
                </c:pt>
                <c:pt idx="5">
                  <c:v>4.3499999999999996</c:v>
                </c:pt>
                <c:pt idx="6">
                  <c:v>5.85</c:v>
                </c:pt>
                <c:pt idx="7">
                  <c:v>6.25</c:v>
                </c:pt>
                <c:pt idx="8">
                  <c:v>9.15</c:v>
                </c:pt>
              </c:numCache>
            </c:numRef>
          </c:val>
        </c:ser>
        <c:dLbls>
          <c:showLegendKey val="0"/>
          <c:showVal val="0"/>
          <c:showCatName val="0"/>
          <c:showSerName val="0"/>
          <c:showPercent val="0"/>
          <c:showBubbleSize val="0"/>
        </c:dLbls>
        <c:gapWidth val="150"/>
        <c:axId val="389633912"/>
        <c:axId val="389634304"/>
      </c:barChart>
      <c:catAx>
        <c:axId val="389633912"/>
        <c:scaling>
          <c:orientation val="minMax"/>
        </c:scaling>
        <c:delete val="0"/>
        <c:axPos val="b"/>
        <c:numFmt formatCode="General" sourceLinked="0"/>
        <c:majorTickMark val="out"/>
        <c:minorTickMark val="none"/>
        <c:tickLblPos val="nextTo"/>
        <c:crossAx val="389634304"/>
        <c:crosses val="autoZero"/>
        <c:auto val="1"/>
        <c:lblAlgn val="ctr"/>
        <c:lblOffset val="100"/>
        <c:noMultiLvlLbl val="0"/>
      </c:catAx>
      <c:valAx>
        <c:axId val="389634304"/>
        <c:scaling>
          <c:orientation val="minMax"/>
        </c:scaling>
        <c:delete val="0"/>
        <c:axPos val="l"/>
        <c:majorGridlines>
          <c:spPr>
            <a:ln>
              <a:prstDash val="dash"/>
            </a:ln>
          </c:spPr>
        </c:majorGridlines>
        <c:numFmt formatCode="0" sourceLinked="1"/>
        <c:majorTickMark val="out"/>
        <c:minorTickMark val="none"/>
        <c:tickLblPos val="nextTo"/>
        <c:crossAx val="389633912"/>
        <c:crosses val="autoZero"/>
        <c:crossBetween val="between"/>
      </c:valAx>
    </c:plotArea>
    <c:plotVisOnly val="1"/>
    <c:dispBlanksAs val="gap"/>
    <c:showDLblsOverMax val="0"/>
  </c:chart>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0.05556</cdr:x>
      <cdr:y>0.81043</cdr:y>
    </cdr:from>
    <cdr:to>
      <cdr:x>0.20614</cdr:x>
      <cdr:y>0.97156</cdr:y>
    </cdr:to>
    <cdr:sp macro="" textlink="">
      <cdr:nvSpPr>
        <cdr:cNvPr id="2" name="TextBox 1"/>
        <cdr:cNvSpPr txBox="1"/>
      </cdr:nvSpPr>
      <cdr:spPr>
        <a:xfrm xmlns:a="http://schemas.openxmlformats.org/drawingml/2006/main">
          <a:off x="361950" y="3257549"/>
          <a:ext cx="981075" cy="6477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fld id="{1B57D162-03AA-4AE4-94B6-2E446A1F9641}" type="TxLink">
            <a:rPr lang="en-US" sz="1100" b="0" i="0" u="none" strike="noStrike">
              <a:solidFill>
                <a:srgbClr val="000000"/>
              </a:solidFill>
              <a:latin typeface="Calibri"/>
            </a:rPr>
            <a:pPr/>
            <a:t>Check Payments</a:t>
          </a:fld>
          <a:endParaRPr lang="en-US" sz="1100"/>
        </a:p>
      </cdr:txBody>
    </cdr:sp>
  </cdr:relSizeAnchor>
  <cdr:relSizeAnchor xmlns:cdr="http://schemas.openxmlformats.org/drawingml/2006/chartDrawing">
    <cdr:from>
      <cdr:x>0.24854</cdr:x>
      <cdr:y>0.80569</cdr:y>
    </cdr:from>
    <cdr:to>
      <cdr:x>0.39912</cdr:x>
      <cdr:y>0.96682</cdr:y>
    </cdr:to>
    <cdr:sp macro="" textlink="">
      <cdr:nvSpPr>
        <cdr:cNvPr id="3" name="TextBox 2"/>
        <cdr:cNvSpPr txBox="1"/>
      </cdr:nvSpPr>
      <cdr:spPr>
        <a:xfrm xmlns:a="http://schemas.openxmlformats.org/drawingml/2006/main">
          <a:off x="1619250" y="3238499"/>
          <a:ext cx="981075" cy="6477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fld id="{65D4747F-C392-4363-940F-335CE3E2D1ED}" type="TxLink">
            <a:rPr lang="en-US" sz="1100" b="0" i="0" u="none" strike="noStrike">
              <a:solidFill>
                <a:srgbClr val="000000"/>
              </a:solidFill>
              <a:latin typeface="Calibri"/>
            </a:rPr>
            <a:pPr/>
            <a:t>Transfer by RTGS</a:t>
          </a:fld>
          <a:endParaRPr lang="en-US" sz="1100"/>
        </a:p>
      </cdr:txBody>
    </cdr:sp>
  </cdr:relSizeAnchor>
  <cdr:relSizeAnchor xmlns:cdr="http://schemas.openxmlformats.org/drawingml/2006/chartDrawing">
    <cdr:from>
      <cdr:x>0.44298</cdr:x>
      <cdr:y>0.80332</cdr:y>
    </cdr:from>
    <cdr:to>
      <cdr:x>0.59357</cdr:x>
      <cdr:y>0.98815</cdr:y>
    </cdr:to>
    <cdr:sp macro="" textlink="">
      <cdr:nvSpPr>
        <cdr:cNvPr id="4" name="TextBox 3"/>
        <cdr:cNvSpPr txBox="1"/>
      </cdr:nvSpPr>
      <cdr:spPr>
        <a:xfrm xmlns:a="http://schemas.openxmlformats.org/drawingml/2006/main">
          <a:off x="2886075" y="3228974"/>
          <a:ext cx="981075" cy="7429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fld id="{7CD96768-08CF-4FF8-8008-7CC65C37FB33}" type="TxLink">
            <a:rPr lang="en-US" sz="1100" b="0" i="0" u="none" strike="noStrike">
              <a:solidFill>
                <a:srgbClr val="000000"/>
              </a:solidFill>
              <a:latin typeface="Calibri"/>
            </a:rPr>
            <a:pPr/>
            <a:t>Transfer outwards - RTGS</a:t>
          </a:fld>
          <a:endParaRPr lang="en-US" sz="1100"/>
        </a:p>
      </cdr:txBody>
    </cdr:sp>
  </cdr:relSizeAnchor>
  <cdr:relSizeAnchor xmlns:cdr="http://schemas.openxmlformats.org/drawingml/2006/chartDrawing">
    <cdr:from>
      <cdr:x>0.63743</cdr:x>
      <cdr:y>0.79384</cdr:y>
    </cdr:from>
    <cdr:to>
      <cdr:x>0.78801</cdr:x>
      <cdr:y>0.98815</cdr:y>
    </cdr:to>
    <cdr:sp macro="" textlink="">
      <cdr:nvSpPr>
        <cdr:cNvPr id="5" name="TextBox 4"/>
        <cdr:cNvSpPr txBox="1"/>
      </cdr:nvSpPr>
      <cdr:spPr>
        <a:xfrm xmlns:a="http://schemas.openxmlformats.org/drawingml/2006/main">
          <a:off x="4152900" y="3190874"/>
          <a:ext cx="981075" cy="7810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fld id="{FEDC1A38-442E-42BC-AC57-76128DAF8144}" type="TxLink">
            <a:rPr lang="en-US" sz="1100" b="0" i="0" u="none" strike="noStrike">
              <a:solidFill>
                <a:srgbClr val="000000"/>
              </a:solidFill>
              <a:latin typeface="Calibri"/>
            </a:rPr>
            <a:pPr/>
            <a:t>Transfer inwards - RTGS</a:t>
          </a:fld>
          <a:endParaRPr lang="en-US" sz="1100"/>
        </a:p>
      </cdr:txBody>
    </cdr:sp>
  </cdr:relSizeAnchor>
  <cdr:relSizeAnchor xmlns:cdr="http://schemas.openxmlformats.org/drawingml/2006/chartDrawing">
    <cdr:from>
      <cdr:x>0.82602</cdr:x>
      <cdr:y>0.79384</cdr:y>
    </cdr:from>
    <cdr:to>
      <cdr:x>0.97661</cdr:x>
      <cdr:y>0.95498</cdr:y>
    </cdr:to>
    <cdr:sp macro="" textlink="">
      <cdr:nvSpPr>
        <cdr:cNvPr id="6" name="TextBox 5"/>
        <cdr:cNvSpPr txBox="1"/>
      </cdr:nvSpPr>
      <cdr:spPr>
        <a:xfrm xmlns:a="http://schemas.openxmlformats.org/drawingml/2006/main">
          <a:off x="5381625" y="3190874"/>
          <a:ext cx="981075" cy="6477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fld id="{FE088155-D851-4FE0-86C0-B901AF2635CB}" type="TxLink">
            <a:rPr lang="en-US" sz="1100" b="0" i="0" u="none" strike="noStrike">
              <a:solidFill>
                <a:srgbClr val="000000"/>
              </a:solidFill>
              <a:latin typeface="Calibri"/>
            </a:rPr>
            <a:pPr/>
            <a:t>Transfer - Internet Banking</a:t>
          </a:fld>
          <a:endParaRPr lang="en-US" sz="11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165</Pages>
  <Words>34906</Words>
  <Characters>198965</Characters>
  <Application>Microsoft Office Word</Application>
  <DocSecurity>0</DocSecurity>
  <Lines>1658</Lines>
  <Paragraphs>466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233405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Carmine Soprano</dc:creator>
  <cp:lastModifiedBy>Jurgita Campbell</cp:lastModifiedBy>
  <cp:revision>3</cp:revision>
  <cp:lastPrinted>2015-05-29T18:46:00Z</cp:lastPrinted>
  <dcterms:created xsi:type="dcterms:W3CDTF">2015-05-28T23:39:00Z</dcterms:created>
  <dcterms:modified xsi:type="dcterms:W3CDTF">2015-05-29T18:47:00Z</dcterms:modified>
</cp:coreProperties>
</file>