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FA" w:rsidRPr="00696169" w:rsidRDefault="00A706FA" w:rsidP="007C6D2C">
      <w:pPr>
        <w:jc w:val="center"/>
        <w:rPr>
          <w:b/>
          <w:bCs/>
        </w:rPr>
      </w:pPr>
      <w:r w:rsidRPr="00696169">
        <w:rPr>
          <w:b/>
          <w:bCs/>
        </w:rPr>
        <w:t>PROJECT INFORMATION DOCUMENT (PID)</w:t>
      </w:r>
    </w:p>
    <w:p w:rsidR="00A706FA" w:rsidRPr="00696169" w:rsidRDefault="00A706FA" w:rsidP="007C6D2C">
      <w:pPr>
        <w:jc w:val="center"/>
        <w:rPr>
          <w:b/>
          <w:bCs/>
        </w:rPr>
      </w:pPr>
      <w:r w:rsidRPr="00696169">
        <w:rPr>
          <w:b/>
          <w:bCs/>
        </w:rPr>
        <w:t>APPRAISAL STAGE</w:t>
      </w:r>
    </w:p>
    <w:p w:rsidR="00A706FA" w:rsidRPr="00696169" w:rsidRDefault="00A706FA" w:rsidP="007C6D2C">
      <w:pPr>
        <w:jc w:val="right"/>
      </w:pPr>
      <w:r w:rsidRPr="00696169">
        <w:t xml:space="preserve">Report No.:  </w:t>
      </w:r>
      <w:bookmarkStart w:id="0" w:name="ReportNo"/>
      <w:r w:rsidR="00EF7963" w:rsidRPr="00696169">
        <w:t>AB6743</w:t>
      </w:r>
      <w:bookmarkEnd w:id="0"/>
    </w:p>
    <w:tbl>
      <w:tblPr>
        <w:tblW w:w="9540" w:type="dxa"/>
        <w:tblInd w:w="108" w:type="dxa"/>
        <w:tblBorders>
          <w:top w:val="single" w:sz="4" w:space="0" w:color="auto"/>
          <w:left w:val="single" w:sz="4" w:space="0" w:color="auto"/>
          <w:bottom w:val="single" w:sz="4" w:space="0" w:color="auto"/>
          <w:right w:val="single" w:sz="4" w:space="0" w:color="auto"/>
        </w:tblBorders>
        <w:tblLook w:val="0000"/>
      </w:tblPr>
      <w:tblGrid>
        <w:gridCol w:w="2880"/>
        <w:gridCol w:w="6660"/>
      </w:tblGrid>
      <w:tr w:rsidR="00A706FA" w:rsidRPr="00696169">
        <w:tc>
          <w:tcPr>
            <w:tcW w:w="2880" w:type="dxa"/>
            <w:tcBorders>
              <w:top w:val="single" w:sz="4" w:space="0" w:color="auto"/>
              <w:left w:val="single" w:sz="4" w:space="0" w:color="auto"/>
              <w:bottom w:val="single" w:sz="4" w:space="0" w:color="auto"/>
              <w:right w:val="single" w:sz="4" w:space="0" w:color="auto"/>
            </w:tcBorders>
          </w:tcPr>
          <w:p w:rsidR="00A706FA" w:rsidRPr="00696169" w:rsidRDefault="00A706FA" w:rsidP="007C6D2C">
            <w:pPr>
              <w:pStyle w:val="Heading1"/>
              <w:jc w:val="both"/>
              <w:rPr>
                <w:rFonts w:eastAsia="Arial Unicode MS"/>
              </w:rPr>
            </w:pPr>
            <w:r w:rsidRPr="00696169">
              <w:t>Project Name</w:t>
            </w:r>
          </w:p>
        </w:tc>
        <w:tc>
          <w:tcPr>
            <w:tcW w:w="6660" w:type="dxa"/>
            <w:tcBorders>
              <w:top w:val="single" w:sz="4" w:space="0" w:color="auto"/>
              <w:left w:val="single" w:sz="4" w:space="0" w:color="auto"/>
              <w:bottom w:val="single" w:sz="4" w:space="0" w:color="auto"/>
              <w:right w:val="single" w:sz="4" w:space="0" w:color="auto"/>
            </w:tcBorders>
          </w:tcPr>
          <w:p w:rsidR="00A706FA" w:rsidRPr="00696169" w:rsidRDefault="00EF7963" w:rsidP="007C6D2C">
            <w:pPr>
              <w:jc w:val="both"/>
            </w:pPr>
            <w:bookmarkStart w:id="1" w:name="PROJECTNAME"/>
            <w:r w:rsidRPr="00696169">
              <w:t>Participatory Service Delivery for Reintegration</w:t>
            </w:r>
            <w:bookmarkEnd w:id="1"/>
          </w:p>
        </w:tc>
      </w:tr>
      <w:tr w:rsidR="00A706FA" w:rsidRPr="00696169">
        <w:tc>
          <w:tcPr>
            <w:tcW w:w="2880" w:type="dxa"/>
            <w:tcBorders>
              <w:top w:val="single" w:sz="4" w:space="0" w:color="auto"/>
              <w:left w:val="single" w:sz="4" w:space="0" w:color="auto"/>
              <w:bottom w:val="single" w:sz="4" w:space="0" w:color="auto"/>
              <w:right w:val="single" w:sz="4" w:space="0" w:color="auto"/>
            </w:tcBorders>
          </w:tcPr>
          <w:p w:rsidR="00A706FA" w:rsidRPr="00696169" w:rsidRDefault="00A706FA" w:rsidP="007C6D2C">
            <w:pPr>
              <w:jc w:val="both"/>
              <w:rPr>
                <w:b/>
                <w:bCs/>
              </w:rPr>
            </w:pPr>
            <w:r w:rsidRPr="00696169">
              <w:rPr>
                <w:b/>
                <w:bCs/>
              </w:rPr>
              <w:t>Region</w:t>
            </w:r>
          </w:p>
        </w:tc>
        <w:tc>
          <w:tcPr>
            <w:tcW w:w="6660" w:type="dxa"/>
            <w:tcBorders>
              <w:top w:val="single" w:sz="4" w:space="0" w:color="auto"/>
              <w:left w:val="single" w:sz="4" w:space="0" w:color="auto"/>
              <w:bottom w:val="single" w:sz="4" w:space="0" w:color="auto"/>
              <w:right w:val="single" w:sz="4" w:space="0" w:color="auto"/>
            </w:tcBorders>
          </w:tcPr>
          <w:p w:rsidR="00A706FA" w:rsidRPr="00696169" w:rsidRDefault="00EF7963" w:rsidP="007C6D2C">
            <w:pPr>
              <w:jc w:val="both"/>
            </w:pPr>
            <w:bookmarkStart w:id="2" w:name="REGION"/>
            <w:r w:rsidRPr="00696169">
              <w:t>MIDDLE EAST AND NORTH AFRICA</w:t>
            </w:r>
            <w:bookmarkEnd w:id="2"/>
          </w:p>
        </w:tc>
      </w:tr>
      <w:tr w:rsidR="00A706FA" w:rsidRPr="00696169">
        <w:tc>
          <w:tcPr>
            <w:tcW w:w="2880" w:type="dxa"/>
            <w:tcBorders>
              <w:top w:val="single" w:sz="4" w:space="0" w:color="auto"/>
              <w:left w:val="single" w:sz="4" w:space="0" w:color="auto"/>
              <w:bottom w:val="single" w:sz="4" w:space="0" w:color="auto"/>
              <w:right w:val="single" w:sz="4" w:space="0" w:color="auto"/>
            </w:tcBorders>
          </w:tcPr>
          <w:p w:rsidR="00A706FA" w:rsidRPr="00696169" w:rsidRDefault="00A706FA" w:rsidP="007C6D2C">
            <w:pPr>
              <w:jc w:val="both"/>
              <w:rPr>
                <w:b/>
                <w:bCs/>
              </w:rPr>
            </w:pPr>
            <w:r w:rsidRPr="00696169">
              <w:rPr>
                <w:b/>
                <w:bCs/>
              </w:rPr>
              <w:t>Sector</w:t>
            </w:r>
          </w:p>
        </w:tc>
        <w:tc>
          <w:tcPr>
            <w:tcW w:w="6660" w:type="dxa"/>
            <w:tcBorders>
              <w:top w:val="single" w:sz="4" w:space="0" w:color="auto"/>
              <w:left w:val="single" w:sz="4" w:space="0" w:color="auto"/>
              <w:bottom w:val="single" w:sz="4" w:space="0" w:color="auto"/>
              <w:right w:val="single" w:sz="4" w:space="0" w:color="auto"/>
            </w:tcBorders>
          </w:tcPr>
          <w:p w:rsidR="00A706FA" w:rsidRPr="00696169" w:rsidRDefault="00EF7963" w:rsidP="007C6D2C">
            <w:pPr>
              <w:jc w:val="both"/>
            </w:pPr>
            <w:bookmarkStart w:id="3" w:name="SECTOR"/>
            <w:r w:rsidRPr="00696169">
              <w:t>Health (40%)</w:t>
            </w:r>
            <w:r w:rsidR="001220F6" w:rsidRPr="00696169">
              <w:t>; Vocational</w:t>
            </w:r>
            <w:r w:rsidRPr="00696169">
              <w:t xml:space="preserve"> training (30%)</w:t>
            </w:r>
            <w:r w:rsidR="001220F6" w:rsidRPr="00696169">
              <w:t>; Other</w:t>
            </w:r>
            <w:r w:rsidRPr="00696169">
              <w:t xml:space="preserve"> social services (30%)</w:t>
            </w:r>
            <w:bookmarkEnd w:id="3"/>
          </w:p>
        </w:tc>
      </w:tr>
      <w:tr w:rsidR="00A706FA" w:rsidRPr="00696169">
        <w:tc>
          <w:tcPr>
            <w:tcW w:w="2880" w:type="dxa"/>
            <w:tcBorders>
              <w:top w:val="single" w:sz="4" w:space="0" w:color="auto"/>
              <w:left w:val="single" w:sz="4" w:space="0" w:color="auto"/>
              <w:bottom w:val="single" w:sz="4" w:space="0" w:color="auto"/>
              <w:right w:val="single" w:sz="4" w:space="0" w:color="auto"/>
            </w:tcBorders>
          </w:tcPr>
          <w:p w:rsidR="00A706FA" w:rsidRPr="00696169" w:rsidRDefault="00A706FA" w:rsidP="007C6D2C">
            <w:pPr>
              <w:jc w:val="both"/>
              <w:rPr>
                <w:b/>
                <w:bCs/>
              </w:rPr>
            </w:pPr>
            <w:r w:rsidRPr="00696169">
              <w:rPr>
                <w:b/>
                <w:bCs/>
              </w:rPr>
              <w:t>Project ID</w:t>
            </w:r>
          </w:p>
        </w:tc>
        <w:tc>
          <w:tcPr>
            <w:tcW w:w="6660" w:type="dxa"/>
            <w:tcBorders>
              <w:top w:val="single" w:sz="4" w:space="0" w:color="auto"/>
              <w:left w:val="single" w:sz="4" w:space="0" w:color="auto"/>
              <w:bottom w:val="single" w:sz="4" w:space="0" w:color="auto"/>
              <w:right w:val="single" w:sz="4" w:space="0" w:color="auto"/>
            </w:tcBorders>
          </w:tcPr>
          <w:p w:rsidR="00A706FA" w:rsidRPr="00696169" w:rsidRDefault="00EF7963" w:rsidP="007C6D2C">
            <w:pPr>
              <w:jc w:val="both"/>
            </w:pPr>
            <w:bookmarkStart w:id="4" w:name="PROJECTCODE"/>
            <w:r w:rsidRPr="00696169">
              <w:t>P127212</w:t>
            </w:r>
            <w:bookmarkEnd w:id="4"/>
          </w:p>
        </w:tc>
      </w:tr>
      <w:tr w:rsidR="00A706FA" w:rsidRPr="00696169">
        <w:tc>
          <w:tcPr>
            <w:tcW w:w="2880" w:type="dxa"/>
            <w:tcBorders>
              <w:top w:val="single" w:sz="4" w:space="0" w:color="auto"/>
              <w:left w:val="single" w:sz="4" w:space="0" w:color="auto"/>
              <w:bottom w:val="single" w:sz="4" w:space="0" w:color="auto"/>
              <w:right w:val="single" w:sz="4" w:space="0" w:color="auto"/>
            </w:tcBorders>
          </w:tcPr>
          <w:p w:rsidR="00A706FA" w:rsidRPr="00696169" w:rsidRDefault="00A706FA" w:rsidP="007C6D2C">
            <w:pPr>
              <w:jc w:val="both"/>
              <w:rPr>
                <w:b/>
                <w:bCs/>
              </w:rPr>
            </w:pPr>
            <w:r w:rsidRPr="00696169">
              <w:rPr>
                <w:b/>
                <w:bCs/>
              </w:rPr>
              <w:t>Borrower(s)</w:t>
            </w:r>
          </w:p>
        </w:tc>
        <w:tc>
          <w:tcPr>
            <w:tcW w:w="6660" w:type="dxa"/>
            <w:tcBorders>
              <w:top w:val="single" w:sz="4" w:space="0" w:color="auto"/>
              <w:left w:val="single" w:sz="4" w:space="0" w:color="auto"/>
              <w:bottom w:val="single" w:sz="4" w:space="0" w:color="auto"/>
              <w:right w:val="single" w:sz="4" w:space="0" w:color="auto"/>
            </w:tcBorders>
          </w:tcPr>
          <w:p w:rsidR="00A706FA" w:rsidRPr="00696169" w:rsidRDefault="00EF7963" w:rsidP="007C6D2C">
            <w:pPr>
              <w:jc w:val="both"/>
            </w:pPr>
            <w:bookmarkStart w:id="5" w:name="BORROWERNAME"/>
            <w:r w:rsidRPr="00696169">
              <w:t>REPUBLIC OF TUNISIA</w:t>
            </w:r>
            <w:bookmarkEnd w:id="5"/>
          </w:p>
        </w:tc>
      </w:tr>
      <w:tr w:rsidR="00A706FA" w:rsidRPr="004F226E">
        <w:trPr>
          <w:trHeight w:val="140"/>
        </w:trPr>
        <w:tc>
          <w:tcPr>
            <w:tcW w:w="2880" w:type="dxa"/>
            <w:tcBorders>
              <w:top w:val="single" w:sz="4" w:space="0" w:color="auto"/>
              <w:left w:val="single" w:sz="4" w:space="0" w:color="auto"/>
              <w:bottom w:val="nil"/>
              <w:right w:val="single" w:sz="4" w:space="0" w:color="auto"/>
            </w:tcBorders>
          </w:tcPr>
          <w:p w:rsidR="00A706FA" w:rsidRPr="00696169" w:rsidRDefault="00A706FA" w:rsidP="007C6D2C">
            <w:pPr>
              <w:jc w:val="both"/>
              <w:rPr>
                <w:b/>
                <w:bCs/>
              </w:rPr>
            </w:pPr>
            <w:r w:rsidRPr="00696169">
              <w:rPr>
                <w:b/>
                <w:bCs/>
              </w:rPr>
              <w:t>Implementing Agency</w:t>
            </w:r>
          </w:p>
        </w:tc>
        <w:tc>
          <w:tcPr>
            <w:tcW w:w="6660" w:type="dxa"/>
            <w:tcBorders>
              <w:top w:val="single" w:sz="4" w:space="0" w:color="auto"/>
              <w:left w:val="single" w:sz="4" w:space="0" w:color="auto"/>
              <w:bottom w:val="nil"/>
              <w:right w:val="single" w:sz="4" w:space="0" w:color="auto"/>
            </w:tcBorders>
          </w:tcPr>
          <w:p w:rsidR="00663554" w:rsidRPr="00663554" w:rsidRDefault="002B5C62" w:rsidP="007C6D2C">
            <w:pPr>
              <w:jc w:val="both"/>
              <w:rPr>
                <w:iCs/>
                <w:lang w:val="fr-CA"/>
              </w:rPr>
            </w:pPr>
            <w:bookmarkStart w:id="6" w:name="IMPLEMENTINGAGENCY"/>
            <w:bookmarkEnd w:id="6"/>
            <w:r w:rsidRPr="00663554">
              <w:rPr>
                <w:lang w:val="fr-CA"/>
              </w:rPr>
              <w:t xml:space="preserve">Union Tunisienne de la Solidarité Sociale </w:t>
            </w:r>
            <w:r w:rsidRPr="00663554">
              <w:rPr>
                <w:iCs/>
                <w:lang w:val="fr-CA"/>
              </w:rPr>
              <w:t>(UTSS)</w:t>
            </w:r>
            <w:r w:rsidR="004079BE" w:rsidRPr="00663554">
              <w:rPr>
                <w:iCs/>
                <w:lang w:val="fr-CA"/>
              </w:rPr>
              <w:t xml:space="preserve"> </w:t>
            </w:r>
          </w:p>
          <w:p w:rsidR="00A706FA" w:rsidRDefault="00663554" w:rsidP="007C6D2C">
            <w:pPr>
              <w:jc w:val="both"/>
              <w:rPr>
                <w:iCs/>
                <w:lang w:val="fr-CA"/>
              </w:rPr>
            </w:pPr>
            <w:r w:rsidRPr="005A2250">
              <w:t xml:space="preserve">Address :  </w:t>
            </w:r>
            <w:r w:rsidRPr="00663554">
              <w:rPr>
                <w:iCs/>
                <w:lang w:val="fr-CA"/>
              </w:rPr>
              <w:t>Rue 8451</w:t>
            </w:r>
            <w:r>
              <w:rPr>
                <w:iCs/>
                <w:lang w:val="fr-CA"/>
              </w:rPr>
              <w:t>, No. 1, Cit</w:t>
            </w:r>
            <w:r w:rsidR="009D77A5" w:rsidRPr="00663554">
              <w:rPr>
                <w:lang w:val="fr-CA"/>
              </w:rPr>
              <w:t>é</w:t>
            </w:r>
            <w:r>
              <w:rPr>
                <w:iCs/>
                <w:lang w:val="fr-CA"/>
              </w:rPr>
              <w:t xml:space="preserve"> El </w:t>
            </w:r>
            <w:proofErr w:type="spellStart"/>
            <w:r>
              <w:rPr>
                <w:iCs/>
                <w:lang w:val="fr-CA"/>
              </w:rPr>
              <w:t>Khadhra</w:t>
            </w:r>
            <w:proofErr w:type="spellEnd"/>
            <w:r>
              <w:rPr>
                <w:iCs/>
                <w:lang w:val="fr-CA"/>
              </w:rPr>
              <w:t>, Tunis</w:t>
            </w:r>
            <w:r w:rsidRPr="00663554">
              <w:rPr>
                <w:iCs/>
                <w:lang w:val="fr-CA"/>
              </w:rPr>
              <w:t xml:space="preserve"> 1003, Tunisie</w:t>
            </w:r>
          </w:p>
          <w:p w:rsidR="00663554" w:rsidRDefault="00663554" w:rsidP="00663554">
            <w:r>
              <w:t xml:space="preserve">Tel. : +216 1 80 </w:t>
            </w:r>
            <w:proofErr w:type="spellStart"/>
            <w:r>
              <w:t>80</w:t>
            </w:r>
            <w:proofErr w:type="spellEnd"/>
            <w:r>
              <w:t xml:space="preserve"> 66  </w:t>
            </w:r>
          </w:p>
          <w:p w:rsidR="00663554" w:rsidRDefault="00663554" w:rsidP="00663554">
            <w:r>
              <w:t xml:space="preserve">Fax: +216 1 80 77 07  </w:t>
            </w:r>
          </w:p>
          <w:p w:rsidR="00663554" w:rsidRPr="00663554" w:rsidRDefault="00663554" w:rsidP="00663554">
            <w:r>
              <w:t xml:space="preserve">E-mail: utss@planet.tn  </w:t>
            </w:r>
          </w:p>
        </w:tc>
      </w:tr>
      <w:tr w:rsidR="00A706FA" w:rsidRPr="00696169">
        <w:trPr>
          <w:trHeight w:val="285"/>
        </w:trPr>
        <w:tc>
          <w:tcPr>
            <w:tcW w:w="2880" w:type="dxa"/>
            <w:tcBorders>
              <w:top w:val="single" w:sz="4" w:space="0" w:color="auto"/>
              <w:left w:val="single" w:sz="4" w:space="0" w:color="auto"/>
              <w:bottom w:val="single" w:sz="4" w:space="0" w:color="auto"/>
              <w:right w:val="single" w:sz="4" w:space="0" w:color="auto"/>
            </w:tcBorders>
          </w:tcPr>
          <w:p w:rsidR="00A706FA" w:rsidRPr="00696169" w:rsidRDefault="00A706FA" w:rsidP="007C6D2C">
            <w:pPr>
              <w:jc w:val="both"/>
              <w:rPr>
                <w:b/>
                <w:bCs/>
              </w:rPr>
            </w:pPr>
            <w:r w:rsidRPr="00696169">
              <w:rPr>
                <w:b/>
                <w:bCs/>
              </w:rPr>
              <w:t>Environment Category</w:t>
            </w:r>
          </w:p>
        </w:tc>
        <w:tc>
          <w:tcPr>
            <w:tcW w:w="6660" w:type="dxa"/>
            <w:tcBorders>
              <w:top w:val="single" w:sz="4" w:space="0" w:color="auto"/>
              <w:left w:val="single" w:sz="4" w:space="0" w:color="auto"/>
              <w:bottom w:val="single" w:sz="4" w:space="0" w:color="auto"/>
              <w:right w:val="single" w:sz="4" w:space="0" w:color="auto"/>
            </w:tcBorders>
          </w:tcPr>
          <w:p w:rsidR="00A706FA" w:rsidRPr="00696169" w:rsidRDefault="00A706FA" w:rsidP="007C6D2C">
            <w:pPr>
              <w:jc w:val="both"/>
            </w:pPr>
            <w:r w:rsidRPr="00696169">
              <w:t>[</w:t>
            </w:r>
            <w:bookmarkStart w:id="7" w:name="ENVCAT_A"/>
            <w:r w:rsidRPr="00696169">
              <w:t xml:space="preserve"> </w:t>
            </w:r>
            <w:bookmarkEnd w:id="7"/>
            <w:r w:rsidRPr="00696169">
              <w:t>] A   [</w:t>
            </w:r>
            <w:bookmarkStart w:id="8" w:name="ENVCAT_B"/>
            <w:r w:rsidRPr="00696169">
              <w:t xml:space="preserve"> </w:t>
            </w:r>
            <w:bookmarkEnd w:id="8"/>
            <w:r w:rsidRPr="00696169">
              <w:t>] B   [</w:t>
            </w:r>
            <w:bookmarkStart w:id="9" w:name="ENVCAT_C"/>
            <w:r w:rsidR="00EF7963" w:rsidRPr="00696169">
              <w:t>X</w:t>
            </w:r>
            <w:bookmarkEnd w:id="9"/>
            <w:r w:rsidRPr="00696169">
              <w:t>] C   [</w:t>
            </w:r>
            <w:bookmarkStart w:id="10" w:name="ENVCAT_FI"/>
            <w:r w:rsidRPr="00696169">
              <w:t xml:space="preserve"> </w:t>
            </w:r>
            <w:bookmarkEnd w:id="10"/>
            <w:r w:rsidRPr="00696169">
              <w:t>] FI   [</w:t>
            </w:r>
            <w:bookmarkStart w:id="11" w:name="ENVCAT_TBD"/>
            <w:r w:rsidRPr="00696169">
              <w:t xml:space="preserve"> </w:t>
            </w:r>
            <w:bookmarkEnd w:id="11"/>
            <w:r w:rsidRPr="00696169">
              <w:t>] TBD (to be determined)</w:t>
            </w:r>
          </w:p>
        </w:tc>
      </w:tr>
      <w:tr w:rsidR="00A706FA" w:rsidRPr="00696169">
        <w:tc>
          <w:tcPr>
            <w:tcW w:w="2880" w:type="dxa"/>
            <w:tcBorders>
              <w:top w:val="single" w:sz="4" w:space="0" w:color="auto"/>
              <w:left w:val="single" w:sz="4" w:space="0" w:color="auto"/>
              <w:bottom w:val="single" w:sz="4" w:space="0" w:color="auto"/>
              <w:right w:val="single" w:sz="4" w:space="0" w:color="auto"/>
            </w:tcBorders>
          </w:tcPr>
          <w:p w:rsidR="00A706FA" w:rsidRPr="00696169" w:rsidRDefault="00A706FA" w:rsidP="007C6D2C">
            <w:pPr>
              <w:jc w:val="both"/>
              <w:rPr>
                <w:b/>
                <w:bCs/>
              </w:rPr>
            </w:pPr>
            <w:r w:rsidRPr="00696169">
              <w:rPr>
                <w:b/>
                <w:bCs/>
              </w:rPr>
              <w:t>Date PID Prepared</w:t>
            </w:r>
          </w:p>
        </w:tc>
        <w:tc>
          <w:tcPr>
            <w:tcW w:w="6660" w:type="dxa"/>
            <w:tcBorders>
              <w:top w:val="single" w:sz="4" w:space="0" w:color="auto"/>
              <w:left w:val="single" w:sz="4" w:space="0" w:color="auto"/>
              <w:bottom w:val="single" w:sz="4" w:space="0" w:color="auto"/>
              <w:right w:val="single" w:sz="4" w:space="0" w:color="auto"/>
            </w:tcBorders>
          </w:tcPr>
          <w:p w:rsidR="00A706FA" w:rsidRPr="00696169" w:rsidRDefault="00EF7963" w:rsidP="007C6D2C">
            <w:pPr>
              <w:jc w:val="both"/>
            </w:pPr>
            <w:bookmarkStart w:id="12" w:name="DATEPREPARED"/>
            <w:r w:rsidRPr="00696169">
              <w:t>August 9, 2011</w:t>
            </w:r>
            <w:bookmarkEnd w:id="12"/>
          </w:p>
        </w:tc>
      </w:tr>
      <w:tr w:rsidR="00A706FA" w:rsidRPr="00696169">
        <w:tc>
          <w:tcPr>
            <w:tcW w:w="2880" w:type="dxa"/>
            <w:tcBorders>
              <w:top w:val="single" w:sz="4" w:space="0" w:color="auto"/>
              <w:left w:val="single" w:sz="4" w:space="0" w:color="auto"/>
              <w:bottom w:val="single" w:sz="4" w:space="0" w:color="auto"/>
              <w:right w:val="single" w:sz="4" w:space="0" w:color="auto"/>
            </w:tcBorders>
          </w:tcPr>
          <w:p w:rsidR="00A706FA" w:rsidRPr="00696169" w:rsidRDefault="00A706FA" w:rsidP="007C6D2C">
            <w:pPr>
              <w:jc w:val="both"/>
              <w:rPr>
                <w:b/>
                <w:bCs/>
              </w:rPr>
            </w:pPr>
            <w:r w:rsidRPr="00696169">
              <w:rPr>
                <w:b/>
                <w:bCs/>
              </w:rPr>
              <w:t>Date of Appraisal Authorization</w:t>
            </w:r>
          </w:p>
        </w:tc>
        <w:tc>
          <w:tcPr>
            <w:tcW w:w="6660" w:type="dxa"/>
            <w:tcBorders>
              <w:top w:val="single" w:sz="4" w:space="0" w:color="auto"/>
              <w:left w:val="single" w:sz="4" w:space="0" w:color="auto"/>
              <w:bottom w:val="single" w:sz="4" w:space="0" w:color="auto"/>
              <w:right w:val="single" w:sz="4" w:space="0" w:color="auto"/>
            </w:tcBorders>
          </w:tcPr>
          <w:p w:rsidR="00A706FA" w:rsidRPr="00696169" w:rsidRDefault="00EF7963" w:rsidP="007C6D2C">
            <w:pPr>
              <w:jc w:val="both"/>
            </w:pPr>
            <w:bookmarkStart w:id="13" w:name="APPRAISALDATE"/>
            <w:r w:rsidRPr="00696169">
              <w:t>June 23, 2011</w:t>
            </w:r>
            <w:bookmarkEnd w:id="13"/>
          </w:p>
        </w:tc>
      </w:tr>
      <w:tr w:rsidR="00A706FA" w:rsidRPr="00696169">
        <w:tc>
          <w:tcPr>
            <w:tcW w:w="2880" w:type="dxa"/>
            <w:tcBorders>
              <w:top w:val="single" w:sz="4" w:space="0" w:color="auto"/>
              <w:left w:val="single" w:sz="4" w:space="0" w:color="auto"/>
              <w:bottom w:val="single" w:sz="4" w:space="0" w:color="auto"/>
              <w:right w:val="single" w:sz="4" w:space="0" w:color="auto"/>
            </w:tcBorders>
          </w:tcPr>
          <w:p w:rsidR="00A706FA" w:rsidRPr="00696169" w:rsidRDefault="00A706FA" w:rsidP="00623819">
            <w:pPr>
              <w:jc w:val="both"/>
              <w:rPr>
                <w:b/>
                <w:bCs/>
              </w:rPr>
            </w:pPr>
            <w:r w:rsidRPr="00696169">
              <w:rPr>
                <w:b/>
                <w:bCs/>
              </w:rPr>
              <w:t xml:space="preserve">Date of </w:t>
            </w:r>
            <w:r w:rsidR="00623819">
              <w:rPr>
                <w:b/>
                <w:bCs/>
              </w:rPr>
              <w:t xml:space="preserve">SPF Committee </w:t>
            </w:r>
            <w:r w:rsidRPr="00696169">
              <w:rPr>
                <w:b/>
                <w:bCs/>
              </w:rPr>
              <w:t>Approval</w:t>
            </w:r>
          </w:p>
        </w:tc>
        <w:tc>
          <w:tcPr>
            <w:tcW w:w="6660" w:type="dxa"/>
            <w:tcBorders>
              <w:top w:val="single" w:sz="4" w:space="0" w:color="auto"/>
              <w:left w:val="single" w:sz="4" w:space="0" w:color="auto"/>
              <w:bottom w:val="single" w:sz="4" w:space="0" w:color="auto"/>
              <w:right w:val="single" w:sz="4" w:space="0" w:color="auto"/>
            </w:tcBorders>
          </w:tcPr>
          <w:p w:rsidR="00A706FA" w:rsidRPr="00696169" w:rsidRDefault="00623819" w:rsidP="007C6D2C">
            <w:pPr>
              <w:jc w:val="both"/>
            </w:pPr>
            <w:bookmarkStart w:id="14" w:name="BOARDAPPROVALDATE"/>
            <w:r>
              <w:t>July 21</w:t>
            </w:r>
            <w:r w:rsidR="00EF7963" w:rsidRPr="00696169">
              <w:t>, 2011</w:t>
            </w:r>
            <w:bookmarkEnd w:id="14"/>
          </w:p>
        </w:tc>
      </w:tr>
    </w:tbl>
    <w:p w:rsidR="00A706FA" w:rsidRPr="00696169" w:rsidRDefault="00A706FA" w:rsidP="007C6D2C">
      <w:pPr>
        <w:jc w:val="both"/>
      </w:pPr>
    </w:p>
    <w:p w:rsidR="00A706FA" w:rsidRPr="007C6D2C" w:rsidRDefault="00A706FA" w:rsidP="007C6D2C">
      <w:pPr>
        <w:numPr>
          <w:ilvl w:val="0"/>
          <w:numId w:val="6"/>
        </w:numPr>
        <w:tabs>
          <w:tab w:val="clear" w:pos="720"/>
          <w:tab w:val="num" w:pos="360"/>
        </w:tabs>
        <w:ind w:left="360"/>
        <w:jc w:val="both"/>
        <w:rPr>
          <w:b/>
          <w:bCs/>
        </w:rPr>
      </w:pPr>
      <w:r w:rsidRPr="007C6D2C">
        <w:rPr>
          <w:b/>
          <w:bCs/>
        </w:rPr>
        <w:t>Country and Sector Background</w:t>
      </w:r>
      <w:bookmarkStart w:id="15" w:name="CountrySectorBackground"/>
    </w:p>
    <w:p w:rsidR="001220F6" w:rsidRPr="00696169" w:rsidRDefault="001220F6" w:rsidP="007C6D2C">
      <w:pPr>
        <w:jc w:val="both"/>
      </w:pPr>
    </w:p>
    <w:p w:rsidR="001220F6" w:rsidRPr="00696169" w:rsidRDefault="001220F6" w:rsidP="0005612D">
      <w:pPr>
        <w:pStyle w:val="ListParagraph"/>
        <w:ind w:left="0"/>
        <w:jc w:val="both"/>
        <w:rPr>
          <w:rFonts w:ascii="Times New Roman" w:hAnsi="Times New Roman" w:cs="Times New Roman"/>
          <w:iCs/>
          <w:color w:val="000000"/>
          <w:sz w:val="24"/>
          <w:szCs w:val="24"/>
        </w:rPr>
      </w:pPr>
      <w:r w:rsidRPr="00696169">
        <w:rPr>
          <w:rFonts w:ascii="Times New Roman" w:hAnsi="Times New Roman" w:cs="Times New Roman"/>
          <w:iCs/>
          <w:color w:val="000000"/>
          <w:sz w:val="24"/>
          <w:szCs w:val="24"/>
        </w:rPr>
        <w:t>In January 2011, Tunisia experienced an unprecedented popular revolution, driven largely by underlying political and social disparities, allegations of corruption against the government and broad frustration with unemployment and prospects</w:t>
      </w:r>
      <w:r w:rsidRPr="00696169">
        <w:rPr>
          <w:rFonts w:ascii="Times New Roman" w:hAnsi="Times New Roman" w:cs="Times New Roman"/>
          <w:b/>
          <w:bCs/>
          <w:iCs/>
          <w:color w:val="000000"/>
          <w:sz w:val="24"/>
          <w:szCs w:val="24"/>
        </w:rPr>
        <w:t xml:space="preserve">.  </w:t>
      </w:r>
      <w:r w:rsidRPr="00696169">
        <w:rPr>
          <w:rFonts w:ascii="Times New Roman" w:hAnsi="Times New Roman" w:cs="Times New Roman"/>
          <w:iCs/>
          <w:color w:val="000000"/>
          <w:sz w:val="24"/>
          <w:szCs w:val="24"/>
        </w:rPr>
        <w:t xml:space="preserve">Countrywide protests during December 2010 and January 2011 led to the ousting of the ruling regime after 23 years in power.  In line with the Constitution, an interim president and parliament have been given powers to legislate by decree-law; there have been two interim presidents within the span of four months due to ongoing pressure by the public for transparency and reforms. </w:t>
      </w:r>
      <w:r w:rsidR="00947F00">
        <w:rPr>
          <w:rFonts w:ascii="Times New Roman" w:hAnsi="Times New Roman" w:cs="Times New Roman"/>
          <w:iCs/>
          <w:color w:val="000000"/>
          <w:sz w:val="24"/>
          <w:szCs w:val="24"/>
        </w:rPr>
        <w:t xml:space="preserve"> </w:t>
      </w:r>
      <w:r w:rsidRPr="00696169">
        <w:rPr>
          <w:rFonts w:ascii="Times New Roman" w:hAnsi="Times New Roman" w:cs="Times New Roman"/>
          <w:iCs/>
          <w:color w:val="000000"/>
          <w:sz w:val="24"/>
          <w:szCs w:val="24"/>
        </w:rPr>
        <w:t>The current interim government has been tasked with organizing free and fair elections for a Constituent Assembly, to be held on October 23, 2011 (init</w:t>
      </w:r>
      <w:r w:rsidR="00947F00">
        <w:rPr>
          <w:rFonts w:ascii="Times New Roman" w:hAnsi="Times New Roman" w:cs="Times New Roman"/>
          <w:iCs/>
          <w:color w:val="000000"/>
          <w:sz w:val="24"/>
          <w:szCs w:val="24"/>
        </w:rPr>
        <w:t xml:space="preserve">ially set for July 24, 2011).  </w:t>
      </w:r>
      <w:r w:rsidRPr="00696169">
        <w:rPr>
          <w:rFonts w:ascii="Times New Roman" w:hAnsi="Times New Roman" w:cs="Times New Roman"/>
          <w:iCs/>
          <w:color w:val="000000"/>
          <w:sz w:val="24"/>
          <w:szCs w:val="24"/>
        </w:rPr>
        <w:t xml:space="preserve">Although the </w:t>
      </w:r>
      <w:r w:rsidR="0005612D">
        <w:rPr>
          <w:rFonts w:ascii="Times New Roman" w:hAnsi="Times New Roman" w:cs="Times New Roman"/>
          <w:iCs/>
          <w:color w:val="000000"/>
          <w:sz w:val="24"/>
          <w:szCs w:val="24"/>
        </w:rPr>
        <w:t>role</w:t>
      </w:r>
      <w:r w:rsidR="0005612D" w:rsidRPr="00696169">
        <w:rPr>
          <w:rFonts w:ascii="Times New Roman" w:hAnsi="Times New Roman" w:cs="Times New Roman"/>
          <w:iCs/>
          <w:color w:val="000000"/>
          <w:sz w:val="24"/>
          <w:szCs w:val="24"/>
        </w:rPr>
        <w:t xml:space="preserve"> </w:t>
      </w:r>
      <w:r w:rsidRPr="00696169">
        <w:rPr>
          <w:rFonts w:ascii="Times New Roman" w:hAnsi="Times New Roman" w:cs="Times New Roman"/>
          <w:iCs/>
          <w:color w:val="000000"/>
          <w:sz w:val="24"/>
          <w:szCs w:val="24"/>
        </w:rPr>
        <w:t xml:space="preserve">of the interim authorities is primarily that of a caretaker government, the Government of Tunisia (GOT) has taken preliminary, short-term measures to prepare the way for greater social and economic inclusion.   At the same time, its </w:t>
      </w:r>
      <w:r w:rsidR="0005612D">
        <w:rPr>
          <w:rFonts w:ascii="Times New Roman" w:hAnsi="Times New Roman" w:cs="Times New Roman"/>
          <w:iCs/>
          <w:color w:val="000000"/>
          <w:sz w:val="24"/>
          <w:szCs w:val="24"/>
        </w:rPr>
        <w:t>role</w:t>
      </w:r>
      <w:r w:rsidR="0005612D" w:rsidRPr="00696169">
        <w:rPr>
          <w:rFonts w:ascii="Times New Roman" w:hAnsi="Times New Roman" w:cs="Times New Roman"/>
          <w:iCs/>
          <w:color w:val="000000"/>
          <w:sz w:val="24"/>
          <w:szCs w:val="24"/>
        </w:rPr>
        <w:t xml:space="preserve"> </w:t>
      </w:r>
      <w:r w:rsidRPr="00696169">
        <w:rPr>
          <w:rFonts w:ascii="Times New Roman" w:hAnsi="Times New Roman" w:cs="Times New Roman"/>
          <w:iCs/>
          <w:color w:val="000000"/>
          <w:sz w:val="24"/>
          <w:szCs w:val="24"/>
        </w:rPr>
        <w:t>remains limited and excludes it from committing the government to any medium- or long-term reforms.  The interim government’s Social and Economic Program, recently garnering the support of the May 2011 G8 Summit, seeks: (</w:t>
      </w:r>
      <w:proofErr w:type="spellStart"/>
      <w:r w:rsidRPr="00696169">
        <w:rPr>
          <w:rFonts w:ascii="Times New Roman" w:hAnsi="Times New Roman" w:cs="Times New Roman"/>
          <w:iCs/>
          <w:color w:val="000000"/>
          <w:sz w:val="24"/>
          <w:szCs w:val="24"/>
        </w:rPr>
        <w:t>i</w:t>
      </w:r>
      <w:proofErr w:type="spellEnd"/>
      <w:r w:rsidRPr="00696169">
        <w:rPr>
          <w:rFonts w:ascii="Times New Roman" w:hAnsi="Times New Roman" w:cs="Times New Roman"/>
          <w:iCs/>
          <w:color w:val="000000"/>
          <w:sz w:val="24"/>
          <w:szCs w:val="24"/>
        </w:rPr>
        <w:t xml:space="preserve">) </w:t>
      </w:r>
      <w:r w:rsidR="00947F00" w:rsidRPr="00947F00">
        <w:rPr>
          <w:rFonts w:ascii="Times New Roman" w:hAnsi="Times New Roman" w:cs="Times New Roman"/>
          <w:iCs/>
          <w:color w:val="000000"/>
          <w:sz w:val="24"/>
          <w:szCs w:val="24"/>
        </w:rPr>
        <w:t xml:space="preserve">to </w:t>
      </w:r>
      <w:r w:rsidRPr="00696169">
        <w:rPr>
          <w:rFonts w:ascii="Times New Roman" w:hAnsi="Times New Roman" w:cs="Times New Roman"/>
          <w:iCs/>
          <w:color w:val="000000"/>
          <w:sz w:val="24"/>
          <w:szCs w:val="24"/>
        </w:rPr>
        <w:t xml:space="preserve">improve transparency and accountability in a quick and visible way to respond to the aspirations of the population and to signal that Tunisia is creating a level playing field for private sector-led employment growth; </w:t>
      </w:r>
      <w:r w:rsidR="0005612D">
        <w:rPr>
          <w:rFonts w:ascii="Times New Roman" w:hAnsi="Times New Roman" w:cs="Times New Roman"/>
          <w:iCs/>
          <w:color w:val="000000"/>
          <w:sz w:val="24"/>
          <w:szCs w:val="24"/>
        </w:rPr>
        <w:t xml:space="preserve">and </w:t>
      </w:r>
      <w:r w:rsidRPr="00696169">
        <w:rPr>
          <w:rFonts w:ascii="Times New Roman" w:hAnsi="Times New Roman" w:cs="Times New Roman"/>
          <w:iCs/>
          <w:color w:val="000000"/>
          <w:sz w:val="24"/>
          <w:szCs w:val="24"/>
        </w:rPr>
        <w:t xml:space="preserve"> (ii) </w:t>
      </w:r>
      <w:r w:rsidR="0005612D">
        <w:rPr>
          <w:rFonts w:ascii="Times New Roman" w:hAnsi="Times New Roman" w:cs="Times New Roman"/>
          <w:iCs/>
          <w:color w:val="000000"/>
          <w:sz w:val="24"/>
          <w:szCs w:val="24"/>
        </w:rPr>
        <w:t xml:space="preserve">to </w:t>
      </w:r>
      <w:r w:rsidRPr="00696169">
        <w:rPr>
          <w:rFonts w:ascii="Times New Roman" w:hAnsi="Times New Roman" w:cs="Times New Roman"/>
          <w:iCs/>
          <w:color w:val="000000"/>
          <w:sz w:val="24"/>
          <w:szCs w:val="24"/>
        </w:rPr>
        <w:t>tak</w:t>
      </w:r>
      <w:r w:rsidR="0005612D">
        <w:rPr>
          <w:rFonts w:ascii="Times New Roman" w:hAnsi="Times New Roman" w:cs="Times New Roman"/>
          <w:iCs/>
          <w:color w:val="000000"/>
          <w:sz w:val="24"/>
          <w:szCs w:val="24"/>
        </w:rPr>
        <w:t>e</w:t>
      </w:r>
      <w:r w:rsidRPr="00696169">
        <w:rPr>
          <w:rFonts w:ascii="Times New Roman" w:hAnsi="Times New Roman" w:cs="Times New Roman"/>
          <w:iCs/>
          <w:color w:val="000000"/>
          <w:sz w:val="24"/>
          <w:szCs w:val="24"/>
        </w:rPr>
        <w:t xml:space="preserve"> immediate measures to relieve the plight of the unemployed and the most vulnerable of families, and accelerate the development of lagging regions.</w:t>
      </w:r>
    </w:p>
    <w:p w:rsidR="001220F6" w:rsidRPr="00696169" w:rsidRDefault="001220F6" w:rsidP="007C6D2C">
      <w:pPr>
        <w:jc w:val="both"/>
        <w:rPr>
          <w:iCs/>
          <w:color w:val="000000"/>
        </w:rPr>
      </w:pPr>
    </w:p>
    <w:p w:rsidR="001220F6" w:rsidRPr="00696169" w:rsidRDefault="001220F6" w:rsidP="0005612D">
      <w:pPr>
        <w:pStyle w:val="ListParagraph"/>
        <w:ind w:left="0"/>
        <w:jc w:val="both"/>
        <w:rPr>
          <w:rFonts w:ascii="Times New Roman" w:hAnsi="Times New Roman" w:cs="Times New Roman"/>
          <w:iCs/>
          <w:color w:val="000000"/>
          <w:sz w:val="24"/>
          <w:szCs w:val="24"/>
        </w:rPr>
      </w:pPr>
      <w:r w:rsidRPr="00696169">
        <w:rPr>
          <w:rFonts w:ascii="Times New Roman" w:hAnsi="Times New Roman" w:cs="Times New Roman"/>
          <w:iCs/>
          <w:color w:val="000000"/>
          <w:sz w:val="24"/>
          <w:szCs w:val="24"/>
        </w:rPr>
        <w:t xml:space="preserve">Tunisia’s macroeconomic outlook is considered uncertain due to reduced tourism, trade and foreign investment following the revolution and the </w:t>
      </w:r>
      <w:r w:rsidR="0005612D">
        <w:rPr>
          <w:rFonts w:ascii="Times New Roman" w:hAnsi="Times New Roman" w:cs="Times New Roman"/>
          <w:iCs/>
          <w:color w:val="000000"/>
          <w:sz w:val="24"/>
          <w:szCs w:val="24"/>
        </w:rPr>
        <w:t xml:space="preserve">crisis in neighboring </w:t>
      </w:r>
      <w:r w:rsidRPr="00696169">
        <w:rPr>
          <w:rFonts w:ascii="Times New Roman" w:hAnsi="Times New Roman" w:cs="Times New Roman"/>
          <w:iCs/>
          <w:color w:val="000000"/>
          <w:sz w:val="24"/>
          <w:szCs w:val="24"/>
        </w:rPr>
        <w:t>Libya</w:t>
      </w:r>
      <w:r w:rsidRPr="00696169">
        <w:rPr>
          <w:rFonts w:ascii="Times New Roman" w:hAnsi="Times New Roman" w:cs="Times New Roman"/>
          <w:iCs/>
          <w:sz w:val="24"/>
          <w:szCs w:val="24"/>
        </w:rPr>
        <w:t xml:space="preserve">. </w:t>
      </w:r>
      <w:r w:rsidRPr="00696169">
        <w:rPr>
          <w:rFonts w:ascii="Times New Roman" w:hAnsi="Times New Roman" w:cs="Times New Roman"/>
          <w:sz w:val="24"/>
          <w:szCs w:val="24"/>
        </w:rPr>
        <w:t xml:space="preserve"> Prior to the revolution, Tunisia’s economic growth in GDP was steady at 5 percent, relatively high for the MENA region.  </w:t>
      </w:r>
      <w:r w:rsidRPr="00696169">
        <w:rPr>
          <w:rFonts w:ascii="Times New Roman" w:hAnsi="Times New Roman" w:cs="Times New Roman"/>
          <w:iCs/>
          <w:sz w:val="24"/>
          <w:szCs w:val="24"/>
        </w:rPr>
        <w:t xml:space="preserve">Using a low poverty line of </w:t>
      </w:r>
      <w:r w:rsidR="0005612D" w:rsidRPr="00696169">
        <w:rPr>
          <w:rFonts w:ascii="Times New Roman" w:hAnsi="Times New Roman" w:cs="Times New Roman"/>
          <w:iCs/>
          <w:sz w:val="24"/>
          <w:szCs w:val="24"/>
        </w:rPr>
        <w:t>US</w:t>
      </w:r>
      <w:r w:rsidR="0005612D">
        <w:rPr>
          <w:rFonts w:ascii="Times New Roman" w:hAnsi="Times New Roman" w:cs="Times New Roman"/>
          <w:iCs/>
          <w:sz w:val="24"/>
          <w:szCs w:val="24"/>
        </w:rPr>
        <w:t>$</w:t>
      </w:r>
      <w:r w:rsidRPr="00696169">
        <w:rPr>
          <w:rFonts w:ascii="Times New Roman" w:hAnsi="Times New Roman" w:cs="Times New Roman"/>
          <w:iCs/>
          <w:sz w:val="24"/>
          <w:szCs w:val="24"/>
        </w:rPr>
        <w:t xml:space="preserve">1.25 per day, poverty in Tunisia was estimated </w:t>
      </w:r>
      <w:r w:rsidRPr="00696169">
        <w:rPr>
          <w:rFonts w:ascii="Times New Roman" w:hAnsi="Times New Roman" w:cs="Times New Roman"/>
          <w:iCs/>
          <w:sz w:val="24"/>
          <w:szCs w:val="24"/>
        </w:rPr>
        <w:lastRenderedPageBreak/>
        <w:t>to be 7 percent as of 2005, amongst the lowest in the MENA region.  Following the revolution and using a higher poverty line of US</w:t>
      </w:r>
      <w:r w:rsidR="0005612D">
        <w:rPr>
          <w:rFonts w:ascii="Times New Roman" w:hAnsi="Times New Roman" w:cs="Times New Roman"/>
          <w:iCs/>
          <w:sz w:val="24"/>
          <w:szCs w:val="24"/>
        </w:rPr>
        <w:t>$</w:t>
      </w:r>
      <w:r w:rsidRPr="00696169">
        <w:rPr>
          <w:rFonts w:ascii="Times New Roman" w:hAnsi="Times New Roman" w:cs="Times New Roman"/>
          <w:iCs/>
          <w:sz w:val="24"/>
          <w:szCs w:val="24"/>
        </w:rPr>
        <w:t xml:space="preserve">2 per day, </w:t>
      </w:r>
      <w:r w:rsidR="004F226E">
        <w:rPr>
          <w:rFonts w:ascii="Times New Roman" w:hAnsi="Times New Roman" w:cs="Times New Roman"/>
          <w:iCs/>
          <w:sz w:val="24"/>
          <w:szCs w:val="24"/>
        </w:rPr>
        <w:t xml:space="preserve">the </w:t>
      </w:r>
      <w:r w:rsidR="00835A83">
        <w:rPr>
          <w:rFonts w:ascii="Times New Roman" w:hAnsi="Times New Roman" w:cs="Times New Roman"/>
          <w:iCs/>
          <w:sz w:val="24"/>
          <w:szCs w:val="24"/>
        </w:rPr>
        <w:t>Ministry of Social Affairs (</w:t>
      </w:r>
      <w:proofErr w:type="spellStart"/>
      <w:r w:rsidRPr="00696169">
        <w:rPr>
          <w:rFonts w:ascii="Times New Roman" w:hAnsi="Times New Roman" w:cs="Times New Roman"/>
          <w:iCs/>
          <w:sz w:val="24"/>
          <w:szCs w:val="24"/>
        </w:rPr>
        <w:t>MoSA</w:t>
      </w:r>
      <w:proofErr w:type="spellEnd"/>
      <w:r w:rsidR="00835A83">
        <w:rPr>
          <w:rFonts w:ascii="Times New Roman" w:hAnsi="Times New Roman" w:cs="Times New Roman"/>
          <w:iCs/>
          <w:sz w:val="24"/>
          <w:szCs w:val="24"/>
        </w:rPr>
        <w:t>)</w:t>
      </w:r>
      <w:r w:rsidR="004F226E">
        <w:rPr>
          <w:rFonts w:ascii="Times New Roman" w:hAnsi="Times New Roman" w:cs="Times New Roman"/>
          <w:iCs/>
          <w:sz w:val="24"/>
          <w:szCs w:val="24"/>
        </w:rPr>
        <w:t xml:space="preserve"> </w:t>
      </w:r>
      <w:r w:rsidRPr="00696169">
        <w:rPr>
          <w:rFonts w:ascii="Times New Roman" w:hAnsi="Times New Roman" w:cs="Times New Roman"/>
          <w:iCs/>
          <w:sz w:val="24"/>
          <w:szCs w:val="24"/>
        </w:rPr>
        <w:t>estimates that poverty has reached 24.7 percent.  Unemployment is estimated to have grown from 13 percent (500,000 people) in 2010 to approximately 18 percent (700,000 people) as of early 2011.</w:t>
      </w:r>
      <w:r w:rsidRPr="00696169">
        <w:rPr>
          <w:rFonts w:ascii="Times New Roman" w:hAnsi="Times New Roman" w:cs="Times New Roman"/>
          <w:iCs/>
          <w:color w:val="000000"/>
          <w:sz w:val="24"/>
          <w:szCs w:val="24"/>
        </w:rPr>
        <w:t xml:space="preserve">  An estimated 39 percent of the unemployed have a secondary education and 32 percent have a university education. </w:t>
      </w:r>
      <w:r w:rsidR="00947F00">
        <w:rPr>
          <w:rFonts w:ascii="Times New Roman" w:hAnsi="Times New Roman" w:cs="Times New Roman"/>
          <w:iCs/>
          <w:color w:val="000000"/>
          <w:sz w:val="24"/>
          <w:szCs w:val="24"/>
        </w:rPr>
        <w:t xml:space="preserve"> </w:t>
      </w:r>
      <w:r w:rsidRPr="00696169">
        <w:rPr>
          <w:rFonts w:ascii="Times New Roman" w:hAnsi="Times New Roman" w:cs="Times New Roman"/>
          <w:iCs/>
          <w:color w:val="000000"/>
          <w:sz w:val="24"/>
          <w:szCs w:val="24"/>
        </w:rPr>
        <w:t xml:space="preserve">Therefore, while jobs entailing manual labor may attract low-skilled workers who are less educated, other types of employment opportunities will need to be generated for more highly-educated workers.  </w:t>
      </w:r>
    </w:p>
    <w:p w:rsidR="001220F6" w:rsidRPr="00696169" w:rsidRDefault="001220F6" w:rsidP="007C6D2C">
      <w:pPr>
        <w:pStyle w:val="ListParagraph"/>
        <w:ind w:left="0"/>
        <w:jc w:val="both"/>
        <w:rPr>
          <w:rFonts w:ascii="Times New Roman" w:hAnsi="Times New Roman" w:cs="Times New Roman"/>
          <w:iCs/>
          <w:color w:val="000000"/>
          <w:sz w:val="24"/>
          <w:szCs w:val="24"/>
        </w:rPr>
      </w:pPr>
    </w:p>
    <w:p w:rsidR="001220F6" w:rsidRPr="00696169" w:rsidRDefault="001220F6" w:rsidP="00835A83">
      <w:pPr>
        <w:pStyle w:val="ListParagraph"/>
        <w:ind w:left="0"/>
        <w:jc w:val="both"/>
        <w:rPr>
          <w:rFonts w:ascii="Times New Roman" w:hAnsi="Times New Roman" w:cs="Times New Roman"/>
          <w:iCs/>
          <w:color w:val="000000"/>
          <w:sz w:val="24"/>
          <w:szCs w:val="24"/>
        </w:rPr>
      </w:pPr>
      <w:r w:rsidRPr="00696169">
        <w:rPr>
          <w:rFonts w:ascii="Times New Roman" w:hAnsi="Times New Roman" w:cs="Times New Roman"/>
          <w:iCs/>
          <w:color w:val="000000"/>
          <w:sz w:val="24"/>
          <w:szCs w:val="24"/>
        </w:rPr>
        <w:t xml:space="preserve">To address social disparities in the short-term, there is a consensus among government and civil society in Tunisia on the importance of promoting the quality of public services in underserved regions and of developing local civil society and government planning, management and evaluation capacities.   As part of its Social and Economic Recovery Program supported by the Bank (Governance and Opportunity Development Policy Loan, approved in June 2011), </w:t>
      </w:r>
      <w:proofErr w:type="spellStart"/>
      <w:r w:rsidRPr="00696169">
        <w:rPr>
          <w:rFonts w:ascii="Times New Roman" w:hAnsi="Times New Roman" w:cs="Times New Roman"/>
          <w:iCs/>
          <w:color w:val="000000"/>
          <w:sz w:val="24"/>
          <w:szCs w:val="24"/>
        </w:rPr>
        <w:t>the</w:t>
      </w:r>
      <w:proofErr w:type="spellEnd"/>
      <w:r w:rsidRPr="00696169">
        <w:rPr>
          <w:rFonts w:ascii="Times New Roman" w:hAnsi="Times New Roman" w:cs="Times New Roman"/>
          <w:iCs/>
          <w:color w:val="000000"/>
          <w:sz w:val="24"/>
          <w:szCs w:val="24"/>
        </w:rPr>
        <w:t xml:space="preserve"> GOT has instituted policies to expand citizen participation and outreach social services through community-based initiatives, such as community-based social service delivery supported by the proposed project.  </w:t>
      </w:r>
      <w:proofErr w:type="spellStart"/>
      <w:r w:rsidRPr="00696169">
        <w:rPr>
          <w:rFonts w:ascii="Times New Roman" w:hAnsi="Times New Roman" w:cs="Times New Roman"/>
          <w:iCs/>
          <w:color w:val="000000"/>
          <w:sz w:val="24"/>
          <w:szCs w:val="24"/>
        </w:rPr>
        <w:t>The</w:t>
      </w:r>
      <w:proofErr w:type="spellEnd"/>
      <w:r w:rsidRPr="00696169">
        <w:rPr>
          <w:rFonts w:ascii="Times New Roman" w:hAnsi="Times New Roman" w:cs="Times New Roman"/>
          <w:iCs/>
          <w:color w:val="000000"/>
          <w:sz w:val="24"/>
          <w:szCs w:val="24"/>
        </w:rPr>
        <w:t xml:space="preserve"> GOT has recently adopted a policy establishing a participatory process for the systematic monitoring of the performance of public services by civil society, citizens and service providers, notably for the social sectors, aimed at improving the performance of services.  Civil society participation in public service planning, delivery and evaluation is low in Tunisia due to a relatively inhibiting environment and there has been little consultation and involvement of citizens, local communities and CSOs in policy and program formulation and implementation.  The policy mandates the creation of an inter-ministerial and civil society working group to develop guidelines for implementing the participatory monitoring process at the local level.  Implementation would entail </w:t>
      </w:r>
      <w:r w:rsidR="00947F00">
        <w:rPr>
          <w:rFonts w:ascii="Times New Roman" w:hAnsi="Times New Roman" w:cs="Times New Roman"/>
          <w:iCs/>
          <w:color w:val="000000"/>
          <w:sz w:val="24"/>
          <w:szCs w:val="24"/>
        </w:rPr>
        <w:t>creating</w:t>
      </w:r>
      <w:r w:rsidRPr="00696169">
        <w:rPr>
          <w:rFonts w:ascii="Times New Roman" w:hAnsi="Times New Roman" w:cs="Times New Roman"/>
          <w:iCs/>
          <w:color w:val="000000"/>
          <w:sz w:val="24"/>
          <w:szCs w:val="24"/>
        </w:rPr>
        <w:t xml:space="preserve"> local community committees and ensuring access to information on resources and outcome indicators necessary for transparent and effective monitoring by civil society.</w:t>
      </w:r>
    </w:p>
    <w:p w:rsidR="001220F6" w:rsidRPr="00696169" w:rsidRDefault="001220F6" w:rsidP="007C6D2C">
      <w:pPr>
        <w:pStyle w:val="ListParagraph"/>
        <w:ind w:left="0"/>
        <w:jc w:val="both"/>
        <w:rPr>
          <w:rFonts w:ascii="Times New Roman" w:hAnsi="Times New Roman" w:cs="Times New Roman"/>
          <w:iCs/>
          <w:color w:val="000000"/>
          <w:sz w:val="24"/>
          <w:szCs w:val="24"/>
        </w:rPr>
      </w:pPr>
    </w:p>
    <w:p w:rsidR="00EF7963" w:rsidRPr="00696169" w:rsidRDefault="001220F6" w:rsidP="00947F00">
      <w:pPr>
        <w:pStyle w:val="ListParagraph"/>
        <w:ind w:left="0"/>
        <w:jc w:val="both"/>
        <w:rPr>
          <w:rFonts w:ascii="Times New Roman" w:hAnsi="Times New Roman" w:cs="Times New Roman"/>
          <w:sz w:val="24"/>
          <w:szCs w:val="24"/>
        </w:rPr>
      </w:pPr>
      <w:proofErr w:type="spellStart"/>
      <w:r w:rsidRPr="00696169">
        <w:rPr>
          <w:rFonts w:ascii="Times New Roman" w:hAnsi="Times New Roman" w:cs="Times New Roman"/>
          <w:iCs/>
          <w:color w:val="000000"/>
          <w:sz w:val="24"/>
          <w:szCs w:val="24"/>
        </w:rPr>
        <w:t>The</w:t>
      </w:r>
      <w:proofErr w:type="spellEnd"/>
      <w:r w:rsidRPr="00696169">
        <w:rPr>
          <w:rFonts w:ascii="Times New Roman" w:hAnsi="Times New Roman" w:cs="Times New Roman"/>
          <w:iCs/>
          <w:color w:val="000000"/>
          <w:sz w:val="24"/>
          <w:szCs w:val="24"/>
        </w:rPr>
        <w:t xml:space="preserve"> GOT has also passed a new policy creating outreach services in underserved regions based on a participatory approach, comprising the provision of a basic package of health, education</w:t>
      </w:r>
      <w:r w:rsidR="00947F00">
        <w:rPr>
          <w:rFonts w:ascii="Times New Roman" w:hAnsi="Times New Roman" w:cs="Times New Roman"/>
          <w:iCs/>
          <w:color w:val="000000"/>
          <w:sz w:val="24"/>
          <w:szCs w:val="24"/>
        </w:rPr>
        <w:t>,</w:t>
      </w:r>
      <w:r w:rsidRPr="00696169">
        <w:rPr>
          <w:rFonts w:ascii="Times New Roman" w:hAnsi="Times New Roman" w:cs="Times New Roman"/>
          <w:iCs/>
          <w:color w:val="000000"/>
          <w:sz w:val="24"/>
          <w:szCs w:val="24"/>
        </w:rPr>
        <w:t xml:space="preserve"> and social protection services.</w:t>
      </w:r>
      <w:r w:rsidRPr="00696169">
        <w:rPr>
          <w:rFonts w:ascii="Times New Roman" w:hAnsi="Times New Roman" w:cs="Times New Roman"/>
          <w:b/>
          <w:bCs/>
          <w:iCs/>
          <w:color w:val="000000"/>
          <w:sz w:val="24"/>
          <w:szCs w:val="24"/>
        </w:rPr>
        <w:t xml:space="preserve">  </w:t>
      </w:r>
      <w:r w:rsidRPr="00696169">
        <w:rPr>
          <w:rFonts w:ascii="Times New Roman" w:hAnsi="Times New Roman" w:cs="Times New Roman"/>
          <w:iCs/>
          <w:color w:val="000000"/>
          <w:sz w:val="24"/>
          <w:szCs w:val="24"/>
        </w:rPr>
        <w:t>With this new measure, the government aims to create a national outreach services policy to expand free access to care in underserved governorates through services provided outside of traditional fixed facilities and in local community areas. The policy institutes a benefits package comprising basic educational services (such as childcare), health services (such as primary care), and social assistance.  These services are to be provided by community-based workers and mobile teams rotating between fixed facilities and outposts such as schools, community/municipal centers and homes.  The policy for outreach services will also include improved monitoring of beneficiary social</w:t>
      </w:r>
      <w:r w:rsidR="00947F00" w:rsidRPr="00947F00">
        <w:rPr>
          <w:rFonts w:asciiTheme="majorBidi" w:hAnsiTheme="majorBidi" w:cstheme="majorBidi"/>
          <w:iCs/>
          <w:color w:val="000000"/>
        </w:rPr>
        <w:t xml:space="preserve"> </w:t>
      </w:r>
      <w:r w:rsidR="00947F00" w:rsidRPr="00947F00">
        <w:rPr>
          <w:rFonts w:ascii="Times New Roman" w:hAnsi="Times New Roman" w:cs="Times New Roman"/>
          <w:iCs/>
          <w:color w:val="000000"/>
          <w:sz w:val="24"/>
          <w:szCs w:val="24"/>
        </w:rPr>
        <w:t xml:space="preserve">needs. </w:t>
      </w:r>
      <w:r w:rsidRPr="00696169">
        <w:rPr>
          <w:rFonts w:ascii="Times New Roman" w:hAnsi="Times New Roman" w:cs="Times New Roman"/>
          <w:iCs/>
          <w:color w:val="000000"/>
          <w:sz w:val="24"/>
          <w:szCs w:val="24"/>
        </w:rPr>
        <w:t xml:space="preserve"> </w:t>
      </w:r>
    </w:p>
    <w:p w:rsidR="00A706FA" w:rsidRPr="00696169" w:rsidRDefault="00A706FA" w:rsidP="007C6D2C">
      <w:pPr>
        <w:jc w:val="both"/>
      </w:pPr>
    </w:p>
    <w:bookmarkEnd w:id="15"/>
    <w:p w:rsidR="00A706FA" w:rsidRPr="007C6D2C" w:rsidRDefault="00A706FA" w:rsidP="007C6D2C">
      <w:pPr>
        <w:numPr>
          <w:ilvl w:val="0"/>
          <w:numId w:val="6"/>
        </w:numPr>
        <w:tabs>
          <w:tab w:val="clear" w:pos="720"/>
          <w:tab w:val="num" w:pos="360"/>
        </w:tabs>
        <w:ind w:left="360"/>
        <w:jc w:val="both"/>
        <w:rPr>
          <w:b/>
          <w:bCs/>
        </w:rPr>
      </w:pPr>
      <w:r w:rsidRPr="007C6D2C">
        <w:rPr>
          <w:b/>
          <w:bCs/>
        </w:rPr>
        <w:t>Objectives</w:t>
      </w:r>
      <w:bookmarkStart w:id="16" w:name="Objectives"/>
    </w:p>
    <w:p w:rsidR="00EF7963" w:rsidRPr="00696169" w:rsidRDefault="00EF7963" w:rsidP="007C6D2C">
      <w:pPr>
        <w:jc w:val="both"/>
      </w:pPr>
    </w:p>
    <w:p w:rsidR="001220F6" w:rsidRPr="00696169" w:rsidRDefault="00947F00" w:rsidP="00580BD4">
      <w:pPr>
        <w:jc w:val="both"/>
      </w:pPr>
      <w:bookmarkStart w:id="17" w:name="ISDS_DOTEXT"/>
      <w:r w:rsidRPr="00947F00">
        <w:t xml:space="preserve">The </w:t>
      </w:r>
      <w:r>
        <w:t>development o</w:t>
      </w:r>
      <w:r w:rsidRPr="00947F00">
        <w:t xml:space="preserve">bjective </w:t>
      </w:r>
      <w:r>
        <w:t xml:space="preserve">of the </w:t>
      </w:r>
      <w:r w:rsidRPr="00947F00">
        <w:rPr>
          <w:iCs/>
        </w:rPr>
        <w:t xml:space="preserve">grant </w:t>
      </w:r>
      <w:r w:rsidR="001220F6" w:rsidRPr="00696169">
        <w:t>is to pilot participatory approaches to employment generation through a cash-for-service program for vu</w:t>
      </w:r>
      <w:r>
        <w:t xml:space="preserve">lnerable Tunisian households.  </w:t>
      </w:r>
      <w:r w:rsidR="001220F6" w:rsidRPr="00696169">
        <w:t xml:space="preserve">The </w:t>
      </w:r>
      <w:r w:rsidR="0005612D">
        <w:t>project</w:t>
      </w:r>
      <w:r w:rsidR="0005612D" w:rsidRPr="00696169">
        <w:t xml:space="preserve"> </w:t>
      </w:r>
      <w:r w:rsidR="001220F6" w:rsidRPr="00696169">
        <w:t xml:space="preserve">encompasses the financing of subprojects focusing on meeting social needs by improving service delivery at the local level. </w:t>
      </w:r>
      <w:r>
        <w:t xml:space="preserve"> </w:t>
      </w:r>
      <w:r w:rsidR="001220F6" w:rsidRPr="00696169">
        <w:t xml:space="preserve">The project </w:t>
      </w:r>
      <w:r w:rsidR="0005612D">
        <w:t xml:space="preserve">will </w:t>
      </w:r>
      <w:r w:rsidR="001220F6" w:rsidRPr="00696169">
        <w:t>contribute to: (</w:t>
      </w:r>
      <w:proofErr w:type="spellStart"/>
      <w:r w:rsidR="001220F6" w:rsidRPr="00696169">
        <w:t>i</w:t>
      </w:r>
      <w:proofErr w:type="spellEnd"/>
      <w:r w:rsidR="001220F6" w:rsidRPr="00696169">
        <w:t>) fostering social cohesion and stabilization among disadvantaged populations following the January 2011 revolution</w:t>
      </w:r>
      <w:r w:rsidR="00580BD4">
        <w:t>;</w:t>
      </w:r>
      <w:r w:rsidR="001220F6" w:rsidRPr="00696169">
        <w:t xml:space="preserve"> and (ii) </w:t>
      </w:r>
      <w:r w:rsidR="001220F6" w:rsidRPr="00696169">
        <w:lastRenderedPageBreak/>
        <w:t>mitigating the socioe</w:t>
      </w:r>
      <w:r>
        <w:t>conomic risks faced by Tunisian</w:t>
      </w:r>
      <w:r w:rsidR="001220F6" w:rsidRPr="00696169">
        <w:t xml:space="preserve"> returnees fleeing Libyan civil strife and by Tunisian communities near the border with Libya affected by depressed cross-border trade and commerce.  </w:t>
      </w:r>
      <w:bookmarkEnd w:id="17"/>
    </w:p>
    <w:p w:rsidR="00947F00" w:rsidRPr="00696169" w:rsidRDefault="00947F00" w:rsidP="007C6D2C">
      <w:pPr>
        <w:jc w:val="both"/>
      </w:pPr>
    </w:p>
    <w:bookmarkEnd w:id="16"/>
    <w:p w:rsidR="00A706FA" w:rsidRPr="007C6D2C" w:rsidRDefault="00A706FA" w:rsidP="007C6D2C">
      <w:pPr>
        <w:numPr>
          <w:ilvl w:val="0"/>
          <w:numId w:val="6"/>
        </w:numPr>
        <w:tabs>
          <w:tab w:val="clear" w:pos="720"/>
          <w:tab w:val="num" w:pos="360"/>
        </w:tabs>
        <w:ind w:left="360"/>
        <w:jc w:val="both"/>
        <w:rPr>
          <w:b/>
          <w:bCs/>
        </w:rPr>
      </w:pPr>
      <w:r w:rsidRPr="007C6D2C">
        <w:rPr>
          <w:b/>
          <w:bCs/>
        </w:rPr>
        <w:t>Rationale for Bank Involvement</w:t>
      </w:r>
      <w:bookmarkStart w:id="18" w:name="RationaleBankInvolvement"/>
    </w:p>
    <w:p w:rsidR="00EF7963" w:rsidRPr="00696169" w:rsidRDefault="00EF7963" w:rsidP="007C6D2C">
      <w:pPr>
        <w:jc w:val="both"/>
      </w:pPr>
    </w:p>
    <w:p w:rsidR="001220F6" w:rsidRPr="00696169" w:rsidRDefault="001220F6" w:rsidP="00580BD4">
      <w:pPr>
        <w:pStyle w:val="ListParagraph"/>
        <w:ind w:left="0"/>
        <w:jc w:val="both"/>
        <w:rPr>
          <w:rFonts w:ascii="Times New Roman" w:hAnsi="Times New Roman" w:cs="Times New Roman"/>
          <w:iCs/>
          <w:color w:val="000000"/>
          <w:sz w:val="24"/>
          <w:szCs w:val="24"/>
        </w:rPr>
      </w:pPr>
      <w:r w:rsidRPr="00696169">
        <w:rPr>
          <w:rFonts w:ascii="Times New Roman" w:hAnsi="Times New Roman" w:cs="Times New Roman"/>
          <w:iCs/>
          <w:color w:val="000000"/>
          <w:sz w:val="24"/>
          <w:szCs w:val="24"/>
        </w:rPr>
        <w:t>The S</w:t>
      </w:r>
      <w:r w:rsidR="00580BD4">
        <w:rPr>
          <w:rFonts w:ascii="Times New Roman" w:hAnsi="Times New Roman" w:cs="Times New Roman"/>
          <w:iCs/>
          <w:color w:val="000000"/>
          <w:sz w:val="24"/>
          <w:szCs w:val="24"/>
        </w:rPr>
        <w:t>tate and Peace-building Fund (S</w:t>
      </w:r>
      <w:r w:rsidRPr="00696169">
        <w:rPr>
          <w:rFonts w:ascii="Times New Roman" w:hAnsi="Times New Roman" w:cs="Times New Roman"/>
          <w:iCs/>
          <w:color w:val="000000"/>
          <w:sz w:val="24"/>
          <w:szCs w:val="24"/>
        </w:rPr>
        <w:t>PF</w:t>
      </w:r>
      <w:r w:rsidR="00580BD4">
        <w:rPr>
          <w:rFonts w:ascii="Times New Roman" w:hAnsi="Times New Roman" w:cs="Times New Roman"/>
          <w:iCs/>
          <w:color w:val="000000"/>
          <w:sz w:val="24"/>
          <w:szCs w:val="24"/>
        </w:rPr>
        <w:t>)</w:t>
      </w:r>
      <w:r w:rsidRPr="00696169">
        <w:rPr>
          <w:rFonts w:ascii="Times New Roman" w:hAnsi="Times New Roman" w:cs="Times New Roman"/>
          <w:iCs/>
          <w:color w:val="000000"/>
          <w:sz w:val="24"/>
          <w:szCs w:val="24"/>
        </w:rPr>
        <w:t xml:space="preserve"> is an appropriate vehicle for supporting state building by mitigating the negative effects associated with the conflict in Libya and political and economic instability following the revolution.</w:t>
      </w:r>
      <w:r w:rsidRPr="00696169">
        <w:rPr>
          <w:rFonts w:ascii="Times New Roman" w:hAnsi="Times New Roman" w:cs="Times New Roman"/>
          <w:b/>
          <w:bCs/>
          <w:iCs/>
          <w:color w:val="000000"/>
          <w:sz w:val="24"/>
          <w:szCs w:val="24"/>
        </w:rPr>
        <w:t xml:space="preserve"> </w:t>
      </w:r>
      <w:r w:rsidR="00947F00">
        <w:rPr>
          <w:rFonts w:ascii="Times New Roman" w:hAnsi="Times New Roman" w:cs="Times New Roman"/>
          <w:b/>
          <w:bCs/>
          <w:iCs/>
          <w:color w:val="000000"/>
          <w:sz w:val="24"/>
          <w:szCs w:val="24"/>
        </w:rPr>
        <w:t xml:space="preserve"> </w:t>
      </w:r>
      <w:r w:rsidRPr="00696169">
        <w:rPr>
          <w:rFonts w:ascii="Times New Roman" w:hAnsi="Times New Roman" w:cs="Times New Roman"/>
          <w:iCs/>
          <w:color w:val="000000"/>
          <w:sz w:val="24"/>
          <w:szCs w:val="24"/>
        </w:rPr>
        <w:t xml:space="preserve">The project supports the regions </w:t>
      </w:r>
      <w:r w:rsidR="00580BD4">
        <w:rPr>
          <w:rFonts w:ascii="Times New Roman" w:hAnsi="Times New Roman" w:cs="Times New Roman"/>
          <w:iCs/>
          <w:color w:val="000000"/>
          <w:sz w:val="24"/>
          <w:szCs w:val="24"/>
        </w:rPr>
        <w:t xml:space="preserve">of </w:t>
      </w:r>
      <w:proofErr w:type="spellStart"/>
      <w:r w:rsidR="00580BD4">
        <w:rPr>
          <w:rFonts w:ascii="Times New Roman" w:hAnsi="Times New Roman" w:cs="Times New Roman"/>
          <w:iCs/>
          <w:color w:val="000000"/>
          <w:sz w:val="24"/>
          <w:szCs w:val="24"/>
        </w:rPr>
        <w:t>Tataouine</w:t>
      </w:r>
      <w:proofErr w:type="spellEnd"/>
      <w:r w:rsidR="00580BD4">
        <w:rPr>
          <w:rFonts w:ascii="Times New Roman" w:hAnsi="Times New Roman" w:cs="Times New Roman"/>
          <w:iCs/>
          <w:color w:val="000000"/>
          <w:sz w:val="24"/>
          <w:szCs w:val="24"/>
        </w:rPr>
        <w:t xml:space="preserve"> and </w:t>
      </w:r>
      <w:proofErr w:type="spellStart"/>
      <w:r w:rsidR="00580BD4">
        <w:rPr>
          <w:rFonts w:ascii="Times New Roman" w:hAnsi="Times New Roman" w:cs="Times New Roman"/>
          <w:iCs/>
          <w:color w:val="000000"/>
          <w:sz w:val="24"/>
          <w:szCs w:val="24"/>
        </w:rPr>
        <w:t>Medenine</w:t>
      </w:r>
      <w:proofErr w:type="spellEnd"/>
      <w:r w:rsidR="00580BD4" w:rsidRPr="00696169">
        <w:rPr>
          <w:rFonts w:ascii="Times New Roman" w:hAnsi="Times New Roman" w:cs="Times New Roman"/>
          <w:iCs/>
          <w:color w:val="000000"/>
          <w:sz w:val="24"/>
          <w:szCs w:val="24"/>
        </w:rPr>
        <w:t xml:space="preserve"> </w:t>
      </w:r>
      <w:r w:rsidR="00580BD4">
        <w:rPr>
          <w:rFonts w:ascii="Times New Roman" w:hAnsi="Times New Roman" w:cs="Times New Roman"/>
          <w:iCs/>
          <w:color w:val="000000"/>
          <w:sz w:val="24"/>
          <w:szCs w:val="24"/>
        </w:rPr>
        <w:t xml:space="preserve">that </w:t>
      </w:r>
      <w:r w:rsidRPr="00696169">
        <w:rPr>
          <w:rFonts w:ascii="Times New Roman" w:hAnsi="Times New Roman" w:cs="Times New Roman"/>
          <w:iCs/>
          <w:color w:val="000000"/>
          <w:sz w:val="24"/>
          <w:szCs w:val="24"/>
        </w:rPr>
        <w:t>border</w:t>
      </w:r>
      <w:r w:rsidR="00580BD4">
        <w:rPr>
          <w:rFonts w:ascii="Times New Roman" w:hAnsi="Times New Roman" w:cs="Times New Roman"/>
          <w:iCs/>
          <w:color w:val="000000"/>
          <w:sz w:val="24"/>
          <w:szCs w:val="24"/>
        </w:rPr>
        <w:t xml:space="preserve"> </w:t>
      </w:r>
      <w:r w:rsidRPr="00696169">
        <w:rPr>
          <w:rFonts w:ascii="Times New Roman" w:hAnsi="Times New Roman" w:cs="Times New Roman"/>
          <w:iCs/>
          <w:color w:val="000000"/>
          <w:sz w:val="24"/>
          <w:szCs w:val="24"/>
        </w:rPr>
        <w:t>Li</w:t>
      </w:r>
      <w:r w:rsidR="00947F00">
        <w:rPr>
          <w:rFonts w:ascii="Times New Roman" w:hAnsi="Times New Roman" w:cs="Times New Roman"/>
          <w:iCs/>
          <w:color w:val="000000"/>
          <w:sz w:val="24"/>
          <w:szCs w:val="24"/>
        </w:rPr>
        <w:t>bya</w:t>
      </w:r>
      <w:r w:rsidR="00580BD4">
        <w:rPr>
          <w:rFonts w:ascii="Times New Roman" w:hAnsi="Times New Roman" w:cs="Times New Roman"/>
          <w:iCs/>
          <w:color w:val="000000"/>
          <w:sz w:val="24"/>
          <w:szCs w:val="24"/>
        </w:rPr>
        <w:t>.  I</w:t>
      </w:r>
      <w:r w:rsidRPr="00696169">
        <w:rPr>
          <w:rFonts w:ascii="Times New Roman" w:hAnsi="Times New Roman" w:cs="Times New Roman"/>
          <w:iCs/>
          <w:color w:val="000000"/>
          <w:sz w:val="24"/>
          <w:szCs w:val="24"/>
        </w:rPr>
        <w:t xml:space="preserve">n terms of </w:t>
      </w:r>
      <w:r w:rsidRPr="00696169">
        <w:rPr>
          <w:rFonts w:ascii="Times New Roman" w:hAnsi="Times New Roman" w:cs="Times New Roman"/>
          <w:b/>
          <w:bCs/>
          <w:iCs/>
          <w:color w:val="000000"/>
          <w:sz w:val="24"/>
          <w:szCs w:val="24"/>
        </w:rPr>
        <w:t xml:space="preserve">state building, </w:t>
      </w:r>
      <w:r w:rsidRPr="00696169">
        <w:rPr>
          <w:rFonts w:ascii="Times New Roman" w:hAnsi="Times New Roman" w:cs="Times New Roman"/>
          <w:iCs/>
          <w:color w:val="000000"/>
          <w:sz w:val="24"/>
          <w:szCs w:val="24"/>
        </w:rPr>
        <w:t xml:space="preserve">the project </w:t>
      </w:r>
      <w:r w:rsidR="00580BD4">
        <w:rPr>
          <w:rFonts w:ascii="Times New Roman" w:hAnsi="Times New Roman" w:cs="Times New Roman"/>
          <w:iCs/>
          <w:color w:val="000000"/>
          <w:sz w:val="24"/>
          <w:szCs w:val="24"/>
        </w:rPr>
        <w:t xml:space="preserve">will </w:t>
      </w:r>
      <w:r w:rsidRPr="00696169">
        <w:rPr>
          <w:rFonts w:ascii="Times New Roman" w:hAnsi="Times New Roman" w:cs="Times New Roman"/>
          <w:iCs/>
          <w:color w:val="000000"/>
          <w:sz w:val="24"/>
          <w:szCs w:val="24"/>
        </w:rPr>
        <w:t>help to promote inclusive development by</w:t>
      </w:r>
      <w:r w:rsidRPr="00696169">
        <w:rPr>
          <w:rFonts w:ascii="Times New Roman" w:hAnsi="Times New Roman" w:cs="Times New Roman"/>
          <w:b/>
          <w:bCs/>
          <w:iCs/>
          <w:color w:val="000000"/>
          <w:sz w:val="24"/>
          <w:szCs w:val="24"/>
        </w:rPr>
        <w:t xml:space="preserve"> </w:t>
      </w:r>
      <w:r w:rsidRPr="00696169">
        <w:rPr>
          <w:rFonts w:ascii="Times New Roman" w:hAnsi="Times New Roman" w:cs="Times New Roman"/>
          <w:iCs/>
          <w:color w:val="000000"/>
          <w:sz w:val="24"/>
          <w:szCs w:val="24"/>
        </w:rPr>
        <w:t>increasing employment and income-generating opportunities as well as access to key basic services in conflict-affected areas</w:t>
      </w:r>
      <w:r w:rsidR="00580BD4">
        <w:rPr>
          <w:rFonts w:ascii="Times New Roman" w:hAnsi="Times New Roman" w:cs="Times New Roman"/>
          <w:iCs/>
          <w:color w:val="000000"/>
          <w:sz w:val="24"/>
          <w:szCs w:val="24"/>
        </w:rPr>
        <w:t>.  I</w:t>
      </w:r>
      <w:r w:rsidRPr="00696169">
        <w:rPr>
          <w:rFonts w:ascii="Times New Roman" w:hAnsi="Times New Roman" w:cs="Times New Roman"/>
          <w:iCs/>
          <w:color w:val="000000"/>
          <w:sz w:val="24"/>
          <w:szCs w:val="24"/>
        </w:rPr>
        <w:t xml:space="preserve">n terms of </w:t>
      </w:r>
      <w:r w:rsidRPr="00696169">
        <w:rPr>
          <w:rFonts w:ascii="Times New Roman" w:hAnsi="Times New Roman" w:cs="Times New Roman"/>
          <w:b/>
          <w:bCs/>
          <w:iCs/>
          <w:color w:val="000000"/>
          <w:sz w:val="24"/>
          <w:szCs w:val="24"/>
        </w:rPr>
        <w:t>peace building</w:t>
      </w:r>
      <w:r w:rsidRPr="00696169">
        <w:rPr>
          <w:rFonts w:ascii="Times New Roman" w:hAnsi="Times New Roman" w:cs="Times New Roman"/>
          <w:iCs/>
          <w:color w:val="000000"/>
          <w:sz w:val="24"/>
          <w:szCs w:val="24"/>
        </w:rPr>
        <w:t xml:space="preserve">, the project </w:t>
      </w:r>
      <w:r w:rsidR="00580BD4">
        <w:rPr>
          <w:rFonts w:ascii="Times New Roman" w:hAnsi="Times New Roman" w:cs="Times New Roman"/>
          <w:iCs/>
          <w:color w:val="000000"/>
          <w:sz w:val="24"/>
          <w:szCs w:val="24"/>
        </w:rPr>
        <w:t xml:space="preserve">will </w:t>
      </w:r>
      <w:r w:rsidRPr="00696169">
        <w:rPr>
          <w:rFonts w:ascii="Times New Roman" w:hAnsi="Times New Roman" w:cs="Times New Roman"/>
          <w:iCs/>
          <w:color w:val="000000"/>
          <w:sz w:val="24"/>
          <w:szCs w:val="24"/>
        </w:rPr>
        <w:t xml:space="preserve">help to reintegrate conflict-affected populations socially and economically, and provide assistance to build trust between communities and government. </w:t>
      </w:r>
      <w:r w:rsidR="00947F00">
        <w:rPr>
          <w:rFonts w:ascii="Times New Roman" w:hAnsi="Times New Roman" w:cs="Times New Roman"/>
          <w:iCs/>
          <w:color w:val="000000"/>
          <w:sz w:val="24"/>
          <w:szCs w:val="24"/>
        </w:rPr>
        <w:t xml:space="preserve"> </w:t>
      </w:r>
      <w:r w:rsidRPr="00696169">
        <w:rPr>
          <w:rFonts w:ascii="Times New Roman" w:hAnsi="Times New Roman" w:cs="Times New Roman"/>
          <w:iCs/>
          <w:color w:val="000000"/>
          <w:sz w:val="24"/>
          <w:szCs w:val="24"/>
        </w:rPr>
        <w:t xml:space="preserve">The SPF intervention will therefore assist the transition government foster social inclusion for unemployed, marginalized households and Tunisian migrants from Libya in conflict-affected regions bordering Libya.  </w:t>
      </w:r>
    </w:p>
    <w:p w:rsidR="00A706FA" w:rsidRPr="00696169" w:rsidRDefault="00A706FA" w:rsidP="007C6D2C">
      <w:pPr>
        <w:jc w:val="both"/>
      </w:pPr>
    </w:p>
    <w:bookmarkEnd w:id="18"/>
    <w:p w:rsidR="00C17C76" w:rsidRPr="007C6D2C" w:rsidRDefault="00A706FA" w:rsidP="007C6D2C">
      <w:pPr>
        <w:numPr>
          <w:ilvl w:val="0"/>
          <w:numId w:val="6"/>
        </w:numPr>
        <w:tabs>
          <w:tab w:val="clear" w:pos="720"/>
          <w:tab w:val="num" w:pos="360"/>
        </w:tabs>
        <w:ind w:left="360"/>
        <w:jc w:val="both"/>
        <w:rPr>
          <w:b/>
          <w:bCs/>
        </w:rPr>
      </w:pPr>
      <w:r w:rsidRPr="007C6D2C">
        <w:rPr>
          <w:b/>
          <w:bCs/>
        </w:rPr>
        <w:t>Description</w:t>
      </w:r>
      <w:bookmarkStart w:id="19" w:name="Description"/>
    </w:p>
    <w:p w:rsidR="00C17C76" w:rsidRPr="00696169" w:rsidRDefault="00C17C76" w:rsidP="007C6D2C">
      <w:pPr>
        <w:tabs>
          <w:tab w:val="num" w:pos="360"/>
        </w:tabs>
        <w:jc w:val="both"/>
      </w:pPr>
    </w:p>
    <w:p w:rsidR="00EF7963" w:rsidRPr="00696169" w:rsidRDefault="00E81925" w:rsidP="00580BD4">
      <w:pPr>
        <w:pStyle w:val="MainParanoChapter"/>
        <w:keepNext w:val="0"/>
        <w:numPr>
          <w:ilvl w:val="0"/>
          <w:numId w:val="0"/>
        </w:numPr>
        <w:tabs>
          <w:tab w:val="left" w:pos="720"/>
        </w:tabs>
        <w:jc w:val="both"/>
        <w:rPr>
          <w:b/>
        </w:rPr>
      </w:pPr>
      <w:r w:rsidRPr="00696169">
        <w:t xml:space="preserve">To achieve the above-mentioned objective, the Project consists of three components: pilot local service delivery sub-projects (estimated cost: US$4.3 million), local service delivery sub-project training (estimated cost: US$0.43 million); and project management, monitoring and evaluation (estimated cost: US$0.27 million). </w:t>
      </w:r>
      <w:r w:rsidR="00947F00">
        <w:t xml:space="preserve"> </w:t>
      </w:r>
      <w:r w:rsidRPr="00696169">
        <w:t xml:space="preserve">The total cost of the project would be US$5.00 million fully financed by the </w:t>
      </w:r>
      <w:r w:rsidR="00580BD4">
        <w:t>SPF</w:t>
      </w:r>
      <w:r w:rsidRPr="00696169">
        <w:t>.</w:t>
      </w:r>
    </w:p>
    <w:p w:rsidR="00C17C76" w:rsidRPr="00696169" w:rsidRDefault="001830A4" w:rsidP="00580BD4">
      <w:pPr>
        <w:pStyle w:val="ListParagraph"/>
        <w:ind w:left="0"/>
        <w:jc w:val="both"/>
        <w:rPr>
          <w:rFonts w:ascii="Times New Roman" w:hAnsi="Times New Roman" w:cs="Times New Roman"/>
          <w:iCs/>
          <w:sz w:val="24"/>
          <w:szCs w:val="24"/>
        </w:rPr>
      </w:pPr>
      <w:r w:rsidRPr="00696169">
        <w:rPr>
          <w:rFonts w:ascii="Times New Roman" w:hAnsi="Times New Roman" w:cs="Times New Roman"/>
          <w:b/>
          <w:bCs/>
          <w:i/>
          <w:iCs/>
          <w:sz w:val="24"/>
          <w:szCs w:val="24"/>
        </w:rPr>
        <w:t xml:space="preserve">Component A: </w:t>
      </w:r>
      <w:r w:rsidR="00E81925" w:rsidRPr="00696169">
        <w:rPr>
          <w:rFonts w:ascii="Times New Roman" w:hAnsi="Times New Roman" w:cs="Times New Roman"/>
          <w:b/>
          <w:bCs/>
          <w:i/>
          <w:sz w:val="24"/>
          <w:szCs w:val="24"/>
        </w:rPr>
        <w:t>Pilot Local Service</w:t>
      </w:r>
      <w:r w:rsidR="00C17C76" w:rsidRPr="00696169">
        <w:rPr>
          <w:rFonts w:ascii="Times New Roman" w:hAnsi="Times New Roman" w:cs="Times New Roman"/>
          <w:b/>
          <w:bCs/>
          <w:i/>
          <w:sz w:val="24"/>
          <w:szCs w:val="24"/>
        </w:rPr>
        <w:t xml:space="preserve"> Delivery Sub-Projects (USD 4.3 million</w:t>
      </w:r>
      <w:r w:rsidR="00E81925" w:rsidRPr="00696169">
        <w:rPr>
          <w:rFonts w:ascii="Times New Roman" w:hAnsi="Times New Roman" w:cs="Times New Roman"/>
          <w:b/>
          <w:bCs/>
          <w:i/>
          <w:sz w:val="24"/>
          <w:szCs w:val="24"/>
        </w:rPr>
        <w:t>)</w:t>
      </w:r>
      <w:r w:rsidR="00C17C76" w:rsidRPr="00696169">
        <w:rPr>
          <w:rFonts w:ascii="Times New Roman" w:hAnsi="Times New Roman" w:cs="Times New Roman"/>
          <w:iCs/>
          <w:sz w:val="24"/>
          <w:szCs w:val="24"/>
        </w:rPr>
        <w:t xml:space="preserve">. </w:t>
      </w:r>
      <w:r w:rsidR="00E81925" w:rsidRPr="00696169">
        <w:rPr>
          <w:rFonts w:ascii="Times New Roman" w:hAnsi="Times New Roman" w:cs="Times New Roman"/>
          <w:iCs/>
          <w:sz w:val="24"/>
          <w:szCs w:val="24"/>
        </w:rPr>
        <w:t xml:space="preserve">This component </w:t>
      </w:r>
      <w:r w:rsidR="00580BD4">
        <w:rPr>
          <w:rFonts w:ascii="Times New Roman" w:hAnsi="Times New Roman" w:cs="Times New Roman"/>
          <w:iCs/>
          <w:sz w:val="24"/>
          <w:szCs w:val="24"/>
        </w:rPr>
        <w:t xml:space="preserve">will </w:t>
      </w:r>
      <w:r w:rsidR="00E81925" w:rsidRPr="00696169">
        <w:rPr>
          <w:rFonts w:ascii="Times New Roman" w:hAnsi="Times New Roman" w:cs="Times New Roman"/>
          <w:iCs/>
          <w:sz w:val="24"/>
          <w:szCs w:val="24"/>
        </w:rPr>
        <w:t>finance wages and consultant</w:t>
      </w:r>
      <w:r w:rsidR="00580BD4">
        <w:rPr>
          <w:rFonts w:ascii="Times New Roman" w:hAnsi="Times New Roman" w:cs="Times New Roman"/>
          <w:iCs/>
          <w:sz w:val="24"/>
          <w:szCs w:val="24"/>
        </w:rPr>
        <w:t>s’</w:t>
      </w:r>
      <w:r w:rsidR="00E81925" w:rsidRPr="00696169">
        <w:rPr>
          <w:rFonts w:ascii="Times New Roman" w:hAnsi="Times New Roman" w:cs="Times New Roman"/>
          <w:iCs/>
          <w:sz w:val="24"/>
          <w:szCs w:val="24"/>
        </w:rPr>
        <w:t xml:space="preserve"> services under sub-projects that create job opportunities in basic social service delivery, managed by the Implementing Agency (IA), the </w:t>
      </w:r>
      <w:r w:rsidR="00E81925" w:rsidRPr="00696169">
        <w:rPr>
          <w:rFonts w:ascii="Times New Roman" w:hAnsi="Times New Roman" w:cs="Times New Roman"/>
          <w:i/>
          <w:sz w:val="24"/>
          <w:szCs w:val="24"/>
        </w:rPr>
        <w:t>U</w:t>
      </w:r>
      <w:r w:rsidR="00582D43" w:rsidRPr="00696169">
        <w:rPr>
          <w:rFonts w:ascii="Times New Roman" w:hAnsi="Times New Roman" w:cs="Times New Roman"/>
          <w:i/>
          <w:sz w:val="24"/>
          <w:szCs w:val="24"/>
        </w:rPr>
        <w:t xml:space="preserve">nion </w:t>
      </w:r>
      <w:proofErr w:type="spellStart"/>
      <w:r w:rsidR="00582D43" w:rsidRPr="00696169">
        <w:rPr>
          <w:rFonts w:ascii="Times New Roman" w:hAnsi="Times New Roman" w:cs="Times New Roman"/>
          <w:i/>
          <w:sz w:val="24"/>
          <w:szCs w:val="24"/>
        </w:rPr>
        <w:t>Tunisienne</w:t>
      </w:r>
      <w:proofErr w:type="spellEnd"/>
      <w:r w:rsidR="00582D43" w:rsidRPr="00696169">
        <w:rPr>
          <w:rFonts w:ascii="Times New Roman" w:hAnsi="Times New Roman" w:cs="Times New Roman"/>
          <w:i/>
          <w:sz w:val="24"/>
          <w:szCs w:val="24"/>
        </w:rPr>
        <w:t xml:space="preserve"> de la </w:t>
      </w:r>
      <w:proofErr w:type="spellStart"/>
      <w:r w:rsidR="00582D43" w:rsidRPr="00696169">
        <w:rPr>
          <w:rFonts w:ascii="Times New Roman" w:hAnsi="Times New Roman" w:cs="Times New Roman"/>
          <w:i/>
          <w:sz w:val="24"/>
          <w:szCs w:val="24"/>
        </w:rPr>
        <w:t>Solidarité</w:t>
      </w:r>
      <w:proofErr w:type="spellEnd"/>
      <w:r w:rsidR="00E81925" w:rsidRPr="00696169">
        <w:rPr>
          <w:rFonts w:ascii="Times New Roman" w:hAnsi="Times New Roman" w:cs="Times New Roman"/>
          <w:i/>
          <w:sz w:val="24"/>
          <w:szCs w:val="24"/>
        </w:rPr>
        <w:t xml:space="preserve"> </w:t>
      </w:r>
      <w:proofErr w:type="spellStart"/>
      <w:r w:rsidR="00E81925" w:rsidRPr="00696169">
        <w:rPr>
          <w:rFonts w:ascii="Times New Roman" w:hAnsi="Times New Roman" w:cs="Times New Roman"/>
          <w:i/>
          <w:sz w:val="24"/>
          <w:szCs w:val="24"/>
        </w:rPr>
        <w:t>Sociale</w:t>
      </w:r>
      <w:proofErr w:type="spellEnd"/>
      <w:r w:rsidR="00E81925" w:rsidRPr="00696169">
        <w:rPr>
          <w:rFonts w:ascii="Times New Roman" w:hAnsi="Times New Roman" w:cs="Times New Roman"/>
          <w:i/>
          <w:sz w:val="24"/>
          <w:szCs w:val="24"/>
        </w:rPr>
        <w:t xml:space="preserve"> </w:t>
      </w:r>
      <w:r w:rsidR="00E81925" w:rsidRPr="00696169">
        <w:rPr>
          <w:rFonts w:ascii="Times New Roman" w:hAnsi="Times New Roman" w:cs="Times New Roman"/>
          <w:iCs/>
          <w:sz w:val="24"/>
          <w:szCs w:val="24"/>
        </w:rPr>
        <w:t>(UTSS)</w:t>
      </w:r>
      <w:r w:rsidR="00E81925" w:rsidRPr="00947F00">
        <w:rPr>
          <w:rFonts w:ascii="Times New Roman" w:hAnsi="Times New Roman" w:cs="Times New Roman"/>
          <w:iCs/>
          <w:sz w:val="24"/>
          <w:szCs w:val="24"/>
        </w:rPr>
        <w:t>.</w:t>
      </w:r>
      <w:r w:rsidR="00947F00" w:rsidRPr="00947F00">
        <w:rPr>
          <w:rFonts w:ascii="Times New Roman" w:hAnsi="Times New Roman" w:cs="Times New Roman"/>
          <w:iCs/>
          <w:sz w:val="24"/>
          <w:szCs w:val="24"/>
        </w:rPr>
        <w:t xml:space="preserve"> </w:t>
      </w:r>
      <w:r w:rsidR="00E81925" w:rsidRPr="00696169">
        <w:rPr>
          <w:rFonts w:ascii="Times New Roman" w:hAnsi="Times New Roman" w:cs="Times New Roman"/>
          <w:b/>
          <w:bCs/>
          <w:iCs/>
          <w:sz w:val="24"/>
          <w:szCs w:val="24"/>
        </w:rPr>
        <w:t xml:space="preserve"> </w:t>
      </w:r>
      <w:r w:rsidR="00E81925" w:rsidRPr="00696169">
        <w:rPr>
          <w:rFonts w:ascii="Times New Roman" w:hAnsi="Times New Roman" w:cs="Times New Roman"/>
          <w:iCs/>
          <w:sz w:val="24"/>
          <w:szCs w:val="24"/>
        </w:rPr>
        <w:t xml:space="preserve">All project finances will be managed by the IA through a Project Implementation Unit (PIU) established within the UTSS.  Sub-projects will be demand-driven and selected from proposals submitted by local NGOs (legally established as “associations”) based on community and local government consultations.  </w:t>
      </w:r>
    </w:p>
    <w:p w:rsidR="00C17C76" w:rsidRPr="00696169" w:rsidRDefault="00C17C76" w:rsidP="007C6D2C">
      <w:pPr>
        <w:pStyle w:val="ListParagraph"/>
        <w:ind w:left="0"/>
        <w:jc w:val="both"/>
        <w:rPr>
          <w:rFonts w:ascii="Times New Roman" w:hAnsi="Times New Roman" w:cs="Times New Roman"/>
          <w:iCs/>
          <w:sz w:val="24"/>
          <w:szCs w:val="24"/>
        </w:rPr>
      </w:pPr>
    </w:p>
    <w:p w:rsidR="00C17C76" w:rsidRPr="00696169" w:rsidRDefault="00C17C76" w:rsidP="00580BD4">
      <w:pPr>
        <w:pStyle w:val="ListParagraph"/>
        <w:ind w:left="0"/>
        <w:jc w:val="both"/>
        <w:rPr>
          <w:rFonts w:ascii="Times New Roman" w:hAnsi="Times New Roman" w:cs="Times New Roman"/>
          <w:bCs/>
          <w:iCs/>
          <w:sz w:val="24"/>
          <w:szCs w:val="24"/>
        </w:rPr>
      </w:pPr>
      <w:r w:rsidRPr="00696169">
        <w:rPr>
          <w:rFonts w:ascii="Times New Roman" w:hAnsi="Times New Roman" w:cs="Times New Roman"/>
          <w:b/>
          <w:bCs/>
          <w:i/>
          <w:iCs/>
          <w:sz w:val="24"/>
          <w:szCs w:val="24"/>
        </w:rPr>
        <w:t xml:space="preserve">Component B: </w:t>
      </w:r>
      <w:r w:rsidRPr="00696169">
        <w:rPr>
          <w:rFonts w:ascii="Times New Roman" w:hAnsi="Times New Roman" w:cs="Times New Roman"/>
          <w:b/>
          <w:bCs/>
          <w:i/>
          <w:sz w:val="24"/>
          <w:szCs w:val="24"/>
        </w:rPr>
        <w:t>Local Service Delivery Sub-Project Training (US$0.43 million)</w:t>
      </w:r>
      <w:r w:rsidRPr="00947F00">
        <w:rPr>
          <w:rFonts w:ascii="Times New Roman" w:hAnsi="Times New Roman" w:cs="Times New Roman"/>
          <w:iCs/>
          <w:sz w:val="24"/>
          <w:szCs w:val="24"/>
        </w:rPr>
        <w:t>.</w:t>
      </w:r>
      <w:r w:rsidRPr="00696169">
        <w:rPr>
          <w:rFonts w:ascii="Times New Roman" w:hAnsi="Times New Roman" w:cs="Times New Roman"/>
          <w:b/>
          <w:bCs/>
          <w:iCs/>
          <w:sz w:val="24"/>
          <w:szCs w:val="24"/>
        </w:rPr>
        <w:t xml:space="preserve"> </w:t>
      </w:r>
      <w:r w:rsidRPr="00696169">
        <w:rPr>
          <w:rFonts w:ascii="Times New Roman" w:hAnsi="Times New Roman" w:cs="Times New Roman"/>
          <w:iCs/>
          <w:sz w:val="24"/>
          <w:szCs w:val="24"/>
        </w:rPr>
        <w:t xml:space="preserve">This component </w:t>
      </w:r>
      <w:r w:rsidR="00580BD4">
        <w:rPr>
          <w:rFonts w:ascii="Times New Roman" w:hAnsi="Times New Roman" w:cs="Times New Roman"/>
          <w:iCs/>
          <w:sz w:val="24"/>
          <w:szCs w:val="24"/>
        </w:rPr>
        <w:t xml:space="preserve">will </w:t>
      </w:r>
      <w:r w:rsidRPr="00696169">
        <w:rPr>
          <w:rFonts w:ascii="Times New Roman" w:hAnsi="Times New Roman" w:cs="Times New Roman"/>
          <w:iCs/>
          <w:sz w:val="24"/>
          <w:szCs w:val="24"/>
        </w:rPr>
        <w:t>support Component A and would finance consultant</w:t>
      </w:r>
      <w:r w:rsidR="00580BD4">
        <w:rPr>
          <w:rFonts w:ascii="Times New Roman" w:hAnsi="Times New Roman" w:cs="Times New Roman"/>
          <w:iCs/>
          <w:sz w:val="24"/>
          <w:szCs w:val="24"/>
        </w:rPr>
        <w:t>s’</w:t>
      </w:r>
      <w:r w:rsidRPr="00696169">
        <w:rPr>
          <w:rFonts w:ascii="Times New Roman" w:hAnsi="Times New Roman" w:cs="Times New Roman"/>
          <w:iCs/>
          <w:sz w:val="24"/>
          <w:szCs w:val="24"/>
        </w:rPr>
        <w:t xml:space="preserve"> services and goods for training and skills development for workers and technical assistance to sub-project teams and local government. </w:t>
      </w:r>
      <w:r w:rsidRPr="00696169">
        <w:rPr>
          <w:rFonts w:ascii="Times New Roman" w:hAnsi="Times New Roman" w:cs="Times New Roman"/>
          <w:bCs/>
          <w:iCs/>
          <w:sz w:val="24"/>
          <w:szCs w:val="24"/>
        </w:rPr>
        <w:t>Training would be organized and managed by UTSS and provided to local government and civil society on planning and management of service delivery sub-projects, including administrative and financial management, social needs assessment, and human resource management.</w:t>
      </w:r>
    </w:p>
    <w:p w:rsidR="00C17C76" w:rsidRPr="00696169" w:rsidRDefault="00C17C76" w:rsidP="007C6D2C">
      <w:pPr>
        <w:pStyle w:val="ListParagraph"/>
        <w:ind w:left="0"/>
        <w:jc w:val="both"/>
        <w:rPr>
          <w:rFonts w:ascii="Times New Roman" w:hAnsi="Times New Roman" w:cs="Times New Roman"/>
          <w:bCs/>
          <w:iCs/>
          <w:sz w:val="24"/>
          <w:szCs w:val="24"/>
        </w:rPr>
      </w:pPr>
    </w:p>
    <w:p w:rsidR="00EF7963" w:rsidRPr="00696169" w:rsidRDefault="00C17C76" w:rsidP="00580BD4">
      <w:pPr>
        <w:pStyle w:val="ListParagraph"/>
        <w:ind w:left="0"/>
        <w:jc w:val="both"/>
        <w:rPr>
          <w:rFonts w:ascii="Times New Roman" w:hAnsi="Times New Roman" w:cs="Times New Roman"/>
          <w:b/>
          <w:bCs/>
          <w:iCs/>
          <w:sz w:val="24"/>
          <w:szCs w:val="24"/>
        </w:rPr>
      </w:pPr>
      <w:r w:rsidRPr="00696169">
        <w:rPr>
          <w:rFonts w:ascii="Times New Roman" w:hAnsi="Times New Roman" w:cs="Times New Roman"/>
          <w:b/>
          <w:bCs/>
          <w:i/>
          <w:iCs/>
          <w:sz w:val="24"/>
          <w:szCs w:val="24"/>
        </w:rPr>
        <w:t>Component C: Project Management, Monitoring and Evaluation (US$0.27</w:t>
      </w:r>
      <w:r w:rsidRPr="00696169">
        <w:rPr>
          <w:rFonts w:ascii="Times New Roman" w:eastAsia="Times New Roman" w:hAnsi="Times New Roman" w:cs="Times New Roman"/>
          <w:b/>
          <w:bCs/>
          <w:i/>
          <w:iCs/>
          <w:sz w:val="24"/>
          <w:szCs w:val="24"/>
        </w:rPr>
        <w:t xml:space="preserve"> </w:t>
      </w:r>
      <w:r w:rsidRPr="00696169">
        <w:rPr>
          <w:rFonts w:ascii="Times New Roman" w:hAnsi="Times New Roman" w:cs="Times New Roman"/>
          <w:b/>
          <w:bCs/>
          <w:i/>
          <w:iCs/>
          <w:sz w:val="24"/>
          <w:szCs w:val="24"/>
        </w:rPr>
        <w:t xml:space="preserve">million). </w:t>
      </w:r>
      <w:r w:rsidRPr="00696169">
        <w:rPr>
          <w:rFonts w:ascii="Times New Roman" w:hAnsi="Times New Roman" w:cs="Times New Roman"/>
          <w:sz w:val="24"/>
          <w:szCs w:val="24"/>
        </w:rPr>
        <w:t xml:space="preserve">This component </w:t>
      </w:r>
      <w:r w:rsidR="00580BD4">
        <w:rPr>
          <w:rFonts w:ascii="Times New Roman" w:hAnsi="Times New Roman" w:cs="Times New Roman"/>
          <w:sz w:val="24"/>
          <w:szCs w:val="24"/>
        </w:rPr>
        <w:t>will</w:t>
      </w:r>
      <w:r w:rsidR="00580BD4" w:rsidRPr="00696169">
        <w:rPr>
          <w:rFonts w:ascii="Times New Roman" w:hAnsi="Times New Roman" w:cs="Times New Roman"/>
          <w:sz w:val="24"/>
          <w:szCs w:val="24"/>
        </w:rPr>
        <w:t xml:space="preserve"> </w:t>
      </w:r>
      <w:r w:rsidRPr="00696169">
        <w:rPr>
          <w:rFonts w:ascii="Times New Roman" w:hAnsi="Times New Roman" w:cs="Times New Roman"/>
          <w:sz w:val="24"/>
          <w:szCs w:val="24"/>
        </w:rPr>
        <w:t>finance consultant</w:t>
      </w:r>
      <w:r w:rsidR="00580BD4">
        <w:rPr>
          <w:rFonts w:ascii="Times New Roman" w:hAnsi="Times New Roman" w:cs="Times New Roman"/>
          <w:sz w:val="24"/>
          <w:szCs w:val="24"/>
        </w:rPr>
        <w:t>s’</w:t>
      </w:r>
      <w:r w:rsidRPr="00696169">
        <w:rPr>
          <w:rFonts w:ascii="Times New Roman" w:hAnsi="Times New Roman" w:cs="Times New Roman"/>
          <w:sz w:val="24"/>
          <w:szCs w:val="24"/>
        </w:rPr>
        <w:t xml:space="preserve"> services, goods and office equipment and supplies for the PIU of the UTSS for day</w:t>
      </w:r>
      <w:r w:rsidR="00580BD4">
        <w:rPr>
          <w:rFonts w:ascii="Times New Roman" w:hAnsi="Times New Roman" w:cs="Times New Roman"/>
          <w:sz w:val="24"/>
          <w:szCs w:val="24"/>
        </w:rPr>
        <w:t>-</w:t>
      </w:r>
      <w:r w:rsidRPr="00696169">
        <w:rPr>
          <w:rFonts w:ascii="Times New Roman" w:hAnsi="Times New Roman" w:cs="Times New Roman"/>
          <w:sz w:val="24"/>
          <w:szCs w:val="24"/>
        </w:rPr>
        <w:t>to</w:t>
      </w:r>
      <w:r w:rsidR="00580BD4">
        <w:rPr>
          <w:rFonts w:ascii="Times New Roman" w:hAnsi="Times New Roman" w:cs="Times New Roman"/>
          <w:sz w:val="24"/>
          <w:szCs w:val="24"/>
        </w:rPr>
        <w:t>-</w:t>
      </w:r>
      <w:r w:rsidRPr="00696169">
        <w:rPr>
          <w:rFonts w:ascii="Times New Roman" w:hAnsi="Times New Roman" w:cs="Times New Roman"/>
          <w:sz w:val="24"/>
          <w:szCs w:val="24"/>
        </w:rPr>
        <w:t xml:space="preserve">day management and monitoring of the project.  It </w:t>
      </w:r>
      <w:r w:rsidR="00580BD4">
        <w:rPr>
          <w:rFonts w:ascii="Times New Roman" w:hAnsi="Times New Roman" w:cs="Times New Roman"/>
          <w:sz w:val="24"/>
          <w:szCs w:val="24"/>
        </w:rPr>
        <w:t>will</w:t>
      </w:r>
      <w:r w:rsidR="00580BD4" w:rsidRPr="00696169">
        <w:rPr>
          <w:rFonts w:ascii="Times New Roman" w:hAnsi="Times New Roman" w:cs="Times New Roman"/>
          <w:sz w:val="24"/>
          <w:szCs w:val="24"/>
        </w:rPr>
        <w:t xml:space="preserve"> </w:t>
      </w:r>
      <w:r w:rsidRPr="00696169">
        <w:rPr>
          <w:rFonts w:ascii="Times New Roman" w:hAnsi="Times New Roman" w:cs="Times New Roman"/>
          <w:sz w:val="24"/>
          <w:szCs w:val="24"/>
        </w:rPr>
        <w:t xml:space="preserve">support evaluating the performance of sub-projects, including periodic interim and final evaluations.  The PIU </w:t>
      </w:r>
      <w:r w:rsidR="00580BD4">
        <w:rPr>
          <w:rFonts w:ascii="Times New Roman" w:hAnsi="Times New Roman" w:cs="Times New Roman"/>
          <w:sz w:val="24"/>
          <w:szCs w:val="24"/>
        </w:rPr>
        <w:t>will</w:t>
      </w:r>
      <w:r w:rsidR="00580BD4" w:rsidRPr="00696169">
        <w:rPr>
          <w:rFonts w:ascii="Times New Roman" w:hAnsi="Times New Roman" w:cs="Times New Roman"/>
          <w:sz w:val="24"/>
          <w:szCs w:val="24"/>
        </w:rPr>
        <w:t xml:space="preserve"> </w:t>
      </w:r>
      <w:r w:rsidRPr="00696169">
        <w:rPr>
          <w:rFonts w:ascii="Times New Roman" w:hAnsi="Times New Roman" w:cs="Times New Roman"/>
          <w:sz w:val="24"/>
          <w:szCs w:val="24"/>
        </w:rPr>
        <w:t>be staffed by UTSS staff as well as consultants hired through the project for additional support.</w:t>
      </w:r>
      <w:r w:rsidRPr="00696169">
        <w:rPr>
          <w:rFonts w:ascii="Times New Roman" w:hAnsi="Times New Roman" w:cs="Times New Roman"/>
          <w:b/>
          <w:bCs/>
          <w:i/>
          <w:iCs/>
          <w:sz w:val="24"/>
          <w:szCs w:val="24"/>
        </w:rPr>
        <w:t xml:space="preserve">  </w:t>
      </w:r>
    </w:p>
    <w:bookmarkEnd w:id="19"/>
    <w:p w:rsidR="00A706FA" w:rsidRPr="007C6D2C" w:rsidRDefault="00A706FA" w:rsidP="007C6D2C">
      <w:pPr>
        <w:numPr>
          <w:ilvl w:val="0"/>
          <w:numId w:val="6"/>
        </w:numPr>
        <w:tabs>
          <w:tab w:val="clear" w:pos="720"/>
          <w:tab w:val="num" w:pos="360"/>
        </w:tabs>
        <w:ind w:left="360"/>
        <w:jc w:val="both"/>
        <w:rPr>
          <w:b/>
          <w:bCs/>
        </w:rPr>
      </w:pPr>
      <w:r w:rsidRPr="007C6D2C">
        <w:rPr>
          <w:b/>
          <w:bCs/>
        </w:rPr>
        <w:t>Financing</w:t>
      </w:r>
    </w:p>
    <w:tbl>
      <w:tblPr>
        <w:tblW w:w="0" w:type="auto"/>
        <w:tblLook w:val="0000"/>
      </w:tblPr>
      <w:tblGrid>
        <w:gridCol w:w="7488"/>
        <w:gridCol w:w="1368"/>
      </w:tblGrid>
      <w:tr w:rsidR="00A706FA" w:rsidRPr="00696169">
        <w:tc>
          <w:tcPr>
            <w:tcW w:w="7488" w:type="dxa"/>
          </w:tcPr>
          <w:p w:rsidR="00696169" w:rsidRDefault="00696169" w:rsidP="007C6D2C">
            <w:pPr>
              <w:jc w:val="both"/>
            </w:pPr>
          </w:p>
          <w:p w:rsidR="00A706FA" w:rsidRPr="00696169" w:rsidRDefault="00A706FA" w:rsidP="007C6D2C">
            <w:pPr>
              <w:jc w:val="both"/>
            </w:pPr>
            <w:r w:rsidRPr="00696169">
              <w:t>Source:</w:t>
            </w:r>
            <w:bookmarkStart w:id="20" w:name="FINANCINGTAB_PID"/>
            <w:bookmarkEnd w:id="20"/>
          </w:p>
        </w:tc>
        <w:tc>
          <w:tcPr>
            <w:tcW w:w="1368" w:type="dxa"/>
          </w:tcPr>
          <w:p w:rsidR="00696169" w:rsidRDefault="00696169" w:rsidP="007C6D2C">
            <w:pPr>
              <w:tabs>
                <w:tab w:val="decimal" w:pos="252"/>
              </w:tabs>
              <w:jc w:val="both"/>
            </w:pPr>
          </w:p>
          <w:p w:rsidR="00A706FA" w:rsidRPr="00696169" w:rsidRDefault="00A706FA" w:rsidP="007C6D2C">
            <w:pPr>
              <w:tabs>
                <w:tab w:val="decimal" w:pos="252"/>
              </w:tabs>
              <w:jc w:val="both"/>
            </w:pPr>
            <w:r w:rsidRPr="00696169">
              <w:t>($m.)</w:t>
            </w:r>
          </w:p>
        </w:tc>
      </w:tr>
      <w:tr w:rsidR="00EF7963" w:rsidRPr="00696169">
        <w:tc>
          <w:tcPr>
            <w:tcW w:w="7488" w:type="dxa"/>
          </w:tcPr>
          <w:p w:rsidR="00EF7963" w:rsidRPr="00696169" w:rsidRDefault="00EF7963" w:rsidP="007C6D2C">
            <w:pPr>
              <w:tabs>
                <w:tab w:val="right" w:pos="7200"/>
              </w:tabs>
              <w:jc w:val="both"/>
            </w:pPr>
            <w:r w:rsidRPr="00696169">
              <w:t>Borrower</w:t>
            </w:r>
          </w:p>
        </w:tc>
        <w:tc>
          <w:tcPr>
            <w:tcW w:w="1368" w:type="dxa"/>
          </w:tcPr>
          <w:p w:rsidR="00EF7963" w:rsidRPr="00696169" w:rsidRDefault="00EF7963" w:rsidP="007C6D2C">
            <w:pPr>
              <w:tabs>
                <w:tab w:val="decimal" w:pos="252"/>
              </w:tabs>
              <w:jc w:val="both"/>
            </w:pPr>
            <w:r w:rsidRPr="00696169">
              <w:t>0</w:t>
            </w:r>
          </w:p>
        </w:tc>
      </w:tr>
      <w:tr w:rsidR="00EF7963" w:rsidRPr="00696169">
        <w:tc>
          <w:tcPr>
            <w:tcW w:w="7488" w:type="dxa"/>
          </w:tcPr>
          <w:p w:rsidR="00EF7963" w:rsidRPr="00696169" w:rsidRDefault="00EF7963" w:rsidP="007C6D2C">
            <w:pPr>
              <w:tabs>
                <w:tab w:val="right" w:pos="7200"/>
              </w:tabs>
              <w:jc w:val="both"/>
            </w:pPr>
            <w:r w:rsidRPr="00696169">
              <w:t>State and Peace Building Fund</w:t>
            </w:r>
          </w:p>
        </w:tc>
        <w:tc>
          <w:tcPr>
            <w:tcW w:w="1368" w:type="dxa"/>
          </w:tcPr>
          <w:p w:rsidR="00EF7963" w:rsidRPr="00696169" w:rsidRDefault="00EF7963" w:rsidP="007C6D2C">
            <w:pPr>
              <w:tabs>
                <w:tab w:val="decimal" w:pos="252"/>
              </w:tabs>
              <w:jc w:val="both"/>
            </w:pPr>
            <w:r w:rsidRPr="00696169">
              <w:t>5</w:t>
            </w:r>
          </w:p>
        </w:tc>
      </w:tr>
      <w:tr w:rsidR="00A706FA" w:rsidRPr="00696169">
        <w:tc>
          <w:tcPr>
            <w:tcW w:w="7488" w:type="dxa"/>
          </w:tcPr>
          <w:p w:rsidR="00A706FA" w:rsidRPr="00696169" w:rsidRDefault="00A706FA" w:rsidP="007C6D2C">
            <w:pPr>
              <w:tabs>
                <w:tab w:val="right" w:pos="7200"/>
              </w:tabs>
              <w:jc w:val="both"/>
            </w:pPr>
            <w:r w:rsidRPr="00696169">
              <w:tab/>
              <w:t>Total</w:t>
            </w:r>
          </w:p>
        </w:tc>
        <w:tc>
          <w:tcPr>
            <w:tcW w:w="1368" w:type="dxa"/>
          </w:tcPr>
          <w:p w:rsidR="00A706FA" w:rsidRPr="00696169" w:rsidRDefault="00127DC1" w:rsidP="007C6D2C">
            <w:pPr>
              <w:tabs>
                <w:tab w:val="decimal" w:pos="252"/>
              </w:tabs>
              <w:jc w:val="both"/>
            </w:pPr>
            <w:fldSimple w:instr=" = Sum(Above) \* MERGEFORMAT ">
              <w:r w:rsidR="00EF7963" w:rsidRPr="00696169">
                <w:rPr>
                  <w:noProof/>
                </w:rPr>
                <w:t>5</w:t>
              </w:r>
            </w:fldSimple>
          </w:p>
        </w:tc>
      </w:tr>
    </w:tbl>
    <w:p w:rsidR="00A706FA" w:rsidRPr="00696169" w:rsidRDefault="00A706FA" w:rsidP="007C6D2C">
      <w:pPr>
        <w:jc w:val="both"/>
      </w:pPr>
    </w:p>
    <w:p w:rsidR="00A706FA" w:rsidRPr="007C6D2C" w:rsidRDefault="00A706FA" w:rsidP="007C6D2C">
      <w:pPr>
        <w:numPr>
          <w:ilvl w:val="0"/>
          <w:numId w:val="6"/>
        </w:numPr>
        <w:tabs>
          <w:tab w:val="clear" w:pos="720"/>
          <w:tab w:val="num" w:pos="360"/>
        </w:tabs>
        <w:ind w:left="360"/>
        <w:jc w:val="both"/>
        <w:rPr>
          <w:b/>
          <w:bCs/>
        </w:rPr>
      </w:pPr>
      <w:r w:rsidRPr="007C6D2C">
        <w:rPr>
          <w:b/>
          <w:bCs/>
        </w:rPr>
        <w:t>Implementation</w:t>
      </w:r>
      <w:bookmarkStart w:id="21" w:name="Implementation"/>
    </w:p>
    <w:p w:rsidR="00EF7963" w:rsidRPr="00696169" w:rsidRDefault="00EF7963" w:rsidP="007C6D2C">
      <w:pPr>
        <w:jc w:val="both"/>
      </w:pPr>
    </w:p>
    <w:p w:rsidR="00486EAE" w:rsidRPr="00696169" w:rsidRDefault="00486EAE" w:rsidP="00580BD4">
      <w:pPr>
        <w:pStyle w:val="ListParagraph"/>
        <w:ind w:left="0"/>
        <w:jc w:val="both"/>
        <w:rPr>
          <w:rFonts w:ascii="Times New Roman" w:hAnsi="Times New Roman" w:cs="Times New Roman"/>
          <w:bCs/>
          <w:sz w:val="24"/>
          <w:szCs w:val="24"/>
        </w:rPr>
      </w:pPr>
      <w:r w:rsidRPr="00696169">
        <w:rPr>
          <w:rFonts w:ascii="Times New Roman" w:hAnsi="Times New Roman" w:cs="Times New Roman"/>
          <w:b/>
          <w:bCs/>
          <w:i/>
          <w:color w:val="000000"/>
          <w:sz w:val="24"/>
          <w:szCs w:val="24"/>
        </w:rPr>
        <w:t>Project organizational structure</w:t>
      </w:r>
      <w:r w:rsidR="00696169" w:rsidRPr="00696169">
        <w:rPr>
          <w:rFonts w:ascii="Times New Roman" w:hAnsi="Times New Roman" w:cs="Times New Roman"/>
          <w:i/>
          <w:color w:val="000000"/>
          <w:sz w:val="24"/>
          <w:szCs w:val="24"/>
        </w:rPr>
        <w:t>:</w:t>
      </w:r>
      <w:r w:rsidRPr="00696169">
        <w:rPr>
          <w:rFonts w:ascii="Times New Roman" w:hAnsi="Times New Roman" w:cs="Times New Roman"/>
          <w:iCs/>
          <w:color w:val="000000"/>
          <w:sz w:val="24"/>
          <w:szCs w:val="24"/>
        </w:rPr>
        <w:t xml:space="preserve"> The implementing agency is UTSS, which will include a PIU</w:t>
      </w:r>
      <w:r w:rsidRPr="00696169">
        <w:rPr>
          <w:rFonts w:ascii="Times New Roman" w:hAnsi="Times New Roman" w:cs="Times New Roman"/>
          <w:b/>
          <w:bCs/>
          <w:iCs/>
          <w:color w:val="000000"/>
          <w:sz w:val="24"/>
          <w:szCs w:val="24"/>
        </w:rPr>
        <w:t>.</w:t>
      </w:r>
      <w:r w:rsidRPr="00696169">
        <w:rPr>
          <w:rFonts w:ascii="Times New Roman" w:hAnsi="Times New Roman" w:cs="Times New Roman"/>
          <w:iCs/>
          <w:color w:val="000000"/>
          <w:sz w:val="24"/>
          <w:szCs w:val="24"/>
        </w:rPr>
        <w:t xml:space="preserve">  The UTSS is a non-governmental organization which is well-established, having operated since 1964 and which administers welfare programs on behalf of </w:t>
      </w:r>
      <w:proofErr w:type="spellStart"/>
      <w:r w:rsidRPr="00696169">
        <w:rPr>
          <w:rFonts w:ascii="Times New Roman" w:hAnsi="Times New Roman" w:cs="Times New Roman"/>
          <w:iCs/>
          <w:color w:val="000000"/>
          <w:sz w:val="24"/>
          <w:szCs w:val="24"/>
        </w:rPr>
        <w:t>MoSA</w:t>
      </w:r>
      <w:proofErr w:type="spellEnd"/>
      <w:r w:rsidRPr="00696169">
        <w:rPr>
          <w:rFonts w:ascii="Times New Roman" w:hAnsi="Times New Roman" w:cs="Times New Roman"/>
          <w:iCs/>
          <w:color w:val="000000"/>
          <w:sz w:val="24"/>
          <w:szCs w:val="24"/>
        </w:rPr>
        <w:t>.  UTSS administers programs such as cash transfer schemes and in-kind benefits such as free medications and school supply donations, childcare for needy families, and social care for older people and people with disabilities, benefiting nearly 1 million Tunisians annually.</w:t>
      </w:r>
      <w:r w:rsidR="00F0509D">
        <w:rPr>
          <w:rFonts w:ascii="Times New Roman" w:hAnsi="Times New Roman" w:cs="Times New Roman"/>
          <w:iCs/>
          <w:color w:val="000000"/>
          <w:sz w:val="24"/>
          <w:szCs w:val="24"/>
        </w:rPr>
        <w:t xml:space="preserve"> </w:t>
      </w:r>
      <w:r w:rsidRPr="00696169">
        <w:rPr>
          <w:rFonts w:ascii="Times New Roman" w:hAnsi="Times New Roman" w:cs="Times New Roman"/>
          <w:iCs/>
          <w:color w:val="000000"/>
          <w:sz w:val="24"/>
          <w:szCs w:val="24"/>
        </w:rPr>
        <w:t xml:space="preserve"> It has a </w:t>
      </w:r>
      <w:r w:rsidR="00580BD4">
        <w:rPr>
          <w:rFonts w:ascii="Times New Roman" w:hAnsi="Times New Roman" w:cs="Times New Roman"/>
          <w:iCs/>
          <w:color w:val="000000"/>
          <w:sz w:val="24"/>
          <w:szCs w:val="24"/>
        </w:rPr>
        <w:t>m</w:t>
      </w:r>
      <w:r w:rsidR="00580BD4" w:rsidRPr="00696169">
        <w:rPr>
          <w:rFonts w:ascii="Times New Roman" w:hAnsi="Times New Roman" w:cs="Times New Roman"/>
          <w:iCs/>
          <w:color w:val="000000"/>
          <w:sz w:val="24"/>
          <w:szCs w:val="24"/>
        </w:rPr>
        <w:t xml:space="preserve">anaging </w:t>
      </w:r>
      <w:r w:rsidR="00580BD4">
        <w:rPr>
          <w:rFonts w:ascii="Times New Roman" w:hAnsi="Times New Roman" w:cs="Times New Roman"/>
          <w:iCs/>
          <w:color w:val="000000"/>
          <w:sz w:val="24"/>
          <w:szCs w:val="24"/>
        </w:rPr>
        <w:t>b</w:t>
      </w:r>
      <w:r w:rsidR="00580BD4" w:rsidRPr="00696169">
        <w:rPr>
          <w:rFonts w:ascii="Times New Roman" w:hAnsi="Times New Roman" w:cs="Times New Roman"/>
          <w:iCs/>
          <w:color w:val="000000"/>
          <w:sz w:val="24"/>
          <w:szCs w:val="24"/>
        </w:rPr>
        <w:t xml:space="preserve">oard </w:t>
      </w:r>
      <w:r w:rsidRPr="00696169">
        <w:rPr>
          <w:rFonts w:ascii="Times New Roman" w:hAnsi="Times New Roman" w:cs="Times New Roman"/>
          <w:iCs/>
          <w:color w:val="000000"/>
          <w:sz w:val="24"/>
          <w:szCs w:val="24"/>
        </w:rPr>
        <w:t xml:space="preserve">of 18 members (of whom </w:t>
      </w:r>
      <w:r w:rsidR="00580BD4">
        <w:rPr>
          <w:rFonts w:ascii="Times New Roman" w:hAnsi="Times New Roman" w:cs="Times New Roman"/>
          <w:iCs/>
          <w:color w:val="000000"/>
          <w:sz w:val="24"/>
          <w:szCs w:val="24"/>
        </w:rPr>
        <w:t>three</w:t>
      </w:r>
      <w:r w:rsidR="00580BD4" w:rsidRPr="00696169">
        <w:rPr>
          <w:rFonts w:ascii="Times New Roman" w:hAnsi="Times New Roman" w:cs="Times New Roman"/>
          <w:iCs/>
          <w:color w:val="000000"/>
          <w:sz w:val="24"/>
          <w:szCs w:val="24"/>
        </w:rPr>
        <w:t xml:space="preserve"> </w:t>
      </w:r>
      <w:r w:rsidRPr="00696169">
        <w:rPr>
          <w:rFonts w:ascii="Times New Roman" w:hAnsi="Times New Roman" w:cs="Times New Roman"/>
          <w:iCs/>
          <w:color w:val="000000"/>
          <w:sz w:val="24"/>
          <w:szCs w:val="24"/>
        </w:rPr>
        <w:t>represent the Ministries of Finance, Social Affairs and Interior).</w:t>
      </w:r>
      <w:r w:rsidR="00ED066A">
        <w:rPr>
          <w:rFonts w:ascii="Times New Roman" w:hAnsi="Times New Roman" w:cs="Times New Roman"/>
          <w:iCs/>
          <w:color w:val="000000"/>
          <w:sz w:val="24"/>
          <w:szCs w:val="24"/>
        </w:rPr>
        <w:t xml:space="preserve"> </w:t>
      </w:r>
      <w:r w:rsidRPr="00696169">
        <w:rPr>
          <w:rFonts w:ascii="Times New Roman" w:hAnsi="Times New Roman" w:cs="Times New Roman"/>
          <w:iCs/>
          <w:color w:val="000000"/>
          <w:sz w:val="24"/>
          <w:szCs w:val="24"/>
        </w:rPr>
        <w:t xml:space="preserve"> After the revolution in January 2011, </w:t>
      </w:r>
      <w:r w:rsidR="00580BD4">
        <w:rPr>
          <w:rFonts w:ascii="Times New Roman" w:hAnsi="Times New Roman" w:cs="Times New Roman"/>
          <w:iCs/>
          <w:color w:val="000000"/>
          <w:sz w:val="24"/>
          <w:szCs w:val="24"/>
        </w:rPr>
        <w:t xml:space="preserve">the </w:t>
      </w:r>
      <w:r w:rsidRPr="00696169">
        <w:rPr>
          <w:rFonts w:ascii="Times New Roman" w:hAnsi="Times New Roman" w:cs="Times New Roman"/>
          <w:iCs/>
          <w:color w:val="000000"/>
          <w:sz w:val="24"/>
          <w:szCs w:val="24"/>
        </w:rPr>
        <w:t xml:space="preserve">bylaws of the UTSS were changed and now stipulate that the UTSS chair be independent (i.e., not affiliated with any political party) and unpaid.  A new chair has since been nominated accordingly. </w:t>
      </w:r>
      <w:r w:rsidR="00F0509D">
        <w:rPr>
          <w:rFonts w:ascii="Times New Roman" w:hAnsi="Times New Roman" w:cs="Times New Roman"/>
          <w:iCs/>
          <w:color w:val="000000"/>
          <w:sz w:val="24"/>
          <w:szCs w:val="24"/>
        </w:rPr>
        <w:t xml:space="preserve"> </w:t>
      </w:r>
      <w:r w:rsidRPr="00696169">
        <w:rPr>
          <w:rFonts w:ascii="Times New Roman" w:hAnsi="Times New Roman" w:cs="Times New Roman"/>
          <w:iCs/>
          <w:color w:val="000000"/>
          <w:sz w:val="24"/>
          <w:szCs w:val="24"/>
        </w:rPr>
        <w:t xml:space="preserve">UTSS has representation countrywide, with an office in every governorate (24 offices) and a total staff of 1,800 people. </w:t>
      </w:r>
      <w:r w:rsidR="00F0509D">
        <w:rPr>
          <w:rFonts w:ascii="Times New Roman" w:hAnsi="Times New Roman" w:cs="Times New Roman"/>
          <w:iCs/>
          <w:color w:val="000000"/>
          <w:sz w:val="24"/>
          <w:szCs w:val="24"/>
        </w:rPr>
        <w:t xml:space="preserve"> </w:t>
      </w:r>
      <w:r w:rsidRPr="00696169">
        <w:rPr>
          <w:rFonts w:ascii="Times New Roman" w:hAnsi="Times New Roman" w:cs="Times New Roman"/>
          <w:iCs/>
          <w:color w:val="000000"/>
          <w:sz w:val="24"/>
          <w:szCs w:val="24"/>
        </w:rPr>
        <w:t xml:space="preserve">So far, its budget has been largely subsidized by the Government, with additional funding from revenues from periodic fundraising campaigns, grants from Tunisians living abroad and other funds from bilateral and multi-lateral organizations. </w:t>
      </w:r>
    </w:p>
    <w:p w:rsidR="00486EAE" w:rsidRPr="00696169" w:rsidRDefault="00486EAE" w:rsidP="007C6D2C">
      <w:pPr>
        <w:jc w:val="both"/>
        <w:rPr>
          <w:b/>
          <w:bCs/>
          <w:iCs/>
        </w:rPr>
      </w:pPr>
    </w:p>
    <w:p w:rsidR="00486EAE" w:rsidRPr="00696169" w:rsidRDefault="00696169" w:rsidP="007C6D2C">
      <w:pPr>
        <w:pStyle w:val="ListParagraph"/>
        <w:ind w:left="0"/>
        <w:jc w:val="both"/>
        <w:rPr>
          <w:rFonts w:ascii="Times New Roman" w:hAnsi="Times New Roman" w:cs="Times New Roman"/>
          <w:iCs/>
          <w:sz w:val="24"/>
          <w:szCs w:val="24"/>
        </w:rPr>
      </w:pPr>
      <w:r w:rsidRPr="00696169">
        <w:rPr>
          <w:rFonts w:ascii="Times New Roman" w:hAnsi="Times New Roman" w:cs="Times New Roman"/>
          <w:b/>
          <w:bCs/>
          <w:i/>
          <w:color w:val="000000"/>
          <w:sz w:val="24"/>
          <w:szCs w:val="24"/>
        </w:rPr>
        <w:t>Community participation</w:t>
      </w:r>
      <w:r w:rsidRPr="00696169">
        <w:rPr>
          <w:rFonts w:ascii="Times New Roman" w:hAnsi="Times New Roman" w:cs="Times New Roman"/>
          <w:b/>
          <w:bCs/>
          <w:i/>
          <w:sz w:val="24"/>
          <w:szCs w:val="24"/>
        </w:rPr>
        <w:t>:</w:t>
      </w:r>
      <w:r w:rsidR="00486EAE" w:rsidRPr="00696169">
        <w:rPr>
          <w:rFonts w:ascii="Times New Roman" w:hAnsi="Times New Roman" w:cs="Times New Roman"/>
          <w:iCs/>
          <w:sz w:val="24"/>
          <w:szCs w:val="24"/>
        </w:rPr>
        <w:t xml:space="preserve"> Community participation in service delivery has not been implemented widely in Tunisia.  The proposed project therefore adopts a gradual approach to introducing participatory approaches in terms of sub-project design, beneficiary selection and participatory monitoring of service delivery.  The project will involve communities in the following way:</w:t>
      </w:r>
    </w:p>
    <w:p w:rsidR="00486EAE" w:rsidRPr="00696169" w:rsidRDefault="00486EAE" w:rsidP="007C6D2C">
      <w:pPr>
        <w:pStyle w:val="ListParagraph"/>
        <w:jc w:val="both"/>
        <w:rPr>
          <w:rFonts w:ascii="Times New Roman" w:hAnsi="Times New Roman" w:cs="Times New Roman"/>
          <w:iCs/>
          <w:sz w:val="24"/>
          <w:szCs w:val="24"/>
        </w:rPr>
      </w:pPr>
    </w:p>
    <w:p w:rsidR="00486EAE" w:rsidRPr="00696169" w:rsidRDefault="00486EAE" w:rsidP="007C6D2C">
      <w:pPr>
        <w:pStyle w:val="ListParagraph"/>
        <w:numPr>
          <w:ilvl w:val="1"/>
          <w:numId w:val="11"/>
        </w:numPr>
        <w:jc w:val="both"/>
        <w:rPr>
          <w:rFonts w:ascii="Times New Roman" w:hAnsi="Times New Roman" w:cs="Times New Roman"/>
          <w:iCs/>
          <w:sz w:val="24"/>
          <w:szCs w:val="24"/>
        </w:rPr>
      </w:pPr>
      <w:r w:rsidRPr="00696169">
        <w:rPr>
          <w:rFonts w:ascii="Times New Roman" w:hAnsi="Times New Roman" w:cs="Times New Roman"/>
          <w:iCs/>
          <w:sz w:val="24"/>
          <w:szCs w:val="24"/>
        </w:rPr>
        <w:t xml:space="preserve">In advance of implementation, UTSS and hired local facilitators will prepare a communication and outreach campaign to mobilize local community meetings.  </w:t>
      </w:r>
    </w:p>
    <w:p w:rsidR="00486EAE" w:rsidRPr="00696169" w:rsidRDefault="00486EAE" w:rsidP="00580BD4">
      <w:pPr>
        <w:pStyle w:val="ListParagraph"/>
        <w:numPr>
          <w:ilvl w:val="1"/>
          <w:numId w:val="11"/>
        </w:numPr>
        <w:jc w:val="both"/>
        <w:rPr>
          <w:rFonts w:ascii="Times New Roman" w:hAnsi="Times New Roman" w:cs="Times New Roman"/>
          <w:iCs/>
          <w:sz w:val="24"/>
          <w:szCs w:val="24"/>
        </w:rPr>
      </w:pPr>
      <w:r w:rsidRPr="00696169">
        <w:rPr>
          <w:rFonts w:ascii="Times New Roman" w:hAnsi="Times New Roman" w:cs="Times New Roman"/>
          <w:iCs/>
          <w:sz w:val="24"/>
          <w:szCs w:val="24"/>
        </w:rPr>
        <w:t xml:space="preserve">UTSS and community facilitators hired as consultants will be responsible for communicating and mobilizing community members through regular local community meetings </w:t>
      </w:r>
      <w:r w:rsidR="002273A9" w:rsidRPr="00696169">
        <w:rPr>
          <w:rFonts w:ascii="Times New Roman" w:hAnsi="Times New Roman" w:cs="Times New Roman"/>
          <w:iCs/>
          <w:sz w:val="24"/>
          <w:szCs w:val="24"/>
        </w:rPr>
        <w:t>(monthly</w:t>
      </w:r>
      <w:r w:rsidRPr="00696169">
        <w:rPr>
          <w:rFonts w:ascii="Times New Roman" w:hAnsi="Times New Roman" w:cs="Times New Roman"/>
          <w:iCs/>
          <w:sz w:val="24"/>
          <w:szCs w:val="24"/>
        </w:rPr>
        <w:t>) for purposes of identifying potential beneficiaries (workers) and service delivery gaps.  Local NGOs and local government will be invited to attend local community meetings, which will be moderated by local facilitators in an open and transparent manner (i.e., meeting minutes regularly disseminated).</w:t>
      </w:r>
    </w:p>
    <w:p w:rsidR="00486EAE" w:rsidRPr="00696169" w:rsidRDefault="00486EAE" w:rsidP="007C6D2C">
      <w:pPr>
        <w:pStyle w:val="ListParagraph"/>
        <w:numPr>
          <w:ilvl w:val="1"/>
          <w:numId w:val="11"/>
        </w:numPr>
        <w:jc w:val="both"/>
        <w:rPr>
          <w:rFonts w:ascii="Times New Roman" w:hAnsi="Times New Roman" w:cs="Times New Roman"/>
          <w:iCs/>
          <w:sz w:val="24"/>
          <w:szCs w:val="24"/>
        </w:rPr>
      </w:pPr>
      <w:r w:rsidRPr="00696169">
        <w:rPr>
          <w:rFonts w:ascii="Times New Roman" w:hAnsi="Times New Roman" w:cs="Times New Roman"/>
          <w:iCs/>
          <w:sz w:val="24"/>
          <w:szCs w:val="24"/>
        </w:rPr>
        <w:t>Local NGOs, under supervision by community facilitators, UTSS and periodic Bank supervision missions, will prepare sub-project proposals based on community requests and decisions reached during community meetings.</w:t>
      </w:r>
    </w:p>
    <w:p w:rsidR="00486EAE" w:rsidRPr="00696169" w:rsidRDefault="00486EAE" w:rsidP="007C6D2C">
      <w:pPr>
        <w:pStyle w:val="ListParagraph"/>
        <w:numPr>
          <w:ilvl w:val="1"/>
          <w:numId w:val="11"/>
        </w:numPr>
        <w:jc w:val="both"/>
        <w:rPr>
          <w:rFonts w:ascii="Times New Roman" w:hAnsi="Times New Roman" w:cs="Times New Roman"/>
          <w:iCs/>
          <w:sz w:val="24"/>
          <w:szCs w:val="24"/>
        </w:rPr>
      </w:pPr>
      <w:r w:rsidRPr="00696169">
        <w:rPr>
          <w:rFonts w:ascii="Times New Roman" w:hAnsi="Times New Roman" w:cs="Times New Roman"/>
          <w:iCs/>
          <w:sz w:val="24"/>
          <w:szCs w:val="24"/>
        </w:rPr>
        <w:t xml:space="preserve">Sub-projects proposals are to be submitted by local NGOs on behalf of communities and local government to ensure they reflect local community needs and priorities and the identification of names of potential workers who meet eligibility criteria.  </w:t>
      </w:r>
    </w:p>
    <w:p w:rsidR="00696169" w:rsidRPr="00696169" w:rsidRDefault="00696169" w:rsidP="007C6D2C">
      <w:pPr>
        <w:pStyle w:val="ListParagraph"/>
        <w:jc w:val="both"/>
        <w:rPr>
          <w:rFonts w:ascii="Times New Roman" w:hAnsi="Times New Roman" w:cs="Times New Roman"/>
          <w:iCs/>
          <w:sz w:val="24"/>
          <w:szCs w:val="24"/>
        </w:rPr>
      </w:pPr>
    </w:p>
    <w:p w:rsidR="00EF7963" w:rsidRPr="00696169" w:rsidRDefault="00486EAE" w:rsidP="00580BD4">
      <w:pPr>
        <w:jc w:val="both"/>
      </w:pPr>
      <w:r w:rsidRPr="00696169">
        <w:rPr>
          <w:iCs/>
        </w:rPr>
        <w:t xml:space="preserve">At the baseline, interim and final evaluations of the project, local facilitators will assist in training communities on identifying gaps and needs in health, education and social assistance services through simple participatory monitoring approaches (i.e., community scorecards).  </w:t>
      </w:r>
    </w:p>
    <w:p w:rsidR="00EF7963" w:rsidRPr="00696169" w:rsidRDefault="00EF7963" w:rsidP="007C6D2C">
      <w:pPr>
        <w:jc w:val="both"/>
      </w:pPr>
    </w:p>
    <w:p w:rsidR="00696169" w:rsidRPr="00696169" w:rsidRDefault="00696169" w:rsidP="00623819">
      <w:pPr>
        <w:jc w:val="both"/>
        <w:rPr>
          <w:iCs/>
        </w:rPr>
      </w:pPr>
      <w:r w:rsidRPr="00696169">
        <w:rPr>
          <w:b/>
          <w:bCs/>
          <w:i/>
        </w:rPr>
        <w:t>Operational Manual</w:t>
      </w:r>
      <w:r w:rsidR="00F0509D">
        <w:rPr>
          <w:b/>
          <w:bCs/>
          <w:i/>
        </w:rPr>
        <w:t xml:space="preserve">: </w:t>
      </w:r>
      <w:r w:rsidR="00623819">
        <w:rPr>
          <w:iCs/>
        </w:rPr>
        <w:t xml:space="preserve"> The OM</w:t>
      </w:r>
      <w:r w:rsidR="00623819" w:rsidRPr="00F0509D">
        <w:rPr>
          <w:iCs/>
        </w:rPr>
        <w:t xml:space="preserve"> </w:t>
      </w:r>
      <w:r w:rsidR="00F0509D" w:rsidRPr="00696169">
        <w:rPr>
          <w:iCs/>
        </w:rPr>
        <w:t>will</w:t>
      </w:r>
      <w:r w:rsidRPr="00696169">
        <w:rPr>
          <w:iCs/>
        </w:rPr>
        <w:t xml:space="preserve"> be prepared prior to grant effectiveness and will describe guidelines for implementing project components</w:t>
      </w:r>
      <w:r w:rsidRPr="00F0509D">
        <w:rPr>
          <w:iCs/>
        </w:rPr>
        <w:t xml:space="preserve">.  </w:t>
      </w:r>
      <w:r w:rsidRPr="00696169">
        <w:rPr>
          <w:iCs/>
        </w:rPr>
        <w:t>Guidelines will outline procedures for: (</w:t>
      </w:r>
      <w:proofErr w:type="spellStart"/>
      <w:r w:rsidRPr="00696169">
        <w:rPr>
          <w:iCs/>
        </w:rPr>
        <w:t>i</w:t>
      </w:r>
      <w:proofErr w:type="spellEnd"/>
      <w:r w:rsidRPr="00696169">
        <w:rPr>
          <w:iCs/>
        </w:rPr>
        <w:t xml:space="preserve">) roles and responsibilities of the IA and local NGOs, including supervision and reporting arrangements; (ii) community participation; (iii) project selection; (iv) beneficiary targeting; (v) wage level; (vi) outreach communication with local government and citizens; (vii) procurement; (vii) financial management, including payment systems; and (viii) project monitoring and evaluation. </w:t>
      </w:r>
      <w:r w:rsidR="00F0509D">
        <w:rPr>
          <w:iCs/>
        </w:rPr>
        <w:t xml:space="preserve"> </w:t>
      </w:r>
      <w:r w:rsidRPr="00696169">
        <w:rPr>
          <w:iCs/>
        </w:rPr>
        <w:t xml:space="preserve">The OM will also include a negative list of expenditures which sub-projects should not include, e.g., activities and items which could harm the environment, cause involuntary resettlement, promote child labor, cause conflict, etc.  A screening process using criteria developed by the Bank will be used to ensure that sub-projects financed by the SPF grant will not trigger World Bank environmental or social safeguards.  Sub-project proposals that entail potential environmental or social impacts will not be approved. </w:t>
      </w:r>
      <w:r w:rsidR="00F0509D">
        <w:rPr>
          <w:iCs/>
        </w:rPr>
        <w:t xml:space="preserve"> </w:t>
      </w:r>
      <w:r w:rsidRPr="00696169">
        <w:rPr>
          <w:iCs/>
        </w:rPr>
        <w:t xml:space="preserve">The screening process will be reviewed by the Bank safeguards team and will be defined in the OM before any of the sub-projects are funded.  </w:t>
      </w:r>
    </w:p>
    <w:p w:rsidR="00A706FA" w:rsidRPr="00696169" w:rsidRDefault="00A706FA" w:rsidP="007C6D2C">
      <w:pPr>
        <w:jc w:val="both"/>
      </w:pPr>
    </w:p>
    <w:bookmarkEnd w:id="21"/>
    <w:p w:rsidR="00A706FA" w:rsidRPr="007C6D2C" w:rsidRDefault="00A706FA" w:rsidP="007C6D2C">
      <w:pPr>
        <w:numPr>
          <w:ilvl w:val="0"/>
          <w:numId w:val="6"/>
        </w:numPr>
        <w:tabs>
          <w:tab w:val="clear" w:pos="720"/>
          <w:tab w:val="num" w:pos="360"/>
        </w:tabs>
        <w:ind w:left="360"/>
        <w:jc w:val="both"/>
        <w:rPr>
          <w:b/>
          <w:bCs/>
        </w:rPr>
      </w:pPr>
      <w:r w:rsidRPr="007C6D2C">
        <w:rPr>
          <w:b/>
          <w:bCs/>
        </w:rPr>
        <w:t>Sustainability</w:t>
      </w:r>
      <w:bookmarkStart w:id="22" w:name="Sustainability"/>
    </w:p>
    <w:p w:rsidR="00EF7963" w:rsidRPr="00696169" w:rsidRDefault="00EF7963" w:rsidP="007C6D2C">
      <w:pPr>
        <w:jc w:val="both"/>
      </w:pPr>
    </w:p>
    <w:p w:rsidR="00A706FA" w:rsidRDefault="00696169" w:rsidP="00623819">
      <w:pPr>
        <w:jc w:val="both"/>
      </w:pPr>
      <w:r w:rsidRPr="00696169">
        <w:t>The project activities directly support temporary employment through social service delivery that fit well within th</w:t>
      </w:r>
      <w:r w:rsidR="00F0509D">
        <w:t xml:space="preserve">e current Government strategy.  </w:t>
      </w:r>
      <w:r w:rsidRPr="00696169">
        <w:t>If successful, this project can serve as a basis for alternative models of service delivery and job creation for semi-skilled workers that involve the private sector and NGOs</w:t>
      </w:r>
      <w:r w:rsidR="00F0509D">
        <w:t xml:space="preserve">. </w:t>
      </w:r>
      <w:r w:rsidRPr="00696169">
        <w:t xml:space="preserve"> Job creation and regional development remain priority policy areas for Tunisia for the foreseeable future.  While </w:t>
      </w:r>
      <w:proofErr w:type="spellStart"/>
      <w:r w:rsidRPr="00696169">
        <w:t>the</w:t>
      </w:r>
      <w:proofErr w:type="spellEnd"/>
      <w:r w:rsidRPr="00696169">
        <w:t xml:space="preserve"> GOT cannot commit funding at this stage to extend the project beyond the intended time frame, the benefit of providing income support and essential services in the current transition period o</w:t>
      </w:r>
      <w:r w:rsidR="00F0509D">
        <w:t>utweighs the risk that services</w:t>
      </w:r>
      <w:r w:rsidRPr="00696169">
        <w:t xml:space="preserve"> </w:t>
      </w:r>
      <w:r w:rsidR="00623819">
        <w:t xml:space="preserve">will be </w:t>
      </w:r>
      <w:r w:rsidRPr="00696169">
        <w:t>phased out after 2-3 years.  Given the political commitment by the GOT to improve service outreach and employment in underserved regions, financing for continuing community services is projected to come either from governmental funds, private funding and/or international assistance.  It is expected that semi-skilled workers who are further trained through the project will be more viable candidates for the job marke</w:t>
      </w:r>
      <w:r w:rsidR="00F0509D">
        <w:t xml:space="preserve">t, including self-employment.  </w:t>
      </w:r>
      <w:proofErr w:type="spellStart"/>
      <w:r w:rsidRPr="00696169">
        <w:t>The</w:t>
      </w:r>
      <w:proofErr w:type="spellEnd"/>
      <w:r w:rsidRPr="00696169">
        <w:t xml:space="preserve"> </w:t>
      </w:r>
      <w:proofErr w:type="spellStart"/>
      <w:r w:rsidRPr="00696169">
        <w:t>GoT</w:t>
      </w:r>
      <w:proofErr w:type="spellEnd"/>
      <w:r w:rsidRPr="00696169">
        <w:t xml:space="preserve"> has also recently created a policy on outreach social services, involving training of community-based workers to provide basic health,</w:t>
      </w:r>
      <w:r w:rsidR="00F0509D">
        <w:t xml:space="preserve"> education and social support. </w:t>
      </w:r>
      <w:r w:rsidRPr="00696169">
        <w:t xml:space="preserve"> Recent policy reforms also ease freedom of association for NGOs and permit greater funding from private sources, which will support the continuation of activities in this project.  A new employment program has been instituted targeting youth, and the project can be scaled up under this prog</w:t>
      </w:r>
      <w:r w:rsidR="00F0509D">
        <w:t xml:space="preserve">ram.  </w:t>
      </w:r>
      <w:proofErr w:type="spellStart"/>
      <w:r w:rsidRPr="00696169">
        <w:t>MoSA</w:t>
      </w:r>
      <w:proofErr w:type="spellEnd"/>
      <w:r w:rsidRPr="00696169">
        <w:t xml:space="preserve"> is also in the process of evaluating ways to improve the productivity and efficiency of its current cash transfer scheme for supporting transition to the job market, and lessons learned can potentially be gleaned from this innovative project for Tunisia</w:t>
      </w:r>
      <w:r w:rsidR="00F0509D">
        <w:t>.</w:t>
      </w:r>
    </w:p>
    <w:p w:rsidR="00696169" w:rsidRPr="00696169" w:rsidRDefault="00696169" w:rsidP="007C6D2C">
      <w:pPr>
        <w:jc w:val="both"/>
      </w:pPr>
    </w:p>
    <w:bookmarkEnd w:id="22"/>
    <w:p w:rsidR="00A706FA" w:rsidRPr="007C6D2C" w:rsidRDefault="00A706FA" w:rsidP="007C6D2C">
      <w:pPr>
        <w:numPr>
          <w:ilvl w:val="0"/>
          <w:numId w:val="6"/>
        </w:numPr>
        <w:tabs>
          <w:tab w:val="clear" w:pos="720"/>
          <w:tab w:val="num" w:pos="360"/>
        </w:tabs>
        <w:ind w:left="360"/>
        <w:jc w:val="both"/>
        <w:rPr>
          <w:b/>
          <w:bCs/>
        </w:rPr>
      </w:pPr>
      <w:r w:rsidRPr="007C6D2C">
        <w:rPr>
          <w:b/>
          <w:bCs/>
        </w:rPr>
        <w:t>Lessons Learned from Past Operations in the Country/Sector</w:t>
      </w:r>
      <w:bookmarkStart w:id="23" w:name="LessonsLearned"/>
    </w:p>
    <w:p w:rsidR="00EF7963" w:rsidRPr="00696169" w:rsidRDefault="00EF7963" w:rsidP="007C6D2C">
      <w:pPr>
        <w:jc w:val="both"/>
      </w:pPr>
    </w:p>
    <w:p w:rsidR="00EF7963" w:rsidRPr="00696169" w:rsidRDefault="007323C6" w:rsidP="00623819">
      <w:pPr>
        <w:jc w:val="both"/>
      </w:pPr>
      <w:r w:rsidRPr="007323C6">
        <w:rPr>
          <w:iCs/>
        </w:rPr>
        <w:t xml:space="preserve">The project leverages new policies adopted by the GOT under </w:t>
      </w:r>
      <w:r>
        <w:rPr>
          <w:iCs/>
        </w:rPr>
        <w:t xml:space="preserve">the </w:t>
      </w:r>
      <w:r w:rsidRPr="007323C6">
        <w:rPr>
          <w:iCs/>
        </w:rPr>
        <w:t xml:space="preserve">World Bank Governance and Opportunity DPL to institute participatory monitoring of service delivery and the creation of outreach community services in social protection, education and health.  The </w:t>
      </w:r>
      <w:r w:rsidR="00623819">
        <w:rPr>
          <w:iCs/>
        </w:rPr>
        <w:t>project</w:t>
      </w:r>
      <w:r w:rsidR="00623819" w:rsidRPr="007323C6">
        <w:rPr>
          <w:iCs/>
        </w:rPr>
        <w:t xml:space="preserve"> </w:t>
      </w:r>
      <w:r w:rsidRPr="007323C6">
        <w:rPr>
          <w:iCs/>
        </w:rPr>
        <w:t xml:space="preserve">complements the DPL by piloting participatory approaches in social service delivery and job creation, providing a basis for input to the post-revolution Bank partnership strategy for Tunisia.  </w:t>
      </w:r>
      <w:r w:rsidR="00E7550A" w:rsidRPr="00E7550A">
        <w:rPr>
          <w:iCs/>
        </w:rPr>
        <w:t xml:space="preserve">The design of the project </w:t>
      </w:r>
      <w:r w:rsidR="00D955D8">
        <w:rPr>
          <w:iCs/>
        </w:rPr>
        <w:t xml:space="preserve">also </w:t>
      </w:r>
      <w:r w:rsidR="00E7550A" w:rsidRPr="00E7550A">
        <w:rPr>
          <w:iCs/>
        </w:rPr>
        <w:t xml:space="preserve">draws on the experience of </w:t>
      </w:r>
      <w:r w:rsidR="00D955D8">
        <w:rPr>
          <w:iCs/>
        </w:rPr>
        <w:t xml:space="preserve">the </w:t>
      </w:r>
      <w:r w:rsidR="00E7550A" w:rsidRPr="00E7550A">
        <w:rPr>
          <w:iCs/>
        </w:rPr>
        <w:t xml:space="preserve">Tunisia Natural Resources Management Project II and </w:t>
      </w:r>
      <w:r w:rsidR="00D955D8">
        <w:rPr>
          <w:iCs/>
        </w:rPr>
        <w:t xml:space="preserve">the </w:t>
      </w:r>
      <w:r w:rsidR="00E7550A" w:rsidRPr="00E7550A">
        <w:rPr>
          <w:iCs/>
        </w:rPr>
        <w:t xml:space="preserve">Fourth Northwest Mount and </w:t>
      </w:r>
      <w:r w:rsidR="00D955D8">
        <w:rPr>
          <w:iCs/>
        </w:rPr>
        <w:t xml:space="preserve">Forest Area Development </w:t>
      </w:r>
      <w:proofErr w:type="gramStart"/>
      <w:r w:rsidR="00D955D8">
        <w:rPr>
          <w:iCs/>
        </w:rPr>
        <w:t>Project</w:t>
      </w:r>
      <w:r w:rsidR="00623819">
        <w:rPr>
          <w:iCs/>
        </w:rPr>
        <w:t>,</w:t>
      </w:r>
      <w:proofErr w:type="gramEnd"/>
      <w:r w:rsidR="00623819">
        <w:rPr>
          <w:iCs/>
        </w:rPr>
        <w:t xml:space="preserve"> both of</w:t>
      </w:r>
      <w:r w:rsidR="00E7550A" w:rsidRPr="00E7550A">
        <w:rPr>
          <w:iCs/>
        </w:rPr>
        <w:t xml:space="preserve"> </w:t>
      </w:r>
      <w:r w:rsidR="00D955D8">
        <w:rPr>
          <w:iCs/>
        </w:rPr>
        <w:t xml:space="preserve">which </w:t>
      </w:r>
      <w:r w:rsidR="00D955D8" w:rsidRPr="00D955D8">
        <w:rPr>
          <w:iCs/>
        </w:rPr>
        <w:t xml:space="preserve">focus on rural development </w:t>
      </w:r>
      <w:r w:rsidR="00D955D8">
        <w:rPr>
          <w:iCs/>
        </w:rPr>
        <w:t>and involve</w:t>
      </w:r>
      <w:r w:rsidR="00E7550A" w:rsidRPr="00E7550A">
        <w:rPr>
          <w:iCs/>
        </w:rPr>
        <w:t xml:space="preserve"> community-driven activities.  The project will leverage the experience and lessons learned from implementing these projects in the area of community capacity-building</w:t>
      </w:r>
      <w:r w:rsidR="00D955D8">
        <w:rPr>
          <w:iCs/>
        </w:rPr>
        <w:t>.</w:t>
      </w:r>
      <w:r w:rsidR="00E7550A" w:rsidRPr="00E7550A">
        <w:rPr>
          <w:iCs/>
        </w:rPr>
        <w:t xml:space="preserve"> </w:t>
      </w:r>
    </w:p>
    <w:p w:rsidR="00A706FA" w:rsidRPr="00696169" w:rsidRDefault="00A706FA" w:rsidP="007C6D2C">
      <w:pPr>
        <w:jc w:val="both"/>
      </w:pPr>
    </w:p>
    <w:bookmarkEnd w:id="23"/>
    <w:p w:rsidR="00A706FA" w:rsidRPr="007C6D2C" w:rsidRDefault="00A706FA" w:rsidP="007C6D2C">
      <w:pPr>
        <w:numPr>
          <w:ilvl w:val="0"/>
          <w:numId w:val="6"/>
        </w:numPr>
        <w:tabs>
          <w:tab w:val="clear" w:pos="720"/>
          <w:tab w:val="num" w:pos="360"/>
        </w:tabs>
        <w:ind w:left="360"/>
        <w:jc w:val="both"/>
        <w:rPr>
          <w:b/>
          <w:bCs/>
        </w:rPr>
      </w:pPr>
      <w:r w:rsidRPr="007C6D2C">
        <w:rPr>
          <w:b/>
          <w:bCs/>
        </w:rPr>
        <w:t>Safeguard Policies (including public consultation)</w:t>
      </w:r>
      <w:bookmarkStart w:id="24" w:name="SafeguardPolicies"/>
    </w:p>
    <w:p w:rsidR="00EF7963" w:rsidRPr="00696169" w:rsidRDefault="00EF7963" w:rsidP="007C6D2C">
      <w:pPr>
        <w:jc w:val="both"/>
      </w:pPr>
    </w:p>
    <w:tbl>
      <w:tblPr>
        <w:tblW w:w="0" w:type="auto"/>
        <w:jc w:val="center"/>
        <w:tblInd w:w="-1044" w:type="dxa"/>
        <w:tblBorders>
          <w:top w:val="single" w:sz="12" w:space="0" w:color="auto"/>
          <w:bottom w:val="single" w:sz="12" w:space="0" w:color="auto"/>
        </w:tblBorders>
        <w:tblLayout w:type="fixed"/>
        <w:tblLook w:val="0000"/>
      </w:tblPr>
      <w:tblGrid>
        <w:gridCol w:w="6066"/>
        <w:gridCol w:w="1593"/>
        <w:gridCol w:w="1593"/>
      </w:tblGrid>
      <w:tr w:rsidR="00EF7963" w:rsidRPr="00696169">
        <w:trPr>
          <w:jc w:val="center"/>
        </w:trPr>
        <w:tc>
          <w:tcPr>
            <w:tcW w:w="6066" w:type="dxa"/>
            <w:tcBorders>
              <w:top w:val="single" w:sz="12" w:space="0" w:color="auto"/>
              <w:left w:val="nil"/>
              <w:bottom w:val="single" w:sz="4" w:space="0" w:color="auto"/>
              <w:right w:val="nil"/>
            </w:tcBorders>
          </w:tcPr>
          <w:p w:rsidR="00EF7963" w:rsidRPr="00696169" w:rsidRDefault="00EF7963" w:rsidP="007C6D2C">
            <w:pPr>
              <w:jc w:val="both"/>
              <w:rPr>
                <w:b/>
                <w:bCs/>
              </w:rPr>
            </w:pPr>
            <w:r w:rsidRPr="00696169">
              <w:rPr>
                <w:b/>
                <w:bCs/>
              </w:rPr>
              <w:t>Safeguard Policies Triggered by the Project</w:t>
            </w:r>
          </w:p>
        </w:tc>
        <w:tc>
          <w:tcPr>
            <w:tcW w:w="1593" w:type="dxa"/>
            <w:tcBorders>
              <w:top w:val="single" w:sz="12" w:space="0" w:color="auto"/>
              <w:left w:val="nil"/>
              <w:bottom w:val="single" w:sz="4" w:space="0" w:color="auto"/>
              <w:right w:val="nil"/>
            </w:tcBorders>
            <w:vAlign w:val="center"/>
          </w:tcPr>
          <w:p w:rsidR="00EF7963" w:rsidRPr="00696169" w:rsidRDefault="00EF7963" w:rsidP="007C6D2C">
            <w:pPr>
              <w:jc w:val="both"/>
            </w:pPr>
            <w:r w:rsidRPr="00696169">
              <w:t>Yes</w:t>
            </w:r>
          </w:p>
        </w:tc>
        <w:tc>
          <w:tcPr>
            <w:tcW w:w="1593" w:type="dxa"/>
            <w:tcBorders>
              <w:top w:val="single" w:sz="12" w:space="0" w:color="auto"/>
              <w:left w:val="nil"/>
              <w:bottom w:val="single" w:sz="4" w:space="0" w:color="auto"/>
              <w:right w:val="nil"/>
            </w:tcBorders>
            <w:vAlign w:val="center"/>
          </w:tcPr>
          <w:p w:rsidR="00EF7963" w:rsidRPr="00696169" w:rsidRDefault="00EF7963" w:rsidP="007C6D2C">
            <w:pPr>
              <w:jc w:val="both"/>
            </w:pPr>
            <w:r w:rsidRPr="00696169">
              <w:t>No</w:t>
            </w:r>
          </w:p>
        </w:tc>
      </w:tr>
      <w:bookmarkStart w:id="25" w:name="OPBPGP401No" w:colFirst="2" w:colLast="2"/>
      <w:bookmarkStart w:id="26" w:name="OPBPGP401" w:colFirst="1" w:colLast="1"/>
      <w:tr w:rsidR="00EF7963" w:rsidRPr="00696169">
        <w:trPr>
          <w:trHeight w:val="20"/>
          <w:jc w:val="center"/>
        </w:trPr>
        <w:tc>
          <w:tcPr>
            <w:tcW w:w="6066" w:type="dxa"/>
            <w:tcBorders>
              <w:top w:val="single" w:sz="4" w:space="0" w:color="auto"/>
              <w:left w:val="nil"/>
              <w:bottom w:val="nil"/>
              <w:right w:val="nil"/>
            </w:tcBorders>
            <w:vAlign w:val="center"/>
          </w:tcPr>
          <w:p w:rsidR="00EF7963" w:rsidRPr="00696169" w:rsidRDefault="00127DC1" w:rsidP="007C6D2C">
            <w:pPr>
              <w:jc w:val="both"/>
            </w:pPr>
            <w:r w:rsidRPr="00696169">
              <w:fldChar w:fldCharType="begin"/>
            </w:r>
            <w:r w:rsidR="00EF7963" w:rsidRPr="00696169">
              <w:instrText xml:space="preserve"> HYPERLINK "http://www.worldbank.org/environmentalassessment" </w:instrText>
            </w:r>
            <w:r w:rsidRPr="00696169">
              <w:fldChar w:fldCharType="separate"/>
            </w:r>
            <w:r w:rsidR="00EF7963" w:rsidRPr="00696169">
              <w:rPr>
                <w:rStyle w:val="Hyperlink"/>
              </w:rPr>
              <w:t>Environmental Assessment</w:t>
            </w:r>
            <w:r w:rsidRPr="00696169">
              <w:fldChar w:fldCharType="end"/>
            </w:r>
            <w:r w:rsidR="00EF7963" w:rsidRPr="00696169">
              <w:t xml:space="preserve"> (</w:t>
            </w:r>
            <w:hyperlink r:id="rId7" w:history="1">
              <w:r w:rsidR="00EF7963" w:rsidRPr="00696169">
                <w:rPr>
                  <w:rStyle w:val="Hyperlink"/>
                </w:rPr>
                <w:t>OP</w:t>
              </w:r>
            </w:hyperlink>
            <w:r w:rsidR="00EF7963" w:rsidRPr="00696169">
              <w:t>/</w:t>
            </w:r>
            <w:hyperlink r:id="rId8" w:history="1">
              <w:r w:rsidR="00EF7963" w:rsidRPr="00696169">
                <w:rPr>
                  <w:rStyle w:val="Hyperlink"/>
                </w:rPr>
                <w:t>BP</w:t>
              </w:r>
            </w:hyperlink>
            <w:r w:rsidR="00EF7963" w:rsidRPr="00696169">
              <w:t xml:space="preserve"> 4.01)</w:t>
            </w:r>
          </w:p>
        </w:tc>
        <w:tc>
          <w:tcPr>
            <w:tcW w:w="1593" w:type="dxa"/>
            <w:tcBorders>
              <w:top w:val="single" w:sz="4" w:space="0" w:color="auto"/>
              <w:left w:val="nil"/>
              <w:bottom w:val="nil"/>
              <w:right w:val="nil"/>
            </w:tcBorders>
            <w:vAlign w:val="center"/>
          </w:tcPr>
          <w:p w:rsidR="00EF7963" w:rsidRPr="00696169" w:rsidRDefault="00EF7963" w:rsidP="007C6D2C">
            <w:pPr>
              <w:jc w:val="both"/>
            </w:pPr>
            <w:r w:rsidRPr="00696169">
              <w:t>[ ]</w:t>
            </w:r>
          </w:p>
        </w:tc>
        <w:tc>
          <w:tcPr>
            <w:tcW w:w="1593" w:type="dxa"/>
            <w:tcBorders>
              <w:top w:val="single" w:sz="4" w:space="0" w:color="auto"/>
              <w:left w:val="nil"/>
              <w:bottom w:val="nil"/>
              <w:right w:val="nil"/>
            </w:tcBorders>
            <w:vAlign w:val="center"/>
          </w:tcPr>
          <w:p w:rsidR="00EF7963" w:rsidRPr="00696169" w:rsidRDefault="00F0509D" w:rsidP="007C6D2C">
            <w:pPr>
              <w:jc w:val="both"/>
            </w:pPr>
            <w:r w:rsidRPr="00696169">
              <w:t>[</w:t>
            </w:r>
            <w:r>
              <w:t>X</w:t>
            </w:r>
            <w:r w:rsidRPr="00696169">
              <w:t>]</w:t>
            </w:r>
          </w:p>
        </w:tc>
      </w:tr>
      <w:tr w:rsidR="00EF7963" w:rsidRPr="00696169">
        <w:trPr>
          <w:trHeight w:val="20"/>
          <w:jc w:val="center"/>
        </w:trPr>
        <w:tc>
          <w:tcPr>
            <w:tcW w:w="6066" w:type="dxa"/>
            <w:tcBorders>
              <w:top w:val="nil"/>
              <w:left w:val="nil"/>
              <w:bottom w:val="nil"/>
              <w:right w:val="nil"/>
            </w:tcBorders>
            <w:vAlign w:val="center"/>
          </w:tcPr>
          <w:p w:rsidR="00EF7963" w:rsidRPr="00696169" w:rsidRDefault="00EF7963" w:rsidP="007C6D2C">
            <w:pPr>
              <w:jc w:val="both"/>
            </w:pPr>
            <w:bookmarkStart w:id="27" w:name="OPBP404No" w:colFirst="2" w:colLast="2"/>
            <w:bookmarkStart w:id="28" w:name="OPBP404" w:colFirst="1" w:colLast="1"/>
            <w:bookmarkEnd w:id="25"/>
            <w:bookmarkEnd w:id="26"/>
            <w:r w:rsidRPr="00696169">
              <w:t>Natural Habitats (</w:t>
            </w:r>
            <w:hyperlink r:id="rId9" w:history="1">
              <w:r w:rsidRPr="00696169">
                <w:rPr>
                  <w:rStyle w:val="Hyperlink"/>
                </w:rPr>
                <w:t>OP</w:t>
              </w:r>
            </w:hyperlink>
            <w:r w:rsidRPr="00696169">
              <w:t>/</w:t>
            </w:r>
            <w:hyperlink r:id="rId10" w:history="1">
              <w:r w:rsidRPr="00696169">
                <w:rPr>
                  <w:rStyle w:val="Hyperlink"/>
                </w:rPr>
                <w:t>BP</w:t>
              </w:r>
            </w:hyperlink>
            <w:r w:rsidRPr="00696169">
              <w:t xml:space="preserve"> 4.04)</w:t>
            </w:r>
          </w:p>
        </w:tc>
        <w:tc>
          <w:tcPr>
            <w:tcW w:w="1593" w:type="dxa"/>
            <w:tcBorders>
              <w:top w:val="nil"/>
              <w:left w:val="nil"/>
              <w:bottom w:val="nil"/>
              <w:right w:val="nil"/>
            </w:tcBorders>
            <w:vAlign w:val="center"/>
          </w:tcPr>
          <w:p w:rsidR="00EF7963" w:rsidRPr="00696169" w:rsidRDefault="00EF7963" w:rsidP="007C6D2C">
            <w:pPr>
              <w:jc w:val="both"/>
            </w:pPr>
            <w:r w:rsidRPr="00696169">
              <w:t>[ ]</w:t>
            </w:r>
          </w:p>
        </w:tc>
        <w:tc>
          <w:tcPr>
            <w:tcW w:w="1593" w:type="dxa"/>
            <w:tcBorders>
              <w:top w:val="nil"/>
              <w:left w:val="nil"/>
              <w:bottom w:val="nil"/>
              <w:right w:val="nil"/>
            </w:tcBorders>
            <w:vAlign w:val="center"/>
          </w:tcPr>
          <w:p w:rsidR="00EF7963" w:rsidRPr="00696169" w:rsidRDefault="00F0509D" w:rsidP="007C6D2C">
            <w:pPr>
              <w:jc w:val="both"/>
            </w:pPr>
            <w:r>
              <w:t>[X</w:t>
            </w:r>
            <w:r w:rsidRPr="00696169">
              <w:t>]</w:t>
            </w:r>
          </w:p>
        </w:tc>
      </w:tr>
      <w:tr w:rsidR="00EF7963" w:rsidRPr="00696169">
        <w:trPr>
          <w:trHeight w:val="20"/>
          <w:jc w:val="center"/>
        </w:trPr>
        <w:tc>
          <w:tcPr>
            <w:tcW w:w="6066" w:type="dxa"/>
            <w:tcBorders>
              <w:top w:val="nil"/>
              <w:left w:val="nil"/>
              <w:bottom w:val="nil"/>
              <w:right w:val="nil"/>
            </w:tcBorders>
            <w:vAlign w:val="center"/>
          </w:tcPr>
          <w:p w:rsidR="00EF7963" w:rsidRPr="00696169" w:rsidRDefault="00EF7963" w:rsidP="007C6D2C">
            <w:pPr>
              <w:jc w:val="both"/>
            </w:pPr>
            <w:bookmarkStart w:id="29" w:name="OP409" w:colFirst="1" w:colLast="1"/>
            <w:bookmarkStart w:id="30" w:name="OP409No" w:colFirst="2" w:colLast="2"/>
            <w:bookmarkEnd w:id="27"/>
            <w:bookmarkEnd w:id="28"/>
            <w:r w:rsidRPr="00696169">
              <w:t>Pest Management (</w:t>
            </w:r>
            <w:hyperlink r:id="rId11" w:history="1">
              <w:r w:rsidRPr="00696169">
                <w:rPr>
                  <w:rStyle w:val="Hyperlink"/>
                </w:rPr>
                <w:t>OP 4.09</w:t>
              </w:r>
            </w:hyperlink>
            <w:r w:rsidRPr="00696169">
              <w:t>)</w:t>
            </w:r>
          </w:p>
        </w:tc>
        <w:tc>
          <w:tcPr>
            <w:tcW w:w="1593" w:type="dxa"/>
            <w:tcBorders>
              <w:top w:val="nil"/>
              <w:left w:val="nil"/>
              <w:bottom w:val="nil"/>
              <w:right w:val="nil"/>
            </w:tcBorders>
            <w:vAlign w:val="center"/>
          </w:tcPr>
          <w:p w:rsidR="00EF7963" w:rsidRPr="00696169" w:rsidRDefault="00EF7963" w:rsidP="007C6D2C">
            <w:pPr>
              <w:jc w:val="both"/>
            </w:pPr>
            <w:r w:rsidRPr="00696169">
              <w:t>[ ]</w:t>
            </w:r>
          </w:p>
        </w:tc>
        <w:tc>
          <w:tcPr>
            <w:tcW w:w="1593" w:type="dxa"/>
            <w:tcBorders>
              <w:top w:val="nil"/>
              <w:left w:val="nil"/>
              <w:bottom w:val="nil"/>
              <w:right w:val="nil"/>
            </w:tcBorders>
            <w:vAlign w:val="center"/>
          </w:tcPr>
          <w:p w:rsidR="00EF7963" w:rsidRPr="00696169" w:rsidRDefault="00F0509D" w:rsidP="007C6D2C">
            <w:pPr>
              <w:jc w:val="both"/>
            </w:pPr>
            <w:r>
              <w:t>[X</w:t>
            </w:r>
            <w:r w:rsidRPr="00696169">
              <w:t>]</w:t>
            </w:r>
          </w:p>
        </w:tc>
      </w:tr>
      <w:tr w:rsidR="00EF7963" w:rsidRPr="00696169" w:rsidTr="007663AA">
        <w:trPr>
          <w:trHeight w:val="20"/>
          <w:jc w:val="center"/>
        </w:trPr>
        <w:tc>
          <w:tcPr>
            <w:tcW w:w="6066" w:type="dxa"/>
            <w:tcBorders>
              <w:top w:val="nil"/>
              <w:left w:val="nil"/>
              <w:bottom w:val="nil"/>
              <w:right w:val="nil"/>
            </w:tcBorders>
            <w:vAlign w:val="center"/>
          </w:tcPr>
          <w:p w:rsidR="00EF7963" w:rsidRPr="00696169" w:rsidRDefault="00EF7963" w:rsidP="007C6D2C">
            <w:pPr>
              <w:jc w:val="both"/>
            </w:pPr>
            <w:bookmarkStart w:id="31" w:name="OD420No" w:colFirst="2" w:colLast="2"/>
            <w:bookmarkStart w:id="32" w:name="OD420" w:colFirst="1" w:colLast="1"/>
            <w:bookmarkEnd w:id="29"/>
            <w:bookmarkEnd w:id="30"/>
            <w:r w:rsidRPr="00696169">
              <w:t>Indigenous Peoples (</w:t>
            </w:r>
            <w:hyperlink r:id="rId12" w:history="1">
              <w:r w:rsidRPr="00696169">
                <w:rPr>
                  <w:rStyle w:val="Hyperlink"/>
                </w:rPr>
                <w:t>OP</w:t>
              </w:r>
            </w:hyperlink>
            <w:r w:rsidRPr="00696169">
              <w:t>/</w:t>
            </w:r>
            <w:hyperlink r:id="rId13" w:history="1">
              <w:r w:rsidRPr="00696169">
                <w:rPr>
                  <w:rStyle w:val="Hyperlink"/>
                </w:rPr>
                <w:t>BP</w:t>
              </w:r>
            </w:hyperlink>
            <w:r w:rsidRPr="00696169">
              <w:t xml:space="preserve"> 4.10)</w:t>
            </w:r>
          </w:p>
        </w:tc>
        <w:tc>
          <w:tcPr>
            <w:tcW w:w="1593" w:type="dxa"/>
            <w:tcBorders>
              <w:top w:val="nil"/>
              <w:left w:val="nil"/>
              <w:bottom w:val="nil"/>
              <w:right w:val="nil"/>
            </w:tcBorders>
            <w:vAlign w:val="center"/>
          </w:tcPr>
          <w:p w:rsidR="00EF7963" w:rsidRPr="00696169" w:rsidRDefault="00EF7963" w:rsidP="007C6D2C">
            <w:pPr>
              <w:jc w:val="both"/>
            </w:pPr>
            <w:r w:rsidRPr="00696169">
              <w:t>[ ]</w:t>
            </w:r>
          </w:p>
        </w:tc>
        <w:tc>
          <w:tcPr>
            <w:tcW w:w="1593" w:type="dxa"/>
            <w:tcBorders>
              <w:top w:val="nil"/>
              <w:left w:val="nil"/>
              <w:bottom w:val="nil"/>
              <w:right w:val="nil"/>
            </w:tcBorders>
            <w:vAlign w:val="center"/>
          </w:tcPr>
          <w:p w:rsidR="00EF7963" w:rsidRPr="00696169" w:rsidRDefault="00F0509D" w:rsidP="007C6D2C">
            <w:pPr>
              <w:jc w:val="both"/>
            </w:pPr>
            <w:r>
              <w:t>[X</w:t>
            </w:r>
            <w:r w:rsidRPr="00696169">
              <w:t>]</w:t>
            </w:r>
          </w:p>
        </w:tc>
      </w:tr>
      <w:tr w:rsidR="00EF7963" w:rsidRPr="00696169">
        <w:trPr>
          <w:trHeight w:val="20"/>
          <w:jc w:val="center"/>
        </w:trPr>
        <w:tc>
          <w:tcPr>
            <w:tcW w:w="6066" w:type="dxa"/>
            <w:tcBorders>
              <w:top w:val="nil"/>
              <w:left w:val="nil"/>
              <w:bottom w:val="nil"/>
              <w:right w:val="nil"/>
            </w:tcBorders>
            <w:vAlign w:val="center"/>
          </w:tcPr>
          <w:p w:rsidR="00EF7963" w:rsidRPr="00696169" w:rsidRDefault="00EF7963" w:rsidP="007C6D2C">
            <w:pPr>
              <w:jc w:val="both"/>
            </w:pPr>
            <w:bookmarkStart w:id="33" w:name="OPN1103No" w:colFirst="2" w:colLast="2"/>
            <w:bookmarkStart w:id="34" w:name="OPN1103" w:colFirst="1" w:colLast="1"/>
            <w:bookmarkStart w:id="35" w:name="OPBP411" w:colFirst="1" w:colLast="1"/>
            <w:bookmarkStart w:id="36" w:name="OPBP411No" w:colFirst="2" w:colLast="2"/>
            <w:bookmarkEnd w:id="31"/>
            <w:bookmarkEnd w:id="32"/>
            <w:r w:rsidRPr="00696169">
              <w:t>Physical Cultural Resources (</w:t>
            </w:r>
            <w:hyperlink r:id="rId14" w:history="1">
              <w:r w:rsidRPr="00696169">
                <w:rPr>
                  <w:rStyle w:val="Hyperlink"/>
                </w:rPr>
                <w:t>OP/BP 4.11</w:t>
              </w:r>
            </w:hyperlink>
            <w:r w:rsidRPr="00696169">
              <w:t>)</w:t>
            </w:r>
          </w:p>
        </w:tc>
        <w:tc>
          <w:tcPr>
            <w:tcW w:w="1593" w:type="dxa"/>
            <w:tcBorders>
              <w:top w:val="nil"/>
              <w:left w:val="nil"/>
              <w:bottom w:val="nil"/>
              <w:right w:val="nil"/>
            </w:tcBorders>
            <w:vAlign w:val="center"/>
          </w:tcPr>
          <w:p w:rsidR="00EF7963" w:rsidRPr="00696169" w:rsidRDefault="00EF7963" w:rsidP="007C6D2C">
            <w:pPr>
              <w:jc w:val="both"/>
            </w:pPr>
            <w:r w:rsidRPr="00696169">
              <w:t>[ ]</w:t>
            </w:r>
          </w:p>
        </w:tc>
        <w:tc>
          <w:tcPr>
            <w:tcW w:w="1593" w:type="dxa"/>
            <w:tcBorders>
              <w:top w:val="nil"/>
              <w:left w:val="nil"/>
              <w:bottom w:val="nil"/>
              <w:right w:val="nil"/>
            </w:tcBorders>
            <w:vAlign w:val="center"/>
          </w:tcPr>
          <w:p w:rsidR="00EF7963" w:rsidRPr="00696169" w:rsidRDefault="00F0509D" w:rsidP="007C6D2C">
            <w:pPr>
              <w:jc w:val="both"/>
            </w:pPr>
            <w:r>
              <w:t>[X</w:t>
            </w:r>
            <w:r w:rsidRPr="00696169">
              <w:t>]</w:t>
            </w:r>
          </w:p>
        </w:tc>
      </w:tr>
      <w:tr w:rsidR="00EF7963" w:rsidRPr="00696169">
        <w:trPr>
          <w:trHeight w:val="20"/>
          <w:jc w:val="center"/>
        </w:trPr>
        <w:tc>
          <w:tcPr>
            <w:tcW w:w="6066" w:type="dxa"/>
            <w:tcBorders>
              <w:top w:val="nil"/>
              <w:left w:val="nil"/>
              <w:bottom w:val="nil"/>
              <w:right w:val="nil"/>
            </w:tcBorders>
            <w:vAlign w:val="center"/>
          </w:tcPr>
          <w:p w:rsidR="00EF7963" w:rsidRPr="00696169" w:rsidRDefault="00EF7963" w:rsidP="007C6D2C">
            <w:pPr>
              <w:jc w:val="both"/>
            </w:pPr>
            <w:bookmarkStart w:id="37" w:name="OPBP412No" w:colFirst="2" w:colLast="2"/>
            <w:bookmarkStart w:id="38" w:name="OPBP412" w:colFirst="1" w:colLast="1"/>
            <w:bookmarkEnd w:id="33"/>
            <w:bookmarkEnd w:id="34"/>
            <w:bookmarkEnd w:id="35"/>
            <w:bookmarkEnd w:id="36"/>
            <w:r w:rsidRPr="00696169">
              <w:t>Involuntary Resettlement (</w:t>
            </w:r>
            <w:hyperlink r:id="rId15" w:history="1">
              <w:r w:rsidRPr="00696169">
                <w:rPr>
                  <w:rStyle w:val="Hyperlink"/>
                </w:rPr>
                <w:t>OP</w:t>
              </w:r>
            </w:hyperlink>
            <w:r w:rsidRPr="00696169">
              <w:t>/</w:t>
            </w:r>
            <w:hyperlink r:id="rId16" w:history="1">
              <w:r w:rsidRPr="00696169">
                <w:rPr>
                  <w:rStyle w:val="Hyperlink"/>
                </w:rPr>
                <w:t>BP</w:t>
              </w:r>
            </w:hyperlink>
            <w:r w:rsidRPr="00696169">
              <w:t xml:space="preserve"> 4.12)</w:t>
            </w:r>
          </w:p>
        </w:tc>
        <w:tc>
          <w:tcPr>
            <w:tcW w:w="1593" w:type="dxa"/>
            <w:tcBorders>
              <w:top w:val="nil"/>
              <w:left w:val="nil"/>
              <w:bottom w:val="nil"/>
              <w:right w:val="nil"/>
            </w:tcBorders>
            <w:vAlign w:val="center"/>
          </w:tcPr>
          <w:p w:rsidR="00EF7963" w:rsidRPr="00696169" w:rsidRDefault="00EF7963" w:rsidP="007C6D2C">
            <w:pPr>
              <w:jc w:val="both"/>
            </w:pPr>
            <w:r w:rsidRPr="00696169">
              <w:t>[ ]</w:t>
            </w:r>
          </w:p>
        </w:tc>
        <w:tc>
          <w:tcPr>
            <w:tcW w:w="1593" w:type="dxa"/>
            <w:tcBorders>
              <w:top w:val="nil"/>
              <w:left w:val="nil"/>
              <w:bottom w:val="nil"/>
              <w:right w:val="nil"/>
            </w:tcBorders>
            <w:vAlign w:val="center"/>
          </w:tcPr>
          <w:p w:rsidR="00EF7963" w:rsidRPr="00696169" w:rsidRDefault="00F0509D" w:rsidP="007C6D2C">
            <w:pPr>
              <w:jc w:val="both"/>
            </w:pPr>
            <w:r>
              <w:t>[X</w:t>
            </w:r>
            <w:r w:rsidRPr="00696169">
              <w:t>]</w:t>
            </w:r>
          </w:p>
        </w:tc>
      </w:tr>
      <w:tr w:rsidR="00EF7963" w:rsidRPr="00696169">
        <w:trPr>
          <w:trHeight w:val="20"/>
          <w:jc w:val="center"/>
        </w:trPr>
        <w:tc>
          <w:tcPr>
            <w:tcW w:w="6066" w:type="dxa"/>
            <w:tcBorders>
              <w:top w:val="nil"/>
              <w:left w:val="nil"/>
              <w:bottom w:val="nil"/>
              <w:right w:val="nil"/>
            </w:tcBorders>
            <w:vAlign w:val="center"/>
          </w:tcPr>
          <w:p w:rsidR="00EF7963" w:rsidRPr="00696169" w:rsidRDefault="00EF7963" w:rsidP="007C6D2C">
            <w:pPr>
              <w:jc w:val="both"/>
            </w:pPr>
            <w:bookmarkStart w:id="39" w:name="OPBP436No" w:colFirst="2" w:colLast="2"/>
            <w:bookmarkStart w:id="40" w:name="OPBP436" w:colFirst="1" w:colLast="1"/>
            <w:bookmarkEnd w:id="37"/>
            <w:bookmarkEnd w:id="38"/>
            <w:r w:rsidRPr="00696169">
              <w:t>Forests (</w:t>
            </w:r>
            <w:hyperlink r:id="rId17" w:history="1">
              <w:r w:rsidRPr="00696169">
                <w:rPr>
                  <w:rStyle w:val="Hyperlink"/>
                </w:rPr>
                <w:t>OP</w:t>
              </w:r>
            </w:hyperlink>
            <w:r w:rsidRPr="00696169">
              <w:t>/</w:t>
            </w:r>
            <w:hyperlink r:id="rId18" w:history="1">
              <w:r w:rsidRPr="00696169">
                <w:rPr>
                  <w:rStyle w:val="Hyperlink"/>
                </w:rPr>
                <w:t>BP</w:t>
              </w:r>
            </w:hyperlink>
            <w:r w:rsidRPr="00696169">
              <w:t xml:space="preserve"> 4.36)</w:t>
            </w:r>
          </w:p>
        </w:tc>
        <w:tc>
          <w:tcPr>
            <w:tcW w:w="1593" w:type="dxa"/>
            <w:tcBorders>
              <w:top w:val="nil"/>
              <w:left w:val="nil"/>
              <w:bottom w:val="nil"/>
              <w:right w:val="nil"/>
            </w:tcBorders>
            <w:vAlign w:val="center"/>
          </w:tcPr>
          <w:p w:rsidR="00EF7963" w:rsidRPr="00696169" w:rsidRDefault="00EF7963" w:rsidP="007C6D2C">
            <w:pPr>
              <w:jc w:val="both"/>
            </w:pPr>
            <w:r w:rsidRPr="00696169">
              <w:t>[ ]</w:t>
            </w:r>
          </w:p>
        </w:tc>
        <w:tc>
          <w:tcPr>
            <w:tcW w:w="1593" w:type="dxa"/>
            <w:tcBorders>
              <w:top w:val="nil"/>
              <w:left w:val="nil"/>
              <w:bottom w:val="nil"/>
              <w:right w:val="nil"/>
            </w:tcBorders>
            <w:vAlign w:val="center"/>
          </w:tcPr>
          <w:p w:rsidR="00EF7963" w:rsidRPr="00696169" w:rsidRDefault="00F0509D" w:rsidP="007C6D2C">
            <w:pPr>
              <w:jc w:val="both"/>
            </w:pPr>
            <w:r>
              <w:t>[X</w:t>
            </w:r>
            <w:r w:rsidRPr="00696169">
              <w:t>]</w:t>
            </w:r>
          </w:p>
        </w:tc>
      </w:tr>
      <w:tr w:rsidR="00EF7963" w:rsidRPr="00696169">
        <w:trPr>
          <w:trHeight w:val="20"/>
          <w:jc w:val="center"/>
        </w:trPr>
        <w:tc>
          <w:tcPr>
            <w:tcW w:w="6066" w:type="dxa"/>
            <w:tcBorders>
              <w:top w:val="nil"/>
              <w:left w:val="nil"/>
              <w:bottom w:val="nil"/>
              <w:right w:val="nil"/>
            </w:tcBorders>
            <w:vAlign w:val="center"/>
          </w:tcPr>
          <w:p w:rsidR="00EF7963" w:rsidRPr="00696169" w:rsidRDefault="00EF7963" w:rsidP="007C6D2C">
            <w:pPr>
              <w:jc w:val="both"/>
            </w:pPr>
            <w:bookmarkStart w:id="41" w:name="OPBP437No" w:colFirst="2" w:colLast="2"/>
            <w:bookmarkStart w:id="42" w:name="OPBP437" w:colFirst="1" w:colLast="1"/>
            <w:bookmarkEnd w:id="39"/>
            <w:bookmarkEnd w:id="40"/>
            <w:r w:rsidRPr="00696169">
              <w:t>Safety of Dams (</w:t>
            </w:r>
            <w:hyperlink r:id="rId19" w:history="1">
              <w:r w:rsidRPr="00696169">
                <w:rPr>
                  <w:rStyle w:val="Hyperlink"/>
                </w:rPr>
                <w:t>OP</w:t>
              </w:r>
            </w:hyperlink>
            <w:r w:rsidRPr="00696169">
              <w:t>/</w:t>
            </w:r>
            <w:hyperlink r:id="rId20" w:history="1">
              <w:r w:rsidRPr="00696169">
                <w:rPr>
                  <w:rStyle w:val="Hyperlink"/>
                </w:rPr>
                <w:t>BP</w:t>
              </w:r>
            </w:hyperlink>
            <w:r w:rsidRPr="00696169">
              <w:t xml:space="preserve"> 4.37)</w:t>
            </w:r>
          </w:p>
        </w:tc>
        <w:tc>
          <w:tcPr>
            <w:tcW w:w="1593" w:type="dxa"/>
            <w:tcBorders>
              <w:top w:val="nil"/>
              <w:left w:val="nil"/>
              <w:bottom w:val="nil"/>
              <w:right w:val="nil"/>
            </w:tcBorders>
            <w:vAlign w:val="center"/>
          </w:tcPr>
          <w:p w:rsidR="00EF7963" w:rsidRPr="00696169" w:rsidRDefault="00EF7963" w:rsidP="007C6D2C">
            <w:pPr>
              <w:jc w:val="both"/>
            </w:pPr>
            <w:r w:rsidRPr="00696169">
              <w:t>[ ]</w:t>
            </w:r>
          </w:p>
        </w:tc>
        <w:tc>
          <w:tcPr>
            <w:tcW w:w="1593" w:type="dxa"/>
            <w:tcBorders>
              <w:top w:val="nil"/>
              <w:left w:val="nil"/>
              <w:bottom w:val="nil"/>
              <w:right w:val="nil"/>
            </w:tcBorders>
            <w:vAlign w:val="center"/>
          </w:tcPr>
          <w:p w:rsidR="00EF7963" w:rsidRPr="00696169" w:rsidRDefault="00F0509D" w:rsidP="007C6D2C">
            <w:pPr>
              <w:jc w:val="both"/>
            </w:pPr>
            <w:r w:rsidRPr="00696169">
              <w:t>[</w:t>
            </w:r>
            <w:r>
              <w:t>X</w:t>
            </w:r>
            <w:r w:rsidRPr="00696169">
              <w:t>]</w:t>
            </w:r>
          </w:p>
        </w:tc>
      </w:tr>
      <w:tr w:rsidR="00EF7963" w:rsidRPr="00696169">
        <w:trPr>
          <w:trHeight w:val="20"/>
          <w:jc w:val="center"/>
        </w:trPr>
        <w:tc>
          <w:tcPr>
            <w:tcW w:w="6066" w:type="dxa"/>
            <w:tcBorders>
              <w:top w:val="nil"/>
              <w:left w:val="nil"/>
              <w:bottom w:val="nil"/>
              <w:right w:val="nil"/>
            </w:tcBorders>
            <w:vAlign w:val="center"/>
          </w:tcPr>
          <w:p w:rsidR="00EF7963" w:rsidRPr="00696169" w:rsidRDefault="00EF7963" w:rsidP="007C6D2C">
            <w:pPr>
              <w:jc w:val="both"/>
            </w:pPr>
            <w:bookmarkStart w:id="43" w:name="OPBPGP750" w:colFirst="1" w:colLast="1"/>
            <w:bookmarkStart w:id="44" w:name="OPBPGP750No" w:colFirst="2" w:colLast="2"/>
            <w:bookmarkEnd w:id="41"/>
            <w:bookmarkEnd w:id="42"/>
            <w:r w:rsidRPr="00696169">
              <w:t>Projects on International Waterways (</w:t>
            </w:r>
            <w:hyperlink r:id="rId21" w:history="1">
              <w:r w:rsidRPr="00696169">
                <w:rPr>
                  <w:rStyle w:val="Hyperlink"/>
                </w:rPr>
                <w:t>OP</w:t>
              </w:r>
            </w:hyperlink>
            <w:r w:rsidRPr="00696169">
              <w:t>/</w:t>
            </w:r>
            <w:hyperlink r:id="rId22" w:history="1">
              <w:r w:rsidRPr="00696169">
                <w:rPr>
                  <w:rStyle w:val="Hyperlink"/>
                </w:rPr>
                <w:t>BP</w:t>
              </w:r>
            </w:hyperlink>
            <w:r w:rsidRPr="00696169">
              <w:t xml:space="preserve"> 7.50)</w:t>
            </w:r>
          </w:p>
        </w:tc>
        <w:tc>
          <w:tcPr>
            <w:tcW w:w="1593" w:type="dxa"/>
            <w:tcBorders>
              <w:top w:val="nil"/>
              <w:left w:val="nil"/>
              <w:bottom w:val="nil"/>
              <w:right w:val="nil"/>
            </w:tcBorders>
            <w:vAlign w:val="center"/>
          </w:tcPr>
          <w:p w:rsidR="00EF7963" w:rsidRPr="00696169" w:rsidRDefault="00EF7963" w:rsidP="007C6D2C">
            <w:pPr>
              <w:jc w:val="both"/>
            </w:pPr>
            <w:r w:rsidRPr="00696169">
              <w:t>[ ]</w:t>
            </w:r>
          </w:p>
        </w:tc>
        <w:tc>
          <w:tcPr>
            <w:tcW w:w="1593" w:type="dxa"/>
            <w:tcBorders>
              <w:top w:val="nil"/>
              <w:left w:val="nil"/>
              <w:bottom w:val="nil"/>
              <w:right w:val="nil"/>
            </w:tcBorders>
            <w:vAlign w:val="center"/>
          </w:tcPr>
          <w:p w:rsidR="00EF7963" w:rsidRPr="00696169" w:rsidRDefault="00F0509D" w:rsidP="007C6D2C">
            <w:pPr>
              <w:jc w:val="both"/>
            </w:pPr>
            <w:r>
              <w:t>[X</w:t>
            </w:r>
            <w:r w:rsidRPr="00696169">
              <w:t>]</w:t>
            </w:r>
          </w:p>
        </w:tc>
      </w:tr>
      <w:tr w:rsidR="00EF7963" w:rsidRPr="00696169">
        <w:trPr>
          <w:trHeight w:val="20"/>
          <w:jc w:val="center"/>
        </w:trPr>
        <w:tc>
          <w:tcPr>
            <w:tcW w:w="6066" w:type="dxa"/>
            <w:tcBorders>
              <w:top w:val="nil"/>
              <w:left w:val="nil"/>
              <w:bottom w:val="single" w:sz="12" w:space="0" w:color="auto"/>
              <w:right w:val="nil"/>
            </w:tcBorders>
            <w:vAlign w:val="center"/>
          </w:tcPr>
          <w:p w:rsidR="00EF7963" w:rsidRPr="00696169" w:rsidRDefault="00EF7963" w:rsidP="007C6D2C">
            <w:pPr>
              <w:jc w:val="both"/>
            </w:pPr>
            <w:bookmarkStart w:id="45" w:name="OPBPGP760" w:colFirst="1" w:colLast="1"/>
            <w:bookmarkStart w:id="46" w:name="OPBPGP760No" w:colFirst="2" w:colLast="2"/>
            <w:bookmarkEnd w:id="43"/>
            <w:bookmarkEnd w:id="44"/>
            <w:r w:rsidRPr="00696169">
              <w:t>Projects in Disputed Areas (</w:t>
            </w:r>
            <w:hyperlink r:id="rId23" w:history="1">
              <w:r w:rsidRPr="00696169">
                <w:rPr>
                  <w:rStyle w:val="Hyperlink"/>
                </w:rPr>
                <w:t>OP</w:t>
              </w:r>
            </w:hyperlink>
            <w:r w:rsidRPr="00696169">
              <w:t>/</w:t>
            </w:r>
            <w:hyperlink r:id="rId24" w:history="1">
              <w:r w:rsidRPr="00696169">
                <w:rPr>
                  <w:rStyle w:val="Hyperlink"/>
                </w:rPr>
                <w:t>BP</w:t>
              </w:r>
            </w:hyperlink>
            <w:r w:rsidRPr="00696169">
              <w:t xml:space="preserve"> 7.60)</w:t>
            </w:r>
            <w:r w:rsidRPr="00696169">
              <w:rPr>
                <w:rStyle w:val="FootnoteReference"/>
              </w:rPr>
              <w:footnoteReference w:customMarkFollows="1" w:id="1"/>
              <w:t>*</w:t>
            </w:r>
          </w:p>
        </w:tc>
        <w:tc>
          <w:tcPr>
            <w:tcW w:w="1593" w:type="dxa"/>
            <w:tcBorders>
              <w:top w:val="nil"/>
              <w:left w:val="nil"/>
              <w:bottom w:val="single" w:sz="12" w:space="0" w:color="auto"/>
              <w:right w:val="nil"/>
            </w:tcBorders>
            <w:vAlign w:val="center"/>
          </w:tcPr>
          <w:p w:rsidR="00EF7963" w:rsidRPr="00696169" w:rsidRDefault="00EF7963" w:rsidP="007C6D2C">
            <w:pPr>
              <w:jc w:val="both"/>
            </w:pPr>
            <w:r w:rsidRPr="00696169">
              <w:t>[ ]</w:t>
            </w:r>
          </w:p>
        </w:tc>
        <w:tc>
          <w:tcPr>
            <w:tcW w:w="1593" w:type="dxa"/>
            <w:tcBorders>
              <w:top w:val="nil"/>
              <w:left w:val="nil"/>
              <w:bottom w:val="single" w:sz="12" w:space="0" w:color="auto"/>
              <w:right w:val="nil"/>
            </w:tcBorders>
            <w:vAlign w:val="center"/>
          </w:tcPr>
          <w:p w:rsidR="00EF7963" w:rsidRPr="00696169" w:rsidRDefault="00F0509D" w:rsidP="007C6D2C">
            <w:pPr>
              <w:jc w:val="both"/>
            </w:pPr>
            <w:r>
              <w:t>[X</w:t>
            </w:r>
            <w:r w:rsidRPr="00696169">
              <w:t>]</w:t>
            </w:r>
          </w:p>
        </w:tc>
      </w:tr>
      <w:bookmarkEnd w:id="45"/>
      <w:bookmarkEnd w:id="46"/>
    </w:tbl>
    <w:p w:rsidR="00A706FA" w:rsidRPr="00696169" w:rsidRDefault="00A706FA" w:rsidP="007C6D2C">
      <w:pPr>
        <w:jc w:val="both"/>
      </w:pPr>
    </w:p>
    <w:bookmarkEnd w:id="24"/>
    <w:p w:rsidR="00A706FA" w:rsidRPr="007C6D2C" w:rsidRDefault="00A706FA" w:rsidP="007C6D2C">
      <w:pPr>
        <w:numPr>
          <w:ilvl w:val="0"/>
          <w:numId w:val="6"/>
        </w:numPr>
        <w:tabs>
          <w:tab w:val="clear" w:pos="720"/>
          <w:tab w:val="num" w:pos="360"/>
        </w:tabs>
        <w:ind w:left="360"/>
        <w:jc w:val="both"/>
        <w:rPr>
          <w:b/>
          <w:bCs/>
        </w:rPr>
      </w:pPr>
      <w:r w:rsidRPr="007C6D2C">
        <w:rPr>
          <w:b/>
          <w:bCs/>
        </w:rPr>
        <w:t>List of Factual Technical Documents</w:t>
      </w:r>
      <w:bookmarkStart w:id="47" w:name="FactualTechnicalDocuments"/>
    </w:p>
    <w:p w:rsidR="00E20650" w:rsidRPr="00E20650" w:rsidRDefault="00E20650" w:rsidP="007C6D2C">
      <w:pPr>
        <w:jc w:val="both"/>
      </w:pPr>
    </w:p>
    <w:p w:rsidR="00E20650" w:rsidRPr="00E20650" w:rsidRDefault="00E20650" w:rsidP="007C6D2C">
      <w:pPr>
        <w:pStyle w:val="ListParagraph"/>
        <w:numPr>
          <w:ilvl w:val="0"/>
          <w:numId w:val="18"/>
        </w:numPr>
        <w:jc w:val="both"/>
        <w:rPr>
          <w:rFonts w:ascii="Times New Roman" w:hAnsi="Times New Roman" w:cs="Times New Roman"/>
          <w:sz w:val="24"/>
          <w:szCs w:val="24"/>
        </w:rPr>
      </w:pPr>
      <w:r w:rsidRPr="00E20650">
        <w:rPr>
          <w:rFonts w:ascii="Times New Roman" w:hAnsi="Times New Roman" w:cs="Times New Roman"/>
          <w:sz w:val="24"/>
          <w:szCs w:val="24"/>
        </w:rPr>
        <w:t xml:space="preserve">Ben </w:t>
      </w:r>
      <w:proofErr w:type="spellStart"/>
      <w:r w:rsidRPr="00E20650">
        <w:rPr>
          <w:rFonts w:ascii="Times New Roman" w:hAnsi="Times New Roman" w:cs="Times New Roman"/>
          <w:sz w:val="24"/>
          <w:szCs w:val="24"/>
        </w:rPr>
        <w:t>Gardane</w:t>
      </w:r>
      <w:proofErr w:type="spellEnd"/>
      <w:r w:rsidRPr="00E20650">
        <w:rPr>
          <w:rFonts w:ascii="Times New Roman" w:hAnsi="Times New Roman" w:cs="Times New Roman"/>
          <w:sz w:val="24"/>
          <w:szCs w:val="24"/>
        </w:rPr>
        <w:t xml:space="preserve">, Multi </w:t>
      </w:r>
      <w:proofErr w:type="spellStart"/>
      <w:r w:rsidRPr="00E20650">
        <w:rPr>
          <w:rFonts w:ascii="Times New Roman" w:hAnsi="Times New Roman" w:cs="Times New Roman"/>
          <w:sz w:val="24"/>
          <w:szCs w:val="24"/>
        </w:rPr>
        <w:t>Sectoral</w:t>
      </w:r>
      <w:proofErr w:type="spellEnd"/>
      <w:r w:rsidRPr="00E20650">
        <w:rPr>
          <w:rFonts w:ascii="Times New Roman" w:hAnsi="Times New Roman" w:cs="Times New Roman"/>
          <w:sz w:val="24"/>
          <w:szCs w:val="24"/>
        </w:rPr>
        <w:t xml:space="preserve"> Assessment, Save the Children (2011). </w:t>
      </w:r>
    </w:p>
    <w:p w:rsidR="00E20650" w:rsidRPr="00E20650" w:rsidRDefault="00E20650" w:rsidP="007C6D2C">
      <w:pPr>
        <w:jc w:val="both"/>
      </w:pPr>
    </w:p>
    <w:p w:rsidR="00E20650" w:rsidRPr="00E20650" w:rsidRDefault="00E20650" w:rsidP="007C6D2C">
      <w:pPr>
        <w:pStyle w:val="ListParagraph"/>
        <w:numPr>
          <w:ilvl w:val="0"/>
          <w:numId w:val="18"/>
        </w:numPr>
        <w:jc w:val="both"/>
        <w:rPr>
          <w:rFonts w:ascii="Times New Roman" w:hAnsi="Times New Roman" w:cs="Times New Roman"/>
          <w:sz w:val="24"/>
          <w:szCs w:val="24"/>
        </w:rPr>
      </w:pPr>
      <w:r w:rsidRPr="00E20650">
        <w:rPr>
          <w:rFonts w:ascii="Times New Roman" w:hAnsi="Times New Roman" w:cs="Times New Roman"/>
          <w:sz w:val="24"/>
          <w:szCs w:val="24"/>
        </w:rPr>
        <w:t xml:space="preserve">Community-Based Social Services: Practical Advice Based upon Lessons from Outside the World Bank.  Social Protection Discussion Paper No. 0327, World Bank (2003), Washington DC.  </w:t>
      </w:r>
    </w:p>
    <w:p w:rsidR="00E20650" w:rsidRPr="00E20650" w:rsidRDefault="00E20650" w:rsidP="007C6D2C">
      <w:pPr>
        <w:jc w:val="both"/>
      </w:pPr>
    </w:p>
    <w:p w:rsidR="00E20650" w:rsidRPr="00E20650" w:rsidRDefault="00E20650" w:rsidP="007C6D2C">
      <w:pPr>
        <w:pStyle w:val="ListParagraph"/>
        <w:numPr>
          <w:ilvl w:val="0"/>
          <w:numId w:val="18"/>
        </w:numPr>
        <w:jc w:val="both"/>
        <w:rPr>
          <w:rFonts w:ascii="Times New Roman" w:hAnsi="Times New Roman" w:cs="Times New Roman"/>
          <w:sz w:val="24"/>
          <w:szCs w:val="24"/>
        </w:rPr>
      </w:pPr>
      <w:r w:rsidRPr="00E20650">
        <w:rPr>
          <w:rFonts w:ascii="Times New Roman" w:hAnsi="Times New Roman" w:cs="Times New Roman"/>
          <w:sz w:val="24"/>
          <w:szCs w:val="24"/>
        </w:rPr>
        <w:t xml:space="preserve">Iraq Consultative Service Delivery Program, State and </w:t>
      </w:r>
      <w:proofErr w:type="spellStart"/>
      <w:r w:rsidRPr="00E20650">
        <w:rPr>
          <w:rFonts w:ascii="Times New Roman" w:hAnsi="Times New Roman" w:cs="Times New Roman"/>
          <w:sz w:val="24"/>
          <w:szCs w:val="24"/>
        </w:rPr>
        <w:t>Peacebuilding</w:t>
      </w:r>
      <w:proofErr w:type="spellEnd"/>
      <w:r w:rsidRPr="00E20650">
        <w:rPr>
          <w:rFonts w:ascii="Times New Roman" w:hAnsi="Times New Roman" w:cs="Times New Roman"/>
          <w:sz w:val="24"/>
          <w:szCs w:val="24"/>
        </w:rPr>
        <w:t xml:space="preserve"> Fund Project Document, 2009, World Bank, Washington DC.</w:t>
      </w:r>
    </w:p>
    <w:p w:rsidR="00E20650" w:rsidRPr="00E20650" w:rsidRDefault="00E20650" w:rsidP="007C6D2C">
      <w:pPr>
        <w:jc w:val="both"/>
      </w:pPr>
    </w:p>
    <w:p w:rsidR="00E20650" w:rsidRPr="00E20650" w:rsidRDefault="00E20650" w:rsidP="007C6D2C">
      <w:pPr>
        <w:pStyle w:val="ListParagraph"/>
        <w:numPr>
          <w:ilvl w:val="0"/>
          <w:numId w:val="18"/>
        </w:numPr>
        <w:jc w:val="both"/>
        <w:rPr>
          <w:rFonts w:ascii="Times New Roman" w:hAnsi="Times New Roman" w:cs="Times New Roman"/>
          <w:sz w:val="24"/>
          <w:szCs w:val="24"/>
        </w:rPr>
      </w:pPr>
      <w:r w:rsidRPr="00E20650">
        <w:rPr>
          <w:rFonts w:ascii="Times New Roman" w:hAnsi="Times New Roman" w:cs="Times New Roman"/>
          <w:sz w:val="24"/>
          <w:szCs w:val="24"/>
        </w:rPr>
        <w:t>Libyan Arab Jamahiriya Crisis Situation Report No. 41, 31 May 2011, United Nations Office for the Coordination of Humanitarian Affairs (OCHA).</w:t>
      </w:r>
    </w:p>
    <w:p w:rsidR="00E20650" w:rsidRPr="00E20650" w:rsidRDefault="00E20650" w:rsidP="007C6D2C">
      <w:pPr>
        <w:jc w:val="both"/>
      </w:pPr>
    </w:p>
    <w:p w:rsidR="00E20650" w:rsidRPr="00E20650" w:rsidRDefault="00E20650" w:rsidP="007C6D2C">
      <w:pPr>
        <w:pStyle w:val="ListParagraph"/>
        <w:numPr>
          <w:ilvl w:val="0"/>
          <w:numId w:val="18"/>
        </w:numPr>
        <w:jc w:val="both"/>
        <w:rPr>
          <w:rFonts w:ascii="Times New Roman" w:hAnsi="Times New Roman" w:cs="Times New Roman"/>
          <w:sz w:val="24"/>
          <w:szCs w:val="24"/>
        </w:rPr>
      </w:pPr>
      <w:r w:rsidRPr="00E20650">
        <w:rPr>
          <w:rFonts w:ascii="Times New Roman" w:hAnsi="Times New Roman" w:cs="Times New Roman"/>
          <w:sz w:val="24"/>
          <w:szCs w:val="24"/>
        </w:rPr>
        <w:t xml:space="preserve">Migration and Remittances </w:t>
      </w:r>
      <w:proofErr w:type="spellStart"/>
      <w:r w:rsidRPr="00E20650">
        <w:rPr>
          <w:rFonts w:ascii="Times New Roman" w:hAnsi="Times New Roman" w:cs="Times New Roman"/>
          <w:sz w:val="24"/>
          <w:szCs w:val="24"/>
        </w:rPr>
        <w:t>Factbook</w:t>
      </w:r>
      <w:proofErr w:type="spellEnd"/>
      <w:r w:rsidRPr="00E20650">
        <w:rPr>
          <w:rFonts w:ascii="Times New Roman" w:hAnsi="Times New Roman" w:cs="Times New Roman"/>
          <w:sz w:val="24"/>
          <w:szCs w:val="24"/>
        </w:rPr>
        <w:t xml:space="preserve"> 2011, </w:t>
      </w:r>
      <w:proofErr w:type="gramStart"/>
      <w:r w:rsidRPr="00E20650">
        <w:rPr>
          <w:rFonts w:ascii="Times New Roman" w:hAnsi="Times New Roman" w:cs="Times New Roman"/>
          <w:sz w:val="24"/>
          <w:szCs w:val="24"/>
        </w:rPr>
        <w:t>The</w:t>
      </w:r>
      <w:proofErr w:type="gramEnd"/>
      <w:r w:rsidRPr="00E20650">
        <w:rPr>
          <w:rFonts w:ascii="Times New Roman" w:hAnsi="Times New Roman" w:cs="Times New Roman"/>
          <w:sz w:val="24"/>
          <w:szCs w:val="24"/>
        </w:rPr>
        <w:t xml:space="preserve"> World Bank.</w:t>
      </w:r>
    </w:p>
    <w:p w:rsidR="00E20650" w:rsidRPr="00E20650" w:rsidRDefault="00E20650" w:rsidP="007C6D2C">
      <w:pPr>
        <w:jc w:val="both"/>
      </w:pPr>
    </w:p>
    <w:p w:rsidR="00E20650" w:rsidRPr="00E20650" w:rsidRDefault="00E20650" w:rsidP="007C6D2C">
      <w:pPr>
        <w:pStyle w:val="ListParagraph"/>
        <w:numPr>
          <w:ilvl w:val="0"/>
          <w:numId w:val="18"/>
        </w:numPr>
        <w:jc w:val="both"/>
        <w:rPr>
          <w:rFonts w:ascii="Times New Roman" w:hAnsi="Times New Roman" w:cs="Times New Roman"/>
          <w:sz w:val="24"/>
          <w:szCs w:val="24"/>
        </w:rPr>
      </w:pPr>
      <w:r w:rsidRPr="00E20650">
        <w:rPr>
          <w:rFonts w:ascii="Times New Roman" w:hAnsi="Times New Roman" w:cs="Times New Roman"/>
          <w:sz w:val="24"/>
          <w:szCs w:val="24"/>
        </w:rPr>
        <w:t xml:space="preserve">Moving from Residential Institutions to Community-Based Social Services in Central and Eastern Europe and the Former Soviet Union, </w:t>
      </w:r>
      <w:proofErr w:type="gramStart"/>
      <w:r w:rsidRPr="00E20650">
        <w:rPr>
          <w:rFonts w:ascii="Times New Roman" w:hAnsi="Times New Roman" w:cs="Times New Roman"/>
          <w:sz w:val="24"/>
          <w:szCs w:val="24"/>
        </w:rPr>
        <w:t>The</w:t>
      </w:r>
      <w:proofErr w:type="gramEnd"/>
      <w:r w:rsidRPr="00E20650">
        <w:rPr>
          <w:rFonts w:ascii="Times New Roman" w:hAnsi="Times New Roman" w:cs="Times New Roman"/>
          <w:sz w:val="24"/>
          <w:szCs w:val="24"/>
        </w:rPr>
        <w:t xml:space="preserve"> World Bank (2000), Washington DC.</w:t>
      </w:r>
    </w:p>
    <w:p w:rsidR="00E20650" w:rsidRPr="00E20650" w:rsidRDefault="00E20650" w:rsidP="007C6D2C">
      <w:pPr>
        <w:jc w:val="both"/>
      </w:pPr>
    </w:p>
    <w:p w:rsidR="00E20650" w:rsidRPr="00E20650" w:rsidRDefault="00E20650" w:rsidP="007C6D2C">
      <w:pPr>
        <w:pStyle w:val="ListParagraph"/>
        <w:numPr>
          <w:ilvl w:val="0"/>
          <w:numId w:val="18"/>
        </w:numPr>
        <w:jc w:val="both"/>
        <w:rPr>
          <w:rFonts w:ascii="Times New Roman" w:hAnsi="Times New Roman" w:cs="Times New Roman"/>
          <w:sz w:val="24"/>
          <w:szCs w:val="24"/>
        </w:rPr>
      </w:pPr>
      <w:r w:rsidRPr="00E20650">
        <w:rPr>
          <w:rFonts w:ascii="Times New Roman" w:hAnsi="Times New Roman" w:cs="Times New Roman"/>
          <w:sz w:val="24"/>
          <w:szCs w:val="24"/>
        </w:rPr>
        <w:t xml:space="preserve">Piloting Community Approaches in Conflict Situation in Three Southernmost Provinces in Thailand, State and </w:t>
      </w:r>
      <w:proofErr w:type="spellStart"/>
      <w:r w:rsidRPr="00E20650">
        <w:rPr>
          <w:rFonts w:ascii="Times New Roman" w:hAnsi="Times New Roman" w:cs="Times New Roman"/>
          <w:sz w:val="24"/>
          <w:szCs w:val="24"/>
        </w:rPr>
        <w:t>Peacebuilding</w:t>
      </w:r>
      <w:proofErr w:type="spellEnd"/>
      <w:r w:rsidRPr="00E20650">
        <w:rPr>
          <w:rFonts w:ascii="Times New Roman" w:hAnsi="Times New Roman" w:cs="Times New Roman"/>
          <w:sz w:val="24"/>
          <w:szCs w:val="24"/>
        </w:rPr>
        <w:t xml:space="preserve"> Fund Project Document, World Bank (2009), Washington DC.</w:t>
      </w:r>
    </w:p>
    <w:p w:rsidR="00E20650" w:rsidRPr="00E20650" w:rsidRDefault="00E20650" w:rsidP="007C6D2C">
      <w:pPr>
        <w:jc w:val="both"/>
      </w:pPr>
    </w:p>
    <w:p w:rsidR="00E20650" w:rsidRPr="00E20650" w:rsidRDefault="00E20650" w:rsidP="007C6D2C">
      <w:pPr>
        <w:pStyle w:val="ListParagraph"/>
        <w:numPr>
          <w:ilvl w:val="0"/>
          <w:numId w:val="18"/>
        </w:numPr>
        <w:jc w:val="both"/>
        <w:rPr>
          <w:rFonts w:ascii="Times New Roman" w:hAnsi="Times New Roman" w:cs="Times New Roman"/>
          <w:sz w:val="24"/>
          <w:szCs w:val="24"/>
        </w:rPr>
      </w:pPr>
      <w:r w:rsidRPr="00E20650">
        <w:rPr>
          <w:rFonts w:ascii="Times New Roman" w:hAnsi="Times New Roman" w:cs="Times New Roman"/>
          <w:sz w:val="24"/>
          <w:szCs w:val="24"/>
        </w:rPr>
        <w:t>Poor Places, Thriving People: How the Middle East and North Africa Can Rise Above Spatial Disparities.  World Bank (2011), Washington DC.</w:t>
      </w:r>
    </w:p>
    <w:p w:rsidR="00E20650" w:rsidRPr="00E20650" w:rsidRDefault="00E20650" w:rsidP="007C6D2C">
      <w:pPr>
        <w:jc w:val="both"/>
      </w:pPr>
    </w:p>
    <w:p w:rsidR="00E20650" w:rsidRPr="00E20650" w:rsidRDefault="00E20650" w:rsidP="007C6D2C">
      <w:pPr>
        <w:pStyle w:val="ListParagraph"/>
        <w:numPr>
          <w:ilvl w:val="0"/>
          <w:numId w:val="18"/>
        </w:numPr>
        <w:jc w:val="both"/>
        <w:rPr>
          <w:rFonts w:ascii="Times New Roman" w:hAnsi="Times New Roman" w:cs="Times New Roman"/>
          <w:sz w:val="24"/>
          <w:szCs w:val="24"/>
        </w:rPr>
      </w:pPr>
      <w:r w:rsidRPr="00E20650">
        <w:rPr>
          <w:rFonts w:ascii="Times New Roman" w:hAnsi="Times New Roman" w:cs="Times New Roman"/>
          <w:sz w:val="24"/>
          <w:szCs w:val="24"/>
        </w:rPr>
        <w:t>Situation Report June 17, 2011, International Organization for Migration.</w:t>
      </w:r>
    </w:p>
    <w:p w:rsidR="00E20650" w:rsidRPr="00E20650" w:rsidRDefault="00E20650" w:rsidP="007C6D2C">
      <w:pPr>
        <w:jc w:val="both"/>
      </w:pPr>
    </w:p>
    <w:p w:rsidR="00E20650" w:rsidRPr="00E20650" w:rsidRDefault="00E20650" w:rsidP="007C6D2C">
      <w:pPr>
        <w:pStyle w:val="ListParagraph"/>
        <w:numPr>
          <w:ilvl w:val="0"/>
          <w:numId w:val="18"/>
        </w:numPr>
        <w:jc w:val="both"/>
        <w:rPr>
          <w:rFonts w:ascii="Times New Roman" w:hAnsi="Times New Roman" w:cs="Times New Roman"/>
          <w:sz w:val="24"/>
          <w:szCs w:val="24"/>
        </w:rPr>
      </w:pPr>
      <w:r w:rsidRPr="00E20650">
        <w:rPr>
          <w:rFonts w:ascii="Times New Roman" w:hAnsi="Times New Roman" w:cs="Times New Roman"/>
          <w:sz w:val="24"/>
          <w:szCs w:val="24"/>
        </w:rPr>
        <w:t xml:space="preserve">Social Assistance for New Employment: from pilot to policy: Introducing community-based social services in Bulgaria, United Nations Development Program (UNDP) project review, 2009, UNDP. </w:t>
      </w:r>
    </w:p>
    <w:p w:rsidR="00E20650" w:rsidRPr="00E20650" w:rsidRDefault="00E20650" w:rsidP="007C6D2C">
      <w:pPr>
        <w:jc w:val="both"/>
      </w:pPr>
    </w:p>
    <w:p w:rsidR="00E20650" w:rsidRPr="00E20650" w:rsidRDefault="00E20650" w:rsidP="007C6D2C">
      <w:pPr>
        <w:pStyle w:val="ListParagraph"/>
        <w:numPr>
          <w:ilvl w:val="0"/>
          <w:numId w:val="18"/>
        </w:numPr>
        <w:jc w:val="both"/>
        <w:rPr>
          <w:rFonts w:ascii="Times New Roman" w:hAnsi="Times New Roman" w:cs="Times New Roman"/>
          <w:sz w:val="24"/>
          <w:szCs w:val="24"/>
        </w:rPr>
      </w:pPr>
      <w:r w:rsidRPr="00E20650">
        <w:rPr>
          <w:rFonts w:ascii="Times New Roman" w:hAnsi="Times New Roman" w:cs="Times New Roman"/>
          <w:sz w:val="24"/>
          <w:szCs w:val="24"/>
        </w:rPr>
        <w:t xml:space="preserve">Spatial patterns and geographic determinants of welfare and poverty in </w:t>
      </w:r>
      <w:proofErr w:type="spellStart"/>
      <w:r w:rsidRPr="00E20650">
        <w:rPr>
          <w:rFonts w:ascii="Times New Roman" w:hAnsi="Times New Roman" w:cs="Times New Roman"/>
          <w:sz w:val="24"/>
          <w:szCs w:val="24"/>
        </w:rPr>
        <w:t>Tunisia.Working</w:t>
      </w:r>
      <w:proofErr w:type="spellEnd"/>
      <w:r w:rsidRPr="00E20650">
        <w:rPr>
          <w:rFonts w:ascii="Times New Roman" w:hAnsi="Times New Roman" w:cs="Times New Roman"/>
          <w:sz w:val="24"/>
          <w:szCs w:val="24"/>
        </w:rPr>
        <w:t xml:space="preserve"> Paper, Economic Research Forum 15th Annual Conference - </w:t>
      </w:r>
      <w:proofErr w:type="spellStart"/>
      <w:r w:rsidRPr="00E20650">
        <w:rPr>
          <w:rFonts w:ascii="Times New Roman" w:hAnsi="Times New Roman" w:cs="Times New Roman"/>
          <w:sz w:val="24"/>
          <w:szCs w:val="24"/>
        </w:rPr>
        <w:t>Ayadi</w:t>
      </w:r>
      <w:proofErr w:type="spellEnd"/>
      <w:r w:rsidRPr="00E20650">
        <w:rPr>
          <w:rFonts w:ascii="Times New Roman" w:hAnsi="Times New Roman" w:cs="Times New Roman"/>
          <w:sz w:val="24"/>
          <w:szCs w:val="24"/>
        </w:rPr>
        <w:t xml:space="preserve"> M and </w:t>
      </w:r>
      <w:proofErr w:type="spellStart"/>
      <w:r w:rsidRPr="00E20650">
        <w:rPr>
          <w:rFonts w:ascii="Times New Roman" w:hAnsi="Times New Roman" w:cs="Times New Roman"/>
          <w:sz w:val="24"/>
          <w:szCs w:val="24"/>
        </w:rPr>
        <w:t>Amara</w:t>
      </w:r>
      <w:proofErr w:type="spellEnd"/>
      <w:r w:rsidRPr="00E20650">
        <w:rPr>
          <w:rFonts w:ascii="Times New Roman" w:hAnsi="Times New Roman" w:cs="Times New Roman"/>
          <w:sz w:val="24"/>
          <w:szCs w:val="24"/>
        </w:rPr>
        <w:t xml:space="preserve"> M (2008). </w:t>
      </w:r>
    </w:p>
    <w:p w:rsidR="00E20650" w:rsidRPr="00E20650" w:rsidRDefault="00E20650" w:rsidP="007C6D2C">
      <w:pPr>
        <w:jc w:val="both"/>
      </w:pPr>
      <w:r w:rsidRPr="00E20650">
        <w:t xml:space="preserve"> </w:t>
      </w:r>
    </w:p>
    <w:p w:rsidR="00E20650" w:rsidRPr="00E20650" w:rsidRDefault="00E20650" w:rsidP="007C6D2C">
      <w:pPr>
        <w:pStyle w:val="ListParagraph"/>
        <w:numPr>
          <w:ilvl w:val="0"/>
          <w:numId w:val="18"/>
        </w:numPr>
        <w:jc w:val="both"/>
        <w:rPr>
          <w:rFonts w:ascii="Times New Roman" w:hAnsi="Times New Roman" w:cs="Times New Roman"/>
          <w:sz w:val="24"/>
          <w:szCs w:val="24"/>
        </w:rPr>
      </w:pPr>
      <w:r w:rsidRPr="00E20650">
        <w:rPr>
          <w:rFonts w:ascii="Times New Roman" w:hAnsi="Times New Roman" w:cs="Times New Roman"/>
          <w:sz w:val="24"/>
          <w:szCs w:val="24"/>
        </w:rPr>
        <w:t>The Macedonia Community Development Project: Empowerment through Targeting and Institution Building.  World Bank (2007), Washington DC.</w:t>
      </w:r>
    </w:p>
    <w:p w:rsidR="00E20650" w:rsidRPr="00E20650" w:rsidRDefault="00E20650" w:rsidP="007C6D2C">
      <w:pPr>
        <w:jc w:val="both"/>
      </w:pPr>
    </w:p>
    <w:p w:rsidR="00E20650" w:rsidRPr="00E20650" w:rsidRDefault="00E20650" w:rsidP="007C6D2C">
      <w:pPr>
        <w:pStyle w:val="ListParagraph"/>
        <w:numPr>
          <w:ilvl w:val="0"/>
          <w:numId w:val="18"/>
        </w:numPr>
        <w:jc w:val="both"/>
        <w:rPr>
          <w:rFonts w:ascii="Times New Roman" w:hAnsi="Times New Roman" w:cs="Times New Roman"/>
          <w:sz w:val="24"/>
          <w:szCs w:val="24"/>
        </w:rPr>
      </w:pPr>
      <w:r w:rsidRPr="00E20650">
        <w:rPr>
          <w:rFonts w:ascii="Times New Roman" w:hAnsi="Times New Roman" w:cs="Times New Roman"/>
          <w:sz w:val="24"/>
          <w:szCs w:val="24"/>
        </w:rPr>
        <w:t>UN Office for the Coordination of Humanitarian Affairs (OCHA) Situation Report No. 45 (June 16, 2011).</w:t>
      </w:r>
    </w:p>
    <w:p w:rsidR="00E20650" w:rsidRPr="00E20650" w:rsidRDefault="00E20650" w:rsidP="007C6D2C">
      <w:pPr>
        <w:jc w:val="both"/>
      </w:pPr>
    </w:p>
    <w:p w:rsidR="00E20650" w:rsidRPr="00E20650" w:rsidRDefault="00E20650" w:rsidP="007C6D2C">
      <w:pPr>
        <w:pStyle w:val="ListParagraph"/>
        <w:numPr>
          <w:ilvl w:val="0"/>
          <w:numId w:val="18"/>
        </w:numPr>
        <w:jc w:val="both"/>
        <w:rPr>
          <w:rFonts w:ascii="Times New Roman" w:hAnsi="Times New Roman" w:cs="Times New Roman"/>
          <w:sz w:val="24"/>
          <w:szCs w:val="24"/>
        </w:rPr>
      </w:pPr>
      <w:r w:rsidRPr="00E20650">
        <w:rPr>
          <w:rFonts w:ascii="Times New Roman" w:hAnsi="Times New Roman" w:cs="Times New Roman"/>
          <w:sz w:val="24"/>
          <w:szCs w:val="24"/>
        </w:rPr>
        <w:t>UN Regional Appeal:  UN OCHA Regional Flash Appeal for the Libyan Crisis (May 18, 2011).</w:t>
      </w:r>
    </w:p>
    <w:p w:rsidR="00A706FA" w:rsidRPr="00696169" w:rsidRDefault="00A706FA" w:rsidP="007C6D2C">
      <w:pPr>
        <w:jc w:val="both"/>
      </w:pPr>
    </w:p>
    <w:bookmarkEnd w:id="47"/>
    <w:p w:rsidR="00A706FA" w:rsidRDefault="00A706FA" w:rsidP="007C6D2C">
      <w:pPr>
        <w:numPr>
          <w:ilvl w:val="0"/>
          <w:numId w:val="6"/>
        </w:numPr>
        <w:tabs>
          <w:tab w:val="clear" w:pos="720"/>
          <w:tab w:val="num" w:pos="360"/>
        </w:tabs>
        <w:ind w:left="360"/>
        <w:jc w:val="both"/>
        <w:rPr>
          <w:b/>
          <w:bCs/>
        </w:rPr>
      </w:pPr>
      <w:r w:rsidRPr="007C6D2C">
        <w:rPr>
          <w:b/>
          <w:bCs/>
        </w:rPr>
        <w:t>Contact point</w:t>
      </w:r>
    </w:p>
    <w:p w:rsidR="007C6D2C" w:rsidRPr="007C6D2C" w:rsidRDefault="007C6D2C" w:rsidP="007C6D2C">
      <w:pPr>
        <w:jc w:val="both"/>
        <w:rPr>
          <w:b/>
          <w:bCs/>
        </w:rPr>
      </w:pPr>
    </w:p>
    <w:p w:rsidR="00EF7963" w:rsidRPr="00696169" w:rsidRDefault="00EF7963" w:rsidP="007C6D2C">
      <w:pPr>
        <w:jc w:val="both"/>
      </w:pPr>
      <w:bookmarkStart w:id="48" w:name="ContactInfo"/>
      <w:r w:rsidRPr="00696169">
        <w:t xml:space="preserve">Contact: </w:t>
      </w:r>
      <w:proofErr w:type="spellStart"/>
      <w:r w:rsidRPr="00696169">
        <w:t>Hebatalla</w:t>
      </w:r>
      <w:proofErr w:type="spellEnd"/>
      <w:r w:rsidRPr="00696169">
        <w:t xml:space="preserve"> </w:t>
      </w:r>
      <w:proofErr w:type="spellStart"/>
      <w:r w:rsidRPr="00696169">
        <w:t>Abdelhamid</w:t>
      </w:r>
      <w:proofErr w:type="spellEnd"/>
      <w:r w:rsidRPr="00696169">
        <w:t xml:space="preserve"> </w:t>
      </w:r>
      <w:proofErr w:type="spellStart"/>
      <w:r w:rsidRPr="00696169">
        <w:t>Elgazzar</w:t>
      </w:r>
      <w:proofErr w:type="spellEnd"/>
    </w:p>
    <w:p w:rsidR="00EF7963" w:rsidRPr="00696169" w:rsidRDefault="00EF7963" w:rsidP="007C6D2C">
      <w:pPr>
        <w:jc w:val="both"/>
      </w:pPr>
      <w:r w:rsidRPr="00696169">
        <w:t>Title: Economist (Health)</w:t>
      </w:r>
    </w:p>
    <w:p w:rsidR="00EF7963" w:rsidRPr="00696169" w:rsidRDefault="00EF7963" w:rsidP="007C6D2C">
      <w:pPr>
        <w:jc w:val="both"/>
      </w:pPr>
      <w:r w:rsidRPr="00696169">
        <w:t>Tel: (202) 458-8192</w:t>
      </w:r>
    </w:p>
    <w:p w:rsidR="00EF7963" w:rsidRPr="00696169" w:rsidRDefault="00EF7963" w:rsidP="007C6D2C">
      <w:pPr>
        <w:jc w:val="both"/>
      </w:pPr>
      <w:r w:rsidRPr="00696169">
        <w:t xml:space="preserve">Fax: </w:t>
      </w:r>
      <w:r w:rsidR="00E20650">
        <w:t xml:space="preserve">(202) </w:t>
      </w:r>
      <w:r w:rsidR="00E20650" w:rsidRPr="00E20650">
        <w:t>477-0036</w:t>
      </w:r>
    </w:p>
    <w:p w:rsidR="00A706FA" w:rsidRPr="00696169" w:rsidRDefault="00EF7963" w:rsidP="007C6D2C">
      <w:pPr>
        <w:jc w:val="both"/>
      </w:pPr>
      <w:r w:rsidRPr="00696169">
        <w:t>Email: helgazzar@worldbank.org</w:t>
      </w:r>
      <w:bookmarkEnd w:id="48"/>
    </w:p>
    <w:p w:rsidR="00A706FA" w:rsidRPr="00696169" w:rsidRDefault="00A706FA" w:rsidP="007C6D2C">
      <w:pPr>
        <w:jc w:val="both"/>
      </w:pPr>
    </w:p>
    <w:p w:rsidR="00A706FA" w:rsidRPr="007C6D2C" w:rsidRDefault="00A706FA" w:rsidP="007C6D2C">
      <w:pPr>
        <w:numPr>
          <w:ilvl w:val="0"/>
          <w:numId w:val="6"/>
        </w:numPr>
        <w:tabs>
          <w:tab w:val="clear" w:pos="720"/>
          <w:tab w:val="num" w:pos="360"/>
        </w:tabs>
        <w:ind w:left="360"/>
        <w:jc w:val="both"/>
        <w:rPr>
          <w:b/>
          <w:bCs/>
        </w:rPr>
      </w:pPr>
      <w:r w:rsidRPr="007C6D2C">
        <w:rPr>
          <w:b/>
          <w:bCs/>
        </w:rPr>
        <w:t>For more information contact:</w:t>
      </w:r>
    </w:p>
    <w:p w:rsidR="007C6D2C" w:rsidRDefault="007C6D2C" w:rsidP="007C6D2C">
      <w:pPr>
        <w:ind w:left="720"/>
        <w:jc w:val="both"/>
      </w:pPr>
    </w:p>
    <w:p w:rsidR="00A706FA" w:rsidRPr="00696169" w:rsidRDefault="00A706FA" w:rsidP="007C6D2C">
      <w:pPr>
        <w:ind w:left="720"/>
        <w:jc w:val="both"/>
      </w:pPr>
      <w:r w:rsidRPr="00696169">
        <w:t xml:space="preserve">The </w:t>
      </w:r>
      <w:proofErr w:type="spellStart"/>
      <w:r w:rsidRPr="00696169">
        <w:t>InfoShop</w:t>
      </w:r>
      <w:proofErr w:type="spellEnd"/>
    </w:p>
    <w:p w:rsidR="00A706FA" w:rsidRPr="00696169" w:rsidRDefault="00A706FA" w:rsidP="007C6D2C">
      <w:pPr>
        <w:ind w:left="720"/>
        <w:jc w:val="both"/>
      </w:pPr>
      <w:r w:rsidRPr="00696169">
        <w:t>The World Bank</w:t>
      </w:r>
    </w:p>
    <w:p w:rsidR="00A706FA" w:rsidRPr="00696169" w:rsidRDefault="00A706FA" w:rsidP="007C6D2C">
      <w:pPr>
        <w:ind w:left="720"/>
        <w:jc w:val="both"/>
      </w:pPr>
      <w:r w:rsidRPr="00696169">
        <w:t>1818 H Street, NW</w:t>
      </w:r>
    </w:p>
    <w:p w:rsidR="00A706FA" w:rsidRPr="00696169" w:rsidRDefault="00A706FA" w:rsidP="007C6D2C">
      <w:pPr>
        <w:ind w:left="720"/>
        <w:jc w:val="both"/>
      </w:pPr>
      <w:r w:rsidRPr="00696169">
        <w:t>Washington, D.C. 20433</w:t>
      </w:r>
    </w:p>
    <w:p w:rsidR="00A706FA" w:rsidRPr="00696169" w:rsidRDefault="00A706FA" w:rsidP="007C6D2C">
      <w:pPr>
        <w:ind w:left="720"/>
        <w:jc w:val="both"/>
      </w:pPr>
      <w:r w:rsidRPr="00696169">
        <w:t>Telephone:  (202) 458-</w:t>
      </w:r>
      <w:r w:rsidR="00681AD4" w:rsidRPr="00696169">
        <w:t>4500</w:t>
      </w:r>
    </w:p>
    <w:p w:rsidR="00A706FA" w:rsidRPr="00696169" w:rsidRDefault="00A706FA" w:rsidP="007C6D2C">
      <w:pPr>
        <w:ind w:left="720"/>
        <w:jc w:val="both"/>
      </w:pPr>
      <w:r w:rsidRPr="00696169">
        <w:t>Fax:  (202) 522-1500</w:t>
      </w:r>
    </w:p>
    <w:p w:rsidR="00681AD4" w:rsidRPr="00696169" w:rsidRDefault="00681AD4" w:rsidP="007C6D2C">
      <w:pPr>
        <w:ind w:left="720"/>
        <w:jc w:val="both"/>
      </w:pPr>
      <w:r w:rsidRPr="00696169">
        <w:t>Email: pic@worldbank.org</w:t>
      </w:r>
    </w:p>
    <w:p w:rsidR="00A706FA" w:rsidRPr="00696169" w:rsidRDefault="00A706FA" w:rsidP="007C6D2C">
      <w:pPr>
        <w:ind w:left="720"/>
        <w:jc w:val="both"/>
      </w:pPr>
      <w:r w:rsidRPr="00696169">
        <w:t>Web: http://www.worldbank.org/infoshop</w:t>
      </w:r>
    </w:p>
    <w:p w:rsidR="00A706FA" w:rsidRPr="00696169" w:rsidRDefault="00A706FA" w:rsidP="007C6D2C">
      <w:pPr>
        <w:jc w:val="both"/>
      </w:pPr>
    </w:p>
    <w:sectPr w:rsidR="00A706FA" w:rsidRPr="00696169" w:rsidSect="000E5A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9BE" w:rsidRDefault="004079BE" w:rsidP="00EF7963">
      <w:r>
        <w:separator/>
      </w:r>
    </w:p>
  </w:endnote>
  <w:endnote w:type="continuationSeparator" w:id="0">
    <w:p w:rsidR="004079BE" w:rsidRDefault="004079BE" w:rsidP="00EF7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9BE" w:rsidRDefault="004079BE" w:rsidP="00EF7963">
      <w:r>
        <w:separator/>
      </w:r>
    </w:p>
  </w:footnote>
  <w:footnote w:type="continuationSeparator" w:id="0">
    <w:p w:rsidR="004079BE" w:rsidRDefault="004079BE" w:rsidP="00EF7963">
      <w:r>
        <w:continuationSeparator/>
      </w:r>
    </w:p>
  </w:footnote>
  <w:footnote w:id="1">
    <w:p w:rsidR="004079BE" w:rsidRDefault="004079BE" w:rsidP="007663AA">
      <w:pPr>
        <w:pStyle w:val="FootnoteText"/>
      </w:pPr>
      <w:r>
        <w:rPr>
          <w:rStyle w:val="FootnoteReference"/>
        </w:rPr>
        <w:t>*</w:t>
      </w:r>
      <w:r>
        <w:t xml:space="preserve"> </w:t>
      </w:r>
      <w:r>
        <w:rPr>
          <w:i/>
          <w:snapToGrid w:val="0"/>
          <w:color w:val="000000"/>
          <w:sz w:val="18"/>
        </w:rPr>
        <w:t>By supporting the proposed project, the Bank does not intend to prejudice the final determination of the parties' claims on the disputed areas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240"/>
    <w:multiLevelType w:val="hybridMultilevel"/>
    <w:tmpl w:val="257A1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5593A"/>
    <w:multiLevelType w:val="hybridMultilevel"/>
    <w:tmpl w:val="F57C3F12"/>
    <w:lvl w:ilvl="0" w:tplc="FC9A40E2">
      <w:start w:val="1"/>
      <w:numFmt w:val="decimal"/>
      <w:lvlText w:val="%1."/>
      <w:lvlJc w:val="left"/>
      <w:pPr>
        <w:tabs>
          <w:tab w:val="num" w:pos="450"/>
        </w:tabs>
        <w:ind w:left="90" w:firstLine="0"/>
      </w:pPr>
      <w:rPr>
        <w:rFonts w:hint="default"/>
      </w:rPr>
    </w:lvl>
    <w:lvl w:ilvl="1" w:tplc="E4B21D22">
      <w:start w:val="1"/>
      <w:numFmt w:val="lowerLetter"/>
      <w:lvlText w:val="(%2)"/>
      <w:lvlJc w:val="left"/>
      <w:pPr>
        <w:tabs>
          <w:tab w:val="num" w:pos="810"/>
        </w:tabs>
        <w:ind w:left="1170" w:firstLine="0"/>
      </w:pPr>
      <w:rPr>
        <w:rFonts w:hint="default"/>
      </w:rPr>
    </w:lvl>
    <w:lvl w:ilvl="2" w:tplc="73C4CA50">
      <w:start w:val="1"/>
      <w:numFmt w:val="lowerRoman"/>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08CB060D"/>
    <w:multiLevelType w:val="hybridMultilevel"/>
    <w:tmpl w:val="DE168C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E34E60"/>
    <w:multiLevelType w:val="hybridMultilevel"/>
    <w:tmpl w:val="E1E2426E"/>
    <w:lvl w:ilvl="0" w:tplc="6D9EBD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B607A0"/>
    <w:multiLevelType w:val="hybridMultilevel"/>
    <w:tmpl w:val="8FDA0588"/>
    <w:lvl w:ilvl="0" w:tplc="27DEBDF4">
      <w:start w:val="1"/>
      <w:numFmt w:val="bullet"/>
      <w:lvlText w:val=""/>
      <w:lvlJc w:val="left"/>
      <w:pPr>
        <w:tabs>
          <w:tab w:val="num" w:pos="1080"/>
        </w:tabs>
        <w:ind w:left="1080" w:firstLine="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4BD7591"/>
    <w:multiLevelType w:val="hybridMultilevel"/>
    <w:tmpl w:val="2FA2C1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B64132"/>
    <w:multiLevelType w:val="hybridMultilevel"/>
    <w:tmpl w:val="0254CD16"/>
    <w:lvl w:ilvl="0" w:tplc="68E6D438">
      <w:start w:val="1"/>
      <w:numFmt w:val="upp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45C25BAE"/>
    <w:multiLevelType w:val="hybridMultilevel"/>
    <w:tmpl w:val="ECEA714E"/>
    <w:lvl w:ilvl="0" w:tplc="A3AC83B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57F3C"/>
    <w:multiLevelType w:val="hybridMultilevel"/>
    <w:tmpl w:val="E758D212"/>
    <w:lvl w:ilvl="0" w:tplc="46E08AF8">
      <w:start w:val="1"/>
      <w:numFmt w:val="decimal"/>
      <w:lvlText w:val="%1."/>
      <w:lvlJc w:val="left"/>
      <w:pPr>
        <w:ind w:left="360" w:hanging="360"/>
      </w:pPr>
      <w:rPr>
        <w:b w:val="0"/>
        <w:i w:val="0"/>
      </w:rPr>
    </w:lvl>
    <w:lvl w:ilvl="1" w:tplc="A3AC83B4">
      <w:start w:val="1"/>
      <w:numFmt w:val="lowerLetter"/>
      <w:lvlText w:val="(%2)"/>
      <w:lvlJc w:val="left"/>
      <w:pPr>
        <w:ind w:left="1080" w:hanging="360"/>
      </w:pPr>
      <w:rPr>
        <w:rFonts w:hint="default"/>
        <w:b w:val="0"/>
        <w:i w:val="0"/>
        <w:sz w:val="24"/>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51DB08AA"/>
    <w:multiLevelType w:val="hybridMultilevel"/>
    <w:tmpl w:val="44C0E62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C73F6B"/>
    <w:multiLevelType w:val="hybridMultilevel"/>
    <w:tmpl w:val="6ABC0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85D5113"/>
    <w:multiLevelType w:val="hybridMultilevel"/>
    <w:tmpl w:val="A50E8158"/>
    <w:lvl w:ilvl="0" w:tplc="0E04167E">
      <w:start w:val="1"/>
      <w:numFmt w:val="lowerLetter"/>
      <w:lvlText w:val="(%1)"/>
      <w:lvlJc w:val="left"/>
      <w:pPr>
        <w:tabs>
          <w:tab w:val="num" w:pos="360"/>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7"/>
  </w:num>
  <w:num w:numId="4">
    <w:abstractNumId w:val="3"/>
  </w:num>
  <w:num w:numId="5">
    <w:abstractNumId w:val="10"/>
  </w:num>
  <w:num w:numId="6">
    <w:abstractNumId w:val="0"/>
  </w:num>
  <w:num w:numId="7">
    <w:abstractNumId w:val="1"/>
  </w:num>
  <w:num w:numId="8">
    <w:abstractNumId w:val="16"/>
  </w:num>
  <w:num w:numId="9">
    <w:abstractNumId w:val="4"/>
  </w:num>
  <w:num w:numId="10">
    <w:abstractNumId w:val="6"/>
  </w:num>
  <w:num w:numId="11">
    <w:abstractNumId w:val="13"/>
  </w:num>
  <w:num w:numId="12">
    <w:abstractNumId w:val="11"/>
  </w:num>
  <w:num w:numId="13">
    <w:abstractNumId w:val="8"/>
  </w:num>
  <w:num w:numId="14">
    <w:abstractNumId w:val="15"/>
  </w:num>
  <w:num w:numId="15">
    <w:abstractNumId w:val="7"/>
  </w:num>
  <w:num w:numId="16">
    <w:abstractNumId w:val="12"/>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6461C9"/>
    <w:rsid w:val="0005612D"/>
    <w:rsid w:val="000B4E1D"/>
    <w:rsid w:val="000E5A54"/>
    <w:rsid w:val="001220F6"/>
    <w:rsid w:val="00127DC1"/>
    <w:rsid w:val="001830A4"/>
    <w:rsid w:val="002273A9"/>
    <w:rsid w:val="00294D33"/>
    <w:rsid w:val="002B5C62"/>
    <w:rsid w:val="003610BE"/>
    <w:rsid w:val="00384BF3"/>
    <w:rsid w:val="004079BE"/>
    <w:rsid w:val="00474D20"/>
    <w:rsid w:val="00486EAE"/>
    <w:rsid w:val="004B2B84"/>
    <w:rsid w:val="004C020C"/>
    <w:rsid w:val="004D3861"/>
    <w:rsid w:val="004D6974"/>
    <w:rsid w:val="004F226E"/>
    <w:rsid w:val="00580BD4"/>
    <w:rsid w:val="00582D43"/>
    <w:rsid w:val="00623819"/>
    <w:rsid w:val="006461C9"/>
    <w:rsid w:val="00663554"/>
    <w:rsid w:val="006806FF"/>
    <w:rsid w:val="00681AD4"/>
    <w:rsid w:val="00696169"/>
    <w:rsid w:val="007323C6"/>
    <w:rsid w:val="007663AA"/>
    <w:rsid w:val="007C6D2C"/>
    <w:rsid w:val="007F6FD4"/>
    <w:rsid w:val="00835A83"/>
    <w:rsid w:val="00863D01"/>
    <w:rsid w:val="00947F00"/>
    <w:rsid w:val="009A7E3A"/>
    <w:rsid w:val="009D77A5"/>
    <w:rsid w:val="00A706FA"/>
    <w:rsid w:val="00C116F7"/>
    <w:rsid w:val="00C17C76"/>
    <w:rsid w:val="00D01DBF"/>
    <w:rsid w:val="00D955D8"/>
    <w:rsid w:val="00DA2BDA"/>
    <w:rsid w:val="00E20650"/>
    <w:rsid w:val="00E7550A"/>
    <w:rsid w:val="00E81925"/>
    <w:rsid w:val="00EC49B1"/>
    <w:rsid w:val="00EC5EEE"/>
    <w:rsid w:val="00ED066A"/>
    <w:rsid w:val="00EF7963"/>
    <w:rsid w:val="00F0509D"/>
    <w:rsid w:val="00F64C6F"/>
    <w:rsid w:val="00F828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A54"/>
    <w:rPr>
      <w:sz w:val="24"/>
      <w:szCs w:val="24"/>
    </w:rPr>
  </w:style>
  <w:style w:type="paragraph" w:styleId="Heading1">
    <w:name w:val="heading 1"/>
    <w:basedOn w:val="Normal"/>
    <w:next w:val="Normal"/>
    <w:qFormat/>
    <w:rsid w:val="000E5A54"/>
    <w:pPr>
      <w:keepNext/>
      <w:outlineLvl w:val="0"/>
    </w:pPr>
    <w:rPr>
      <w:b/>
      <w:bCs/>
    </w:rPr>
  </w:style>
  <w:style w:type="paragraph" w:styleId="Heading2">
    <w:name w:val="heading 2"/>
    <w:basedOn w:val="Normal"/>
    <w:next w:val="Normal"/>
    <w:qFormat/>
    <w:rsid w:val="000E5A5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E5A54"/>
    <w:pPr>
      <w:ind w:left="-108"/>
      <w:jc w:val="both"/>
    </w:pPr>
  </w:style>
  <w:style w:type="paragraph" w:styleId="CommentText">
    <w:name w:val="annotation text"/>
    <w:basedOn w:val="Normal"/>
    <w:link w:val="CommentTextChar"/>
    <w:semiHidden/>
    <w:rsid w:val="000E5A54"/>
    <w:rPr>
      <w:sz w:val="20"/>
      <w:szCs w:val="20"/>
    </w:rPr>
  </w:style>
  <w:style w:type="character" w:styleId="CommentReference">
    <w:name w:val="annotation reference"/>
    <w:basedOn w:val="DefaultParagraphFont"/>
    <w:semiHidden/>
    <w:rsid w:val="000E5A54"/>
    <w:rPr>
      <w:sz w:val="16"/>
      <w:szCs w:val="16"/>
    </w:rPr>
  </w:style>
  <w:style w:type="paragraph" w:styleId="BalloonText">
    <w:name w:val="Balloon Text"/>
    <w:basedOn w:val="Normal"/>
    <w:semiHidden/>
    <w:rsid w:val="006461C9"/>
    <w:rPr>
      <w:rFonts w:ascii="Tahoma" w:hAnsi="Tahoma" w:cs="Tahoma"/>
      <w:sz w:val="16"/>
      <w:szCs w:val="16"/>
    </w:rPr>
  </w:style>
  <w:style w:type="character" w:styleId="Hyperlink">
    <w:name w:val="Hyperlink"/>
    <w:basedOn w:val="DefaultParagraphFont"/>
    <w:rsid w:val="00EF7963"/>
    <w:rPr>
      <w:color w:val="0000FF"/>
      <w:u w:val="single"/>
    </w:rPr>
  </w:style>
  <w:style w:type="paragraph" w:styleId="FootnoteText">
    <w:name w:val="footnote text"/>
    <w:aliases w:val="single space,footnote text,fn,FOOTNOTES,Char Char Char,Char Char,ADB,WB-Fußnotentext,Footnote,Fußnote,ALTS FOOTNOTE,Footnote Text 1,ft,Footnote Text Char1,Footnote Text Char Char,f,Footnote Text Char2 Char"/>
    <w:basedOn w:val="Normal"/>
    <w:link w:val="FootnoteTextChar"/>
    <w:uiPriority w:val="99"/>
    <w:rsid w:val="00EF7963"/>
    <w:rPr>
      <w:sz w:val="20"/>
      <w:szCs w:val="20"/>
    </w:rPr>
  </w:style>
  <w:style w:type="character" w:customStyle="1" w:styleId="FootnoteTextChar">
    <w:name w:val="Footnote Text Char"/>
    <w:aliases w:val="single space Char,footnote text Char,fn Char,FOOTNOTES Char,Char Char Char Char,Char Char Char1,ADB Char,WB-Fußnotentext Char,Footnote Char,Fußnote Char,ALTS FOOTNOTE Char,Footnote Text 1 Char,ft Char,Footnote Text Char1 Char,f Char"/>
    <w:basedOn w:val="DefaultParagraphFont"/>
    <w:link w:val="FootnoteText"/>
    <w:uiPriority w:val="99"/>
    <w:rsid w:val="00EF7963"/>
  </w:style>
  <w:style w:type="character" w:styleId="FootnoteReference">
    <w:name w:val="footnote reference"/>
    <w:aliases w:val="Error-Fußnotenzeichen5,Error-Fußnotenzeichen6,Error-Fußnotenzeichen3,Footnote Reference1,ftref, BVI fnr,BVI fnr,Error-Fu?notenzeichen5,Error-Fu?notenzeichen6,Error-Fu?notenzeichen3,referencia nota al pie"/>
    <w:basedOn w:val="DefaultParagraphFont"/>
    <w:uiPriority w:val="99"/>
    <w:rsid w:val="00EF7963"/>
    <w:rPr>
      <w:vertAlign w:val="superscript"/>
    </w:rPr>
  </w:style>
  <w:style w:type="paragraph" w:styleId="ListParagraph">
    <w:name w:val="List Paragraph"/>
    <w:basedOn w:val="Normal"/>
    <w:uiPriority w:val="34"/>
    <w:qFormat/>
    <w:rsid w:val="001220F6"/>
    <w:pPr>
      <w:ind w:left="720"/>
      <w:contextualSpacing/>
    </w:pPr>
    <w:rPr>
      <w:rFonts w:asciiTheme="minorHAnsi" w:eastAsiaTheme="minorHAnsi" w:hAnsiTheme="minorHAnsi" w:cstheme="minorBidi"/>
      <w:sz w:val="22"/>
      <w:szCs w:val="22"/>
    </w:rPr>
  </w:style>
  <w:style w:type="table" w:styleId="TableGrid">
    <w:name w:val="Table Grid"/>
    <w:basedOn w:val="TableNormal"/>
    <w:rsid w:val="001220F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aliases w:val="Caption Char Char Char,Caption1 Char,Caption1"/>
    <w:basedOn w:val="Normal"/>
    <w:next w:val="Normal"/>
    <w:autoRedefine/>
    <w:unhideWhenUsed/>
    <w:qFormat/>
    <w:rsid w:val="001220F6"/>
    <w:pPr>
      <w:keepNext/>
      <w:spacing w:after="120"/>
      <w:jc w:val="center"/>
    </w:pPr>
    <w:rPr>
      <w:rFonts w:eastAsiaTheme="minorHAnsi" w:cstheme="minorBidi"/>
      <w:b/>
      <w:bCs/>
      <w:sz w:val="20"/>
      <w:szCs w:val="18"/>
    </w:rPr>
  </w:style>
  <w:style w:type="paragraph" w:customStyle="1" w:styleId="Heading1a">
    <w:name w:val="Heading 1a"/>
    <w:basedOn w:val="Normal"/>
    <w:next w:val="Normal"/>
    <w:uiPriority w:val="99"/>
    <w:rsid w:val="00E81925"/>
    <w:pPr>
      <w:keepNext/>
      <w:keepLines/>
      <w:numPr>
        <w:numId w:val="15"/>
      </w:numPr>
      <w:spacing w:before="1440" w:after="240"/>
      <w:jc w:val="center"/>
      <w:outlineLvl w:val="0"/>
    </w:pPr>
    <w:rPr>
      <w:b/>
      <w:caps/>
      <w:sz w:val="32"/>
    </w:rPr>
  </w:style>
  <w:style w:type="paragraph" w:customStyle="1" w:styleId="MainParanoChapter">
    <w:name w:val="Main Para no Chapter #"/>
    <w:basedOn w:val="Normal"/>
    <w:uiPriority w:val="99"/>
    <w:rsid w:val="00E81925"/>
    <w:pPr>
      <w:keepNext/>
      <w:numPr>
        <w:ilvl w:val="1"/>
        <w:numId w:val="15"/>
      </w:numPr>
      <w:spacing w:after="240"/>
    </w:pPr>
  </w:style>
  <w:style w:type="paragraph" w:customStyle="1" w:styleId="Sub-Para1underX">
    <w:name w:val="Sub-Para 1 under X."/>
    <w:basedOn w:val="Normal"/>
    <w:uiPriority w:val="99"/>
    <w:rsid w:val="00E81925"/>
    <w:pPr>
      <w:numPr>
        <w:ilvl w:val="2"/>
        <w:numId w:val="15"/>
      </w:numPr>
      <w:spacing w:after="240"/>
      <w:outlineLvl w:val="2"/>
    </w:pPr>
  </w:style>
  <w:style w:type="paragraph" w:customStyle="1" w:styleId="Sub-Para2underX">
    <w:name w:val="Sub-Para 2 under X."/>
    <w:basedOn w:val="Normal"/>
    <w:uiPriority w:val="99"/>
    <w:rsid w:val="00E81925"/>
    <w:pPr>
      <w:numPr>
        <w:ilvl w:val="3"/>
        <w:numId w:val="15"/>
      </w:numPr>
      <w:spacing w:after="240"/>
      <w:outlineLvl w:val="3"/>
    </w:pPr>
  </w:style>
  <w:style w:type="paragraph" w:customStyle="1" w:styleId="Sub-Para3underX">
    <w:name w:val="Sub-Para 3 under X."/>
    <w:basedOn w:val="Normal"/>
    <w:uiPriority w:val="99"/>
    <w:rsid w:val="00E81925"/>
    <w:pPr>
      <w:numPr>
        <w:ilvl w:val="4"/>
        <w:numId w:val="15"/>
      </w:numPr>
      <w:spacing w:after="240"/>
      <w:outlineLvl w:val="4"/>
    </w:pPr>
  </w:style>
  <w:style w:type="paragraph" w:customStyle="1" w:styleId="Sub-Para4underX">
    <w:name w:val="Sub-Para 4 under X."/>
    <w:basedOn w:val="Normal"/>
    <w:uiPriority w:val="99"/>
    <w:rsid w:val="00E81925"/>
    <w:pPr>
      <w:numPr>
        <w:ilvl w:val="5"/>
        <w:numId w:val="15"/>
      </w:numPr>
      <w:spacing w:after="240"/>
      <w:outlineLvl w:val="5"/>
    </w:pPr>
  </w:style>
  <w:style w:type="paragraph" w:styleId="CommentSubject">
    <w:name w:val="annotation subject"/>
    <w:basedOn w:val="CommentText"/>
    <w:next w:val="CommentText"/>
    <w:link w:val="CommentSubjectChar"/>
    <w:rsid w:val="0005612D"/>
    <w:rPr>
      <w:b/>
      <w:bCs/>
    </w:rPr>
  </w:style>
  <w:style w:type="character" w:customStyle="1" w:styleId="CommentTextChar">
    <w:name w:val="Comment Text Char"/>
    <w:basedOn w:val="DefaultParagraphFont"/>
    <w:link w:val="CommentText"/>
    <w:semiHidden/>
    <w:rsid w:val="0005612D"/>
  </w:style>
  <w:style w:type="character" w:customStyle="1" w:styleId="CommentSubjectChar">
    <w:name w:val="Comment Subject Char"/>
    <w:basedOn w:val="CommentTextChar"/>
    <w:link w:val="CommentSubject"/>
    <w:rsid w:val="0005612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intranet.worldbank.org/WBSITE/INTRANET/OPSMANUAL/0,,contentMDK:20064614~pagePK:60001255~piPK:60000911~theSitePK:210385,00.html" TargetMode="External"/><Relationship Id="rId13" Type="http://schemas.openxmlformats.org/officeDocument/2006/relationships/hyperlink" Target="http://go.worldbank.org/NADINE51G0" TargetMode="External"/><Relationship Id="rId18" Type="http://schemas.openxmlformats.org/officeDocument/2006/relationships/hyperlink" Target="http://intranet.worldbank.org/WBSITE/INTRANET/OPSMANUAL/0,,contentMDK:20141282~pagePK:60001255~piPK:60000911~theSitePK:210385,00.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ntranet.worldbank.org/WBSITE/INTRANET/OPSMANUAL/0,,contentMDK:20064667~pagePK:60001255~piPK:60000911~theSitePK:210385,00.html" TargetMode="External"/><Relationship Id="rId7" Type="http://schemas.openxmlformats.org/officeDocument/2006/relationships/hyperlink" Target="http://intranet.worldbank.org/WBSITE/INTRANET/OPSMANUAL/0,,contentMDK:20064724~pagePK:60001255~piPK:60000911~theSitePK:210385,00.html" TargetMode="External"/><Relationship Id="rId12" Type="http://schemas.openxmlformats.org/officeDocument/2006/relationships/hyperlink" Target="http://go.worldbank.org/66GIFR88F0" TargetMode="External"/><Relationship Id="rId17" Type="http://schemas.openxmlformats.org/officeDocument/2006/relationships/hyperlink" Target="http://intranet.worldbank.org/WBSITE/INTRANET/OPSMANUAL/0,,contentMDK:20064668~pagePK:60001255~piPK:60000911~theSitePK:210385,00.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ranet.worldbank.org/WBSITE/INTRANET/OPSMANUAL/0,,contentMDK:20064675~pagePK:60001255~piPK:60000911~theSitePK:210385,00.html" TargetMode="External"/><Relationship Id="rId20" Type="http://schemas.openxmlformats.org/officeDocument/2006/relationships/hyperlink" Target="http://intranet.worldbank.org/WBSITE/INTRANET/OPSMANUAL/0,,contentMDK:20064589~pagePK:60001255~piPK:60000911~theSitePK:210385,0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worldbank.org/WBSITE/INTRANET/OPSMANUAL/0,,contentMDK:20064720~pagePK:60001255~piPK:60000911~theSitePK:210385,00.html" TargetMode="External"/><Relationship Id="rId24" Type="http://schemas.openxmlformats.org/officeDocument/2006/relationships/hyperlink" Target="http://intranet.worldbank.org/WBSITE/INTRANET/OPSMANUAL/0,,contentMDK:20064640~pagePK:60001255~piPK:60000911~theSitePK:210385,00.html" TargetMode="External"/><Relationship Id="rId5" Type="http://schemas.openxmlformats.org/officeDocument/2006/relationships/footnotes" Target="footnotes.xml"/><Relationship Id="rId15" Type="http://schemas.openxmlformats.org/officeDocument/2006/relationships/hyperlink" Target="http://intranet.worldbank.org/WBSITE/INTRANET/OPSMANUAL/0,,contentMDK:20064610~pagePK:60001255~piPK:60000911~theSitePK:210385,00.html" TargetMode="External"/><Relationship Id="rId23" Type="http://schemas.openxmlformats.org/officeDocument/2006/relationships/hyperlink" Target="http://intranet.worldbank.org/WBSITE/INTRANET/OPSMANUAL/0,,contentMDK:20064615~pagePK:60001255~piPK:60000911~theSitePK:210385,00.html" TargetMode="External"/><Relationship Id="rId10" Type="http://schemas.openxmlformats.org/officeDocument/2006/relationships/hyperlink" Target="http://intranet.worldbank.org/WBSITE/INTRANET/OPSMANUAL/0,,contentMDK:20064560~pagePK:60001255~piPK:60000911~theSitePK:210385,00.html" TargetMode="External"/><Relationship Id="rId19" Type="http://schemas.openxmlformats.org/officeDocument/2006/relationships/hyperlink" Target="http://intranet.worldbank.org/WBSITE/INTRANET/OPSMANUAL/0,,contentMDK:20064653~pagePK:60001255~piPK:60000911~theSitePK:210385,00.html" TargetMode="External"/><Relationship Id="rId4" Type="http://schemas.openxmlformats.org/officeDocument/2006/relationships/webSettings" Target="webSettings.xml"/><Relationship Id="rId9" Type="http://schemas.openxmlformats.org/officeDocument/2006/relationships/hyperlink" Target="http://intranet.worldbank.org/WBSITE/INTRANET/OPSMANUAL/0,,contentMDK:20064757~pagePK:60001255~piPK:60000911~theSitePK:210385,00.html" TargetMode="External"/><Relationship Id="rId14" Type="http://schemas.openxmlformats.org/officeDocument/2006/relationships/hyperlink" Target="http://intranet.worldbank.org/WBSITE/INTRANET/OPSMANUAL/0,,contentMDK:20970738~pagePK:60001219~piPK:280527~theSitePK:210385,00.html" TargetMode="External"/><Relationship Id="rId22" Type="http://schemas.openxmlformats.org/officeDocument/2006/relationships/hyperlink" Target="http://intranet.worldbank.org/WBSITE/INTRANET/OPSMANUAL/0,,contentMDK:20064701~pagePK:60001255~piPK:60000911~theSitePK:21038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2837</Words>
  <Characters>19377</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22170</CharactersWithSpaces>
  <SharedDoc>false</SharedDoc>
  <HLinks>
    <vt:vector size="114" baseType="variant">
      <vt:variant>
        <vt:i4>5636178</vt:i4>
      </vt:variant>
      <vt:variant>
        <vt:i4>57</vt:i4>
      </vt:variant>
      <vt:variant>
        <vt:i4>0</vt:i4>
      </vt:variant>
      <vt:variant>
        <vt:i4>5</vt:i4>
      </vt:variant>
      <vt:variant>
        <vt:lpwstr>http://intranet.worldbank.org/WBSITE/INTRANET/OPSMANUAL/0,,contentMDK:20064640~pagePK:60001255~piPK:60000911~theSitePK:210385,00.html</vt:lpwstr>
      </vt:variant>
      <vt:variant>
        <vt:lpwstr/>
      </vt:variant>
      <vt:variant>
        <vt:i4>5439575</vt:i4>
      </vt:variant>
      <vt:variant>
        <vt:i4>54</vt:i4>
      </vt:variant>
      <vt:variant>
        <vt:i4>0</vt:i4>
      </vt:variant>
      <vt:variant>
        <vt:i4>5</vt:i4>
      </vt:variant>
      <vt:variant>
        <vt:lpwstr>http://intranet.worldbank.org/WBSITE/INTRANET/OPSMANUAL/0,,contentMDK:20064615~pagePK:60001255~piPK:60000911~theSitePK:210385,00.html</vt:lpwstr>
      </vt:variant>
      <vt:variant>
        <vt:lpwstr/>
      </vt:variant>
      <vt:variant>
        <vt:i4>5636182</vt:i4>
      </vt:variant>
      <vt:variant>
        <vt:i4>51</vt:i4>
      </vt:variant>
      <vt:variant>
        <vt:i4>0</vt:i4>
      </vt:variant>
      <vt:variant>
        <vt:i4>5</vt:i4>
      </vt:variant>
      <vt:variant>
        <vt:lpwstr>http://intranet.worldbank.org/WBSITE/INTRANET/OPSMANUAL/0,,contentMDK:20064701~pagePK:60001255~piPK:60000911~theSitePK:210385,00.html</vt:lpwstr>
      </vt:variant>
      <vt:variant>
        <vt:lpwstr/>
      </vt:variant>
      <vt:variant>
        <vt:i4>5308496</vt:i4>
      </vt:variant>
      <vt:variant>
        <vt:i4>48</vt:i4>
      </vt:variant>
      <vt:variant>
        <vt:i4>0</vt:i4>
      </vt:variant>
      <vt:variant>
        <vt:i4>5</vt:i4>
      </vt:variant>
      <vt:variant>
        <vt:lpwstr>http://intranet.worldbank.org/WBSITE/INTRANET/OPSMANUAL/0,,contentMDK:20064667~pagePK:60001255~piPK:60000911~theSitePK:210385,00.html</vt:lpwstr>
      </vt:variant>
      <vt:variant>
        <vt:lpwstr/>
      </vt:variant>
      <vt:variant>
        <vt:i4>6029406</vt:i4>
      </vt:variant>
      <vt:variant>
        <vt:i4>45</vt:i4>
      </vt:variant>
      <vt:variant>
        <vt:i4>0</vt:i4>
      </vt:variant>
      <vt:variant>
        <vt:i4>5</vt:i4>
      </vt:variant>
      <vt:variant>
        <vt:lpwstr>http://intranet.worldbank.org/WBSITE/INTRANET/OPSMANUAL/0,,contentMDK:20064589~pagePK:60001255~piPK:60000911~theSitePK:210385,00.html</vt:lpwstr>
      </vt:variant>
      <vt:variant>
        <vt:lpwstr/>
      </vt:variant>
      <vt:variant>
        <vt:i4>5570643</vt:i4>
      </vt:variant>
      <vt:variant>
        <vt:i4>42</vt:i4>
      </vt:variant>
      <vt:variant>
        <vt:i4>0</vt:i4>
      </vt:variant>
      <vt:variant>
        <vt:i4>5</vt:i4>
      </vt:variant>
      <vt:variant>
        <vt:lpwstr>http://intranet.worldbank.org/WBSITE/INTRANET/OPSMANUAL/0,,contentMDK:20064653~pagePK:60001255~piPK:60000911~theSitePK:210385,00.html</vt:lpwstr>
      </vt:variant>
      <vt:variant>
        <vt:lpwstr/>
      </vt:variant>
      <vt:variant>
        <vt:i4>5374042</vt:i4>
      </vt:variant>
      <vt:variant>
        <vt:i4>39</vt:i4>
      </vt:variant>
      <vt:variant>
        <vt:i4>0</vt:i4>
      </vt:variant>
      <vt:variant>
        <vt:i4>5</vt:i4>
      </vt:variant>
      <vt:variant>
        <vt:lpwstr>http://intranet.worldbank.org/WBSITE/INTRANET/OPSMANUAL/0,,contentMDK:20141282~pagePK:60001255~piPK:60000911~theSitePK:210385,00.html</vt:lpwstr>
      </vt:variant>
      <vt:variant>
        <vt:lpwstr/>
      </vt:variant>
      <vt:variant>
        <vt:i4>6160464</vt:i4>
      </vt:variant>
      <vt:variant>
        <vt:i4>36</vt:i4>
      </vt:variant>
      <vt:variant>
        <vt:i4>0</vt:i4>
      </vt:variant>
      <vt:variant>
        <vt:i4>5</vt:i4>
      </vt:variant>
      <vt:variant>
        <vt:lpwstr>http://intranet.worldbank.org/WBSITE/INTRANET/OPSMANUAL/0,,contentMDK:20064668~pagePK:60001255~piPK:60000911~theSitePK:210385,00.html</vt:lpwstr>
      </vt:variant>
      <vt:variant>
        <vt:lpwstr/>
      </vt:variant>
      <vt:variant>
        <vt:i4>5439569</vt:i4>
      </vt:variant>
      <vt:variant>
        <vt:i4>33</vt:i4>
      </vt:variant>
      <vt:variant>
        <vt:i4>0</vt:i4>
      </vt:variant>
      <vt:variant>
        <vt:i4>5</vt:i4>
      </vt:variant>
      <vt:variant>
        <vt:lpwstr>http://intranet.worldbank.org/WBSITE/INTRANET/OPSMANUAL/0,,contentMDK:20064675~pagePK:60001255~piPK:60000911~theSitePK:210385,00.html</vt:lpwstr>
      </vt:variant>
      <vt:variant>
        <vt:lpwstr/>
      </vt:variant>
      <vt:variant>
        <vt:i4>5636183</vt:i4>
      </vt:variant>
      <vt:variant>
        <vt:i4>30</vt:i4>
      </vt:variant>
      <vt:variant>
        <vt:i4>0</vt:i4>
      </vt:variant>
      <vt:variant>
        <vt:i4>5</vt:i4>
      </vt:variant>
      <vt:variant>
        <vt:lpwstr>http://intranet.worldbank.org/WBSITE/INTRANET/OPSMANUAL/0,,contentMDK:20064610~pagePK:60001255~piPK:60000911~theSitePK:210385,00.html</vt:lpwstr>
      </vt:variant>
      <vt:variant>
        <vt:lpwstr/>
      </vt:variant>
      <vt:variant>
        <vt:i4>6291563</vt:i4>
      </vt:variant>
      <vt:variant>
        <vt:i4>27</vt:i4>
      </vt:variant>
      <vt:variant>
        <vt:i4>0</vt:i4>
      </vt:variant>
      <vt:variant>
        <vt:i4>5</vt:i4>
      </vt:variant>
      <vt:variant>
        <vt:lpwstr>http://intranet.worldbank.org/WBSITE/INTRANET/OPSMANUAL/0,,contentMDK:20970738~pagePK:60001219~piPK:280527~theSitePK:210385,00.html</vt:lpwstr>
      </vt:variant>
      <vt:variant>
        <vt:lpwstr/>
      </vt:variant>
      <vt:variant>
        <vt:i4>7471155</vt:i4>
      </vt:variant>
      <vt:variant>
        <vt:i4>24</vt:i4>
      </vt:variant>
      <vt:variant>
        <vt:i4>0</vt:i4>
      </vt:variant>
      <vt:variant>
        <vt:i4>5</vt:i4>
      </vt:variant>
      <vt:variant>
        <vt:lpwstr>http://go.worldbank.org/NADINE51G0</vt:lpwstr>
      </vt:variant>
      <vt:variant>
        <vt:lpwstr/>
      </vt:variant>
      <vt:variant>
        <vt:i4>3866732</vt:i4>
      </vt:variant>
      <vt:variant>
        <vt:i4>21</vt:i4>
      </vt:variant>
      <vt:variant>
        <vt:i4>0</vt:i4>
      </vt:variant>
      <vt:variant>
        <vt:i4>5</vt:i4>
      </vt:variant>
      <vt:variant>
        <vt:lpwstr>http://go.worldbank.org/66GIFR88F0</vt:lpwstr>
      </vt:variant>
      <vt:variant>
        <vt:lpwstr/>
      </vt:variant>
      <vt:variant>
        <vt:i4>5701716</vt:i4>
      </vt:variant>
      <vt:variant>
        <vt:i4>18</vt:i4>
      </vt:variant>
      <vt:variant>
        <vt:i4>0</vt:i4>
      </vt:variant>
      <vt:variant>
        <vt:i4>5</vt:i4>
      </vt:variant>
      <vt:variant>
        <vt:lpwstr>http://intranet.worldbank.org/WBSITE/INTRANET/OPSMANUAL/0,,contentMDK:20064720~pagePK:60001255~piPK:60000911~theSitePK:210385,00.html</vt:lpwstr>
      </vt:variant>
      <vt:variant>
        <vt:lpwstr/>
      </vt:variant>
      <vt:variant>
        <vt:i4>5570640</vt:i4>
      </vt:variant>
      <vt:variant>
        <vt:i4>15</vt:i4>
      </vt:variant>
      <vt:variant>
        <vt:i4>0</vt:i4>
      </vt:variant>
      <vt:variant>
        <vt:i4>5</vt:i4>
      </vt:variant>
      <vt:variant>
        <vt:lpwstr>http://intranet.worldbank.org/WBSITE/INTRANET/OPSMANUAL/0,,contentMDK:20064560~pagePK:60001255~piPK:60000911~theSitePK:210385,00.html</vt:lpwstr>
      </vt:variant>
      <vt:variant>
        <vt:lpwstr/>
      </vt:variant>
      <vt:variant>
        <vt:i4>5242963</vt:i4>
      </vt:variant>
      <vt:variant>
        <vt:i4>12</vt:i4>
      </vt:variant>
      <vt:variant>
        <vt:i4>0</vt:i4>
      </vt:variant>
      <vt:variant>
        <vt:i4>5</vt:i4>
      </vt:variant>
      <vt:variant>
        <vt:lpwstr>http://intranet.worldbank.org/WBSITE/INTRANET/OPSMANUAL/0,,contentMDK:20064757~pagePK:60001255~piPK:60000911~theSitePK:210385,00.html</vt:lpwstr>
      </vt:variant>
      <vt:variant>
        <vt:lpwstr/>
      </vt:variant>
      <vt:variant>
        <vt:i4>5374039</vt:i4>
      </vt:variant>
      <vt:variant>
        <vt:i4>9</vt:i4>
      </vt:variant>
      <vt:variant>
        <vt:i4>0</vt:i4>
      </vt:variant>
      <vt:variant>
        <vt:i4>5</vt:i4>
      </vt:variant>
      <vt:variant>
        <vt:lpwstr>http://intranet.worldbank.org/WBSITE/INTRANET/OPSMANUAL/0,,contentMDK:20064614~pagePK:60001255~piPK:60000911~theSitePK:210385,00.html</vt:lpwstr>
      </vt:variant>
      <vt:variant>
        <vt:lpwstr/>
      </vt:variant>
      <vt:variant>
        <vt:i4>5439572</vt:i4>
      </vt:variant>
      <vt:variant>
        <vt:i4>6</vt:i4>
      </vt:variant>
      <vt:variant>
        <vt:i4>0</vt:i4>
      </vt:variant>
      <vt:variant>
        <vt:i4>5</vt:i4>
      </vt:variant>
      <vt:variant>
        <vt:lpwstr>http://intranet.worldbank.org/WBSITE/INTRANET/OPSMANUAL/0,,contentMDK:20064724~pagePK:60001255~piPK:60000911~theSitePK:210385,00.html</vt:lpwstr>
      </vt:variant>
      <vt:variant>
        <vt:lpwstr/>
      </vt:variant>
      <vt:variant>
        <vt:i4>5111876</vt:i4>
      </vt:variant>
      <vt:variant>
        <vt:i4>3</vt:i4>
      </vt:variant>
      <vt:variant>
        <vt:i4>0</vt:i4>
      </vt:variant>
      <vt:variant>
        <vt:i4>5</vt:i4>
      </vt:variant>
      <vt:variant>
        <vt:lpwstr>http://www.worldbank.org/environmentalassessment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wb301713</cp:lastModifiedBy>
  <cp:revision>13</cp:revision>
  <cp:lastPrinted>2011-08-10T15:32:00Z</cp:lastPrinted>
  <dcterms:created xsi:type="dcterms:W3CDTF">2011-08-15T12:29:00Z</dcterms:created>
  <dcterms:modified xsi:type="dcterms:W3CDTF">2011-08-15T12:42:00Z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AB6743</vt:lpwstr>
  </property>
  <property fmtid="{D5CDD505-2E9C-101B-9397-08002B2CF9AE}" pid="3" name="TEAMLEADER">
    <vt:lpwstr>Heba Elgazzar</vt:lpwstr>
  </property>
</Properties>
</file>