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2B1B0" w14:textId="77777777" w:rsidR="00CE445C" w:rsidRDefault="00CE445C" w:rsidP="00634742">
      <w:pPr>
        <w:pStyle w:val="Default"/>
        <w:jc w:val="center"/>
        <w:rPr>
          <w:b/>
          <w:sz w:val="22"/>
          <w:szCs w:val="22"/>
        </w:rPr>
      </w:pPr>
    </w:p>
    <w:p w14:paraId="20BFB854" w14:textId="33F8A153" w:rsidR="00CE445C" w:rsidRPr="00CE445C" w:rsidRDefault="00CE445C" w:rsidP="00CE445C">
      <w:pPr>
        <w:pBdr>
          <w:bottom w:val="single" w:sz="4" w:space="1" w:color="auto"/>
        </w:pBdr>
        <w:rPr>
          <w:b/>
          <w:noProof/>
          <w:sz w:val="48"/>
          <w:szCs w:val="48"/>
        </w:rPr>
      </w:pPr>
      <w:r>
        <w:rPr>
          <w:rFonts w:ascii="Times New Roman" w:hAnsi="Times New Roman" w:cs="Times New Roman"/>
          <w:b/>
          <w:smallCaps/>
          <w:sz w:val="48"/>
          <w:szCs w:val="48"/>
        </w:rPr>
        <w:t xml:space="preserve">Financial Inclusion in Namibia: Summary note </w:t>
      </w:r>
    </w:p>
    <w:p w14:paraId="12318A15" w14:textId="2320ADD8" w:rsidR="00CE445C" w:rsidRDefault="00CE445C" w:rsidP="00CE445C">
      <w:pPr>
        <w:jc w:val="both"/>
        <w:rPr>
          <w:noProof/>
        </w:rPr>
      </w:pPr>
      <w:r>
        <w:rPr>
          <w:rFonts w:ascii="Times New Roman" w:hAnsi="Times New Roman" w:cs="Times New Roman"/>
          <w:smallCaps/>
          <w:sz w:val="50"/>
          <w:szCs w:val="50"/>
        </w:rPr>
        <w:t>October</w:t>
      </w:r>
      <w:r w:rsidRPr="008F2E7E">
        <w:rPr>
          <w:rFonts w:ascii="Times New Roman" w:hAnsi="Times New Roman" w:cs="Times New Roman"/>
          <w:smallCaps/>
          <w:sz w:val="50"/>
          <w:szCs w:val="50"/>
        </w:rPr>
        <w:t xml:space="preserve"> 201</w:t>
      </w:r>
      <w:r>
        <w:rPr>
          <w:rFonts w:ascii="Times New Roman" w:hAnsi="Times New Roman" w:cs="Times New Roman"/>
          <w:smallCaps/>
          <w:sz w:val="50"/>
          <w:szCs w:val="50"/>
        </w:rPr>
        <w:t>6</w:t>
      </w:r>
    </w:p>
    <w:p w14:paraId="118AFABC" w14:textId="77777777" w:rsidR="00CE445C" w:rsidRDefault="00CE445C" w:rsidP="00CE445C">
      <w:pPr>
        <w:jc w:val="both"/>
        <w:rPr>
          <w:noProof/>
        </w:rPr>
      </w:pPr>
    </w:p>
    <w:p w14:paraId="1BC1AD21" w14:textId="77777777" w:rsidR="00CE445C" w:rsidRDefault="00CE445C" w:rsidP="00CE445C">
      <w:pPr>
        <w:jc w:val="both"/>
        <w:rPr>
          <w:noProof/>
        </w:rPr>
      </w:pPr>
    </w:p>
    <w:p w14:paraId="701B929E" w14:textId="77777777" w:rsidR="00CE445C" w:rsidRDefault="00CE445C" w:rsidP="00CE445C">
      <w:pPr>
        <w:jc w:val="both"/>
        <w:rPr>
          <w:noProof/>
        </w:rPr>
      </w:pPr>
    </w:p>
    <w:p w14:paraId="6CD4AA1C" w14:textId="77777777" w:rsidR="00CE445C" w:rsidRDefault="00CE445C" w:rsidP="00CE445C">
      <w:pPr>
        <w:jc w:val="both"/>
        <w:rPr>
          <w:noProof/>
        </w:rPr>
      </w:pPr>
    </w:p>
    <w:p w14:paraId="358EF7F9" w14:textId="77777777" w:rsidR="00CE445C" w:rsidRDefault="00CE445C" w:rsidP="00CE445C">
      <w:pPr>
        <w:jc w:val="both"/>
        <w:rPr>
          <w:noProof/>
        </w:rPr>
      </w:pPr>
    </w:p>
    <w:p w14:paraId="48CBD26A" w14:textId="77777777" w:rsidR="00CE445C" w:rsidRDefault="00CE445C" w:rsidP="00CE445C">
      <w:pPr>
        <w:jc w:val="both"/>
        <w:rPr>
          <w:noProof/>
        </w:rPr>
      </w:pPr>
    </w:p>
    <w:p w14:paraId="4E5406DF" w14:textId="77777777" w:rsidR="00CE445C" w:rsidRDefault="00CE445C" w:rsidP="00CE445C">
      <w:pPr>
        <w:jc w:val="both"/>
        <w:rPr>
          <w:noProof/>
        </w:rPr>
      </w:pPr>
    </w:p>
    <w:p w14:paraId="0898751A" w14:textId="77777777" w:rsidR="00CE445C" w:rsidRDefault="00CE445C" w:rsidP="00CE445C">
      <w:pPr>
        <w:jc w:val="both"/>
        <w:rPr>
          <w:noProof/>
        </w:rPr>
      </w:pPr>
    </w:p>
    <w:p w14:paraId="5BD122FC" w14:textId="77777777" w:rsidR="00CE445C" w:rsidRDefault="00CE445C" w:rsidP="00CE445C">
      <w:pPr>
        <w:jc w:val="both"/>
        <w:rPr>
          <w:noProof/>
        </w:rPr>
      </w:pPr>
    </w:p>
    <w:p w14:paraId="013814C3" w14:textId="77777777" w:rsidR="00CE445C" w:rsidRDefault="00CE445C" w:rsidP="00CE445C">
      <w:pPr>
        <w:jc w:val="both"/>
        <w:rPr>
          <w:noProof/>
        </w:rPr>
      </w:pPr>
    </w:p>
    <w:p w14:paraId="5F812FF0" w14:textId="77777777" w:rsidR="00CE445C" w:rsidRDefault="00CE445C" w:rsidP="00CE445C">
      <w:pPr>
        <w:jc w:val="both"/>
        <w:rPr>
          <w:noProof/>
        </w:rPr>
      </w:pPr>
    </w:p>
    <w:p w14:paraId="7A1905BE" w14:textId="77777777" w:rsidR="00CE445C" w:rsidRDefault="00CE445C" w:rsidP="00CE445C">
      <w:pPr>
        <w:jc w:val="both"/>
        <w:rPr>
          <w:noProof/>
        </w:rPr>
      </w:pPr>
    </w:p>
    <w:p w14:paraId="2CFE437C" w14:textId="77777777" w:rsidR="00CE445C" w:rsidRDefault="00CE445C" w:rsidP="00CE445C">
      <w:pPr>
        <w:jc w:val="both"/>
        <w:rPr>
          <w:noProof/>
        </w:rPr>
      </w:pPr>
    </w:p>
    <w:p w14:paraId="316FB075" w14:textId="77777777" w:rsidR="00CE445C" w:rsidRDefault="00CE445C" w:rsidP="00CE445C">
      <w:pPr>
        <w:jc w:val="both"/>
        <w:rPr>
          <w:noProof/>
        </w:rPr>
      </w:pPr>
    </w:p>
    <w:p w14:paraId="24D14C20" w14:textId="77777777" w:rsidR="00CE445C" w:rsidRDefault="00CE445C" w:rsidP="00CE445C">
      <w:pPr>
        <w:jc w:val="both"/>
        <w:rPr>
          <w:noProof/>
        </w:rPr>
      </w:pPr>
    </w:p>
    <w:p w14:paraId="0C623661" w14:textId="77777777" w:rsidR="00CE445C" w:rsidRDefault="00CE445C" w:rsidP="00CE445C">
      <w:pPr>
        <w:jc w:val="both"/>
        <w:rPr>
          <w:noProof/>
        </w:rPr>
      </w:pPr>
    </w:p>
    <w:p w14:paraId="2ECCD70B" w14:textId="77777777" w:rsidR="00CE445C" w:rsidRDefault="00CE445C" w:rsidP="00CE445C">
      <w:pPr>
        <w:jc w:val="both"/>
        <w:rPr>
          <w:noProof/>
        </w:rPr>
      </w:pPr>
    </w:p>
    <w:p w14:paraId="0362967E" w14:textId="77777777" w:rsidR="00CE445C" w:rsidRDefault="00CE445C" w:rsidP="00CE445C">
      <w:pPr>
        <w:jc w:val="both"/>
        <w:rPr>
          <w:rFonts w:ascii="Times New Roman" w:hAnsi="Times New Roman" w:cs="Times New Roman"/>
          <w:smallCaps/>
          <w:sz w:val="80"/>
          <w:szCs w:val="80"/>
        </w:rPr>
      </w:pPr>
      <w:r>
        <w:rPr>
          <w:rFonts w:ascii="Times New Roman" w:hAnsi="Times New Roman" w:cs="Times New Roman"/>
          <w:smallCaps/>
          <w:noProof/>
          <w:sz w:val="80"/>
          <w:szCs w:val="80"/>
        </w:rPr>
        <w:drawing>
          <wp:inline distT="0" distB="0" distL="0" distR="0" wp14:anchorId="02461F3E" wp14:editId="57294618">
            <wp:extent cx="4038600" cy="800100"/>
            <wp:effectExtent l="0" t="0" r="0" b="0"/>
            <wp:docPr id="13" name="Picture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Placeholder 1"/>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0" cy="800100"/>
                    </a:xfrm>
                    <a:prstGeom prst="rect">
                      <a:avLst/>
                    </a:prstGeom>
                    <a:solidFill>
                      <a:srgbClr val="FFFFFF"/>
                    </a:solidFill>
                    <a:ln>
                      <a:noFill/>
                    </a:ln>
                  </pic:spPr>
                </pic:pic>
              </a:graphicData>
            </a:graphic>
          </wp:inline>
        </w:drawing>
      </w:r>
    </w:p>
    <w:p w14:paraId="78341CE9" w14:textId="37B9FECD" w:rsidR="00CE445C" w:rsidRDefault="00CE445C" w:rsidP="00CE445C">
      <w:pPr>
        <w:jc w:val="cente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Acronyms</w:t>
      </w:r>
    </w:p>
    <w:p w14:paraId="3CDD2032" w14:textId="77777777" w:rsidR="00CE445C" w:rsidRPr="008B784F" w:rsidRDefault="00CE445C" w:rsidP="00CE445C">
      <w:pPr>
        <w:jc w:val="center"/>
        <w:rPr>
          <w:rFonts w:ascii="Times New Roman" w:hAnsi="Times New Roman" w:cs="Times New Roman"/>
        </w:rPr>
      </w:pPr>
    </w:p>
    <w:tbl>
      <w:tblPr>
        <w:tblW w:w="9920" w:type="dxa"/>
        <w:tblLook w:val="04A0" w:firstRow="1" w:lastRow="0" w:firstColumn="1" w:lastColumn="0" w:noHBand="0" w:noVBand="1"/>
      </w:tblPr>
      <w:tblGrid>
        <w:gridCol w:w="1760"/>
        <w:gridCol w:w="8160"/>
      </w:tblGrid>
      <w:tr w:rsidR="008B784F" w:rsidRPr="008B784F" w14:paraId="51D34B21" w14:textId="77777777" w:rsidTr="008B784F">
        <w:trPr>
          <w:trHeight w:val="315"/>
        </w:trPr>
        <w:tc>
          <w:tcPr>
            <w:tcW w:w="1760" w:type="dxa"/>
            <w:tcBorders>
              <w:top w:val="nil"/>
              <w:left w:val="nil"/>
              <w:bottom w:val="nil"/>
              <w:right w:val="nil"/>
            </w:tcBorders>
            <w:shd w:val="clear" w:color="auto" w:fill="auto"/>
            <w:noWrap/>
            <w:vAlign w:val="center"/>
            <w:hideMark/>
          </w:tcPr>
          <w:p w14:paraId="5FBAC9B0"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bCs/>
                <w:color w:val="000000"/>
                <w:sz w:val="24"/>
                <w:szCs w:val="24"/>
              </w:rPr>
              <w:t xml:space="preserve">ATM   </w:t>
            </w:r>
          </w:p>
        </w:tc>
        <w:tc>
          <w:tcPr>
            <w:tcW w:w="8160" w:type="dxa"/>
            <w:tcBorders>
              <w:top w:val="nil"/>
              <w:left w:val="nil"/>
              <w:bottom w:val="nil"/>
              <w:right w:val="nil"/>
            </w:tcBorders>
            <w:shd w:val="clear" w:color="auto" w:fill="auto"/>
            <w:noWrap/>
            <w:vAlign w:val="bottom"/>
            <w:hideMark/>
          </w:tcPr>
          <w:p w14:paraId="1BD83E1B"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 xml:space="preserve"> Automated Teller Machine</w:t>
            </w:r>
          </w:p>
        </w:tc>
      </w:tr>
      <w:tr w:rsidR="008B784F" w:rsidRPr="008B784F" w14:paraId="05DA0DD8" w14:textId="77777777" w:rsidTr="008B784F">
        <w:trPr>
          <w:trHeight w:val="315"/>
        </w:trPr>
        <w:tc>
          <w:tcPr>
            <w:tcW w:w="1760" w:type="dxa"/>
            <w:tcBorders>
              <w:top w:val="nil"/>
              <w:left w:val="nil"/>
              <w:bottom w:val="nil"/>
              <w:right w:val="nil"/>
            </w:tcBorders>
            <w:shd w:val="clear" w:color="auto" w:fill="auto"/>
            <w:noWrap/>
            <w:vAlign w:val="center"/>
            <w:hideMark/>
          </w:tcPr>
          <w:p w14:paraId="31F6091B"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color w:val="000000"/>
                <w:sz w:val="24"/>
                <w:szCs w:val="24"/>
              </w:rPr>
              <w:t xml:space="preserve">CPSS </w:t>
            </w:r>
          </w:p>
        </w:tc>
        <w:tc>
          <w:tcPr>
            <w:tcW w:w="8160" w:type="dxa"/>
            <w:tcBorders>
              <w:top w:val="nil"/>
              <w:left w:val="nil"/>
              <w:bottom w:val="nil"/>
              <w:right w:val="nil"/>
            </w:tcBorders>
            <w:shd w:val="clear" w:color="auto" w:fill="auto"/>
            <w:noWrap/>
            <w:vAlign w:val="bottom"/>
            <w:hideMark/>
          </w:tcPr>
          <w:p w14:paraId="46C81BA9"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 xml:space="preserve">Committee on Payment and Settlement Systems </w:t>
            </w:r>
          </w:p>
        </w:tc>
      </w:tr>
      <w:tr w:rsidR="008B784F" w:rsidRPr="008B784F" w14:paraId="7CFFA86B" w14:textId="77777777" w:rsidTr="008B784F">
        <w:trPr>
          <w:trHeight w:val="315"/>
        </w:trPr>
        <w:tc>
          <w:tcPr>
            <w:tcW w:w="1760" w:type="dxa"/>
            <w:tcBorders>
              <w:top w:val="nil"/>
              <w:left w:val="nil"/>
              <w:bottom w:val="nil"/>
              <w:right w:val="nil"/>
            </w:tcBorders>
            <w:shd w:val="clear" w:color="auto" w:fill="auto"/>
            <w:noWrap/>
            <w:vAlign w:val="center"/>
            <w:hideMark/>
          </w:tcPr>
          <w:p w14:paraId="1951DD14"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color w:val="000000"/>
                <w:sz w:val="24"/>
                <w:szCs w:val="24"/>
              </w:rPr>
              <w:t xml:space="preserve">DBN </w:t>
            </w:r>
          </w:p>
        </w:tc>
        <w:tc>
          <w:tcPr>
            <w:tcW w:w="8160" w:type="dxa"/>
            <w:tcBorders>
              <w:top w:val="nil"/>
              <w:left w:val="nil"/>
              <w:bottom w:val="nil"/>
              <w:right w:val="nil"/>
            </w:tcBorders>
            <w:shd w:val="clear" w:color="auto" w:fill="auto"/>
            <w:noWrap/>
            <w:vAlign w:val="bottom"/>
            <w:hideMark/>
          </w:tcPr>
          <w:p w14:paraId="749B1849"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 xml:space="preserve">Development Bank of Namibia </w:t>
            </w:r>
          </w:p>
        </w:tc>
      </w:tr>
      <w:tr w:rsidR="008B784F" w:rsidRPr="008B784F" w14:paraId="208F183E" w14:textId="77777777" w:rsidTr="008B784F">
        <w:trPr>
          <w:trHeight w:val="315"/>
        </w:trPr>
        <w:tc>
          <w:tcPr>
            <w:tcW w:w="1760" w:type="dxa"/>
            <w:tcBorders>
              <w:top w:val="nil"/>
              <w:left w:val="nil"/>
              <w:bottom w:val="nil"/>
              <w:right w:val="nil"/>
            </w:tcBorders>
            <w:shd w:val="clear" w:color="auto" w:fill="auto"/>
            <w:noWrap/>
            <w:vAlign w:val="center"/>
            <w:hideMark/>
          </w:tcPr>
          <w:p w14:paraId="76ED1378"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color w:val="000000"/>
                <w:sz w:val="24"/>
                <w:szCs w:val="24"/>
              </w:rPr>
              <w:t xml:space="preserve">ES </w:t>
            </w:r>
          </w:p>
        </w:tc>
        <w:tc>
          <w:tcPr>
            <w:tcW w:w="8160" w:type="dxa"/>
            <w:tcBorders>
              <w:top w:val="nil"/>
              <w:left w:val="nil"/>
              <w:bottom w:val="nil"/>
              <w:right w:val="nil"/>
            </w:tcBorders>
            <w:shd w:val="clear" w:color="auto" w:fill="auto"/>
            <w:noWrap/>
            <w:vAlign w:val="bottom"/>
            <w:hideMark/>
          </w:tcPr>
          <w:p w14:paraId="0010D384"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 xml:space="preserve">Enterprise Survey </w:t>
            </w:r>
          </w:p>
        </w:tc>
      </w:tr>
      <w:tr w:rsidR="008B784F" w:rsidRPr="008B784F" w14:paraId="160964A3" w14:textId="77777777" w:rsidTr="008B784F">
        <w:trPr>
          <w:trHeight w:val="315"/>
        </w:trPr>
        <w:tc>
          <w:tcPr>
            <w:tcW w:w="1760" w:type="dxa"/>
            <w:tcBorders>
              <w:top w:val="nil"/>
              <w:left w:val="nil"/>
              <w:bottom w:val="nil"/>
              <w:right w:val="nil"/>
            </w:tcBorders>
            <w:shd w:val="clear" w:color="auto" w:fill="auto"/>
            <w:noWrap/>
            <w:vAlign w:val="center"/>
            <w:hideMark/>
          </w:tcPr>
          <w:p w14:paraId="2CA1B939"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color w:val="000000"/>
                <w:sz w:val="24"/>
                <w:szCs w:val="24"/>
              </w:rPr>
              <w:t xml:space="preserve">FAS </w:t>
            </w:r>
          </w:p>
        </w:tc>
        <w:tc>
          <w:tcPr>
            <w:tcW w:w="8160" w:type="dxa"/>
            <w:tcBorders>
              <w:top w:val="nil"/>
              <w:left w:val="nil"/>
              <w:bottom w:val="nil"/>
              <w:right w:val="nil"/>
            </w:tcBorders>
            <w:shd w:val="clear" w:color="auto" w:fill="auto"/>
            <w:noWrap/>
            <w:vAlign w:val="bottom"/>
            <w:hideMark/>
          </w:tcPr>
          <w:p w14:paraId="534B97BF"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Financial Access Survey</w:t>
            </w:r>
          </w:p>
        </w:tc>
      </w:tr>
      <w:tr w:rsidR="008B784F" w:rsidRPr="008B784F" w14:paraId="043FCD25" w14:textId="77777777" w:rsidTr="008B784F">
        <w:trPr>
          <w:trHeight w:val="315"/>
        </w:trPr>
        <w:tc>
          <w:tcPr>
            <w:tcW w:w="1760" w:type="dxa"/>
            <w:tcBorders>
              <w:top w:val="nil"/>
              <w:left w:val="nil"/>
              <w:bottom w:val="nil"/>
              <w:right w:val="nil"/>
            </w:tcBorders>
            <w:shd w:val="clear" w:color="auto" w:fill="auto"/>
            <w:noWrap/>
            <w:vAlign w:val="center"/>
            <w:hideMark/>
          </w:tcPr>
          <w:p w14:paraId="01668A6D" w14:textId="77777777" w:rsidR="008B784F" w:rsidRPr="008B784F" w:rsidRDefault="008B784F" w:rsidP="008B784F">
            <w:pPr>
              <w:spacing w:after="0" w:line="240" w:lineRule="auto"/>
              <w:rPr>
                <w:rFonts w:ascii="Times New Roman" w:eastAsia="Times New Roman" w:hAnsi="Times New Roman" w:cs="Times New Roman"/>
                <w:color w:val="262626"/>
                <w:sz w:val="24"/>
                <w:szCs w:val="24"/>
              </w:rPr>
            </w:pPr>
            <w:r w:rsidRPr="008B784F">
              <w:rPr>
                <w:rFonts w:ascii="Times New Roman" w:eastAsia="Times New Roman" w:hAnsi="Times New Roman" w:cs="Times New Roman"/>
                <w:color w:val="262626"/>
                <w:sz w:val="24"/>
                <w:szCs w:val="24"/>
              </w:rPr>
              <w:t xml:space="preserve">FLI       </w:t>
            </w:r>
          </w:p>
        </w:tc>
        <w:tc>
          <w:tcPr>
            <w:tcW w:w="8160" w:type="dxa"/>
            <w:tcBorders>
              <w:top w:val="nil"/>
              <w:left w:val="nil"/>
              <w:bottom w:val="nil"/>
              <w:right w:val="nil"/>
            </w:tcBorders>
            <w:shd w:val="clear" w:color="auto" w:fill="auto"/>
            <w:noWrap/>
            <w:vAlign w:val="bottom"/>
            <w:hideMark/>
          </w:tcPr>
          <w:p w14:paraId="55D91678"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 xml:space="preserve">Financial Literacy Initiative </w:t>
            </w:r>
          </w:p>
        </w:tc>
      </w:tr>
      <w:tr w:rsidR="008B784F" w:rsidRPr="008B784F" w14:paraId="14230D03" w14:textId="77777777" w:rsidTr="008B784F">
        <w:trPr>
          <w:trHeight w:val="315"/>
        </w:trPr>
        <w:tc>
          <w:tcPr>
            <w:tcW w:w="1760" w:type="dxa"/>
            <w:tcBorders>
              <w:top w:val="nil"/>
              <w:left w:val="nil"/>
              <w:bottom w:val="nil"/>
              <w:right w:val="nil"/>
            </w:tcBorders>
            <w:shd w:val="clear" w:color="auto" w:fill="auto"/>
            <w:noWrap/>
            <w:vAlign w:val="center"/>
            <w:hideMark/>
          </w:tcPr>
          <w:p w14:paraId="1EADB153" w14:textId="77777777" w:rsidR="008B784F" w:rsidRPr="008B784F" w:rsidRDefault="008B784F" w:rsidP="008B784F">
            <w:pPr>
              <w:spacing w:after="0" w:line="240" w:lineRule="auto"/>
              <w:rPr>
                <w:rFonts w:ascii="Times New Roman" w:eastAsia="Times New Roman" w:hAnsi="Times New Roman" w:cs="Times New Roman"/>
                <w:color w:val="262626"/>
                <w:sz w:val="24"/>
                <w:szCs w:val="24"/>
              </w:rPr>
            </w:pPr>
            <w:r w:rsidRPr="008B784F">
              <w:rPr>
                <w:rFonts w:ascii="Times New Roman" w:eastAsia="Times New Roman" w:hAnsi="Times New Roman" w:cs="Times New Roman"/>
                <w:color w:val="262626"/>
                <w:sz w:val="24"/>
                <w:szCs w:val="24"/>
              </w:rPr>
              <w:t xml:space="preserve">ICR ROSC </w:t>
            </w:r>
          </w:p>
        </w:tc>
        <w:tc>
          <w:tcPr>
            <w:tcW w:w="8160" w:type="dxa"/>
            <w:tcBorders>
              <w:top w:val="nil"/>
              <w:left w:val="nil"/>
              <w:bottom w:val="nil"/>
              <w:right w:val="nil"/>
            </w:tcBorders>
            <w:shd w:val="clear" w:color="auto" w:fill="auto"/>
            <w:noWrap/>
            <w:vAlign w:val="bottom"/>
            <w:hideMark/>
          </w:tcPr>
          <w:p w14:paraId="08788F6D"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 xml:space="preserve"> Insolvency and Creditor/Debtor Regimes Report on Observance of Standards &amp; Codes</w:t>
            </w:r>
          </w:p>
        </w:tc>
      </w:tr>
      <w:tr w:rsidR="008B784F" w:rsidRPr="008B784F" w14:paraId="20D2CDCC" w14:textId="77777777" w:rsidTr="008B784F">
        <w:trPr>
          <w:trHeight w:val="315"/>
        </w:trPr>
        <w:tc>
          <w:tcPr>
            <w:tcW w:w="1760" w:type="dxa"/>
            <w:tcBorders>
              <w:top w:val="nil"/>
              <w:left w:val="nil"/>
              <w:bottom w:val="nil"/>
              <w:right w:val="nil"/>
            </w:tcBorders>
            <w:shd w:val="clear" w:color="auto" w:fill="auto"/>
            <w:noWrap/>
            <w:vAlign w:val="center"/>
            <w:hideMark/>
          </w:tcPr>
          <w:p w14:paraId="1FB6D959"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bCs/>
                <w:color w:val="000000"/>
                <w:sz w:val="24"/>
                <w:szCs w:val="24"/>
              </w:rPr>
              <w:t xml:space="preserve">MFI      </w:t>
            </w:r>
          </w:p>
        </w:tc>
        <w:tc>
          <w:tcPr>
            <w:tcW w:w="8160" w:type="dxa"/>
            <w:tcBorders>
              <w:top w:val="nil"/>
              <w:left w:val="nil"/>
              <w:bottom w:val="nil"/>
              <w:right w:val="nil"/>
            </w:tcBorders>
            <w:shd w:val="clear" w:color="auto" w:fill="auto"/>
            <w:noWrap/>
            <w:vAlign w:val="bottom"/>
            <w:hideMark/>
          </w:tcPr>
          <w:p w14:paraId="44BCFA15"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Microfinance Institution</w:t>
            </w:r>
          </w:p>
        </w:tc>
      </w:tr>
      <w:tr w:rsidR="008B784F" w:rsidRPr="008B784F" w14:paraId="523DB902" w14:textId="77777777" w:rsidTr="008B784F">
        <w:trPr>
          <w:trHeight w:val="315"/>
        </w:trPr>
        <w:tc>
          <w:tcPr>
            <w:tcW w:w="1760" w:type="dxa"/>
            <w:tcBorders>
              <w:top w:val="nil"/>
              <w:left w:val="nil"/>
              <w:bottom w:val="nil"/>
              <w:right w:val="nil"/>
            </w:tcBorders>
            <w:shd w:val="clear" w:color="auto" w:fill="auto"/>
            <w:noWrap/>
            <w:vAlign w:val="center"/>
            <w:hideMark/>
          </w:tcPr>
          <w:p w14:paraId="522DE09A"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bCs/>
                <w:color w:val="000000"/>
                <w:sz w:val="24"/>
                <w:szCs w:val="24"/>
              </w:rPr>
              <w:t xml:space="preserve">MSME </w:t>
            </w:r>
          </w:p>
        </w:tc>
        <w:tc>
          <w:tcPr>
            <w:tcW w:w="8160" w:type="dxa"/>
            <w:tcBorders>
              <w:top w:val="nil"/>
              <w:left w:val="nil"/>
              <w:bottom w:val="nil"/>
              <w:right w:val="nil"/>
            </w:tcBorders>
            <w:shd w:val="clear" w:color="auto" w:fill="auto"/>
            <w:noWrap/>
            <w:vAlign w:val="bottom"/>
            <w:hideMark/>
          </w:tcPr>
          <w:p w14:paraId="450E5773"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Micro, Small, and Medium Enterprise</w:t>
            </w:r>
          </w:p>
        </w:tc>
      </w:tr>
      <w:tr w:rsidR="008B784F" w:rsidRPr="008B784F" w14:paraId="0EFA3566" w14:textId="77777777" w:rsidTr="008B784F">
        <w:trPr>
          <w:trHeight w:val="315"/>
        </w:trPr>
        <w:tc>
          <w:tcPr>
            <w:tcW w:w="1760" w:type="dxa"/>
            <w:tcBorders>
              <w:top w:val="nil"/>
              <w:left w:val="nil"/>
              <w:bottom w:val="nil"/>
              <w:right w:val="nil"/>
            </w:tcBorders>
            <w:shd w:val="clear" w:color="auto" w:fill="auto"/>
            <w:noWrap/>
            <w:vAlign w:val="center"/>
            <w:hideMark/>
          </w:tcPr>
          <w:p w14:paraId="24EF6096" w14:textId="77777777" w:rsidR="008B784F" w:rsidRPr="008B784F" w:rsidRDefault="008B784F" w:rsidP="008B784F">
            <w:pPr>
              <w:spacing w:after="0" w:line="240" w:lineRule="auto"/>
              <w:rPr>
                <w:rFonts w:ascii="Times New Roman" w:eastAsia="Times New Roman" w:hAnsi="Times New Roman" w:cs="Times New Roman"/>
                <w:color w:val="262626"/>
                <w:sz w:val="24"/>
                <w:szCs w:val="24"/>
              </w:rPr>
            </w:pPr>
            <w:r w:rsidRPr="008B784F">
              <w:rPr>
                <w:rFonts w:ascii="Times New Roman" w:eastAsia="Times New Roman" w:hAnsi="Times New Roman" w:cs="Times New Roman"/>
                <w:color w:val="262626"/>
                <w:sz w:val="24"/>
                <w:szCs w:val="24"/>
              </w:rPr>
              <w:t xml:space="preserve">NBFI    </w:t>
            </w:r>
          </w:p>
        </w:tc>
        <w:tc>
          <w:tcPr>
            <w:tcW w:w="8160" w:type="dxa"/>
            <w:tcBorders>
              <w:top w:val="nil"/>
              <w:left w:val="nil"/>
              <w:bottom w:val="nil"/>
              <w:right w:val="nil"/>
            </w:tcBorders>
            <w:shd w:val="clear" w:color="auto" w:fill="auto"/>
            <w:noWrap/>
            <w:vAlign w:val="bottom"/>
            <w:hideMark/>
          </w:tcPr>
          <w:p w14:paraId="0E5932B0"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Non-Bank Financial Institution</w:t>
            </w:r>
          </w:p>
        </w:tc>
      </w:tr>
      <w:tr w:rsidR="008B784F" w:rsidRPr="008B784F" w14:paraId="5683B8F9" w14:textId="77777777" w:rsidTr="008B784F">
        <w:trPr>
          <w:trHeight w:val="315"/>
        </w:trPr>
        <w:tc>
          <w:tcPr>
            <w:tcW w:w="1760" w:type="dxa"/>
            <w:tcBorders>
              <w:top w:val="nil"/>
              <w:left w:val="nil"/>
              <w:bottom w:val="nil"/>
              <w:right w:val="nil"/>
            </w:tcBorders>
            <w:shd w:val="clear" w:color="auto" w:fill="auto"/>
            <w:noWrap/>
            <w:vAlign w:val="center"/>
            <w:hideMark/>
          </w:tcPr>
          <w:p w14:paraId="2FDF4B05"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color w:val="000000"/>
                <w:sz w:val="24"/>
                <w:szCs w:val="24"/>
              </w:rPr>
              <w:t xml:space="preserve">NEEC  </w:t>
            </w:r>
          </w:p>
        </w:tc>
        <w:tc>
          <w:tcPr>
            <w:tcW w:w="8160" w:type="dxa"/>
            <w:tcBorders>
              <w:top w:val="nil"/>
              <w:left w:val="nil"/>
              <w:bottom w:val="nil"/>
              <w:right w:val="nil"/>
            </w:tcBorders>
            <w:shd w:val="clear" w:color="auto" w:fill="auto"/>
            <w:noWrap/>
            <w:vAlign w:val="bottom"/>
            <w:hideMark/>
          </w:tcPr>
          <w:p w14:paraId="244DC4CD"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Namibia First National Enterprise/Establishment Census</w:t>
            </w:r>
          </w:p>
        </w:tc>
      </w:tr>
      <w:tr w:rsidR="008B784F" w:rsidRPr="008B784F" w14:paraId="628ED712" w14:textId="77777777" w:rsidTr="008B784F">
        <w:trPr>
          <w:trHeight w:val="315"/>
        </w:trPr>
        <w:tc>
          <w:tcPr>
            <w:tcW w:w="1760" w:type="dxa"/>
            <w:tcBorders>
              <w:top w:val="nil"/>
              <w:left w:val="nil"/>
              <w:bottom w:val="nil"/>
              <w:right w:val="nil"/>
            </w:tcBorders>
            <w:shd w:val="clear" w:color="auto" w:fill="auto"/>
            <w:noWrap/>
            <w:vAlign w:val="center"/>
            <w:hideMark/>
          </w:tcPr>
          <w:p w14:paraId="165C13C2"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color w:val="000000"/>
                <w:sz w:val="24"/>
                <w:szCs w:val="24"/>
              </w:rPr>
              <w:t xml:space="preserve">NPL </w:t>
            </w:r>
          </w:p>
        </w:tc>
        <w:tc>
          <w:tcPr>
            <w:tcW w:w="8160" w:type="dxa"/>
            <w:tcBorders>
              <w:top w:val="nil"/>
              <w:left w:val="nil"/>
              <w:bottom w:val="nil"/>
              <w:right w:val="nil"/>
            </w:tcBorders>
            <w:shd w:val="clear" w:color="auto" w:fill="auto"/>
            <w:noWrap/>
            <w:vAlign w:val="bottom"/>
            <w:hideMark/>
          </w:tcPr>
          <w:p w14:paraId="656EB125"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Non Performing Loans</w:t>
            </w:r>
          </w:p>
        </w:tc>
      </w:tr>
      <w:tr w:rsidR="008B784F" w:rsidRPr="008B784F" w14:paraId="62F4CA90" w14:textId="77777777" w:rsidTr="008B784F">
        <w:trPr>
          <w:trHeight w:val="315"/>
        </w:trPr>
        <w:tc>
          <w:tcPr>
            <w:tcW w:w="1760" w:type="dxa"/>
            <w:tcBorders>
              <w:top w:val="nil"/>
              <w:left w:val="nil"/>
              <w:bottom w:val="nil"/>
              <w:right w:val="nil"/>
            </w:tcBorders>
            <w:shd w:val="clear" w:color="auto" w:fill="auto"/>
            <w:noWrap/>
            <w:vAlign w:val="center"/>
            <w:hideMark/>
          </w:tcPr>
          <w:p w14:paraId="1CDDA655"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color w:val="000000"/>
                <w:sz w:val="24"/>
                <w:szCs w:val="24"/>
              </w:rPr>
              <w:t xml:space="preserve">RSP        </w:t>
            </w:r>
          </w:p>
        </w:tc>
        <w:tc>
          <w:tcPr>
            <w:tcW w:w="8160" w:type="dxa"/>
            <w:tcBorders>
              <w:top w:val="nil"/>
              <w:left w:val="nil"/>
              <w:bottom w:val="nil"/>
              <w:right w:val="nil"/>
            </w:tcBorders>
            <w:shd w:val="clear" w:color="auto" w:fill="auto"/>
            <w:noWrap/>
            <w:vAlign w:val="bottom"/>
            <w:hideMark/>
          </w:tcPr>
          <w:p w14:paraId="7E42C7B8"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 xml:space="preserve">Remittance Service Providers </w:t>
            </w:r>
          </w:p>
        </w:tc>
      </w:tr>
      <w:tr w:rsidR="008B784F" w:rsidRPr="008B784F" w14:paraId="3B17E702" w14:textId="77777777" w:rsidTr="008B784F">
        <w:trPr>
          <w:trHeight w:val="315"/>
        </w:trPr>
        <w:tc>
          <w:tcPr>
            <w:tcW w:w="1760" w:type="dxa"/>
            <w:tcBorders>
              <w:top w:val="nil"/>
              <w:left w:val="nil"/>
              <w:bottom w:val="nil"/>
              <w:right w:val="nil"/>
            </w:tcBorders>
            <w:shd w:val="clear" w:color="auto" w:fill="auto"/>
            <w:noWrap/>
            <w:vAlign w:val="center"/>
            <w:hideMark/>
          </w:tcPr>
          <w:p w14:paraId="640BE5BB" w14:textId="77777777" w:rsidR="008B784F" w:rsidRPr="008B784F" w:rsidRDefault="008B784F" w:rsidP="008B784F">
            <w:pPr>
              <w:spacing w:after="0" w:line="240" w:lineRule="auto"/>
              <w:rPr>
                <w:rFonts w:ascii="Times New Roman" w:eastAsia="Times New Roman" w:hAnsi="Times New Roman" w:cs="Times New Roman"/>
                <w:color w:val="000000"/>
                <w:sz w:val="24"/>
                <w:szCs w:val="24"/>
              </w:rPr>
            </w:pPr>
            <w:r w:rsidRPr="008B784F">
              <w:rPr>
                <w:rFonts w:ascii="Times New Roman" w:eastAsia="Times New Roman" w:hAnsi="Times New Roman" w:cs="Times New Roman"/>
                <w:color w:val="000000"/>
                <w:sz w:val="24"/>
                <w:szCs w:val="24"/>
              </w:rPr>
              <w:t xml:space="preserve">SOEs </w:t>
            </w:r>
          </w:p>
        </w:tc>
        <w:tc>
          <w:tcPr>
            <w:tcW w:w="8160" w:type="dxa"/>
            <w:tcBorders>
              <w:top w:val="nil"/>
              <w:left w:val="nil"/>
              <w:bottom w:val="nil"/>
              <w:right w:val="nil"/>
            </w:tcBorders>
            <w:shd w:val="clear" w:color="auto" w:fill="auto"/>
            <w:noWrap/>
            <w:vAlign w:val="bottom"/>
            <w:hideMark/>
          </w:tcPr>
          <w:p w14:paraId="37791498"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 xml:space="preserve">State-Owned Enterprises </w:t>
            </w:r>
          </w:p>
        </w:tc>
      </w:tr>
      <w:tr w:rsidR="008B784F" w:rsidRPr="008B784F" w14:paraId="7DB59229" w14:textId="77777777" w:rsidTr="008B784F">
        <w:trPr>
          <w:trHeight w:val="315"/>
        </w:trPr>
        <w:tc>
          <w:tcPr>
            <w:tcW w:w="1760" w:type="dxa"/>
            <w:tcBorders>
              <w:top w:val="nil"/>
              <w:left w:val="nil"/>
              <w:bottom w:val="nil"/>
              <w:right w:val="nil"/>
            </w:tcBorders>
            <w:shd w:val="clear" w:color="auto" w:fill="auto"/>
            <w:noWrap/>
            <w:vAlign w:val="center"/>
            <w:hideMark/>
          </w:tcPr>
          <w:p w14:paraId="1F05FEC3" w14:textId="77777777" w:rsidR="008B784F" w:rsidRPr="008B784F" w:rsidRDefault="008B784F" w:rsidP="008B784F">
            <w:pPr>
              <w:spacing w:after="0" w:line="240" w:lineRule="auto"/>
              <w:rPr>
                <w:rFonts w:ascii="Times New Roman" w:eastAsia="Times New Roman" w:hAnsi="Times New Roman" w:cs="Times New Roman"/>
                <w:color w:val="262626"/>
                <w:sz w:val="24"/>
                <w:szCs w:val="24"/>
              </w:rPr>
            </w:pPr>
            <w:r w:rsidRPr="008B784F">
              <w:rPr>
                <w:rFonts w:ascii="Times New Roman" w:eastAsia="Times New Roman" w:hAnsi="Times New Roman" w:cs="Times New Roman"/>
                <w:color w:val="262626"/>
                <w:sz w:val="24"/>
                <w:szCs w:val="24"/>
              </w:rPr>
              <w:t xml:space="preserve">TA </w:t>
            </w:r>
          </w:p>
        </w:tc>
        <w:tc>
          <w:tcPr>
            <w:tcW w:w="8160" w:type="dxa"/>
            <w:tcBorders>
              <w:top w:val="nil"/>
              <w:left w:val="nil"/>
              <w:bottom w:val="nil"/>
              <w:right w:val="nil"/>
            </w:tcBorders>
            <w:shd w:val="clear" w:color="auto" w:fill="auto"/>
            <w:noWrap/>
            <w:vAlign w:val="bottom"/>
            <w:hideMark/>
          </w:tcPr>
          <w:p w14:paraId="440B39CF"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Technical Assistance</w:t>
            </w:r>
          </w:p>
        </w:tc>
      </w:tr>
      <w:tr w:rsidR="008B784F" w:rsidRPr="008B784F" w14:paraId="502DFA99" w14:textId="77777777" w:rsidTr="008B784F">
        <w:trPr>
          <w:trHeight w:val="315"/>
        </w:trPr>
        <w:tc>
          <w:tcPr>
            <w:tcW w:w="1760" w:type="dxa"/>
            <w:tcBorders>
              <w:top w:val="nil"/>
              <w:left w:val="nil"/>
              <w:bottom w:val="nil"/>
              <w:right w:val="nil"/>
            </w:tcBorders>
            <w:shd w:val="clear" w:color="auto" w:fill="auto"/>
            <w:noWrap/>
            <w:vAlign w:val="center"/>
            <w:hideMark/>
          </w:tcPr>
          <w:p w14:paraId="39B5388A" w14:textId="77777777" w:rsidR="008B784F" w:rsidRPr="008B784F" w:rsidRDefault="008B784F" w:rsidP="008B784F">
            <w:pPr>
              <w:spacing w:after="0" w:line="240" w:lineRule="auto"/>
              <w:rPr>
                <w:rFonts w:ascii="Times New Roman" w:eastAsia="Times New Roman" w:hAnsi="Times New Roman" w:cs="Times New Roman"/>
                <w:color w:val="262626"/>
                <w:sz w:val="24"/>
                <w:szCs w:val="24"/>
              </w:rPr>
            </w:pPr>
            <w:r w:rsidRPr="008B784F">
              <w:rPr>
                <w:rFonts w:ascii="Times New Roman" w:eastAsia="Times New Roman" w:hAnsi="Times New Roman" w:cs="Times New Roman"/>
                <w:color w:val="262626"/>
                <w:sz w:val="24"/>
                <w:szCs w:val="24"/>
              </w:rPr>
              <w:t xml:space="preserve">WBES </w:t>
            </w:r>
          </w:p>
        </w:tc>
        <w:tc>
          <w:tcPr>
            <w:tcW w:w="8160" w:type="dxa"/>
            <w:tcBorders>
              <w:top w:val="nil"/>
              <w:left w:val="nil"/>
              <w:bottom w:val="nil"/>
              <w:right w:val="nil"/>
            </w:tcBorders>
            <w:shd w:val="clear" w:color="auto" w:fill="auto"/>
            <w:noWrap/>
            <w:vAlign w:val="bottom"/>
            <w:hideMark/>
          </w:tcPr>
          <w:p w14:paraId="7846D388" w14:textId="77777777" w:rsidR="008B784F" w:rsidRPr="008B784F" w:rsidRDefault="008B784F" w:rsidP="008B784F">
            <w:pPr>
              <w:spacing w:after="0" w:line="240" w:lineRule="auto"/>
              <w:rPr>
                <w:rFonts w:ascii="Times New Roman" w:eastAsia="Times New Roman" w:hAnsi="Times New Roman" w:cs="Times New Roman"/>
                <w:color w:val="000000"/>
              </w:rPr>
            </w:pPr>
            <w:r w:rsidRPr="008B784F">
              <w:rPr>
                <w:rFonts w:ascii="Times New Roman" w:eastAsia="Times New Roman" w:hAnsi="Times New Roman" w:cs="Times New Roman"/>
                <w:color w:val="000000"/>
              </w:rPr>
              <w:t>World Bank Enterprise Survey</w:t>
            </w:r>
          </w:p>
        </w:tc>
      </w:tr>
    </w:tbl>
    <w:p w14:paraId="0A28E294" w14:textId="77777777" w:rsidR="00CE445C" w:rsidRDefault="00CE445C" w:rsidP="00CE445C">
      <w:pPr>
        <w:jc w:val="center"/>
        <w:rPr>
          <w:rFonts w:ascii="Times New Roman" w:hAnsi="Times New Roman" w:cs="Times New Roman"/>
          <w:b/>
        </w:rPr>
      </w:pPr>
    </w:p>
    <w:p w14:paraId="103787D4" w14:textId="77777777" w:rsidR="00CE445C" w:rsidRDefault="00CE445C" w:rsidP="00634742">
      <w:pPr>
        <w:pStyle w:val="Default"/>
        <w:jc w:val="center"/>
        <w:rPr>
          <w:b/>
          <w:sz w:val="22"/>
          <w:szCs w:val="22"/>
        </w:rPr>
      </w:pPr>
    </w:p>
    <w:p w14:paraId="6096561F" w14:textId="77777777" w:rsidR="00CE445C" w:rsidRDefault="00CE445C" w:rsidP="00634742">
      <w:pPr>
        <w:pStyle w:val="Default"/>
        <w:jc w:val="center"/>
        <w:rPr>
          <w:b/>
          <w:sz w:val="22"/>
          <w:szCs w:val="22"/>
        </w:rPr>
      </w:pPr>
    </w:p>
    <w:p w14:paraId="0272C25A" w14:textId="77777777" w:rsidR="00CE445C" w:rsidRDefault="00CE445C" w:rsidP="00634742">
      <w:pPr>
        <w:pStyle w:val="Default"/>
        <w:jc w:val="center"/>
        <w:rPr>
          <w:b/>
          <w:sz w:val="22"/>
          <w:szCs w:val="22"/>
        </w:rPr>
      </w:pPr>
    </w:p>
    <w:p w14:paraId="07969711" w14:textId="77777777" w:rsidR="00CE445C" w:rsidRDefault="00CE445C" w:rsidP="00634742">
      <w:pPr>
        <w:pStyle w:val="Default"/>
        <w:jc w:val="center"/>
        <w:rPr>
          <w:b/>
          <w:sz w:val="22"/>
          <w:szCs w:val="22"/>
        </w:rPr>
      </w:pPr>
    </w:p>
    <w:p w14:paraId="372E2CA3" w14:textId="77777777" w:rsidR="00CE445C" w:rsidRDefault="00CE445C" w:rsidP="00634742">
      <w:pPr>
        <w:pStyle w:val="Default"/>
        <w:jc w:val="center"/>
        <w:rPr>
          <w:b/>
          <w:sz w:val="22"/>
          <w:szCs w:val="22"/>
        </w:rPr>
      </w:pPr>
    </w:p>
    <w:p w14:paraId="0173424D" w14:textId="77777777" w:rsidR="00CE445C" w:rsidRDefault="00CE445C" w:rsidP="00634742">
      <w:pPr>
        <w:pStyle w:val="Default"/>
        <w:jc w:val="center"/>
        <w:rPr>
          <w:b/>
          <w:sz w:val="22"/>
          <w:szCs w:val="22"/>
        </w:rPr>
      </w:pPr>
    </w:p>
    <w:p w14:paraId="3DC3270A" w14:textId="77777777" w:rsidR="00CE445C" w:rsidRDefault="00CE445C" w:rsidP="00634742">
      <w:pPr>
        <w:pStyle w:val="Default"/>
        <w:jc w:val="center"/>
        <w:rPr>
          <w:b/>
          <w:sz w:val="22"/>
          <w:szCs w:val="22"/>
        </w:rPr>
      </w:pPr>
    </w:p>
    <w:p w14:paraId="02BD84C7" w14:textId="77777777" w:rsidR="00CE445C" w:rsidRDefault="00CE445C" w:rsidP="00634742">
      <w:pPr>
        <w:pStyle w:val="Default"/>
        <w:jc w:val="center"/>
        <w:rPr>
          <w:b/>
          <w:sz w:val="22"/>
          <w:szCs w:val="22"/>
        </w:rPr>
      </w:pPr>
    </w:p>
    <w:p w14:paraId="3B9B7294" w14:textId="77777777" w:rsidR="00CE445C" w:rsidRDefault="00CE445C" w:rsidP="00634742">
      <w:pPr>
        <w:pStyle w:val="Default"/>
        <w:jc w:val="center"/>
        <w:rPr>
          <w:b/>
          <w:sz w:val="22"/>
          <w:szCs w:val="22"/>
        </w:rPr>
      </w:pPr>
    </w:p>
    <w:p w14:paraId="558758A8" w14:textId="77777777" w:rsidR="00CE445C" w:rsidRDefault="00CE445C" w:rsidP="00634742">
      <w:pPr>
        <w:pStyle w:val="Default"/>
        <w:jc w:val="center"/>
        <w:rPr>
          <w:b/>
          <w:sz w:val="22"/>
          <w:szCs w:val="22"/>
        </w:rPr>
      </w:pPr>
    </w:p>
    <w:p w14:paraId="4460FB0D" w14:textId="77777777" w:rsidR="00CE445C" w:rsidRDefault="00CE445C" w:rsidP="00634742">
      <w:pPr>
        <w:pStyle w:val="Default"/>
        <w:jc w:val="center"/>
        <w:rPr>
          <w:b/>
          <w:sz w:val="22"/>
          <w:szCs w:val="22"/>
        </w:rPr>
      </w:pPr>
    </w:p>
    <w:p w14:paraId="578BE947" w14:textId="77777777" w:rsidR="00CE445C" w:rsidRDefault="00CE445C" w:rsidP="00634742">
      <w:pPr>
        <w:pStyle w:val="Default"/>
        <w:jc w:val="center"/>
        <w:rPr>
          <w:b/>
          <w:sz w:val="22"/>
          <w:szCs w:val="22"/>
        </w:rPr>
      </w:pPr>
    </w:p>
    <w:p w14:paraId="2D81348B" w14:textId="77777777" w:rsidR="00CE445C" w:rsidRDefault="00CE445C" w:rsidP="00634742">
      <w:pPr>
        <w:pStyle w:val="Default"/>
        <w:jc w:val="center"/>
        <w:rPr>
          <w:b/>
          <w:sz w:val="22"/>
          <w:szCs w:val="22"/>
        </w:rPr>
      </w:pPr>
    </w:p>
    <w:p w14:paraId="50C9739D" w14:textId="77777777" w:rsidR="00CE445C" w:rsidRDefault="00CE445C" w:rsidP="00634742">
      <w:pPr>
        <w:pStyle w:val="Default"/>
        <w:jc w:val="center"/>
        <w:rPr>
          <w:b/>
          <w:sz w:val="22"/>
          <w:szCs w:val="22"/>
        </w:rPr>
      </w:pPr>
    </w:p>
    <w:p w14:paraId="5B6533F0" w14:textId="77777777" w:rsidR="00CE445C" w:rsidRDefault="00CE445C" w:rsidP="00634742">
      <w:pPr>
        <w:pStyle w:val="Default"/>
        <w:jc w:val="center"/>
        <w:rPr>
          <w:b/>
          <w:sz w:val="22"/>
          <w:szCs w:val="22"/>
        </w:rPr>
      </w:pPr>
    </w:p>
    <w:p w14:paraId="54865939" w14:textId="77777777" w:rsidR="00CE445C" w:rsidRDefault="00CE445C" w:rsidP="00634742">
      <w:pPr>
        <w:pStyle w:val="Default"/>
        <w:jc w:val="center"/>
        <w:rPr>
          <w:b/>
          <w:sz w:val="22"/>
          <w:szCs w:val="22"/>
        </w:rPr>
      </w:pPr>
    </w:p>
    <w:p w14:paraId="4119D425" w14:textId="77777777" w:rsidR="00CE445C" w:rsidRDefault="00CE445C" w:rsidP="00634742">
      <w:pPr>
        <w:pStyle w:val="Default"/>
        <w:jc w:val="center"/>
        <w:rPr>
          <w:b/>
          <w:sz w:val="22"/>
          <w:szCs w:val="22"/>
        </w:rPr>
      </w:pPr>
    </w:p>
    <w:p w14:paraId="16EC73A0" w14:textId="77777777" w:rsidR="00CE445C" w:rsidRDefault="00CE445C" w:rsidP="00634742">
      <w:pPr>
        <w:pStyle w:val="Default"/>
        <w:jc w:val="center"/>
        <w:rPr>
          <w:b/>
          <w:sz w:val="22"/>
          <w:szCs w:val="22"/>
        </w:rPr>
      </w:pPr>
    </w:p>
    <w:p w14:paraId="081C6EFC" w14:textId="77777777" w:rsidR="00CE445C" w:rsidRDefault="00CE445C" w:rsidP="00634742">
      <w:pPr>
        <w:pStyle w:val="Default"/>
        <w:jc w:val="center"/>
        <w:rPr>
          <w:b/>
          <w:sz w:val="22"/>
          <w:szCs w:val="22"/>
        </w:rPr>
      </w:pPr>
    </w:p>
    <w:p w14:paraId="45DA7351" w14:textId="77777777" w:rsidR="00CE445C" w:rsidRDefault="00CE445C" w:rsidP="00634742">
      <w:pPr>
        <w:pStyle w:val="Default"/>
        <w:jc w:val="center"/>
        <w:rPr>
          <w:b/>
          <w:sz w:val="22"/>
          <w:szCs w:val="22"/>
        </w:rPr>
      </w:pPr>
    </w:p>
    <w:p w14:paraId="6886C5FC" w14:textId="77777777" w:rsidR="00CE445C" w:rsidRDefault="00CE445C" w:rsidP="00634742">
      <w:pPr>
        <w:pStyle w:val="Default"/>
        <w:jc w:val="center"/>
        <w:rPr>
          <w:b/>
          <w:sz w:val="22"/>
          <w:szCs w:val="22"/>
        </w:rPr>
      </w:pPr>
    </w:p>
    <w:p w14:paraId="15665367" w14:textId="77777777" w:rsidR="00CE445C" w:rsidRDefault="00CE445C" w:rsidP="00634742">
      <w:pPr>
        <w:pStyle w:val="Default"/>
        <w:jc w:val="center"/>
        <w:rPr>
          <w:b/>
          <w:sz w:val="22"/>
          <w:szCs w:val="22"/>
        </w:rPr>
      </w:pPr>
    </w:p>
    <w:p w14:paraId="56A2B676" w14:textId="77777777" w:rsidR="00CE445C" w:rsidRDefault="00CE445C" w:rsidP="008B784F">
      <w:pPr>
        <w:pStyle w:val="Default"/>
        <w:rPr>
          <w:b/>
          <w:sz w:val="22"/>
          <w:szCs w:val="22"/>
        </w:rPr>
      </w:pPr>
    </w:p>
    <w:p w14:paraId="0EF39288" w14:textId="77777777" w:rsidR="008B784F" w:rsidRPr="003C4F65" w:rsidRDefault="008B784F" w:rsidP="008B784F">
      <w:pPr>
        <w:pStyle w:val="Default"/>
        <w:rPr>
          <w:b/>
          <w:sz w:val="22"/>
          <w:szCs w:val="22"/>
        </w:rPr>
      </w:pPr>
    </w:p>
    <w:p w14:paraId="3B6B4122" w14:textId="77777777" w:rsidR="000E55E4" w:rsidRPr="003C4F65" w:rsidRDefault="000E55E4" w:rsidP="00634742">
      <w:pPr>
        <w:spacing w:after="0" w:line="240" w:lineRule="auto"/>
        <w:jc w:val="both"/>
        <w:rPr>
          <w:rStyle w:val="Strong"/>
          <w:rFonts w:ascii="Times New Roman" w:hAnsi="Times New Roman" w:cs="Times New Roman"/>
          <w:i/>
          <w:color w:val="262626" w:themeColor="text1" w:themeTint="D9"/>
        </w:rPr>
      </w:pPr>
    </w:p>
    <w:p w14:paraId="4B22924F" w14:textId="77777777" w:rsidR="007328D5" w:rsidRPr="003C4F65" w:rsidRDefault="007328D5" w:rsidP="007328D5">
      <w:pPr>
        <w:tabs>
          <w:tab w:val="num" w:pos="1440"/>
        </w:tabs>
        <w:autoSpaceDE w:val="0"/>
        <w:autoSpaceDN w:val="0"/>
        <w:adjustRightInd w:val="0"/>
        <w:spacing w:after="0" w:line="240" w:lineRule="auto"/>
        <w:jc w:val="center"/>
        <w:rPr>
          <w:rFonts w:ascii="Times New Roman" w:hAnsi="Times New Roman" w:cs="Times New Roman"/>
          <w:b/>
          <w:i/>
        </w:rPr>
      </w:pPr>
      <w:r w:rsidRPr="003C4F65">
        <w:rPr>
          <w:rFonts w:ascii="Times New Roman" w:hAnsi="Times New Roman" w:cs="Times New Roman"/>
          <w:b/>
          <w:i/>
        </w:rPr>
        <w:lastRenderedPageBreak/>
        <w:t>Executive Summary</w:t>
      </w:r>
    </w:p>
    <w:p w14:paraId="6559EBD2" w14:textId="77777777" w:rsidR="00822AB9" w:rsidRPr="003C4F65" w:rsidRDefault="00822AB9" w:rsidP="00822AB9">
      <w:pPr>
        <w:pStyle w:val="ListParagraph"/>
        <w:ind w:left="0"/>
        <w:jc w:val="both"/>
        <w:rPr>
          <w:rFonts w:ascii="Times New Roman" w:eastAsiaTheme="minorHAnsi" w:hAnsi="Times New Roman" w:cs="Times New Roman"/>
          <w:b/>
          <w:color w:val="auto"/>
          <w:sz w:val="22"/>
          <w:szCs w:val="22"/>
          <w:lang w:eastAsia="en-US"/>
        </w:rPr>
      </w:pPr>
    </w:p>
    <w:p w14:paraId="5FD61A5A" w14:textId="77777777" w:rsidR="00822AB9" w:rsidRPr="003C4F65" w:rsidRDefault="007328D5" w:rsidP="003C4F65">
      <w:pPr>
        <w:pStyle w:val="ListParagraph"/>
        <w:ind w:left="0"/>
        <w:jc w:val="both"/>
        <w:rPr>
          <w:rStyle w:val="Strong"/>
          <w:rFonts w:ascii="Times New Roman" w:hAnsi="Times New Roman" w:cs="Times New Roman"/>
          <w:b w:val="0"/>
          <w:color w:val="262626" w:themeColor="text1" w:themeTint="D9"/>
          <w:sz w:val="22"/>
          <w:szCs w:val="22"/>
        </w:rPr>
      </w:pPr>
      <w:r w:rsidRPr="003C4F65">
        <w:rPr>
          <w:rStyle w:val="Strong"/>
          <w:rFonts w:ascii="Times New Roman" w:hAnsi="Times New Roman" w:cs="Times New Roman"/>
          <w:color w:val="262626" w:themeColor="text1" w:themeTint="D9"/>
          <w:sz w:val="22"/>
          <w:szCs w:val="22"/>
        </w:rPr>
        <w:t>This note summarizes recent World Bank work on financial inclusion in Namibia.</w:t>
      </w:r>
      <w:r w:rsidRPr="003C4F65">
        <w:rPr>
          <w:rStyle w:val="Strong"/>
          <w:rFonts w:ascii="Times New Roman" w:hAnsi="Times New Roman" w:cs="Times New Roman"/>
          <w:b w:val="0"/>
          <w:color w:val="262626" w:themeColor="text1" w:themeTint="D9"/>
          <w:sz w:val="22"/>
          <w:szCs w:val="22"/>
        </w:rPr>
        <w:t xml:space="preserve"> This includes: (i) a stocktaking exercise on financial inclusion in Southern Africa carried out in 2015; (ii) the 2014 Namibia Insolvency and Creditor/Debtor Regimes Report on Observance of Standards &amp; Codes (ICR ROSC); (iii) the 2014-2015 </w:t>
      </w:r>
      <w:r w:rsidR="00225CE2" w:rsidRPr="003C4F65">
        <w:rPr>
          <w:rStyle w:val="Strong"/>
          <w:rFonts w:ascii="Times New Roman" w:hAnsi="Times New Roman" w:cs="Times New Roman"/>
          <w:b w:val="0"/>
          <w:color w:val="262626" w:themeColor="text1" w:themeTint="D9"/>
          <w:sz w:val="22"/>
          <w:szCs w:val="22"/>
        </w:rPr>
        <w:t xml:space="preserve">Namibia </w:t>
      </w:r>
      <w:r w:rsidRPr="003C4F65">
        <w:rPr>
          <w:rStyle w:val="Strong"/>
          <w:rFonts w:ascii="Times New Roman" w:hAnsi="Times New Roman" w:cs="Times New Roman"/>
          <w:b w:val="0"/>
          <w:color w:val="262626" w:themeColor="text1" w:themeTint="D9"/>
          <w:sz w:val="22"/>
          <w:szCs w:val="22"/>
        </w:rPr>
        <w:t>World Bank Enterprise Survey (WBES)</w:t>
      </w:r>
      <w:r w:rsidR="00EC7F66" w:rsidRPr="003C4F65">
        <w:rPr>
          <w:rStyle w:val="Strong"/>
          <w:rFonts w:ascii="Times New Roman" w:hAnsi="Times New Roman" w:cs="Times New Roman"/>
          <w:b w:val="0"/>
          <w:color w:val="262626" w:themeColor="text1" w:themeTint="D9"/>
          <w:sz w:val="22"/>
          <w:szCs w:val="22"/>
        </w:rPr>
        <w:t xml:space="preserve">; and (iv) the </w:t>
      </w:r>
      <w:r w:rsidR="00FC6FA7" w:rsidRPr="003C4F65">
        <w:rPr>
          <w:rStyle w:val="Strong"/>
          <w:rFonts w:ascii="Times New Roman" w:hAnsi="Times New Roman" w:cs="Times New Roman"/>
          <w:b w:val="0"/>
          <w:color w:val="262626" w:themeColor="text1" w:themeTint="D9"/>
          <w:sz w:val="22"/>
          <w:szCs w:val="22"/>
        </w:rPr>
        <w:t xml:space="preserve">2014 </w:t>
      </w:r>
      <w:r w:rsidR="00EC7F66" w:rsidRPr="003C4F65">
        <w:rPr>
          <w:rStyle w:val="Strong"/>
          <w:rFonts w:ascii="Times New Roman" w:hAnsi="Times New Roman" w:cs="Times New Roman"/>
          <w:b w:val="0"/>
          <w:color w:val="262626" w:themeColor="text1" w:themeTint="D9"/>
          <w:sz w:val="22"/>
          <w:szCs w:val="22"/>
        </w:rPr>
        <w:t>Review of the Market for Remittances in Namibia on the Basis of the CPSS-World Bank General Principles for International Remittances Services</w:t>
      </w:r>
      <w:r w:rsidRPr="003C4F65">
        <w:rPr>
          <w:rStyle w:val="Strong"/>
          <w:rFonts w:ascii="Times New Roman" w:hAnsi="Times New Roman" w:cs="Times New Roman"/>
          <w:b w:val="0"/>
          <w:color w:val="262626" w:themeColor="text1" w:themeTint="D9"/>
          <w:sz w:val="22"/>
          <w:szCs w:val="22"/>
        </w:rPr>
        <w:t xml:space="preserve">.  The goal is to provide a snapshot of financial inclusion (for individuals and enterprises) in Namibia as well as to identify main issues and related policy recommendations.   </w:t>
      </w:r>
    </w:p>
    <w:p w14:paraId="156F22AA" w14:textId="77777777" w:rsidR="00822AB9" w:rsidRPr="003C4F65" w:rsidRDefault="00822AB9" w:rsidP="00822AB9">
      <w:pPr>
        <w:pStyle w:val="ListParagraph"/>
        <w:ind w:left="0"/>
        <w:jc w:val="both"/>
        <w:rPr>
          <w:rStyle w:val="Strong"/>
          <w:rFonts w:ascii="Times New Roman" w:hAnsi="Times New Roman" w:cs="Times New Roman"/>
          <w:b w:val="0"/>
          <w:color w:val="262626" w:themeColor="text1" w:themeTint="D9"/>
          <w:sz w:val="22"/>
          <w:szCs w:val="22"/>
        </w:rPr>
      </w:pPr>
    </w:p>
    <w:p w14:paraId="12586D14" w14:textId="5D32ACF5" w:rsidR="007328D5" w:rsidRPr="003C4F65" w:rsidRDefault="007328D5" w:rsidP="003C4F65">
      <w:pPr>
        <w:pStyle w:val="ListParagraph"/>
        <w:ind w:left="0"/>
        <w:jc w:val="both"/>
        <w:rPr>
          <w:rFonts w:ascii="Times New Roman" w:hAnsi="Times New Roman" w:cs="Times New Roman"/>
          <w:bCs/>
          <w:color w:val="262626" w:themeColor="text1" w:themeTint="D9"/>
          <w:sz w:val="22"/>
          <w:szCs w:val="22"/>
        </w:rPr>
      </w:pPr>
      <w:r w:rsidRPr="003C4F65">
        <w:rPr>
          <w:rFonts w:ascii="Times New Roman" w:hAnsi="Times New Roman" w:cs="Times New Roman"/>
          <w:b/>
          <w:sz w:val="22"/>
          <w:szCs w:val="22"/>
        </w:rPr>
        <w:t xml:space="preserve">Namibia has the second largest financial system in Southern Africa (SA).  </w:t>
      </w:r>
      <w:r w:rsidRPr="003C4F65">
        <w:rPr>
          <w:rFonts w:ascii="Times New Roman" w:hAnsi="Times New Roman" w:cs="Times New Roman"/>
          <w:sz w:val="22"/>
          <w:szCs w:val="22"/>
        </w:rPr>
        <w:t>The financial system is relatively well-developed compared to regional peers</w:t>
      </w:r>
      <w:r w:rsidR="00225CE2" w:rsidRPr="003C4F65">
        <w:rPr>
          <w:rFonts w:ascii="Times New Roman" w:hAnsi="Times New Roman" w:cs="Times New Roman"/>
          <w:sz w:val="22"/>
          <w:szCs w:val="22"/>
        </w:rPr>
        <w:t xml:space="preserve"> and </w:t>
      </w:r>
      <w:r w:rsidRPr="003C4F65">
        <w:rPr>
          <w:rFonts w:ascii="Times New Roman" w:hAnsi="Times New Roman" w:cs="Times New Roman"/>
          <w:bCs/>
          <w:sz w:val="22"/>
          <w:szCs w:val="22"/>
        </w:rPr>
        <w:t xml:space="preserve">is dominated by </w:t>
      </w:r>
      <w:r w:rsidR="00CE445C">
        <w:rPr>
          <w:rFonts w:ascii="Times New Roman" w:hAnsi="Times New Roman" w:cs="Times New Roman"/>
          <w:bCs/>
          <w:sz w:val="22"/>
          <w:szCs w:val="22"/>
        </w:rPr>
        <w:t>non-bank financial institutions (</w:t>
      </w:r>
      <w:r w:rsidRPr="003C4F65">
        <w:rPr>
          <w:rFonts w:ascii="Times New Roman" w:hAnsi="Times New Roman" w:cs="Times New Roman"/>
          <w:bCs/>
          <w:sz w:val="22"/>
          <w:szCs w:val="22"/>
        </w:rPr>
        <w:t>NBFIs</w:t>
      </w:r>
      <w:r w:rsidR="00CE445C">
        <w:rPr>
          <w:rFonts w:ascii="Times New Roman" w:hAnsi="Times New Roman" w:cs="Times New Roman"/>
          <w:bCs/>
          <w:sz w:val="22"/>
          <w:szCs w:val="22"/>
        </w:rPr>
        <w:t>)</w:t>
      </w:r>
      <w:r w:rsidR="00225CE2" w:rsidRPr="003C4F65">
        <w:rPr>
          <w:rFonts w:ascii="Times New Roman" w:hAnsi="Times New Roman" w:cs="Times New Roman"/>
          <w:bCs/>
          <w:sz w:val="22"/>
          <w:szCs w:val="22"/>
        </w:rPr>
        <w:t>.  P</w:t>
      </w:r>
      <w:r w:rsidRPr="003C4F65">
        <w:rPr>
          <w:rFonts w:ascii="Times New Roman" w:hAnsi="Times New Roman" w:cs="Times New Roman"/>
          <w:sz w:val="22"/>
          <w:szCs w:val="22"/>
        </w:rPr>
        <w:t xml:space="preserve">ension funds and insurance companies </w:t>
      </w:r>
      <w:r w:rsidR="00225CE2" w:rsidRPr="003C4F65">
        <w:rPr>
          <w:rFonts w:ascii="Times New Roman" w:hAnsi="Times New Roman" w:cs="Times New Roman"/>
          <w:sz w:val="22"/>
          <w:szCs w:val="22"/>
        </w:rPr>
        <w:t xml:space="preserve">are </w:t>
      </w:r>
      <w:r w:rsidRPr="003C4F65">
        <w:rPr>
          <w:rFonts w:ascii="Times New Roman" w:hAnsi="Times New Roman" w:cs="Times New Roman"/>
          <w:sz w:val="22"/>
          <w:szCs w:val="22"/>
        </w:rPr>
        <w:t>the largest component</w:t>
      </w:r>
      <w:r w:rsidR="00225CE2" w:rsidRPr="003C4F65">
        <w:rPr>
          <w:rFonts w:ascii="Times New Roman" w:hAnsi="Times New Roman" w:cs="Times New Roman"/>
          <w:sz w:val="22"/>
          <w:szCs w:val="22"/>
        </w:rPr>
        <w:t xml:space="preserve"> among NBFI</w:t>
      </w:r>
      <w:r w:rsidRPr="003C4F65">
        <w:rPr>
          <w:rFonts w:ascii="Times New Roman" w:hAnsi="Times New Roman" w:cs="Times New Roman"/>
          <w:sz w:val="22"/>
          <w:szCs w:val="22"/>
        </w:rPr>
        <w:t xml:space="preserve">.  Reportedly, the banking sector is sound, profitable and adequately capitalized. The main four commercial banks hold more than 95 percent of assets and deposits with three of them being mainly South African owned. </w:t>
      </w:r>
    </w:p>
    <w:p w14:paraId="5CCB89FE" w14:textId="77777777" w:rsidR="00822AB9" w:rsidRPr="003C4F65" w:rsidRDefault="00822AB9" w:rsidP="00822AB9">
      <w:pPr>
        <w:pStyle w:val="ListParagraph"/>
        <w:ind w:left="0"/>
        <w:jc w:val="both"/>
        <w:rPr>
          <w:rStyle w:val="Strong"/>
          <w:rFonts w:ascii="Times New Roman" w:eastAsiaTheme="minorHAnsi" w:hAnsi="Times New Roman" w:cs="Times New Roman"/>
          <w:i/>
          <w:color w:val="262626" w:themeColor="text1" w:themeTint="D9"/>
          <w:sz w:val="22"/>
          <w:szCs w:val="22"/>
          <w:lang w:eastAsia="en-US"/>
        </w:rPr>
      </w:pPr>
    </w:p>
    <w:p w14:paraId="49F2A9E1" w14:textId="701659F5" w:rsidR="007328D5" w:rsidRPr="003C4F65" w:rsidRDefault="007328D5" w:rsidP="003C4F65">
      <w:pPr>
        <w:pStyle w:val="ListParagraph"/>
        <w:ind w:left="0"/>
        <w:jc w:val="both"/>
        <w:rPr>
          <w:rFonts w:ascii="Times New Roman" w:hAnsi="Times New Roman" w:cs="Times New Roman"/>
          <w:bCs/>
          <w:sz w:val="22"/>
          <w:szCs w:val="22"/>
        </w:rPr>
      </w:pPr>
      <w:r w:rsidRPr="003C4F65">
        <w:rPr>
          <w:rStyle w:val="Strong"/>
          <w:rFonts w:ascii="Times New Roman" w:hAnsi="Times New Roman" w:cs="Times New Roman"/>
          <w:color w:val="262626" w:themeColor="text1" w:themeTint="D9"/>
          <w:sz w:val="22"/>
          <w:szCs w:val="22"/>
        </w:rPr>
        <w:t xml:space="preserve">Financial inclusion for individuals has increased remarkably in recent years and Namibia stands out for the high percentage of banked individuals.  </w:t>
      </w:r>
      <w:r w:rsidRPr="003C4F65">
        <w:rPr>
          <w:rFonts w:ascii="Times New Roman" w:hAnsi="Times New Roman" w:cs="Times New Roman"/>
          <w:bCs/>
          <w:sz w:val="22"/>
          <w:szCs w:val="22"/>
        </w:rPr>
        <w:t xml:space="preserve">Importantly, the increase in the banked population has largely emerged from </w:t>
      </w:r>
      <w:r w:rsidR="001432D4" w:rsidRPr="003C4F65">
        <w:rPr>
          <w:rFonts w:ascii="Times New Roman" w:hAnsi="Times New Roman" w:cs="Times New Roman"/>
          <w:bCs/>
          <w:sz w:val="22"/>
          <w:szCs w:val="22"/>
        </w:rPr>
        <w:t>low-income</w:t>
      </w:r>
      <w:r w:rsidRPr="003C4F65">
        <w:rPr>
          <w:rFonts w:ascii="Times New Roman" w:hAnsi="Times New Roman" w:cs="Times New Roman"/>
          <w:bCs/>
          <w:sz w:val="22"/>
          <w:szCs w:val="22"/>
        </w:rPr>
        <w:t xml:space="preserve"> earners who tend to live in rural areas.  The Financial Literacy Initiative (FLI, et al 2013) found that 60 percent of Namibians had bank accounts, which is slightly higher than the level observed in South Africa and </w:t>
      </w:r>
      <w:r w:rsidR="00225CE2" w:rsidRPr="003C4F65">
        <w:rPr>
          <w:rFonts w:ascii="Times New Roman" w:hAnsi="Times New Roman" w:cs="Times New Roman"/>
          <w:bCs/>
          <w:sz w:val="22"/>
          <w:szCs w:val="22"/>
        </w:rPr>
        <w:t xml:space="preserve">the </w:t>
      </w:r>
      <w:r w:rsidRPr="003C4F65">
        <w:rPr>
          <w:rFonts w:ascii="Times New Roman" w:hAnsi="Times New Roman" w:cs="Times New Roman"/>
          <w:bCs/>
          <w:sz w:val="22"/>
          <w:szCs w:val="22"/>
        </w:rPr>
        <w:t>East Asia and the Pacific (EAP) Region.  Similarly, Global Findex 2014 finds a relatively high percentage of individuals with accounts at financial institutions (58 percent vs. 69 percent in South Africa and 51 percent in LAC).</w:t>
      </w:r>
    </w:p>
    <w:p w14:paraId="0779AA19" w14:textId="77777777" w:rsidR="00822AB9" w:rsidRPr="003C4F65" w:rsidRDefault="00822AB9" w:rsidP="00822AB9">
      <w:pPr>
        <w:pStyle w:val="ListParagraph"/>
        <w:ind w:left="0"/>
        <w:jc w:val="both"/>
        <w:rPr>
          <w:rStyle w:val="Strong"/>
          <w:rFonts w:ascii="Times New Roman" w:hAnsi="Times New Roman" w:cs="Times New Roman"/>
          <w:color w:val="262626" w:themeColor="text1" w:themeTint="D9"/>
          <w:sz w:val="22"/>
          <w:szCs w:val="22"/>
        </w:rPr>
      </w:pPr>
    </w:p>
    <w:p w14:paraId="351B3831" w14:textId="7028D5F2" w:rsidR="007328D5" w:rsidRPr="003C4F65" w:rsidRDefault="007328D5" w:rsidP="003C4F65">
      <w:pPr>
        <w:pStyle w:val="ListParagraph"/>
        <w:ind w:left="0"/>
        <w:jc w:val="both"/>
        <w:rPr>
          <w:rFonts w:ascii="Times New Roman" w:hAnsi="Times New Roman" w:cs="Times New Roman"/>
          <w:bCs/>
          <w:color w:val="262626" w:themeColor="text1" w:themeTint="D9"/>
          <w:sz w:val="22"/>
          <w:szCs w:val="22"/>
        </w:rPr>
      </w:pPr>
      <w:r w:rsidRPr="003C4F65">
        <w:rPr>
          <w:rFonts w:ascii="Times New Roman" w:hAnsi="Times New Roman" w:cs="Times New Roman"/>
          <w:b/>
          <w:bCs/>
          <w:color w:val="262626" w:themeColor="text1" w:themeTint="D9"/>
          <w:sz w:val="22"/>
          <w:szCs w:val="22"/>
        </w:rPr>
        <w:t>Notwithstanding these notable improvements on financial inclusion at the household</w:t>
      </w:r>
      <w:r w:rsidR="00975F10" w:rsidRPr="003C4F65">
        <w:rPr>
          <w:rFonts w:ascii="Times New Roman" w:hAnsi="Times New Roman" w:cs="Times New Roman"/>
          <w:b/>
          <w:bCs/>
          <w:color w:val="262626" w:themeColor="text1" w:themeTint="D9"/>
          <w:sz w:val="22"/>
          <w:szCs w:val="22"/>
        </w:rPr>
        <w:t>/individual</w:t>
      </w:r>
      <w:r w:rsidRPr="003C4F65">
        <w:rPr>
          <w:rFonts w:ascii="Times New Roman" w:hAnsi="Times New Roman" w:cs="Times New Roman"/>
          <w:b/>
          <w:bCs/>
          <w:color w:val="262626" w:themeColor="text1" w:themeTint="D9"/>
          <w:sz w:val="22"/>
          <w:szCs w:val="22"/>
        </w:rPr>
        <w:t xml:space="preserve"> level, some issues remain.  </w:t>
      </w:r>
      <w:r w:rsidRPr="003C4F65">
        <w:rPr>
          <w:rFonts w:ascii="Times New Roman" w:hAnsi="Times New Roman" w:cs="Times New Roman"/>
          <w:bCs/>
          <w:color w:val="262626" w:themeColor="text1" w:themeTint="D9"/>
          <w:sz w:val="22"/>
          <w:szCs w:val="22"/>
        </w:rPr>
        <w:t>Given the large size of the country and the small population size, there is low coverage of bank branches</w:t>
      </w:r>
      <w:r w:rsidR="00FC6FA7" w:rsidRPr="003C4F65">
        <w:rPr>
          <w:rFonts w:ascii="Times New Roman" w:hAnsi="Times New Roman" w:cs="Times New Roman"/>
          <w:bCs/>
          <w:color w:val="262626" w:themeColor="text1" w:themeTint="D9"/>
          <w:sz w:val="22"/>
          <w:szCs w:val="22"/>
        </w:rPr>
        <w:t>/ATMs</w:t>
      </w:r>
      <w:r w:rsidRPr="003C4F65">
        <w:rPr>
          <w:rFonts w:ascii="Times New Roman" w:hAnsi="Times New Roman" w:cs="Times New Roman"/>
          <w:bCs/>
          <w:color w:val="262626" w:themeColor="text1" w:themeTint="D9"/>
          <w:sz w:val="22"/>
          <w:szCs w:val="22"/>
        </w:rPr>
        <w:t xml:space="preserve"> in rural areas.  Enhancing the use of more innovative delivery channels like mobile banking could enhance financial inclusion in rural areas.  </w:t>
      </w:r>
      <w:r w:rsidR="001432D4" w:rsidRPr="003C4F65">
        <w:rPr>
          <w:rFonts w:ascii="Times New Roman" w:hAnsi="Times New Roman" w:cs="Times New Roman"/>
          <w:bCs/>
          <w:color w:val="262626" w:themeColor="text1" w:themeTint="D9"/>
          <w:sz w:val="22"/>
          <w:szCs w:val="22"/>
        </w:rPr>
        <w:t>In addition</w:t>
      </w:r>
      <w:r w:rsidR="00FC6FA7" w:rsidRPr="003C4F65">
        <w:rPr>
          <w:rFonts w:ascii="Times New Roman" w:hAnsi="Times New Roman" w:cs="Times New Roman"/>
          <w:bCs/>
          <w:color w:val="262626" w:themeColor="text1" w:themeTint="D9"/>
          <w:sz w:val="22"/>
          <w:szCs w:val="22"/>
        </w:rPr>
        <w:t>, i</w:t>
      </w:r>
      <w:r w:rsidRPr="003C4F65">
        <w:rPr>
          <w:rFonts w:ascii="Times New Roman" w:hAnsi="Times New Roman" w:cs="Times New Roman"/>
          <w:bCs/>
          <w:color w:val="262626" w:themeColor="text1" w:themeTint="D9"/>
          <w:sz w:val="22"/>
          <w:szCs w:val="22"/>
        </w:rPr>
        <w:t>ncreased financial inclusion has been driven by transactional and savings products with relatively low usage of credit and insurance</w:t>
      </w:r>
      <w:r w:rsidR="00975F10" w:rsidRPr="003C4F65">
        <w:rPr>
          <w:rFonts w:ascii="Times New Roman" w:hAnsi="Times New Roman" w:cs="Times New Roman"/>
          <w:bCs/>
          <w:color w:val="262626" w:themeColor="text1" w:themeTint="D9"/>
          <w:sz w:val="22"/>
          <w:szCs w:val="22"/>
        </w:rPr>
        <w:t xml:space="preserve">. Other reported issues are </w:t>
      </w:r>
      <w:r w:rsidRPr="003C4F65">
        <w:rPr>
          <w:rFonts w:ascii="Times New Roman" w:hAnsi="Times New Roman" w:cs="Times New Roman"/>
          <w:bCs/>
          <w:color w:val="262626" w:themeColor="text1" w:themeTint="D9"/>
          <w:sz w:val="22"/>
          <w:szCs w:val="22"/>
        </w:rPr>
        <w:t>high prices of some financial products (e.g. insurance and micro-lending)</w:t>
      </w:r>
      <w:r w:rsidR="00975F10" w:rsidRPr="003C4F65">
        <w:rPr>
          <w:rFonts w:ascii="Times New Roman" w:hAnsi="Times New Roman" w:cs="Times New Roman"/>
          <w:bCs/>
          <w:color w:val="262626" w:themeColor="text1" w:themeTint="D9"/>
          <w:sz w:val="22"/>
          <w:szCs w:val="22"/>
        </w:rPr>
        <w:t>, l</w:t>
      </w:r>
      <w:r w:rsidRPr="003C4F65">
        <w:rPr>
          <w:rFonts w:ascii="Times New Roman" w:hAnsi="Times New Roman" w:cs="Times New Roman"/>
          <w:bCs/>
          <w:color w:val="262626" w:themeColor="text1" w:themeTint="D9"/>
          <w:sz w:val="22"/>
          <w:szCs w:val="22"/>
        </w:rPr>
        <w:t xml:space="preserve">imited availability of some financial data </w:t>
      </w:r>
      <w:r w:rsidR="00975F10" w:rsidRPr="003C4F65">
        <w:rPr>
          <w:rFonts w:ascii="Times New Roman" w:hAnsi="Times New Roman" w:cs="Times New Roman"/>
          <w:bCs/>
          <w:color w:val="262626" w:themeColor="text1" w:themeTint="D9"/>
          <w:sz w:val="22"/>
          <w:szCs w:val="22"/>
        </w:rPr>
        <w:t xml:space="preserve">that </w:t>
      </w:r>
      <w:r w:rsidR="00FC6FA7" w:rsidRPr="003C4F65">
        <w:rPr>
          <w:rFonts w:ascii="Times New Roman" w:hAnsi="Times New Roman" w:cs="Times New Roman"/>
          <w:bCs/>
          <w:color w:val="262626" w:themeColor="text1" w:themeTint="D9"/>
          <w:sz w:val="22"/>
          <w:szCs w:val="22"/>
        </w:rPr>
        <w:t>restricts</w:t>
      </w:r>
      <w:r w:rsidRPr="003C4F65">
        <w:rPr>
          <w:rFonts w:ascii="Times New Roman" w:hAnsi="Times New Roman" w:cs="Times New Roman"/>
          <w:bCs/>
          <w:color w:val="262626" w:themeColor="text1" w:themeTint="D9"/>
          <w:sz w:val="22"/>
          <w:szCs w:val="22"/>
        </w:rPr>
        <w:t xml:space="preserve"> the ability of consumers to compare prices/costs</w:t>
      </w:r>
      <w:r w:rsidR="00975F10" w:rsidRPr="003C4F65">
        <w:rPr>
          <w:rFonts w:ascii="Times New Roman" w:hAnsi="Times New Roman" w:cs="Times New Roman"/>
          <w:bCs/>
          <w:color w:val="262626" w:themeColor="text1" w:themeTint="D9"/>
          <w:sz w:val="22"/>
          <w:szCs w:val="22"/>
        </w:rPr>
        <w:t xml:space="preserve">, </w:t>
      </w:r>
      <w:r w:rsidRPr="003C4F65">
        <w:rPr>
          <w:rFonts w:ascii="Times New Roman" w:hAnsi="Times New Roman" w:cs="Times New Roman"/>
          <w:bCs/>
          <w:color w:val="262626" w:themeColor="text1" w:themeTint="D9"/>
          <w:sz w:val="22"/>
          <w:szCs w:val="22"/>
        </w:rPr>
        <w:t>lack of consumer awareness of lower cost products (e.g. Basic Bank Account)</w:t>
      </w:r>
      <w:r w:rsidR="00975F10" w:rsidRPr="003C4F65">
        <w:rPr>
          <w:rFonts w:ascii="Times New Roman" w:hAnsi="Times New Roman" w:cs="Times New Roman"/>
          <w:bCs/>
          <w:color w:val="262626" w:themeColor="text1" w:themeTint="D9"/>
          <w:sz w:val="22"/>
          <w:szCs w:val="22"/>
        </w:rPr>
        <w:t xml:space="preserve"> and </w:t>
      </w:r>
      <w:r w:rsidRPr="003C4F65">
        <w:rPr>
          <w:rFonts w:ascii="Times New Roman" w:hAnsi="Times New Roman" w:cs="Times New Roman"/>
          <w:bCs/>
          <w:color w:val="262626" w:themeColor="text1" w:themeTint="D9"/>
          <w:sz w:val="22"/>
          <w:szCs w:val="22"/>
        </w:rPr>
        <w:t xml:space="preserve">MFIs </w:t>
      </w:r>
      <w:r w:rsidR="00975F10" w:rsidRPr="003C4F65">
        <w:rPr>
          <w:rFonts w:ascii="Times New Roman" w:hAnsi="Times New Roman" w:cs="Times New Roman"/>
          <w:bCs/>
          <w:color w:val="262626" w:themeColor="text1" w:themeTint="D9"/>
          <w:sz w:val="22"/>
          <w:szCs w:val="22"/>
        </w:rPr>
        <w:t xml:space="preserve">mainly </w:t>
      </w:r>
      <w:r w:rsidRPr="003C4F65">
        <w:rPr>
          <w:rFonts w:ascii="Times New Roman" w:hAnsi="Times New Roman" w:cs="Times New Roman"/>
          <w:bCs/>
          <w:color w:val="262626" w:themeColor="text1" w:themeTint="D9"/>
          <w:sz w:val="22"/>
          <w:szCs w:val="22"/>
        </w:rPr>
        <w:t>target</w:t>
      </w:r>
      <w:r w:rsidR="00975F10" w:rsidRPr="003C4F65">
        <w:rPr>
          <w:rFonts w:ascii="Times New Roman" w:hAnsi="Times New Roman" w:cs="Times New Roman"/>
          <w:bCs/>
          <w:color w:val="262626" w:themeColor="text1" w:themeTint="D9"/>
          <w:sz w:val="22"/>
          <w:szCs w:val="22"/>
        </w:rPr>
        <w:t>ing</w:t>
      </w:r>
      <w:r w:rsidRPr="003C4F65">
        <w:rPr>
          <w:rFonts w:ascii="Times New Roman" w:hAnsi="Times New Roman" w:cs="Times New Roman"/>
          <w:bCs/>
          <w:color w:val="262626" w:themeColor="text1" w:themeTint="D9"/>
          <w:sz w:val="22"/>
          <w:szCs w:val="22"/>
        </w:rPr>
        <w:t xml:space="preserve"> salaried individuals</w:t>
      </w:r>
      <w:r w:rsidR="00975F10" w:rsidRPr="003C4F65">
        <w:rPr>
          <w:rFonts w:ascii="Times New Roman" w:hAnsi="Times New Roman" w:cs="Times New Roman"/>
          <w:bCs/>
          <w:color w:val="262626" w:themeColor="text1" w:themeTint="D9"/>
          <w:sz w:val="22"/>
          <w:szCs w:val="22"/>
        </w:rPr>
        <w:t xml:space="preserve">.  The latter would be </w:t>
      </w:r>
      <w:r w:rsidRPr="003C4F65">
        <w:rPr>
          <w:rFonts w:ascii="Times New Roman" w:hAnsi="Times New Roman" w:cs="Times New Roman"/>
          <w:bCs/>
          <w:color w:val="262626" w:themeColor="text1" w:themeTint="D9"/>
          <w:sz w:val="22"/>
          <w:szCs w:val="22"/>
        </w:rPr>
        <w:t xml:space="preserve">limiting </w:t>
      </w:r>
      <w:r w:rsidR="00975F10" w:rsidRPr="003C4F65">
        <w:rPr>
          <w:rFonts w:ascii="Times New Roman" w:hAnsi="Times New Roman" w:cs="Times New Roman"/>
          <w:bCs/>
          <w:color w:val="262626" w:themeColor="text1" w:themeTint="D9"/>
          <w:sz w:val="22"/>
          <w:szCs w:val="22"/>
        </w:rPr>
        <w:t xml:space="preserve">MFIs potential </w:t>
      </w:r>
      <w:r w:rsidRPr="003C4F65">
        <w:rPr>
          <w:rFonts w:ascii="Times New Roman" w:hAnsi="Times New Roman" w:cs="Times New Roman"/>
          <w:bCs/>
          <w:color w:val="262626" w:themeColor="text1" w:themeTint="D9"/>
          <w:sz w:val="22"/>
          <w:szCs w:val="22"/>
        </w:rPr>
        <w:t xml:space="preserve">contributions to enhance financial inclusion for microenterprises and lower income individuals.  </w:t>
      </w:r>
    </w:p>
    <w:p w14:paraId="617F25DF" w14:textId="77777777" w:rsidR="00822AB9" w:rsidRPr="003C4F65" w:rsidRDefault="00822AB9" w:rsidP="00822AB9">
      <w:pPr>
        <w:pStyle w:val="ListParagraph"/>
        <w:ind w:left="0"/>
        <w:jc w:val="both"/>
        <w:rPr>
          <w:rStyle w:val="Strong"/>
          <w:rFonts w:ascii="Times New Roman" w:eastAsiaTheme="minorHAnsi" w:hAnsi="Times New Roman" w:cs="Times New Roman"/>
          <w:color w:val="262626" w:themeColor="text1" w:themeTint="D9"/>
          <w:sz w:val="22"/>
          <w:szCs w:val="22"/>
          <w:lang w:eastAsia="en-US"/>
        </w:rPr>
      </w:pPr>
    </w:p>
    <w:p w14:paraId="03C8A6A2" w14:textId="7261AB4C" w:rsidR="007328D5" w:rsidRPr="003C4F65" w:rsidRDefault="007328D5" w:rsidP="003C4F65">
      <w:pPr>
        <w:pStyle w:val="ListParagraph"/>
        <w:ind w:left="0"/>
        <w:jc w:val="both"/>
        <w:rPr>
          <w:rFonts w:ascii="Times New Roman" w:hAnsi="Times New Roman" w:cs="Times New Roman"/>
          <w:bCs/>
          <w:color w:val="262626" w:themeColor="text1" w:themeTint="D9"/>
          <w:sz w:val="22"/>
          <w:szCs w:val="22"/>
        </w:rPr>
      </w:pPr>
      <w:r w:rsidRPr="003C4F65">
        <w:rPr>
          <w:rStyle w:val="Strong"/>
          <w:rFonts w:ascii="Times New Roman" w:hAnsi="Times New Roman" w:cs="Times New Roman"/>
          <w:color w:val="262626" w:themeColor="text1" w:themeTint="D9"/>
          <w:sz w:val="22"/>
          <w:szCs w:val="22"/>
        </w:rPr>
        <w:t>At the enterprise level, access to finance is pe</w:t>
      </w:r>
      <w:bookmarkStart w:id="0" w:name="_GoBack"/>
      <w:bookmarkEnd w:id="0"/>
      <w:r w:rsidRPr="003C4F65">
        <w:rPr>
          <w:rStyle w:val="Strong"/>
          <w:rFonts w:ascii="Times New Roman" w:hAnsi="Times New Roman" w:cs="Times New Roman"/>
          <w:color w:val="262626" w:themeColor="text1" w:themeTint="D9"/>
          <w:sz w:val="22"/>
          <w:szCs w:val="22"/>
        </w:rPr>
        <w:t>rceived as a key obstacle by businesses with no visible improvement in recent years.</w:t>
      </w:r>
      <w:r w:rsidRPr="003C4F65">
        <w:rPr>
          <w:rStyle w:val="Strong"/>
          <w:rFonts w:ascii="Times New Roman" w:hAnsi="Times New Roman" w:cs="Times New Roman"/>
          <w:b w:val="0"/>
          <w:color w:val="262626" w:themeColor="text1" w:themeTint="D9"/>
          <w:sz w:val="22"/>
          <w:szCs w:val="22"/>
        </w:rPr>
        <w:t xml:space="preserve"> </w:t>
      </w:r>
      <w:r w:rsidRPr="003C4F65">
        <w:rPr>
          <w:rFonts w:ascii="Times New Roman" w:hAnsi="Times New Roman" w:cs="Times New Roman"/>
          <w:bCs/>
          <w:color w:val="262626" w:themeColor="text1" w:themeTint="D9"/>
          <w:sz w:val="22"/>
          <w:szCs w:val="22"/>
        </w:rPr>
        <w:t xml:space="preserve">Firms (irrespective of size/age) rate cost and access to finance as the top 1 constraint for their growth. Informal firms and MSMEs have lower access to credit.  In particular, access to </w:t>
      </w:r>
      <w:r w:rsidRPr="003C4F65">
        <w:rPr>
          <w:rStyle w:val="Strong"/>
          <w:rFonts w:ascii="Times New Roman" w:hAnsi="Times New Roman" w:cs="Times New Roman"/>
          <w:b w:val="0"/>
          <w:color w:val="262626" w:themeColor="text1" w:themeTint="D9"/>
          <w:sz w:val="22"/>
          <w:szCs w:val="22"/>
        </w:rPr>
        <w:t xml:space="preserve">working capital financing </w:t>
      </w:r>
      <w:r w:rsidR="00975F10" w:rsidRPr="003C4F65">
        <w:rPr>
          <w:rStyle w:val="Strong"/>
          <w:rFonts w:ascii="Times New Roman" w:hAnsi="Times New Roman" w:cs="Times New Roman"/>
          <w:b w:val="0"/>
          <w:color w:val="262626" w:themeColor="text1" w:themeTint="D9"/>
          <w:sz w:val="22"/>
          <w:szCs w:val="22"/>
        </w:rPr>
        <w:t xml:space="preserve">in Namibia </w:t>
      </w:r>
      <w:r w:rsidRPr="003C4F65">
        <w:rPr>
          <w:rStyle w:val="Strong"/>
          <w:rFonts w:ascii="Times New Roman" w:hAnsi="Times New Roman" w:cs="Times New Roman"/>
          <w:b w:val="0"/>
          <w:color w:val="262626" w:themeColor="text1" w:themeTint="D9"/>
          <w:sz w:val="22"/>
          <w:szCs w:val="22"/>
        </w:rPr>
        <w:t>is low compared with other countries.  Lack of collateral is identified as a key obstacle to improve access to financing for MSMEs and informal enterprises. Other r</w:t>
      </w:r>
      <w:r w:rsidRPr="003C4F65">
        <w:rPr>
          <w:rFonts w:ascii="Times New Roman" w:hAnsi="Times New Roman" w:cs="Times New Roman"/>
          <w:bCs/>
          <w:color w:val="262626" w:themeColor="text1" w:themeTint="D9"/>
          <w:sz w:val="22"/>
          <w:szCs w:val="22"/>
        </w:rPr>
        <w:t xml:space="preserve">eported obstacles are the lack of credit history and financial statements, enterprises low level of skills/training/expertise (e.g. to prepare business plans), informality (lack of business registration), MFIs targeting salaried individuals mostly, and lack of financial products tailored for micro-enterprises.       </w:t>
      </w:r>
    </w:p>
    <w:p w14:paraId="08DB4D7F" w14:textId="77777777" w:rsidR="00C507EE" w:rsidRPr="00822AB9" w:rsidRDefault="00C507EE" w:rsidP="007328D5">
      <w:pPr>
        <w:spacing w:after="0" w:line="240" w:lineRule="auto"/>
        <w:jc w:val="both"/>
        <w:rPr>
          <w:rStyle w:val="Strong"/>
          <w:rFonts w:ascii="Times New Roman" w:hAnsi="Times New Roman" w:cs="Times New Roman"/>
          <w:color w:val="262626" w:themeColor="text1" w:themeTint="D9"/>
        </w:rPr>
        <w:sectPr w:rsidR="00C507EE" w:rsidRPr="00822AB9" w:rsidSect="00183573">
          <w:footerReference w:type="default" r:id="rId9"/>
          <w:pgSz w:w="12240" w:h="15840"/>
          <w:pgMar w:top="1440" w:right="1440" w:bottom="1440" w:left="1440" w:header="720" w:footer="720" w:gutter="0"/>
          <w:cols w:space="720"/>
          <w:docGrid w:linePitch="360"/>
        </w:sectPr>
      </w:pPr>
    </w:p>
    <w:p w14:paraId="69A59138" w14:textId="1B209229" w:rsidR="007328D5" w:rsidRPr="004929E0" w:rsidRDefault="007328D5" w:rsidP="00C507EE">
      <w:pPr>
        <w:jc w:val="center"/>
        <w:rPr>
          <w:rStyle w:val="Strong"/>
          <w:rFonts w:ascii="Times New Roman" w:hAnsi="Times New Roman" w:cs="Times New Roman"/>
          <w:i/>
          <w:color w:val="262626" w:themeColor="text1" w:themeTint="D9"/>
        </w:rPr>
      </w:pPr>
      <w:r w:rsidRPr="004929E0">
        <w:rPr>
          <w:rStyle w:val="Strong"/>
          <w:rFonts w:ascii="Times New Roman" w:hAnsi="Times New Roman" w:cs="Times New Roman"/>
          <w:i/>
          <w:color w:val="262626" w:themeColor="text1" w:themeTint="D9"/>
        </w:rPr>
        <w:lastRenderedPageBreak/>
        <w:t>Recommendations</w:t>
      </w:r>
      <w:r w:rsidR="003312F5">
        <w:rPr>
          <w:rStyle w:val="Strong"/>
          <w:rFonts w:ascii="Times New Roman" w:hAnsi="Times New Roman" w:cs="Times New Roman"/>
          <w:i/>
          <w:color w:val="262626" w:themeColor="text1" w:themeTint="D9"/>
        </w:rPr>
        <w:t xml:space="preserve"> to E</w:t>
      </w:r>
      <w:r w:rsidR="00012460">
        <w:rPr>
          <w:rStyle w:val="Strong"/>
          <w:rFonts w:ascii="Times New Roman" w:hAnsi="Times New Roman" w:cs="Times New Roman"/>
          <w:i/>
          <w:color w:val="262626" w:themeColor="text1" w:themeTint="D9"/>
        </w:rPr>
        <w:t xml:space="preserve">nhance </w:t>
      </w:r>
      <w:r w:rsidR="003312F5">
        <w:rPr>
          <w:rStyle w:val="Strong"/>
          <w:rFonts w:ascii="Times New Roman" w:hAnsi="Times New Roman" w:cs="Times New Roman"/>
          <w:i/>
          <w:color w:val="262626" w:themeColor="text1" w:themeTint="D9"/>
        </w:rPr>
        <w:t>Financial I</w:t>
      </w:r>
      <w:r w:rsidR="00012460">
        <w:rPr>
          <w:rStyle w:val="Strong"/>
          <w:rFonts w:ascii="Times New Roman" w:hAnsi="Times New Roman" w:cs="Times New Roman"/>
          <w:i/>
          <w:color w:val="262626" w:themeColor="text1" w:themeTint="D9"/>
        </w:rPr>
        <w:t>nclusion</w:t>
      </w:r>
    </w:p>
    <w:p w14:paraId="0FC10BB4" w14:textId="760D744B" w:rsidR="007328D5" w:rsidRPr="00C507EE" w:rsidRDefault="007328D5" w:rsidP="007328D5">
      <w:pPr>
        <w:spacing w:after="0" w:line="240" w:lineRule="auto"/>
        <w:jc w:val="both"/>
        <w:rPr>
          <w:rStyle w:val="Strong"/>
          <w:rFonts w:ascii="Times New Roman" w:hAnsi="Times New Roman" w:cs="Times New Roman"/>
          <w:b w:val="0"/>
          <w:color w:val="262626" w:themeColor="text1" w:themeTint="D9"/>
          <w:sz w:val="20"/>
          <w:szCs w:val="20"/>
        </w:rPr>
      </w:pPr>
      <w:r w:rsidRPr="00C507EE">
        <w:rPr>
          <w:rStyle w:val="Strong"/>
          <w:rFonts w:ascii="Times New Roman" w:hAnsi="Times New Roman" w:cs="Times New Roman"/>
          <w:color w:val="262626" w:themeColor="text1" w:themeTint="D9"/>
          <w:sz w:val="20"/>
          <w:szCs w:val="20"/>
        </w:rPr>
        <w:t>Financial sector interventions/efforts in Namibia should seek to enhance employment and reduce inequality.</w:t>
      </w:r>
      <w:r w:rsidRPr="00C507EE">
        <w:rPr>
          <w:rStyle w:val="Strong"/>
          <w:rFonts w:ascii="Times New Roman" w:hAnsi="Times New Roman" w:cs="Times New Roman"/>
          <w:b w:val="0"/>
          <w:color w:val="262626" w:themeColor="text1" w:themeTint="D9"/>
          <w:sz w:val="20"/>
          <w:szCs w:val="20"/>
        </w:rPr>
        <w:t xml:space="preserve"> </w:t>
      </w:r>
      <w:r w:rsidRPr="00C507EE">
        <w:rPr>
          <w:rFonts w:ascii="Times New Roman" w:hAnsi="Times New Roman" w:cs="Times New Roman"/>
          <w:sz w:val="20"/>
          <w:szCs w:val="20"/>
        </w:rPr>
        <w:t>The country suffers from chronic high unemployment, HIV/AIDS, and a distribution of income that is among the World’s most unequal—only a minority of the population lives in conditions expect</w:t>
      </w:r>
      <w:r w:rsidR="00FC6FA7" w:rsidRPr="00C507EE">
        <w:rPr>
          <w:rFonts w:ascii="Times New Roman" w:hAnsi="Times New Roman" w:cs="Times New Roman"/>
          <w:sz w:val="20"/>
          <w:szCs w:val="20"/>
        </w:rPr>
        <w:t>ed in</w:t>
      </w:r>
      <w:r w:rsidRPr="00C507EE">
        <w:rPr>
          <w:rFonts w:ascii="Times New Roman" w:hAnsi="Times New Roman" w:cs="Times New Roman"/>
          <w:sz w:val="20"/>
          <w:szCs w:val="20"/>
        </w:rPr>
        <w:t xml:space="preserve"> a </w:t>
      </w:r>
      <w:r w:rsidR="00FC6FA7" w:rsidRPr="00C507EE">
        <w:rPr>
          <w:rFonts w:ascii="Times New Roman" w:hAnsi="Times New Roman" w:cs="Times New Roman"/>
          <w:sz w:val="20"/>
          <w:szCs w:val="20"/>
        </w:rPr>
        <w:t>middle income country</w:t>
      </w:r>
      <w:r w:rsidRPr="00C507EE">
        <w:rPr>
          <w:rFonts w:ascii="Times New Roman" w:hAnsi="Times New Roman" w:cs="Times New Roman"/>
          <w:sz w:val="20"/>
          <w:szCs w:val="20"/>
        </w:rPr>
        <w:t xml:space="preserve">. The unemployment rate (broad) is 27 percent and the labor force participation rate (60 percent) falls below the averages for </w:t>
      </w:r>
      <w:r w:rsidR="00FC6FA7" w:rsidRPr="00C507EE">
        <w:rPr>
          <w:rFonts w:ascii="Times New Roman" w:hAnsi="Times New Roman" w:cs="Times New Roman"/>
          <w:sz w:val="20"/>
          <w:szCs w:val="20"/>
        </w:rPr>
        <w:t>Sub-Saharan Africa</w:t>
      </w:r>
      <w:r w:rsidRPr="00C507EE">
        <w:rPr>
          <w:rFonts w:ascii="Times New Roman" w:hAnsi="Times New Roman" w:cs="Times New Roman"/>
          <w:sz w:val="20"/>
          <w:szCs w:val="20"/>
        </w:rPr>
        <w:t xml:space="preserve">, </w:t>
      </w:r>
      <w:r w:rsidR="00FC6FA7" w:rsidRPr="00C507EE">
        <w:rPr>
          <w:rFonts w:ascii="Times New Roman" w:hAnsi="Times New Roman" w:cs="Times New Roman"/>
          <w:sz w:val="20"/>
          <w:szCs w:val="20"/>
        </w:rPr>
        <w:t>middle-income countries and low-income countries</w:t>
      </w:r>
      <w:r w:rsidRPr="00C507EE">
        <w:rPr>
          <w:rFonts w:ascii="Times New Roman" w:hAnsi="Times New Roman" w:cs="Times New Roman"/>
          <w:sz w:val="20"/>
          <w:szCs w:val="20"/>
        </w:rPr>
        <w:t xml:space="preserve">.  Economic growth has not generated jobs as the structure of economic production and trade is tied closely to metals, minerals, and other natural resources. </w:t>
      </w:r>
      <w:r w:rsidR="009C0B8F" w:rsidRPr="00C507EE">
        <w:rPr>
          <w:rFonts w:ascii="Times New Roman" w:hAnsi="Times New Roman" w:cs="Times New Roman"/>
          <w:sz w:val="20"/>
          <w:szCs w:val="20"/>
        </w:rPr>
        <w:t xml:space="preserve">Efforts to enhance financial inclusion </w:t>
      </w:r>
      <w:r w:rsidRPr="00C507EE">
        <w:rPr>
          <w:rStyle w:val="Strong"/>
          <w:rFonts w:ascii="Times New Roman" w:hAnsi="Times New Roman" w:cs="Times New Roman"/>
          <w:b w:val="0"/>
          <w:color w:val="262626" w:themeColor="text1" w:themeTint="D9"/>
          <w:sz w:val="20"/>
          <w:szCs w:val="20"/>
        </w:rPr>
        <w:t xml:space="preserve">should </w:t>
      </w:r>
      <w:r w:rsidR="009C0B8F" w:rsidRPr="00C507EE">
        <w:rPr>
          <w:rStyle w:val="Strong"/>
          <w:rFonts w:ascii="Times New Roman" w:hAnsi="Times New Roman" w:cs="Times New Roman"/>
          <w:b w:val="0"/>
          <w:color w:val="262626" w:themeColor="text1" w:themeTint="D9"/>
          <w:sz w:val="20"/>
          <w:szCs w:val="20"/>
        </w:rPr>
        <w:t xml:space="preserve">focus </w:t>
      </w:r>
      <w:r w:rsidRPr="00C507EE">
        <w:rPr>
          <w:rFonts w:ascii="Times New Roman" w:hAnsi="Times New Roman" w:cs="Times New Roman"/>
          <w:bCs/>
          <w:color w:val="262626" w:themeColor="text1" w:themeTint="D9"/>
          <w:sz w:val="20"/>
          <w:szCs w:val="20"/>
        </w:rPr>
        <w:t xml:space="preserve">on </w:t>
      </w:r>
      <w:r w:rsidR="00FC6FA7" w:rsidRPr="00C507EE">
        <w:rPr>
          <w:rFonts w:ascii="Times New Roman" w:hAnsi="Times New Roman" w:cs="Times New Roman"/>
          <w:bCs/>
          <w:color w:val="262626" w:themeColor="text1" w:themeTint="D9"/>
          <w:sz w:val="20"/>
          <w:szCs w:val="20"/>
        </w:rPr>
        <w:t xml:space="preserve">increasing financial inclusion at the </w:t>
      </w:r>
      <w:r w:rsidRPr="00C507EE">
        <w:rPr>
          <w:rFonts w:ascii="Times New Roman" w:hAnsi="Times New Roman" w:cs="Times New Roman"/>
          <w:bCs/>
          <w:color w:val="262626" w:themeColor="text1" w:themeTint="D9"/>
          <w:sz w:val="20"/>
          <w:szCs w:val="20"/>
        </w:rPr>
        <w:t>enterprise</w:t>
      </w:r>
      <w:r w:rsidR="00FC6FA7" w:rsidRPr="00C507EE">
        <w:rPr>
          <w:rFonts w:ascii="Times New Roman" w:hAnsi="Times New Roman" w:cs="Times New Roman"/>
          <w:bCs/>
          <w:color w:val="262626" w:themeColor="text1" w:themeTint="D9"/>
          <w:sz w:val="20"/>
          <w:szCs w:val="20"/>
        </w:rPr>
        <w:t xml:space="preserve"> level</w:t>
      </w:r>
      <w:r w:rsidRPr="00C507EE">
        <w:rPr>
          <w:rFonts w:ascii="Times New Roman" w:hAnsi="Times New Roman" w:cs="Times New Roman"/>
          <w:bCs/>
          <w:color w:val="262626" w:themeColor="text1" w:themeTint="D9"/>
          <w:sz w:val="20"/>
          <w:szCs w:val="20"/>
        </w:rPr>
        <w:t xml:space="preserve"> (</w:t>
      </w:r>
      <w:r w:rsidR="00FC6FA7" w:rsidRPr="00C507EE">
        <w:rPr>
          <w:rFonts w:ascii="Times New Roman" w:hAnsi="Times New Roman" w:cs="Times New Roman"/>
          <w:bCs/>
          <w:color w:val="262626" w:themeColor="text1" w:themeTint="D9"/>
          <w:sz w:val="20"/>
          <w:szCs w:val="20"/>
        </w:rPr>
        <w:t xml:space="preserve">particularly </w:t>
      </w:r>
      <w:r w:rsidRPr="00C507EE">
        <w:rPr>
          <w:rFonts w:ascii="Times New Roman" w:hAnsi="Times New Roman" w:cs="Times New Roman"/>
          <w:bCs/>
          <w:color w:val="262626" w:themeColor="text1" w:themeTint="D9"/>
          <w:sz w:val="20"/>
          <w:szCs w:val="20"/>
        </w:rPr>
        <w:t>MSMEs and informal</w:t>
      </w:r>
      <w:r w:rsidR="00FC6FA7" w:rsidRPr="00C507EE">
        <w:rPr>
          <w:rFonts w:ascii="Times New Roman" w:hAnsi="Times New Roman" w:cs="Times New Roman"/>
          <w:bCs/>
          <w:color w:val="262626" w:themeColor="text1" w:themeTint="D9"/>
          <w:sz w:val="20"/>
          <w:szCs w:val="20"/>
        </w:rPr>
        <w:t xml:space="preserve"> enterprises</w:t>
      </w:r>
      <w:r w:rsidRPr="00C507EE">
        <w:rPr>
          <w:rFonts w:ascii="Times New Roman" w:hAnsi="Times New Roman" w:cs="Times New Roman"/>
          <w:bCs/>
          <w:color w:val="262626" w:themeColor="text1" w:themeTint="D9"/>
          <w:sz w:val="20"/>
          <w:szCs w:val="20"/>
        </w:rPr>
        <w:t>) given links to growth/employment and relevant improvements at individual level</w:t>
      </w:r>
      <w:r w:rsidRPr="00C507EE">
        <w:rPr>
          <w:rStyle w:val="Strong"/>
          <w:rFonts w:ascii="Times New Roman" w:hAnsi="Times New Roman" w:cs="Times New Roman"/>
          <w:b w:val="0"/>
          <w:color w:val="262626" w:themeColor="text1" w:themeTint="D9"/>
          <w:sz w:val="20"/>
          <w:szCs w:val="20"/>
        </w:rPr>
        <w:t xml:space="preserve">.   </w:t>
      </w:r>
    </w:p>
    <w:p w14:paraId="7BEAC39E" w14:textId="77777777" w:rsidR="007328D5" w:rsidRPr="00C507EE" w:rsidRDefault="007328D5" w:rsidP="007328D5">
      <w:pPr>
        <w:spacing w:after="0" w:line="240" w:lineRule="auto"/>
        <w:jc w:val="both"/>
        <w:rPr>
          <w:rFonts w:ascii="Times New Roman" w:hAnsi="Times New Roman" w:cs="Times New Roman"/>
          <w:b/>
          <w:bCs/>
          <w:color w:val="262626" w:themeColor="text1" w:themeTint="D9"/>
          <w:sz w:val="20"/>
          <w:szCs w:val="20"/>
        </w:rPr>
      </w:pPr>
    </w:p>
    <w:p w14:paraId="785F6C52" w14:textId="2D8147C4" w:rsidR="007328D5" w:rsidRPr="00C507EE" w:rsidRDefault="007328D5" w:rsidP="007328D5">
      <w:pPr>
        <w:spacing w:after="0" w:line="240" w:lineRule="auto"/>
        <w:jc w:val="both"/>
        <w:rPr>
          <w:rFonts w:ascii="Times New Roman" w:hAnsi="Times New Roman" w:cs="Times New Roman"/>
          <w:b/>
          <w:bCs/>
          <w:color w:val="262626" w:themeColor="text1" w:themeTint="D9"/>
          <w:sz w:val="20"/>
          <w:szCs w:val="20"/>
        </w:rPr>
      </w:pPr>
      <w:r w:rsidRPr="00C507EE">
        <w:rPr>
          <w:rFonts w:ascii="Times New Roman" w:hAnsi="Times New Roman" w:cs="Times New Roman"/>
          <w:b/>
          <w:bCs/>
          <w:color w:val="262626" w:themeColor="text1" w:themeTint="D9"/>
          <w:sz w:val="20"/>
          <w:szCs w:val="20"/>
        </w:rPr>
        <w:t>Reform priorities to enhance financial inclusion at the enterprise level:</w:t>
      </w:r>
    </w:p>
    <w:p w14:paraId="7FCB8397" w14:textId="49855DED" w:rsidR="007328D5" w:rsidRPr="00C507EE" w:rsidRDefault="007328D5" w:rsidP="007328D5">
      <w:pPr>
        <w:numPr>
          <w:ilvl w:val="2"/>
          <w:numId w:val="16"/>
        </w:numPr>
        <w:tabs>
          <w:tab w:val="clear" w:pos="2160"/>
          <w:tab w:val="left" w:pos="360"/>
        </w:tabs>
        <w:spacing w:after="0" w:line="240" w:lineRule="auto"/>
        <w:ind w:left="0" w:firstLine="0"/>
        <w:jc w:val="both"/>
        <w:rPr>
          <w:rFonts w:ascii="Times New Roman" w:hAnsi="Times New Roman" w:cs="Times New Roman"/>
          <w:bCs/>
          <w:color w:val="262626" w:themeColor="text1" w:themeTint="D9"/>
          <w:sz w:val="20"/>
          <w:szCs w:val="20"/>
        </w:rPr>
      </w:pPr>
      <w:r w:rsidRPr="00C507EE">
        <w:rPr>
          <w:rFonts w:ascii="Times New Roman" w:hAnsi="Times New Roman" w:cs="Times New Roman"/>
          <w:bCs/>
          <w:color w:val="262626" w:themeColor="text1" w:themeTint="D9"/>
          <w:sz w:val="20"/>
          <w:szCs w:val="20"/>
        </w:rPr>
        <w:t xml:space="preserve">Strengthen the collateral framework (e.g. registration of movable collateral) and credit information framework (e.g. to include </w:t>
      </w:r>
      <w:r w:rsidR="009C0B8F" w:rsidRPr="00C507EE">
        <w:rPr>
          <w:rFonts w:ascii="Times New Roman" w:hAnsi="Times New Roman" w:cs="Times New Roman"/>
          <w:bCs/>
          <w:color w:val="262626" w:themeColor="text1" w:themeTint="D9"/>
          <w:sz w:val="20"/>
          <w:szCs w:val="20"/>
        </w:rPr>
        <w:t xml:space="preserve">positive and negative </w:t>
      </w:r>
      <w:r w:rsidRPr="00C507EE">
        <w:rPr>
          <w:rFonts w:ascii="Times New Roman" w:hAnsi="Times New Roman" w:cs="Times New Roman"/>
          <w:bCs/>
          <w:color w:val="262626" w:themeColor="text1" w:themeTint="D9"/>
          <w:sz w:val="20"/>
          <w:szCs w:val="20"/>
        </w:rPr>
        <w:t>information).</w:t>
      </w:r>
      <w:r w:rsidR="006D2C86" w:rsidRPr="00C507EE">
        <w:rPr>
          <w:rFonts w:ascii="Times New Roman" w:hAnsi="Times New Roman" w:cs="Times New Roman"/>
          <w:bCs/>
          <w:color w:val="262626" w:themeColor="text1" w:themeTint="D9"/>
          <w:sz w:val="20"/>
          <w:szCs w:val="20"/>
        </w:rPr>
        <w:t xml:space="preserve"> (See recommendations to strengthen ICR</w:t>
      </w:r>
      <w:r w:rsidR="00C507EE">
        <w:rPr>
          <w:rFonts w:ascii="Times New Roman" w:hAnsi="Times New Roman" w:cs="Times New Roman"/>
          <w:bCs/>
          <w:color w:val="262626" w:themeColor="text1" w:themeTint="D9"/>
          <w:sz w:val="20"/>
          <w:szCs w:val="20"/>
        </w:rPr>
        <w:t xml:space="preserve"> below</w:t>
      </w:r>
      <w:r w:rsidR="006D2C86" w:rsidRPr="00C507EE">
        <w:rPr>
          <w:rFonts w:ascii="Times New Roman" w:hAnsi="Times New Roman" w:cs="Times New Roman"/>
          <w:bCs/>
          <w:color w:val="262626" w:themeColor="text1" w:themeTint="D9"/>
          <w:sz w:val="20"/>
          <w:szCs w:val="20"/>
        </w:rPr>
        <w:t>).</w:t>
      </w:r>
    </w:p>
    <w:p w14:paraId="3D843729" w14:textId="77777777" w:rsidR="007328D5" w:rsidRPr="00C507EE" w:rsidRDefault="007328D5" w:rsidP="007328D5">
      <w:pPr>
        <w:numPr>
          <w:ilvl w:val="2"/>
          <w:numId w:val="16"/>
        </w:numPr>
        <w:tabs>
          <w:tab w:val="left" w:pos="360"/>
        </w:tabs>
        <w:spacing w:after="0" w:line="240" w:lineRule="auto"/>
        <w:ind w:left="0" w:firstLine="0"/>
        <w:jc w:val="both"/>
        <w:rPr>
          <w:rFonts w:ascii="Times New Roman" w:hAnsi="Times New Roman" w:cs="Times New Roman"/>
          <w:bCs/>
          <w:color w:val="262626" w:themeColor="text1" w:themeTint="D9"/>
          <w:sz w:val="20"/>
          <w:szCs w:val="20"/>
        </w:rPr>
      </w:pPr>
      <w:r w:rsidRPr="00C507EE">
        <w:rPr>
          <w:rFonts w:ascii="Times New Roman" w:hAnsi="Times New Roman" w:cs="Times New Roman"/>
          <w:bCs/>
          <w:color w:val="262626" w:themeColor="text1" w:themeTint="D9"/>
          <w:sz w:val="20"/>
          <w:szCs w:val="20"/>
        </w:rPr>
        <w:t xml:space="preserve">Promote expansion of MFIs into underserved segments (micro-enterprises and low income individuals), including through the regulation of deposit taking MFIs. </w:t>
      </w:r>
    </w:p>
    <w:p w14:paraId="1444EAC0" w14:textId="3C3AD8F5" w:rsidR="007328D5" w:rsidRPr="00C507EE" w:rsidRDefault="007328D5" w:rsidP="007328D5">
      <w:pPr>
        <w:numPr>
          <w:ilvl w:val="2"/>
          <w:numId w:val="16"/>
        </w:numPr>
        <w:tabs>
          <w:tab w:val="left" w:pos="360"/>
        </w:tabs>
        <w:spacing w:after="0" w:line="240" w:lineRule="auto"/>
        <w:ind w:left="0" w:firstLine="0"/>
        <w:jc w:val="both"/>
        <w:rPr>
          <w:rFonts w:ascii="Times New Roman" w:hAnsi="Times New Roman" w:cs="Times New Roman"/>
          <w:bCs/>
          <w:color w:val="262626" w:themeColor="text1" w:themeTint="D9"/>
          <w:sz w:val="20"/>
          <w:szCs w:val="20"/>
        </w:rPr>
      </w:pPr>
      <w:r w:rsidRPr="00C507EE">
        <w:rPr>
          <w:rFonts w:ascii="Times New Roman" w:hAnsi="Times New Roman" w:cs="Times New Roman"/>
          <w:bCs/>
          <w:color w:val="262626" w:themeColor="text1" w:themeTint="D9"/>
          <w:sz w:val="20"/>
          <w:szCs w:val="20"/>
        </w:rPr>
        <w:t>Evaluate/prioritize government initiatives to support the SMEs considering international experience (</w:t>
      </w:r>
      <w:r w:rsidR="009C0B8F" w:rsidRPr="00C507EE">
        <w:rPr>
          <w:rFonts w:ascii="Times New Roman" w:hAnsi="Times New Roman" w:cs="Times New Roman"/>
          <w:bCs/>
          <w:color w:val="262626" w:themeColor="text1" w:themeTint="D9"/>
          <w:sz w:val="20"/>
          <w:szCs w:val="20"/>
        </w:rPr>
        <w:t xml:space="preserve">including the </w:t>
      </w:r>
      <w:r w:rsidRPr="00C507EE">
        <w:rPr>
          <w:rFonts w:ascii="Times New Roman" w:hAnsi="Times New Roman" w:cs="Times New Roman"/>
          <w:bCs/>
          <w:color w:val="262626" w:themeColor="text1" w:themeTint="D9"/>
          <w:sz w:val="20"/>
          <w:szCs w:val="20"/>
        </w:rPr>
        <w:t>additionality/sustainability of SME credit guarantee schemes</w:t>
      </w:r>
      <w:r w:rsidR="009C0B8F" w:rsidRPr="00C507EE">
        <w:rPr>
          <w:rFonts w:ascii="Times New Roman" w:hAnsi="Times New Roman" w:cs="Times New Roman"/>
          <w:bCs/>
          <w:color w:val="262626" w:themeColor="text1" w:themeTint="D9"/>
          <w:sz w:val="20"/>
          <w:szCs w:val="20"/>
        </w:rPr>
        <w:t xml:space="preserve"> and the </w:t>
      </w:r>
      <w:r w:rsidRPr="00C507EE">
        <w:rPr>
          <w:rFonts w:ascii="Times New Roman" w:hAnsi="Times New Roman" w:cs="Times New Roman"/>
          <w:bCs/>
          <w:color w:val="262626" w:themeColor="text1" w:themeTint="D9"/>
          <w:sz w:val="20"/>
          <w:szCs w:val="20"/>
        </w:rPr>
        <w:t xml:space="preserve">need for national risk facility fund given private equity funds already present in a small market).     </w:t>
      </w:r>
    </w:p>
    <w:p w14:paraId="32EE8CD6" w14:textId="77777777" w:rsidR="007328D5" w:rsidRPr="00C507EE" w:rsidRDefault="007328D5" w:rsidP="007328D5">
      <w:pPr>
        <w:numPr>
          <w:ilvl w:val="2"/>
          <w:numId w:val="16"/>
        </w:numPr>
        <w:tabs>
          <w:tab w:val="left" w:pos="360"/>
        </w:tabs>
        <w:spacing w:after="0" w:line="240" w:lineRule="auto"/>
        <w:ind w:left="0" w:firstLine="0"/>
        <w:jc w:val="both"/>
        <w:rPr>
          <w:rFonts w:ascii="Times New Roman" w:hAnsi="Times New Roman" w:cs="Times New Roman"/>
          <w:b/>
          <w:bCs/>
          <w:color w:val="262626" w:themeColor="text1" w:themeTint="D9"/>
          <w:sz w:val="20"/>
          <w:szCs w:val="20"/>
        </w:rPr>
      </w:pPr>
      <w:r w:rsidRPr="00C507EE">
        <w:rPr>
          <w:rFonts w:ascii="Times New Roman" w:hAnsi="Times New Roman" w:cs="Times New Roman"/>
          <w:bCs/>
          <w:color w:val="262626" w:themeColor="text1" w:themeTint="D9"/>
          <w:sz w:val="20"/>
          <w:szCs w:val="20"/>
        </w:rPr>
        <w:t>Evaluate the need to: promote alternative financing products to bank financing (factoring/leasing) and enhance current support to business training.</w:t>
      </w:r>
    </w:p>
    <w:p w14:paraId="049DB35B" w14:textId="77777777" w:rsidR="007328D5" w:rsidRPr="00C507EE" w:rsidRDefault="007328D5" w:rsidP="007328D5">
      <w:pPr>
        <w:spacing w:after="0" w:line="240" w:lineRule="auto"/>
        <w:jc w:val="both"/>
        <w:rPr>
          <w:rFonts w:ascii="Times New Roman" w:hAnsi="Times New Roman" w:cs="Times New Roman"/>
          <w:b/>
          <w:bCs/>
          <w:color w:val="262626" w:themeColor="text1" w:themeTint="D9"/>
          <w:sz w:val="20"/>
          <w:szCs w:val="20"/>
        </w:rPr>
      </w:pPr>
    </w:p>
    <w:p w14:paraId="30F653B8" w14:textId="46D67FDF" w:rsidR="007328D5" w:rsidRPr="00C507EE" w:rsidRDefault="006D2C86" w:rsidP="007328D5">
      <w:pPr>
        <w:spacing w:after="0" w:line="240" w:lineRule="auto"/>
        <w:jc w:val="both"/>
        <w:rPr>
          <w:rFonts w:ascii="Times New Roman" w:hAnsi="Times New Roman" w:cs="Times New Roman"/>
          <w:b/>
          <w:bCs/>
          <w:color w:val="262626" w:themeColor="text1" w:themeTint="D9"/>
          <w:sz w:val="20"/>
          <w:szCs w:val="20"/>
        </w:rPr>
      </w:pPr>
      <w:r w:rsidRPr="00C507EE">
        <w:rPr>
          <w:rFonts w:ascii="Times New Roman" w:hAnsi="Times New Roman" w:cs="Times New Roman"/>
          <w:b/>
          <w:bCs/>
          <w:color w:val="262626" w:themeColor="text1" w:themeTint="D9"/>
          <w:sz w:val="20"/>
          <w:szCs w:val="20"/>
        </w:rPr>
        <w:t>Reform priorities to enhance financial inclusion</w:t>
      </w:r>
      <w:r w:rsidR="007328D5" w:rsidRPr="00C507EE">
        <w:rPr>
          <w:rFonts w:ascii="Times New Roman" w:hAnsi="Times New Roman" w:cs="Times New Roman"/>
          <w:b/>
          <w:bCs/>
          <w:color w:val="262626" w:themeColor="text1" w:themeTint="D9"/>
          <w:sz w:val="20"/>
          <w:szCs w:val="20"/>
        </w:rPr>
        <w:t xml:space="preserve"> at the individual level</w:t>
      </w:r>
      <w:r w:rsidRPr="00C507EE">
        <w:rPr>
          <w:rFonts w:ascii="Times New Roman" w:hAnsi="Times New Roman" w:cs="Times New Roman"/>
          <w:b/>
          <w:bCs/>
          <w:color w:val="262626" w:themeColor="text1" w:themeTint="D9"/>
          <w:sz w:val="20"/>
          <w:szCs w:val="20"/>
        </w:rPr>
        <w:t>:</w:t>
      </w:r>
    </w:p>
    <w:p w14:paraId="74F69361" w14:textId="77777777" w:rsidR="007328D5" w:rsidRPr="00C507EE" w:rsidRDefault="007328D5" w:rsidP="007328D5">
      <w:pPr>
        <w:numPr>
          <w:ilvl w:val="2"/>
          <w:numId w:val="17"/>
        </w:numPr>
        <w:tabs>
          <w:tab w:val="clear" w:pos="2160"/>
          <w:tab w:val="left" w:pos="360"/>
        </w:tabs>
        <w:spacing w:after="0" w:line="240" w:lineRule="auto"/>
        <w:ind w:left="0" w:firstLine="0"/>
        <w:jc w:val="both"/>
        <w:rPr>
          <w:rFonts w:ascii="Times New Roman" w:hAnsi="Times New Roman" w:cs="Times New Roman"/>
          <w:bCs/>
          <w:color w:val="262626" w:themeColor="text1" w:themeTint="D9"/>
          <w:sz w:val="20"/>
          <w:szCs w:val="20"/>
        </w:rPr>
      </w:pPr>
      <w:r w:rsidRPr="00C507EE">
        <w:rPr>
          <w:rFonts w:ascii="Times New Roman" w:hAnsi="Times New Roman" w:cs="Times New Roman"/>
          <w:bCs/>
          <w:color w:val="262626" w:themeColor="text1" w:themeTint="D9"/>
          <w:sz w:val="20"/>
          <w:szCs w:val="20"/>
        </w:rPr>
        <w:t>Promote innovative delivery channels (focus on mobile banking given high access to mobile phones).</w:t>
      </w:r>
    </w:p>
    <w:p w14:paraId="17EE0CDE" w14:textId="77777777" w:rsidR="007328D5" w:rsidRPr="00C507EE" w:rsidRDefault="007328D5" w:rsidP="007328D5">
      <w:pPr>
        <w:numPr>
          <w:ilvl w:val="2"/>
          <w:numId w:val="17"/>
        </w:numPr>
        <w:tabs>
          <w:tab w:val="clear" w:pos="2160"/>
          <w:tab w:val="left" w:pos="360"/>
        </w:tabs>
        <w:spacing w:after="0" w:line="240" w:lineRule="auto"/>
        <w:ind w:left="0" w:firstLine="0"/>
        <w:jc w:val="both"/>
        <w:rPr>
          <w:rFonts w:ascii="Times New Roman" w:hAnsi="Times New Roman" w:cs="Times New Roman"/>
          <w:bCs/>
          <w:color w:val="262626" w:themeColor="text1" w:themeTint="D9"/>
          <w:sz w:val="20"/>
          <w:szCs w:val="20"/>
        </w:rPr>
      </w:pPr>
      <w:r w:rsidRPr="00C507EE">
        <w:rPr>
          <w:rFonts w:ascii="Times New Roman" w:hAnsi="Times New Roman" w:cs="Times New Roman"/>
          <w:bCs/>
          <w:color w:val="262626" w:themeColor="text1" w:themeTint="D9"/>
          <w:sz w:val="20"/>
          <w:szCs w:val="20"/>
        </w:rPr>
        <w:t>Promote micro-insurance.</w:t>
      </w:r>
    </w:p>
    <w:p w14:paraId="227054F3" w14:textId="371E6197" w:rsidR="007328D5" w:rsidRPr="00C507EE" w:rsidRDefault="007328D5" w:rsidP="007328D5">
      <w:pPr>
        <w:numPr>
          <w:ilvl w:val="2"/>
          <w:numId w:val="17"/>
        </w:numPr>
        <w:tabs>
          <w:tab w:val="clear" w:pos="2160"/>
          <w:tab w:val="left" w:pos="360"/>
        </w:tabs>
        <w:spacing w:after="0" w:line="240" w:lineRule="auto"/>
        <w:ind w:left="0" w:firstLine="0"/>
        <w:jc w:val="both"/>
        <w:rPr>
          <w:rFonts w:ascii="Times New Roman" w:hAnsi="Times New Roman" w:cs="Times New Roman"/>
          <w:bCs/>
          <w:color w:val="262626" w:themeColor="text1" w:themeTint="D9"/>
          <w:sz w:val="20"/>
          <w:szCs w:val="20"/>
        </w:rPr>
      </w:pPr>
      <w:r w:rsidRPr="00C507EE">
        <w:rPr>
          <w:rFonts w:ascii="Times New Roman" w:hAnsi="Times New Roman" w:cs="Times New Roman"/>
          <w:bCs/>
          <w:color w:val="262626" w:themeColor="text1" w:themeTint="D9"/>
          <w:sz w:val="20"/>
          <w:szCs w:val="20"/>
        </w:rPr>
        <w:t>Enhance financial consumer protection and literacy (including better disclosure).</w:t>
      </w:r>
    </w:p>
    <w:p w14:paraId="2392BAFE" w14:textId="588B424B" w:rsidR="006D2C86" w:rsidRPr="00C507EE" w:rsidRDefault="006D2C86" w:rsidP="007328D5">
      <w:pPr>
        <w:numPr>
          <w:ilvl w:val="2"/>
          <w:numId w:val="17"/>
        </w:numPr>
        <w:tabs>
          <w:tab w:val="clear" w:pos="2160"/>
          <w:tab w:val="left" w:pos="360"/>
        </w:tabs>
        <w:spacing w:after="0" w:line="240" w:lineRule="auto"/>
        <w:ind w:left="0" w:firstLine="0"/>
        <w:jc w:val="both"/>
        <w:rPr>
          <w:rFonts w:ascii="Times New Roman" w:hAnsi="Times New Roman" w:cs="Times New Roman"/>
          <w:bCs/>
          <w:color w:val="262626" w:themeColor="text1" w:themeTint="D9"/>
          <w:sz w:val="20"/>
          <w:szCs w:val="20"/>
        </w:rPr>
      </w:pPr>
      <w:r w:rsidRPr="00C507EE">
        <w:rPr>
          <w:rFonts w:ascii="Times New Roman" w:hAnsi="Times New Roman" w:cs="Times New Roman"/>
          <w:bCs/>
          <w:color w:val="262626" w:themeColor="text1" w:themeTint="D9"/>
          <w:sz w:val="20"/>
          <w:szCs w:val="20"/>
        </w:rPr>
        <w:t>Enhance transparency and efficiency of remittance market (please see below).</w:t>
      </w:r>
    </w:p>
    <w:p w14:paraId="4A77BFE0" w14:textId="577F6E02" w:rsidR="007328D5" w:rsidRPr="00C507EE" w:rsidRDefault="007328D5" w:rsidP="007328D5">
      <w:pPr>
        <w:pStyle w:val="ListParagraph"/>
        <w:contextualSpacing w:val="0"/>
        <w:jc w:val="center"/>
        <w:rPr>
          <w:rStyle w:val="Strong"/>
          <w:rFonts w:ascii="Times New Roman" w:eastAsiaTheme="minorHAnsi" w:hAnsi="Times New Roman" w:cs="Times New Roman"/>
          <w:i/>
          <w:color w:val="262626" w:themeColor="text1" w:themeTint="D9"/>
          <w:sz w:val="20"/>
          <w:szCs w:val="20"/>
          <w:lang w:eastAsia="en-US"/>
        </w:rPr>
      </w:pPr>
    </w:p>
    <w:p w14:paraId="44C4ECF2" w14:textId="3FDBCA2B" w:rsidR="00673A70" w:rsidRPr="00C507EE" w:rsidRDefault="0071042C" w:rsidP="00673A70">
      <w:pPr>
        <w:tabs>
          <w:tab w:val="left" w:pos="1080"/>
        </w:tabs>
        <w:spacing w:after="0" w:line="240" w:lineRule="auto"/>
        <w:jc w:val="both"/>
        <w:rPr>
          <w:rFonts w:ascii="Times New Roman" w:hAnsi="Times New Roman" w:cs="Times New Roman"/>
          <w:b/>
          <w:sz w:val="20"/>
          <w:szCs w:val="20"/>
        </w:rPr>
      </w:pPr>
      <w:r w:rsidRPr="00C507EE">
        <w:rPr>
          <w:rFonts w:ascii="Times New Roman" w:hAnsi="Times New Roman" w:cs="Times New Roman"/>
          <w:b/>
          <w:sz w:val="20"/>
          <w:szCs w:val="20"/>
        </w:rPr>
        <w:t>Key recommendations to strengthen the ICR are</w:t>
      </w:r>
      <w:r w:rsidR="00C55635">
        <w:rPr>
          <w:rFonts w:ascii="Times New Roman" w:hAnsi="Times New Roman" w:cs="Times New Roman"/>
          <w:b/>
          <w:sz w:val="20"/>
          <w:szCs w:val="20"/>
        </w:rPr>
        <w:t xml:space="preserve"> (World Bank 2014a)</w:t>
      </w:r>
      <w:r w:rsidR="006D2C86" w:rsidRPr="00C507EE">
        <w:rPr>
          <w:rFonts w:ascii="Times New Roman" w:hAnsi="Times New Roman" w:cs="Times New Roman"/>
          <w:b/>
          <w:sz w:val="20"/>
          <w:szCs w:val="20"/>
        </w:rPr>
        <w:t>:</w:t>
      </w:r>
    </w:p>
    <w:p w14:paraId="1E07985C" w14:textId="3A5337C5" w:rsidR="008A2613" w:rsidRPr="00C507EE" w:rsidRDefault="002715A9" w:rsidP="00673A70">
      <w:pPr>
        <w:pStyle w:val="ListParagraph"/>
        <w:numPr>
          <w:ilvl w:val="2"/>
          <w:numId w:val="17"/>
        </w:numPr>
        <w:tabs>
          <w:tab w:val="clear" w:pos="2160"/>
          <w:tab w:val="left" w:pos="360"/>
        </w:tabs>
        <w:ind w:left="0" w:firstLine="0"/>
        <w:jc w:val="both"/>
        <w:rPr>
          <w:rFonts w:ascii="Times New Roman" w:eastAsiaTheme="minorHAnsi" w:hAnsi="Times New Roman" w:cs="Times New Roman"/>
          <w:sz w:val="20"/>
          <w:szCs w:val="20"/>
        </w:rPr>
      </w:pPr>
      <w:r w:rsidRPr="00C507EE">
        <w:rPr>
          <w:rFonts w:ascii="Times New Roman" w:eastAsiaTheme="minorHAnsi" w:hAnsi="Times New Roman" w:cs="Times New Roman"/>
          <w:bCs/>
          <w:i/>
          <w:sz w:val="20"/>
          <w:szCs w:val="20"/>
        </w:rPr>
        <w:t>Creditor rights</w:t>
      </w:r>
      <w:r w:rsidR="00673A70" w:rsidRPr="00C507EE">
        <w:rPr>
          <w:rFonts w:ascii="Times New Roman" w:eastAsiaTheme="minorHAnsi" w:hAnsi="Times New Roman" w:cs="Times New Roman"/>
          <w:bCs/>
          <w:i/>
          <w:sz w:val="20"/>
          <w:szCs w:val="20"/>
        </w:rPr>
        <w:t>:</w:t>
      </w:r>
      <w:r w:rsidR="00673A70" w:rsidRPr="00C507EE">
        <w:rPr>
          <w:rFonts w:ascii="Times New Roman" w:eastAsiaTheme="minorHAnsi" w:hAnsi="Times New Roman" w:cs="Times New Roman"/>
          <w:bCs/>
          <w:sz w:val="20"/>
          <w:szCs w:val="20"/>
        </w:rPr>
        <w:t xml:space="preserve"> </w:t>
      </w:r>
      <w:r w:rsidRPr="00C507EE">
        <w:rPr>
          <w:rFonts w:ascii="Times New Roman" w:eastAsiaTheme="minorHAnsi" w:hAnsi="Times New Roman" w:cs="Times New Roman"/>
          <w:sz w:val="20"/>
          <w:szCs w:val="20"/>
        </w:rPr>
        <w:t>modernize the secured transactions regime.</w:t>
      </w:r>
    </w:p>
    <w:p w14:paraId="4CFEC83E" w14:textId="5E4E1E2E" w:rsidR="00673A70" w:rsidRPr="00C507EE" w:rsidRDefault="00673A70" w:rsidP="00673A70">
      <w:pPr>
        <w:pStyle w:val="ListParagraph"/>
        <w:numPr>
          <w:ilvl w:val="2"/>
          <w:numId w:val="17"/>
        </w:numPr>
        <w:tabs>
          <w:tab w:val="clear" w:pos="2160"/>
          <w:tab w:val="left" w:pos="360"/>
        </w:tabs>
        <w:ind w:left="0" w:firstLine="0"/>
        <w:jc w:val="both"/>
        <w:rPr>
          <w:rFonts w:ascii="Times New Roman" w:eastAsiaTheme="minorHAnsi" w:hAnsi="Times New Roman" w:cs="Times New Roman"/>
          <w:sz w:val="20"/>
          <w:szCs w:val="20"/>
        </w:rPr>
      </w:pPr>
      <w:r w:rsidRPr="00C507EE">
        <w:rPr>
          <w:rFonts w:ascii="Times New Roman" w:hAnsi="Times New Roman" w:cs="Times New Roman"/>
          <w:bCs/>
          <w:i/>
          <w:sz w:val="20"/>
          <w:szCs w:val="20"/>
        </w:rPr>
        <w:t>Risk management and r</w:t>
      </w:r>
      <w:r w:rsidR="002715A9" w:rsidRPr="00C507EE">
        <w:rPr>
          <w:rFonts w:ascii="Times New Roman" w:hAnsi="Times New Roman" w:cs="Times New Roman"/>
          <w:bCs/>
          <w:i/>
          <w:sz w:val="20"/>
          <w:szCs w:val="20"/>
        </w:rPr>
        <w:t>estructuring</w:t>
      </w:r>
      <w:r w:rsidRPr="00C507EE">
        <w:rPr>
          <w:rFonts w:ascii="Times New Roman" w:hAnsi="Times New Roman" w:cs="Times New Roman"/>
          <w:bCs/>
          <w:i/>
          <w:sz w:val="20"/>
          <w:szCs w:val="20"/>
        </w:rPr>
        <w:t>:</w:t>
      </w:r>
      <w:r w:rsidRPr="00C507EE">
        <w:rPr>
          <w:rFonts w:ascii="Times New Roman" w:hAnsi="Times New Roman" w:cs="Times New Roman"/>
          <w:bCs/>
          <w:sz w:val="20"/>
          <w:szCs w:val="20"/>
        </w:rPr>
        <w:t xml:space="preserve"> </w:t>
      </w:r>
      <w:r w:rsidR="002715A9" w:rsidRPr="00C507EE">
        <w:rPr>
          <w:rFonts w:ascii="Times New Roman" w:hAnsi="Times New Roman" w:cs="Times New Roman"/>
          <w:sz w:val="20"/>
          <w:szCs w:val="20"/>
        </w:rPr>
        <w:t>regulate the credit information system; incentivize restructuring, modify tax treatment; reform the scheme of arrangement.</w:t>
      </w:r>
    </w:p>
    <w:p w14:paraId="21548A0D" w14:textId="42D97B94" w:rsidR="00673A70" w:rsidRPr="00C507EE" w:rsidRDefault="002715A9" w:rsidP="00673A70">
      <w:pPr>
        <w:pStyle w:val="ListParagraph"/>
        <w:numPr>
          <w:ilvl w:val="2"/>
          <w:numId w:val="17"/>
        </w:numPr>
        <w:tabs>
          <w:tab w:val="clear" w:pos="2160"/>
          <w:tab w:val="left" w:pos="360"/>
        </w:tabs>
        <w:ind w:left="0" w:firstLine="0"/>
        <w:jc w:val="both"/>
        <w:rPr>
          <w:rFonts w:ascii="Times New Roman" w:eastAsiaTheme="minorHAnsi" w:hAnsi="Times New Roman" w:cs="Times New Roman"/>
          <w:sz w:val="20"/>
          <w:szCs w:val="20"/>
        </w:rPr>
      </w:pPr>
      <w:r w:rsidRPr="00C507EE">
        <w:rPr>
          <w:rFonts w:ascii="Times New Roman" w:hAnsi="Times New Roman" w:cs="Times New Roman"/>
          <w:bCs/>
          <w:i/>
          <w:sz w:val="20"/>
          <w:szCs w:val="20"/>
        </w:rPr>
        <w:t>Insolvency</w:t>
      </w:r>
      <w:r w:rsidR="00604394" w:rsidRPr="00C507EE">
        <w:rPr>
          <w:rFonts w:ascii="Times New Roman" w:hAnsi="Times New Roman" w:cs="Times New Roman"/>
          <w:bCs/>
          <w:i/>
          <w:sz w:val="20"/>
          <w:szCs w:val="20"/>
        </w:rPr>
        <w:t>:</w:t>
      </w:r>
      <w:r w:rsidR="00604394" w:rsidRPr="00C507EE">
        <w:rPr>
          <w:rFonts w:ascii="Times New Roman" w:hAnsi="Times New Roman" w:cs="Times New Roman"/>
          <w:bCs/>
          <w:sz w:val="20"/>
          <w:szCs w:val="20"/>
        </w:rPr>
        <w:t xml:space="preserve"> </w:t>
      </w:r>
      <w:r w:rsidRPr="00C507EE">
        <w:rPr>
          <w:rFonts w:ascii="Times New Roman" w:hAnsi="Times New Roman" w:cs="Times New Roman"/>
          <w:sz w:val="20"/>
          <w:szCs w:val="20"/>
        </w:rPr>
        <w:t>modernize the regime for insolvency, including reorganization and cross-border insolvency.</w:t>
      </w:r>
    </w:p>
    <w:p w14:paraId="07FC51E7" w14:textId="285EFE93" w:rsidR="008A2613" w:rsidRPr="00C507EE" w:rsidRDefault="002715A9" w:rsidP="00673A70">
      <w:pPr>
        <w:pStyle w:val="ListParagraph"/>
        <w:numPr>
          <w:ilvl w:val="2"/>
          <w:numId w:val="17"/>
        </w:numPr>
        <w:tabs>
          <w:tab w:val="clear" w:pos="2160"/>
          <w:tab w:val="left" w:pos="360"/>
        </w:tabs>
        <w:ind w:left="0" w:firstLine="0"/>
        <w:jc w:val="both"/>
        <w:rPr>
          <w:rFonts w:ascii="Times New Roman" w:eastAsiaTheme="minorHAnsi" w:hAnsi="Times New Roman" w:cs="Times New Roman"/>
          <w:sz w:val="20"/>
          <w:szCs w:val="20"/>
        </w:rPr>
      </w:pPr>
      <w:r w:rsidRPr="00C507EE">
        <w:rPr>
          <w:rFonts w:ascii="Times New Roman" w:hAnsi="Times New Roman" w:cs="Times New Roman"/>
          <w:bCs/>
          <w:i/>
          <w:sz w:val="20"/>
          <w:szCs w:val="20"/>
        </w:rPr>
        <w:t>Institutions</w:t>
      </w:r>
      <w:r w:rsidR="00604394" w:rsidRPr="00C507EE">
        <w:rPr>
          <w:rFonts w:ascii="Times New Roman" w:hAnsi="Times New Roman" w:cs="Times New Roman"/>
          <w:bCs/>
          <w:i/>
          <w:sz w:val="20"/>
          <w:szCs w:val="20"/>
        </w:rPr>
        <w:t>:</w:t>
      </w:r>
      <w:r w:rsidR="00604394" w:rsidRPr="00C507EE">
        <w:rPr>
          <w:rFonts w:ascii="Times New Roman" w:hAnsi="Times New Roman" w:cs="Times New Roman"/>
          <w:bCs/>
          <w:sz w:val="20"/>
          <w:szCs w:val="20"/>
        </w:rPr>
        <w:t xml:space="preserve"> </w:t>
      </w:r>
      <w:r w:rsidRPr="00C507EE">
        <w:rPr>
          <w:rFonts w:ascii="Times New Roman" w:hAnsi="Times New Roman" w:cs="Times New Roman"/>
          <w:sz w:val="20"/>
          <w:szCs w:val="20"/>
        </w:rPr>
        <w:t>increase judicial capacity; enhance communication between authorities; introduce a regime for insolvency professionals.</w:t>
      </w:r>
    </w:p>
    <w:p w14:paraId="7C8A2110" w14:textId="77777777" w:rsidR="00FC6FA7" w:rsidRPr="00C507EE" w:rsidRDefault="00FC6FA7" w:rsidP="00012460">
      <w:pPr>
        <w:tabs>
          <w:tab w:val="left" w:pos="1080"/>
        </w:tabs>
        <w:spacing w:after="0" w:line="240" w:lineRule="auto"/>
        <w:jc w:val="both"/>
        <w:rPr>
          <w:rFonts w:ascii="Times New Roman" w:hAnsi="Times New Roman" w:cs="Times New Roman"/>
          <w:b/>
          <w:sz w:val="20"/>
          <w:szCs w:val="20"/>
          <w:highlight w:val="yellow"/>
        </w:rPr>
      </w:pPr>
    </w:p>
    <w:p w14:paraId="4053E67B" w14:textId="10A1EDDE" w:rsidR="00012460" w:rsidRPr="001D7E04" w:rsidRDefault="00012460" w:rsidP="00012460">
      <w:pPr>
        <w:tabs>
          <w:tab w:val="left" w:pos="1080"/>
        </w:tabs>
        <w:spacing w:after="0" w:line="240" w:lineRule="auto"/>
        <w:jc w:val="both"/>
        <w:rPr>
          <w:rFonts w:ascii="Times New Roman" w:hAnsi="Times New Roman" w:cs="Times New Roman"/>
          <w:b/>
          <w:sz w:val="20"/>
          <w:szCs w:val="20"/>
        </w:rPr>
      </w:pPr>
      <w:r w:rsidRPr="001D7E04">
        <w:rPr>
          <w:rFonts w:ascii="Times New Roman" w:hAnsi="Times New Roman" w:cs="Times New Roman"/>
          <w:b/>
          <w:sz w:val="20"/>
          <w:szCs w:val="20"/>
        </w:rPr>
        <w:t>Actions to enhance the efficiency and safety of remittances transactions to and from Namibia include</w:t>
      </w:r>
      <w:r w:rsidR="00C55635" w:rsidRPr="001D7E04">
        <w:rPr>
          <w:rFonts w:ascii="Times New Roman" w:hAnsi="Times New Roman" w:cs="Times New Roman"/>
          <w:b/>
          <w:sz w:val="20"/>
          <w:szCs w:val="20"/>
        </w:rPr>
        <w:t xml:space="preserve"> (World Bank 2014b)</w:t>
      </w:r>
      <w:r w:rsidRPr="001D7E04">
        <w:rPr>
          <w:rFonts w:ascii="Times New Roman" w:hAnsi="Times New Roman" w:cs="Times New Roman"/>
          <w:b/>
          <w:sz w:val="20"/>
          <w:szCs w:val="20"/>
        </w:rPr>
        <w:t xml:space="preserve">: </w:t>
      </w:r>
    </w:p>
    <w:p w14:paraId="386FF331" w14:textId="59AD15F3" w:rsidR="00012460" w:rsidRPr="001D7E04" w:rsidRDefault="00012460" w:rsidP="00012460">
      <w:pPr>
        <w:tabs>
          <w:tab w:val="left" w:pos="1080"/>
        </w:tabs>
        <w:spacing w:after="0" w:line="240" w:lineRule="auto"/>
        <w:jc w:val="both"/>
        <w:rPr>
          <w:rFonts w:ascii="Times New Roman" w:hAnsi="Times New Roman" w:cs="Times New Roman"/>
          <w:sz w:val="20"/>
          <w:szCs w:val="20"/>
        </w:rPr>
      </w:pPr>
      <w:r w:rsidRPr="001D7E04">
        <w:rPr>
          <w:rFonts w:ascii="Times New Roman" w:hAnsi="Times New Roman" w:cs="Times New Roman"/>
          <w:b/>
          <w:sz w:val="20"/>
          <w:szCs w:val="20"/>
        </w:rPr>
        <w:t xml:space="preserve">-  </w:t>
      </w:r>
      <w:r w:rsidRPr="001D7E04">
        <w:rPr>
          <w:rFonts w:ascii="Times New Roman" w:hAnsi="Times New Roman" w:cs="Times New Roman"/>
          <w:sz w:val="20"/>
          <w:szCs w:val="20"/>
        </w:rPr>
        <w:t xml:space="preserve">Developing common standards of transparency applicable to all Remittance Service Providers (RSP) and ensuring that senders and receivers of remittances are informed of all the relevant elements of transactions. </w:t>
      </w:r>
    </w:p>
    <w:p w14:paraId="72A88E4C" w14:textId="250DE7D9" w:rsidR="00012460" w:rsidRPr="001D7E04" w:rsidRDefault="00012460" w:rsidP="00012460">
      <w:pPr>
        <w:tabs>
          <w:tab w:val="left" w:pos="1080"/>
        </w:tabs>
        <w:spacing w:after="0" w:line="240" w:lineRule="auto"/>
        <w:jc w:val="both"/>
        <w:rPr>
          <w:rFonts w:ascii="Times New Roman" w:hAnsi="Times New Roman" w:cs="Times New Roman"/>
          <w:sz w:val="20"/>
          <w:szCs w:val="20"/>
        </w:rPr>
      </w:pPr>
      <w:r w:rsidRPr="001D7E04">
        <w:rPr>
          <w:rFonts w:ascii="Times New Roman" w:hAnsi="Times New Roman" w:cs="Times New Roman"/>
          <w:sz w:val="20"/>
          <w:szCs w:val="20"/>
        </w:rPr>
        <w:t xml:space="preserve">- Clarifying the framework for the protection of consumers of remittance services and explicitly assigning </w:t>
      </w:r>
      <w:r w:rsidR="001D7E04" w:rsidRPr="001D7E04">
        <w:rPr>
          <w:rFonts w:ascii="Times New Roman" w:hAnsi="Times New Roman" w:cs="Times New Roman"/>
          <w:sz w:val="20"/>
          <w:szCs w:val="20"/>
        </w:rPr>
        <w:t xml:space="preserve">institutional responsibility for </w:t>
      </w:r>
      <w:r w:rsidRPr="001D7E04">
        <w:rPr>
          <w:rFonts w:ascii="Times New Roman" w:hAnsi="Times New Roman" w:cs="Times New Roman"/>
          <w:sz w:val="20"/>
          <w:szCs w:val="20"/>
        </w:rPr>
        <w:t xml:space="preserve">protecting the rights of consumers of remittance services. </w:t>
      </w:r>
    </w:p>
    <w:p w14:paraId="1076A60B" w14:textId="7F8569E6" w:rsidR="00012460" w:rsidRPr="001D7E04" w:rsidRDefault="00012460" w:rsidP="00012460">
      <w:pPr>
        <w:tabs>
          <w:tab w:val="left" w:pos="1080"/>
        </w:tabs>
        <w:spacing w:after="0" w:line="240" w:lineRule="auto"/>
        <w:jc w:val="both"/>
        <w:rPr>
          <w:rFonts w:ascii="Times New Roman" w:hAnsi="Times New Roman" w:cs="Times New Roman"/>
          <w:sz w:val="20"/>
          <w:szCs w:val="20"/>
        </w:rPr>
      </w:pPr>
      <w:r w:rsidRPr="001D7E04">
        <w:rPr>
          <w:rFonts w:ascii="Times New Roman" w:hAnsi="Times New Roman" w:cs="Times New Roman"/>
          <w:sz w:val="20"/>
          <w:szCs w:val="20"/>
        </w:rPr>
        <w:t>- Fostering the use of electronic channels for the collection and disbursement of remittances and ensuring the interoperability of payment instruments.</w:t>
      </w:r>
    </w:p>
    <w:p w14:paraId="338DA676" w14:textId="0D547961" w:rsidR="00012460" w:rsidRPr="001D7E04" w:rsidRDefault="00012460" w:rsidP="00012460">
      <w:pPr>
        <w:tabs>
          <w:tab w:val="left" w:pos="1080"/>
        </w:tabs>
        <w:spacing w:after="0" w:line="240" w:lineRule="auto"/>
        <w:jc w:val="both"/>
        <w:rPr>
          <w:rFonts w:ascii="Times New Roman" w:hAnsi="Times New Roman" w:cs="Times New Roman"/>
          <w:sz w:val="20"/>
          <w:szCs w:val="20"/>
        </w:rPr>
      </w:pPr>
      <w:r w:rsidRPr="001D7E04">
        <w:rPr>
          <w:rFonts w:ascii="Times New Roman" w:hAnsi="Times New Roman" w:cs="Times New Roman"/>
          <w:sz w:val="20"/>
          <w:szCs w:val="20"/>
        </w:rPr>
        <w:t>- Leveraging NamPost for the delivery of remittances.</w:t>
      </w:r>
    </w:p>
    <w:p w14:paraId="04234046" w14:textId="77777777" w:rsidR="00012460" w:rsidRPr="001D7E04" w:rsidRDefault="00012460" w:rsidP="00012460">
      <w:pPr>
        <w:tabs>
          <w:tab w:val="left" w:pos="1080"/>
        </w:tabs>
        <w:spacing w:after="0" w:line="240" w:lineRule="auto"/>
        <w:jc w:val="both"/>
        <w:rPr>
          <w:rFonts w:ascii="Times New Roman" w:hAnsi="Times New Roman" w:cs="Times New Roman"/>
          <w:sz w:val="20"/>
          <w:szCs w:val="20"/>
        </w:rPr>
      </w:pPr>
      <w:r w:rsidRPr="001D7E04">
        <w:rPr>
          <w:rFonts w:ascii="Times New Roman" w:hAnsi="Times New Roman" w:cs="Times New Roman"/>
          <w:sz w:val="20"/>
          <w:szCs w:val="20"/>
        </w:rPr>
        <w:t>- Consider relaxing currency exchange control requirements for low-value transactions.</w:t>
      </w:r>
    </w:p>
    <w:p w14:paraId="2C2CFA67" w14:textId="27B0AF47" w:rsidR="00012460" w:rsidRPr="001D7E04" w:rsidRDefault="00012460" w:rsidP="00012460">
      <w:pPr>
        <w:tabs>
          <w:tab w:val="left" w:pos="1080"/>
        </w:tabs>
        <w:spacing w:after="0" w:line="240" w:lineRule="auto"/>
        <w:jc w:val="both"/>
        <w:rPr>
          <w:rFonts w:ascii="Times New Roman" w:hAnsi="Times New Roman" w:cs="Times New Roman"/>
          <w:sz w:val="20"/>
          <w:szCs w:val="20"/>
        </w:rPr>
      </w:pPr>
      <w:r w:rsidRPr="001D7E04">
        <w:rPr>
          <w:rFonts w:ascii="Times New Roman" w:hAnsi="Times New Roman" w:cs="Times New Roman"/>
          <w:sz w:val="20"/>
          <w:szCs w:val="20"/>
        </w:rPr>
        <w:t xml:space="preserve">- Review licensing procedures for RSPs </w:t>
      </w:r>
      <w:r w:rsidR="006D2C86" w:rsidRPr="001D7E04">
        <w:rPr>
          <w:rFonts w:ascii="Times New Roman" w:hAnsi="Times New Roman" w:cs="Times New Roman"/>
          <w:sz w:val="20"/>
          <w:szCs w:val="20"/>
        </w:rPr>
        <w:t xml:space="preserve">and </w:t>
      </w:r>
      <w:r w:rsidRPr="001D7E04">
        <w:rPr>
          <w:rFonts w:ascii="Times New Roman" w:hAnsi="Times New Roman" w:cs="Times New Roman"/>
          <w:sz w:val="20"/>
          <w:szCs w:val="20"/>
        </w:rPr>
        <w:t>procedures for the authorization of new products, services, partnerships, agents and similar.</w:t>
      </w:r>
    </w:p>
    <w:p w14:paraId="4364BDFC" w14:textId="77777777" w:rsidR="00012460" w:rsidRPr="001D7E04" w:rsidRDefault="00012460" w:rsidP="00012460">
      <w:pPr>
        <w:tabs>
          <w:tab w:val="left" w:pos="1080"/>
        </w:tabs>
        <w:spacing w:after="0" w:line="240" w:lineRule="auto"/>
        <w:jc w:val="both"/>
        <w:rPr>
          <w:rFonts w:ascii="Times New Roman" w:hAnsi="Times New Roman" w:cs="Times New Roman"/>
          <w:sz w:val="20"/>
          <w:szCs w:val="20"/>
        </w:rPr>
      </w:pPr>
      <w:r w:rsidRPr="001D7E04">
        <w:rPr>
          <w:rFonts w:ascii="Times New Roman" w:hAnsi="Times New Roman" w:cs="Times New Roman"/>
          <w:sz w:val="20"/>
          <w:szCs w:val="20"/>
        </w:rPr>
        <w:t>- Eliminate few remaining elements that seem to be preventing some players in the market from competing on a level playing field for the delivery of payment and remittance services</w:t>
      </w:r>
    </w:p>
    <w:p w14:paraId="1052294F" w14:textId="69BEBB68" w:rsidR="00012460" w:rsidRPr="00C507EE" w:rsidRDefault="00012460" w:rsidP="00012460">
      <w:pPr>
        <w:tabs>
          <w:tab w:val="left" w:pos="1080"/>
        </w:tabs>
        <w:spacing w:after="0" w:line="240" w:lineRule="auto"/>
        <w:jc w:val="both"/>
        <w:rPr>
          <w:rFonts w:ascii="Times New Roman" w:eastAsiaTheme="minorEastAsia" w:hAnsi="Times New Roman" w:cs="Times New Roman"/>
          <w:color w:val="000000"/>
          <w:sz w:val="20"/>
          <w:szCs w:val="20"/>
          <w:lang w:eastAsia="ko-KR"/>
        </w:rPr>
      </w:pPr>
      <w:r w:rsidRPr="001D7E04">
        <w:rPr>
          <w:rFonts w:ascii="Times New Roman" w:hAnsi="Times New Roman" w:cs="Times New Roman"/>
          <w:sz w:val="20"/>
          <w:szCs w:val="20"/>
        </w:rPr>
        <w:t>- Closely monitor (and consider banning) exclusivity agreement clauses by which international money transfer operators can prevent local RSP with whom they are partnering from offering other services along with those of the international MTO.</w:t>
      </w:r>
    </w:p>
    <w:p w14:paraId="4EAC3298" w14:textId="45FFDFE6" w:rsidR="00C507EE" w:rsidRDefault="00C507EE" w:rsidP="00822AB9">
      <w:pPr>
        <w:rPr>
          <w:rStyle w:val="Strong"/>
          <w:rFonts w:ascii="Times New Roman" w:hAnsi="Times New Roman" w:cs="Times New Roman"/>
          <w:color w:val="262626" w:themeColor="text1" w:themeTint="D9"/>
        </w:rPr>
      </w:pPr>
      <w:r>
        <w:rPr>
          <w:rStyle w:val="Strong"/>
          <w:rFonts w:ascii="Times New Roman" w:hAnsi="Times New Roman" w:cs="Times New Roman"/>
          <w:color w:val="262626" w:themeColor="text1" w:themeTint="D9"/>
        </w:rPr>
        <w:br w:type="page"/>
      </w:r>
    </w:p>
    <w:p w14:paraId="690731CF" w14:textId="7A7C070E" w:rsidR="00634742" w:rsidRPr="00822AB9" w:rsidRDefault="00634742" w:rsidP="003312F5">
      <w:pPr>
        <w:pStyle w:val="ListParagraph"/>
        <w:numPr>
          <w:ilvl w:val="0"/>
          <w:numId w:val="22"/>
        </w:numPr>
        <w:jc w:val="both"/>
        <w:rPr>
          <w:rStyle w:val="Strong"/>
          <w:rFonts w:ascii="Times New Roman" w:hAnsi="Times New Roman" w:cs="Times New Roman"/>
          <w:color w:val="262626" w:themeColor="text1" w:themeTint="D9"/>
          <w:sz w:val="22"/>
          <w:szCs w:val="22"/>
        </w:rPr>
      </w:pPr>
      <w:r w:rsidRPr="00822AB9">
        <w:rPr>
          <w:rStyle w:val="Strong"/>
          <w:rFonts w:ascii="Times New Roman" w:hAnsi="Times New Roman" w:cs="Times New Roman"/>
          <w:color w:val="262626" w:themeColor="text1" w:themeTint="D9"/>
          <w:sz w:val="22"/>
          <w:szCs w:val="22"/>
        </w:rPr>
        <w:lastRenderedPageBreak/>
        <w:t>Introduction</w:t>
      </w:r>
    </w:p>
    <w:p w14:paraId="3FA219FF" w14:textId="77777777" w:rsidR="007328D5" w:rsidRPr="00822AB9" w:rsidRDefault="007328D5" w:rsidP="00634742">
      <w:pPr>
        <w:spacing w:after="0" w:line="240" w:lineRule="auto"/>
        <w:jc w:val="both"/>
        <w:rPr>
          <w:rStyle w:val="Strong"/>
          <w:rFonts w:ascii="Times New Roman" w:hAnsi="Times New Roman" w:cs="Times New Roman"/>
          <w:color w:val="262626" w:themeColor="text1" w:themeTint="D9"/>
        </w:rPr>
      </w:pPr>
    </w:p>
    <w:p w14:paraId="79623ECE" w14:textId="1DC5F714" w:rsidR="00634742" w:rsidRPr="003C4F65" w:rsidRDefault="0089445E" w:rsidP="00F023C9">
      <w:pPr>
        <w:pStyle w:val="ListParagraph"/>
        <w:ind w:left="0"/>
        <w:jc w:val="both"/>
        <w:rPr>
          <w:rStyle w:val="Strong"/>
          <w:rFonts w:ascii="Times New Roman" w:hAnsi="Times New Roman" w:cs="Times New Roman"/>
          <w:b w:val="0"/>
          <w:color w:val="262626" w:themeColor="text1" w:themeTint="D9"/>
          <w:sz w:val="22"/>
          <w:szCs w:val="22"/>
        </w:rPr>
      </w:pPr>
      <w:r w:rsidRPr="003C4F65">
        <w:rPr>
          <w:rStyle w:val="Strong"/>
          <w:rFonts w:ascii="Times New Roman" w:hAnsi="Times New Roman" w:cs="Times New Roman"/>
          <w:color w:val="262626" w:themeColor="text1" w:themeTint="D9"/>
          <w:sz w:val="22"/>
          <w:szCs w:val="22"/>
        </w:rPr>
        <w:t>This note summarizes recent World Bank work on financial inclusion in Namibia</w:t>
      </w:r>
      <w:r w:rsidR="00A469AE" w:rsidRPr="003C4F65">
        <w:rPr>
          <w:rStyle w:val="Strong"/>
          <w:rFonts w:ascii="Times New Roman" w:hAnsi="Times New Roman" w:cs="Times New Roman"/>
          <w:color w:val="262626" w:themeColor="text1" w:themeTint="D9"/>
          <w:sz w:val="22"/>
          <w:szCs w:val="22"/>
        </w:rPr>
        <w:t>.</w:t>
      </w:r>
      <w:r w:rsidRPr="003C4F65">
        <w:rPr>
          <w:rStyle w:val="Strong"/>
          <w:rFonts w:ascii="Times New Roman" w:hAnsi="Times New Roman" w:cs="Times New Roman"/>
          <w:b w:val="0"/>
          <w:color w:val="262626" w:themeColor="text1" w:themeTint="D9"/>
          <w:sz w:val="22"/>
          <w:szCs w:val="22"/>
        </w:rPr>
        <w:t xml:space="preserve"> </w:t>
      </w:r>
      <w:r w:rsidR="00A469AE" w:rsidRPr="003C4F65">
        <w:rPr>
          <w:rStyle w:val="Strong"/>
          <w:rFonts w:ascii="Times New Roman" w:hAnsi="Times New Roman" w:cs="Times New Roman"/>
          <w:b w:val="0"/>
          <w:color w:val="262626" w:themeColor="text1" w:themeTint="D9"/>
          <w:sz w:val="22"/>
          <w:szCs w:val="22"/>
        </w:rPr>
        <w:t xml:space="preserve">This </w:t>
      </w:r>
      <w:r w:rsidRPr="003C4F65">
        <w:rPr>
          <w:rStyle w:val="Strong"/>
          <w:rFonts w:ascii="Times New Roman" w:hAnsi="Times New Roman" w:cs="Times New Roman"/>
          <w:b w:val="0"/>
          <w:color w:val="262626" w:themeColor="text1" w:themeTint="D9"/>
          <w:sz w:val="22"/>
          <w:szCs w:val="22"/>
        </w:rPr>
        <w:t>includ</w:t>
      </w:r>
      <w:r w:rsidR="00A469AE" w:rsidRPr="003C4F65">
        <w:rPr>
          <w:rStyle w:val="Strong"/>
          <w:rFonts w:ascii="Times New Roman" w:hAnsi="Times New Roman" w:cs="Times New Roman"/>
          <w:b w:val="0"/>
          <w:color w:val="262626" w:themeColor="text1" w:themeTint="D9"/>
          <w:sz w:val="22"/>
          <w:szCs w:val="22"/>
        </w:rPr>
        <w:t>es</w:t>
      </w:r>
      <w:r w:rsidR="000152BA" w:rsidRPr="003C4F65">
        <w:rPr>
          <w:rStyle w:val="Strong"/>
          <w:rFonts w:ascii="Times New Roman" w:hAnsi="Times New Roman" w:cs="Times New Roman"/>
          <w:b w:val="0"/>
          <w:color w:val="262626" w:themeColor="text1" w:themeTint="D9"/>
          <w:sz w:val="22"/>
          <w:szCs w:val="22"/>
        </w:rPr>
        <w:t>: (i)</w:t>
      </w:r>
      <w:r w:rsidR="00155028" w:rsidRPr="003C4F65">
        <w:rPr>
          <w:rStyle w:val="Strong"/>
          <w:rFonts w:ascii="Times New Roman" w:hAnsi="Times New Roman" w:cs="Times New Roman"/>
          <w:b w:val="0"/>
          <w:color w:val="262626" w:themeColor="text1" w:themeTint="D9"/>
          <w:sz w:val="22"/>
          <w:szCs w:val="22"/>
        </w:rPr>
        <w:t xml:space="preserve"> a</w:t>
      </w:r>
      <w:r w:rsidR="00F66CFC" w:rsidRPr="003C4F65">
        <w:rPr>
          <w:rStyle w:val="Strong"/>
          <w:rFonts w:ascii="Times New Roman" w:hAnsi="Times New Roman" w:cs="Times New Roman"/>
          <w:b w:val="0"/>
          <w:color w:val="262626" w:themeColor="text1" w:themeTint="D9"/>
          <w:sz w:val="22"/>
          <w:szCs w:val="22"/>
        </w:rPr>
        <w:t xml:space="preserve"> </w:t>
      </w:r>
      <w:r w:rsidR="00BD3EA5" w:rsidRPr="003C4F65">
        <w:rPr>
          <w:rStyle w:val="Strong"/>
          <w:rFonts w:ascii="Times New Roman" w:hAnsi="Times New Roman" w:cs="Times New Roman"/>
          <w:b w:val="0"/>
          <w:color w:val="262626" w:themeColor="text1" w:themeTint="D9"/>
          <w:sz w:val="22"/>
          <w:szCs w:val="22"/>
        </w:rPr>
        <w:t>stocktaking exercise on</w:t>
      </w:r>
      <w:r w:rsidR="00155028" w:rsidRPr="003C4F65">
        <w:rPr>
          <w:rStyle w:val="Strong"/>
          <w:rFonts w:ascii="Times New Roman" w:hAnsi="Times New Roman" w:cs="Times New Roman"/>
          <w:b w:val="0"/>
          <w:color w:val="262626" w:themeColor="text1" w:themeTint="D9"/>
          <w:sz w:val="22"/>
          <w:szCs w:val="22"/>
        </w:rPr>
        <w:t xml:space="preserve"> financial inclusion in Southern Africa</w:t>
      </w:r>
      <w:r w:rsidR="00DB38CE" w:rsidRPr="003C4F65">
        <w:rPr>
          <w:rStyle w:val="Strong"/>
          <w:rFonts w:ascii="Times New Roman" w:hAnsi="Times New Roman" w:cs="Times New Roman"/>
          <w:b w:val="0"/>
          <w:color w:val="262626" w:themeColor="text1" w:themeTint="D9"/>
          <w:sz w:val="22"/>
          <w:szCs w:val="22"/>
        </w:rPr>
        <w:t xml:space="preserve"> carried out in 2015</w:t>
      </w:r>
      <w:r w:rsidR="000152BA" w:rsidRPr="003C4F65">
        <w:rPr>
          <w:rStyle w:val="Strong"/>
          <w:rFonts w:ascii="Times New Roman" w:hAnsi="Times New Roman" w:cs="Times New Roman"/>
          <w:b w:val="0"/>
          <w:color w:val="262626" w:themeColor="text1" w:themeTint="D9"/>
          <w:sz w:val="22"/>
          <w:szCs w:val="22"/>
        </w:rPr>
        <w:t xml:space="preserve">; (ii) </w:t>
      </w:r>
      <w:r w:rsidR="00155028" w:rsidRPr="003C4F65">
        <w:rPr>
          <w:rStyle w:val="Strong"/>
          <w:rFonts w:ascii="Times New Roman" w:hAnsi="Times New Roman" w:cs="Times New Roman"/>
          <w:b w:val="0"/>
          <w:color w:val="262626" w:themeColor="text1" w:themeTint="D9"/>
          <w:sz w:val="22"/>
          <w:szCs w:val="22"/>
        </w:rPr>
        <w:t xml:space="preserve">the 2014 </w:t>
      </w:r>
      <w:r w:rsidR="000152BA" w:rsidRPr="003C4F65">
        <w:rPr>
          <w:rStyle w:val="Strong"/>
          <w:rFonts w:ascii="Times New Roman" w:hAnsi="Times New Roman" w:cs="Times New Roman"/>
          <w:b w:val="0"/>
          <w:color w:val="262626" w:themeColor="text1" w:themeTint="D9"/>
          <w:sz w:val="22"/>
          <w:szCs w:val="22"/>
        </w:rPr>
        <w:t xml:space="preserve">Namibia </w:t>
      </w:r>
      <w:r w:rsidR="00610D67" w:rsidRPr="003C4F65">
        <w:rPr>
          <w:rStyle w:val="Strong"/>
          <w:rFonts w:ascii="Times New Roman" w:hAnsi="Times New Roman" w:cs="Times New Roman"/>
          <w:b w:val="0"/>
          <w:color w:val="262626" w:themeColor="text1" w:themeTint="D9"/>
          <w:sz w:val="22"/>
          <w:szCs w:val="22"/>
        </w:rPr>
        <w:t xml:space="preserve">Insolvency and Creditor/Debtor Regimes </w:t>
      </w:r>
      <w:r w:rsidR="00155028" w:rsidRPr="003C4F65">
        <w:rPr>
          <w:rStyle w:val="Strong"/>
          <w:rFonts w:ascii="Times New Roman" w:hAnsi="Times New Roman" w:cs="Times New Roman"/>
          <w:b w:val="0"/>
          <w:color w:val="262626" w:themeColor="text1" w:themeTint="D9"/>
          <w:sz w:val="22"/>
          <w:szCs w:val="22"/>
        </w:rPr>
        <w:t xml:space="preserve">Report on Observance of Standards &amp; Codes </w:t>
      </w:r>
      <w:r w:rsidR="00A64094" w:rsidRPr="003C4F65">
        <w:rPr>
          <w:rStyle w:val="Strong"/>
          <w:rFonts w:ascii="Times New Roman" w:hAnsi="Times New Roman" w:cs="Times New Roman"/>
          <w:b w:val="0"/>
          <w:color w:val="262626" w:themeColor="text1" w:themeTint="D9"/>
          <w:sz w:val="22"/>
          <w:szCs w:val="22"/>
        </w:rPr>
        <w:t>(ICR ROSC)</w:t>
      </w:r>
      <w:r w:rsidR="000152BA" w:rsidRPr="003C4F65">
        <w:rPr>
          <w:rStyle w:val="Strong"/>
          <w:rFonts w:ascii="Times New Roman" w:hAnsi="Times New Roman" w:cs="Times New Roman"/>
          <w:b w:val="0"/>
          <w:color w:val="262626" w:themeColor="text1" w:themeTint="D9"/>
          <w:sz w:val="22"/>
          <w:szCs w:val="22"/>
        </w:rPr>
        <w:t>;</w:t>
      </w:r>
      <w:r w:rsidR="00DB38CE" w:rsidRPr="003C4F65">
        <w:rPr>
          <w:rStyle w:val="Strong"/>
          <w:rFonts w:ascii="Times New Roman" w:hAnsi="Times New Roman" w:cs="Times New Roman"/>
          <w:b w:val="0"/>
          <w:color w:val="262626" w:themeColor="text1" w:themeTint="D9"/>
          <w:sz w:val="22"/>
          <w:szCs w:val="22"/>
        </w:rPr>
        <w:t xml:space="preserve"> </w:t>
      </w:r>
      <w:r w:rsidR="000152BA" w:rsidRPr="003C4F65">
        <w:rPr>
          <w:rStyle w:val="Strong"/>
          <w:rFonts w:ascii="Times New Roman" w:hAnsi="Times New Roman" w:cs="Times New Roman"/>
          <w:b w:val="0"/>
          <w:color w:val="262626" w:themeColor="text1" w:themeTint="D9"/>
          <w:sz w:val="22"/>
          <w:szCs w:val="22"/>
        </w:rPr>
        <w:t xml:space="preserve">(iii) </w:t>
      </w:r>
      <w:r w:rsidR="00155028" w:rsidRPr="003C4F65">
        <w:rPr>
          <w:rStyle w:val="Strong"/>
          <w:rFonts w:ascii="Times New Roman" w:hAnsi="Times New Roman" w:cs="Times New Roman"/>
          <w:b w:val="0"/>
          <w:color w:val="262626" w:themeColor="text1" w:themeTint="D9"/>
          <w:sz w:val="22"/>
          <w:szCs w:val="22"/>
        </w:rPr>
        <w:t xml:space="preserve">the 2014-2015 </w:t>
      </w:r>
      <w:r w:rsidR="00C422D9" w:rsidRPr="003C4F65">
        <w:rPr>
          <w:rStyle w:val="Strong"/>
          <w:rFonts w:ascii="Times New Roman" w:hAnsi="Times New Roman" w:cs="Times New Roman"/>
          <w:b w:val="0"/>
          <w:color w:val="262626" w:themeColor="text1" w:themeTint="D9"/>
          <w:sz w:val="22"/>
          <w:szCs w:val="22"/>
        </w:rPr>
        <w:t xml:space="preserve">World Bank </w:t>
      </w:r>
      <w:r w:rsidR="00155028" w:rsidRPr="003C4F65">
        <w:rPr>
          <w:rStyle w:val="Strong"/>
          <w:rFonts w:ascii="Times New Roman" w:hAnsi="Times New Roman" w:cs="Times New Roman"/>
          <w:b w:val="0"/>
          <w:color w:val="262626" w:themeColor="text1" w:themeTint="D9"/>
          <w:sz w:val="22"/>
          <w:szCs w:val="22"/>
        </w:rPr>
        <w:t>Enterprise Survey</w:t>
      </w:r>
      <w:r w:rsidR="00C422D9" w:rsidRPr="003C4F65">
        <w:rPr>
          <w:rStyle w:val="Strong"/>
          <w:rFonts w:ascii="Times New Roman" w:hAnsi="Times New Roman" w:cs="Times New Roman"/>
          <w:b w:val="0"/>
          <w:color w:val="262626" w:themeColor="text1" w:themeTint="D9"/>
          <w:sz w:val="22"/>
          <w:szCs w:val="22"/>
        </w:rPr>
        <w:t xml:space="preserve"> (WBES)</w:t>
      </w:r>
      <w:r w:rsidR="00BD3EA5" w:rsidRPr="003C4F65">
        <w:rPr>
          <w:rStyle w:val="Strong"/>
          <w:rFonts w:ascii="Times New Roman" w:hAnsi="Times New Roman" w:cs="Times New Roman"/>
          <w:b w:val="0"/>
          <w:color w:val="262626" w:themeColor="text1" w:themeTint="D9"/>
          <w:sz w:val="22"/>
          <w:szCs w:val="22"/>
        </w:rPr>
        <w:t xml:space="preserve"> in the country</w:t>
      </w:r>
      <w:r w:rsidR="00EC7F66" w:rsidRPr="003C4F65">
        <w:rPr>
          <w:rStyle w:val="Strong"/>
          <w:rFonts w:ascii="Times New Roman" w:hAnsi="Times New Roman" w:cs="Times New Roman"/>
          <w:b w:val="0"/>
          <w:color w:val="262626" w:themeColor="text1" w:themeTint="D9"/>
          <w:sz w:val="22"/>
          <w:szCs w:val="22"/>
        </w:rPr>
        <w:t xml:space="preserve">; and (iv) the 2014 Review of the Market for Remittances in Namibia on the Basis of the CPSS-World Bank General Principles </w:t>
      </w:r>
      <w:r w:rsidR="00AA7C77" w:rsidRPr="003C4F65">
        <w:rPr>
          <w:rStyle w:val="Strong"/>
          <w:rFonts w:ascii="Times New Roman" w:hAnsi="Times New Roman" w:cs="Times New Roman"/>
          <w:b w:val="0"/>
          <w:color w:val="262626" w:themeColor="text1" w:themeTint="D9"/>
          <w:sz w:val="22"/>
          <w:szCs w:val="22"/>
        </w:rPr>
        <w:t>for International Remittances Services</w:t>
      </w:r>
      <w:r w:rsidR="00155028" w:rsidRPr="003C4F65">
        <w:rPr>
          <w:rStyle w:val="Strong"/>
          <w:rFonts w:ascii="Times New Roman" w:hAnsi="Times New Roman" w:cs="Times New Roman"/>
          <w:b w:val="0"/>
          <w:color w:val="262626" w:themeColor="text1" w:themeTint="D9"/>
          <w:sz w:val="22"/>
          <w:szCs w:val="22"/>
        </w:rPr>
        <w:t xml:space="preserve">.  </w:t>
      </w:r>
      <w:r w:rsidR="00ED4CAC" w:rsidRPr="003C4F65">
        <w:rPr>
          <w:rStyle w:val="Strong"/>
          <w:rFonts w:ascii="Times New Roman" w:hAnsi="Times New Roman" w:cs="Times New Roman"/>
          <w:b w:val="0"/>
          <w:color w:val="262626" w:themeColor="text1" w:themeTint="D9"/>
          <w:sz w:val="22"/>
          <w:szCs w:val="22"/>
        </w:rPr>
        <w:t xml:space="preserve">The goal is to provide a snapshot of financial inclusion </w:t>
      </w:r>
      <w:r w:rsidR="00BD3EA5" w:rsidRPr="003C4F65">
        <w:rPr>
          <w:rStyle w:val="Strong"/>
          <w:rFonts w:ascii="Times New Roman" w:hAnsi="Times New Roman" w:cs="Times New Roman"/>
          <w:b w:val="0"/>
          <w:color w:val="262626" w:themeColor="text1" w:themeTint="D9"/>
          <w:sz w:val="22"/>
          <w:szCs w:val="22"/>
        </w:rPr>
        <w:t>(</w:t>
      </w:r>
      <w:r w:rsidR="00ED4CAC" w:rsidRPr="003C4F65">
        <w:rPr>
          <w:rStyle w:val="Strong"/>
          <w:rFonts w:ascii="Times New Roman" w:hAnsi="Times New Roman" w:cs="Times New Roman"/>
          <w:b w:val="0"/>
          <w:color w:val="262626" w:themeColor="text1" w:themeTint="D9"/>
          <w:sz w:val="22"/>
          <w:szCs w:val="22"/>
        </w:rPr>
        <w:t>for individuals and enterprises</w:t>
      </w:r>
      <w:r w:rsidR="00BD3EA5" w:rsidRPr="003C4F65">
        <w:rPr>
          <w:rStyle w:val="Strong"/>
          <w:rFonts w:ascii="Times New Roman" w:hAnsi="Times New Roman" w:cs="Times New Roman"/>
          <w:b w:val="0"/>
          <w:color w:val="262626" w:themeColor="text1" w:themeTint="D9"/>
          <w:sz w:val="22"/>
          <w:szCs w:val="22"/>
        </w:rPr>
        <w:t>)</w:t>
      </w:r>
      <w:r w:rsidR="00ED4CAC" w:rsidRPr="003C4F65">
        <w:rPr>
          <w:rStyle w:val="Strong"/>
          <w:rFonts w:ascii="Times New Roman" w:hAnsi="Times New Roman" w:cs="Times New Roman"/>
          <w:b w:val="0"/>
          <w:color w:val="262626" w:themeColor="text1" w:themeTint="D9"/>
          <w:sz w:val="22"/>
          <w:szCs w:val="22"/>
        </w:rPr>
        <w:t xml:space="preserve"> in Namibia as well as to identify main issues and related policy recommendations.  </w:t>
      </w:r>
      <w:r w:rsidR="00155028" w:rsidRPr="003C4F65">
        <w:rPr>
          <w:rStyle w:val="Strong"/>
          <w:rFonts w:ascii="Times New Roman" w:hAnsi="Times New Roman" w:cs="Times New Roman"/>
          <w:b w:val="0"/>
          <w:color w:val="262626" w:themeColor="text1" w:themeTint="D9"/>
          <w:sz w:val="22"/>
          <w:szCs w:val="22"/>
        </w:rPr>
        <w:t xml:space="preserve"> </w:t>
      </w:r>
    </w:p>
    <w:p w14:paraId="4EA4862B" w14:textId="77777777" w:rsidR="003C4F65" w:rsidRPr="003C4F65" w:rsidRDefault="003C4F65" w:rsidP="003C4F65">
      <w:pPr>
        <w:pStyle w:val="ListParagraph"/>
        <w:tabs>
          <w:tab w:val="left" w:pos="360"/>
        </w:tabs>
        <w:ind w:left="0"/>
        <w:jc w:val="both"/>
        <w:rPr>
          <w:rFonts w:ascii="Times New Roman" w:hAnsi="Times New Roman" w:cs="Times New Roman"/>
          <w:b/>
          <w:sz w:val="22"/>
          <w:szCs w:val="22"/>
        </w:rPr>
      </w:pPr>
    </w:p>
    <w:p w14:paraId="77BBA5EE" w14:textId="37D6821D" w:rsidR="003C4F65" w:rsidRPr="003C4F65" w:rsidRDefault="00DB38CE" w:rsidP="00F023C9">
      <w:pPr>
        <w:pStyle w:val="ListParagraph"/>
        <w:tabs>
          <w:tab w:val="left" w:pos="360"/>
        </w:tabs>
        <w:ind w:left="0"/>
        <w:jc w:val="both"/>
        <w:rPr>
          <w:rFonts w:ascii="Times New Roman" w:hAnsi="Times New Roman" w:cs="Times New Roman"/>
          <w:sz w:val="22"/>
          <w:szCs w:val="22"/>
        </w:rPr>
      </w:pPr>
      <w:r w:rsidRPr="003C4F65">
        <w:rPr>
          <w:rFonts w:ascii="Times New Roman" w:hAnsi="Times New Roman" w:cs="Times New Roman"/>
          <w:b/>
          <w:sz w:val="22"/>
          <w:szCs w:val="22"/>
        </w:rPr>
        <w:t>The stocktaking exercise on financial inclusion in southern African co</w:t>
      </w:r>
      <w:r w:rsidR="00CE445C">
        <w:rPr>
          <w:rFonts w:ascii="Times New Roman" w:hAnsi="Times New Roman" w:cs="Times New Roman"/>
          <w:b/>
          <w:sz w:val="22"/>
          <w:szCs w:val="22"/>
        </w:rPr>
        <w:t>untries is part of programmatic technical assistance (</w:t>
      </w:r>
      <w:r w:rsidRPr="003C4F65">
        <w:rPr>
          <w:rFonts w:ascii="Times New Roman" w:hAnsi="Times New Roman" w:cs="Times New Roman"/>
          <w:b/>
          <w:sz w:val="22"/>
          <w:szCs w:val="22"/>
        </w:rPr>
        <w:t>TA</w:t>
      </w:r>
      <w:r w:rsidR="00CE445C">
        <w:rPr>
          <w:rFonts w:ascii="Times New Roman" w:hAnsi="Times New Roman" w:cs="Times New Roman"/>
          <w:b/>
          <w:sz w:val="22"/>
          <w:szCs w:val="22"/>
        </w:rPr>
        <w:t>)</w:t>
      </w:r>
      <w:r w:rsidRPr="003C4F65">
        <w:rPr>
          <w:rFonts w:ascii="Times New Roman" w:hAnsi="Times New Roman" w:cs="Times New Roman"/>
          <w:b/>
          <w:sz w:val="22"/>
          <w:szCs w:val="22"/>
        </w:rPr>
        <w:t xml:space="preserve">.  </w:t>
      </w:r>
      <w:r w:rsidRPr="003C4F65">
        <w:rPr>
          <w:rFonts w:ascii="Times New Roman" w:hAnsi="Times New Roman" w:cs="Times New Roman"/>
          <w:sz w:val="22"/>
          <w:szCs w:val="22"/>
        </w:rPr>
        <w:t xml:space="preserve">The TA follows a two-stage approach: a stocktaking exercise and follow up policy advice.  The exercise leveraged on existing knowledge and data to provide a comprehensive cross-country view of the main financial inclusion issues in selected Southern African countries (Botswana, Lesotho, Namibia, South Africa and Swaziland). This added a crucial horizontal dimension that was missing in the individual country activities. </w:t>
      </w:r>
      <w:r w:rsidR="0017192F" w:rsidRPr="003C4F65">
        <w:rPr>
          <w:rFonts w:ascii="Times New Roman" w:hAnsi="Times New Roman" w:cs="Times New Roman"/>
          <w:sz w:val="22"/>
          <w:szCs w:val="22"/>
        </w:rPr>
        <w:t xml:space="preserve">The exercise included the analysis of existing financial inclusion data, such as Global Findex Database, WBES, FinScope Surveys and IMF’s </w:t>
      </w:r>
      <w:r w:rsidR="00B131F4" w:rsidRPr="003C4F65">
        <w:rPr>
          <w:rFonts w:ascii="Times New Roman" w:hAnsi="Times New Roman" w:cs="Times New Roman"/>
          <w:sz w:val="22"/>
          <w:szCs w:val="22"/>
        </w:rPr>
        <w:t>Financial Access Survey (</w:t>
      </w:r>
      <w:r w:rsidR="0017192F" w:rsidRPr="003C4F65">
        <w:rPr>
          <w:rFonts w:ascii="Times New Roman" w:hAnsi="Times New Roman" w:cs="Times New Roman"/>
          <w:sz w:val="22"/>
          <w:szCs w:val="22"/>
        </w:rPr>
        <w:t>FAS</w:t>
      </w:r>
      <w:r w:rsidR="00B131F4" w:rsidRPr="003C4F65">
        <w:rPr>
          <w:rFonts w:ascii="Times New Roman" w:hAnsi="Times New Roman" w:cs="Times New Roman"/>
          <w:sz w:val="22"/>
          <w:szCs w:val="22"/>
        </w:rPr>
        <w:t>)</w:t>
      </w:r>
      <w:r w:rsidR="0017192F" w:rsidRPr="003C4F65">
        <w:rPr>
          <w:rFonts w:ascii="Times New Roman" w:hAnsi="Times New Roman" w:cs="Times New Roman"/>
          <w:sz w:val="22"/>
          <w:szCs w:val="22"/>
        </w:rPr>
        <w:t xml:space="preserve">, to identify the main weaknesses on financial inclusion for individuals and enterprises in Southern African countries. This was complemented by the analysis of relevant analytical work as well as related country and sector strategies.  Based on this analysis, the exercise provided an overview of financial inclusion in selected Southern African countries, identified the main financial inclusion weaknesses and knowledge gaps, and offered initial policy recommendations to be deepened in the second stage of the study. </w:t>
      </w:r>
      <w:r w:rsidRPr="003C4F65">
        <w:rPr>
          <w:rFonts w:ascii="Times New Roman" w:hAnsi="Times New Roman" w:cs="Times New Roman"/>
          <w:sz w:val="22"/>
          <w:szCs w:val="22"/>
        </w:rPr>
        <w:t xml:space="preserve">This </w:t>
      </w:r>
      <w:r w:rsidR="0017192F" w:rsidRPr="003C4F65">
        <w:rPr>
          <w:rFonts w:ascii="Times New Roman" w:hAnsi="Times New Roman" w:cs="Times New Roman"/>
          <w:sz w:val="22"/>
          <w:szCs w:val="22"/>
        </w:rPr>
        <w:t xml:space="preserve">Note </w:t>
      </w:r>
      <w:r w:rsidRPr="003C4F65">
        <w:rPr>
          <w:rFonts w:ascii="Times New Roman" w:hAnsi="Times New Roman" w:cs="Times New Roman"/>
          <w:sz w:val="22"/>
          <w:szCs w:val="22"/>
        </w:rPr>
        <w:t>presents a summary of the findings of the stocktaking exercise in Namibia</w:t>
      </w:r>
      <w:r w:rsidR="003C4F65" w:rsidRPr="003C4F65">
        <w:rPr>
          <w:rFonts w:ascii="Times New Roman" w:hAnsi="Times New Roman" w:cs="Times New Roman"/>
          <w:sz w:val="22"/>
          <w:szCs w:val="22"/>
        </w:rPr>
        <w:t>.</w:t>
      </w:r>
    </w:p>
    <w:p w14:paraId="5CAB49B1" w14:textId="77777777" w:rsidR="003C4F65" w:rsidRPr="003C4F65" w:rsidRDefault="003C4F65" w:rsidP="003C4F65">
      <w:pPr>
        <w:pStyle w:val="ListParagraph"/>
        <w:tabs>
          <w:tab w:val="left" w:pos="360"/>
        </w:tabs>
        <w:ind w:left="0"/>
        <w:jc w:val="both"/>
        <w:rPr>
          <w:rFonts w:ascii="Times New Roman" w:hAnsi="Times New Roman" w:cs="Times New Roman"/>
          <w:sz w:val="22"/>
          <w:szCs w:val="22"/>
        </w:rPr>
      </w:pPr>
    </w:p>
    <w:p w14:paraId="7A61993A" w14:textId="74D9A567" w:rsidR="000152BA" w:rsidRPr="003C4F65" w:rsidRDefault="00B001B6" w:rsidP="00F023C9">
      <w:pPr>
        <w:pStyle w:val="ListParagraph"/>
        <w:tabs>
          <w:tab w:val="left" w:pos="360"/>
        </w:tabs>
        <w:ind w:left="0"/>
        <w:jc w:val="both"/>
        <w:rPr>
          <w:rFonts w:ascii="Times New Roman" w:hAnsi="Times New Roman" w:cs="Times New Roman"/>
          <w:sz w:val="22"/>
          <w:szCs w:val="22"/>
        </w:rPr>
      </w:pPr>
      <w:r w:rsidRPr="003C4F65">
        <w:rPr>
          <w:rFonts w:ascii="Times New Roman" w:hAnsi="Times New Roman" w:cs="Times New Roman"/>
          <w:b/>
          <w:bCs/>
          <w:sz w:val="22"/>
          <w:szCs w:val="22"/>
        </w:rPr>
        <w:t xml:space="preserve">The World Bank reviewed the legal and regulatory frameworks for creditor/debtor rights and corporate insolvency systems in Namibia pursuant to a joint IMF – World Bank initiative to develop Reports on Observance of Standards and Codes (“ROSC”). </w:t>
      </w:r>
      <w:r w:rsidRPr="003C4F65">
        <w:rPr>
          <w:rFonts w:ascii="Times New Roman" w:hAnsi="Times New Roman" w:cs="Times New Roman"/>
          <w:bCs/>
          <w:sz w:val="22"/>
          <w:szCs w:val="22"/>
        </w:rPr>
        <w:t xml:space="preserve">The review was based on the international standard, based on the World Bank Principles and Guidelines for Effective Insolvency and Creditor Rights Systems (“Principles”). </w:t>
      </w:r>
      <w:r w:rsidR="000553B9" w:rsidRPr="003C4F65">
        <w:rPr>
          <w:rFonts w:ascii="Times New Roman" w:hAnsi="Times New Roman" w:cs="Times New Roman"/>
          <w:bCs/>
          <w:sz w:val="22"/>
          <w:szCs w:val="22"/>
        </w:rPr>
        <w:t xml:space="preserve">The review covered four </w:t>
      </w:r>
      <w:r w:rsidRPr="003C4F65">
        <w:rPr>
          <w:rFonts w:ascii="Times New Roman" w:hAnsi="Times New Roman" w:cs="Times New Roman"/>
          <w:bCs/>
          <w:sz w:val="22"/>
          <w:szCs w:val="22"/>
        </w:rPr>
        <w:t>broad categories: legal framework for granting and enforcing security</w:t>
      </w:r>
      <w:r w:rsidR="009D3A97" w:rsidRPr="003C4F65">
        <w:rPr>
          <w:rFonts w:ascii="Times New Roman" w:hAnsi="Times New Roman" w:cs="Times New Roman"/>
          <w:bCs/>
          <w:sz w:val="22"/>
          <w:szCs w:val="22"/>
        </w:rPr>
        <w:t xml:space="preserve">; </w:t>
      </w:r>
      <w:r w:rsidRPr="003C4F65">
        <w:rPr>
          <w:rFonts w:ascii="Times New Roman" w:hAnsi="Times New Roman" w:cs="Times New Roman"/>
          <w:bCs/>
          <w:sz w:val="22"/>
          <w:szCs w:val="22"/>
        </w:rPr>
        <w:t xml:space="preserve">credit risk management and the environment for corporate workouts and restructurings; legal framework for insolvency; and institutional and regulatory implementation framework. </w:t>
      </w:r>
      <w:r w:rsidR="000553B9" w:rsidRPr="003C4F65">
        <w:rPr>
          <w:rFonts w:ascii="Times New Roman" w:hAnsi="Times New Roman" w:cs="Times New Roman"/>
          <w:bCs/>
          <w:sz w:val="22"/>
          <w:szCs w:val="22"/>
        </w:rPr>
        <w:t xml:space="preserve">This note provides a summary of the main issues covered in the report related with access to finance.  </w:t>
      </w:r>
      <w:r w:rsidR="00634742" w:rsidRPr="003C4F65">
        <w:rPr>
          <w:rFonts w:ascii="Times New Roman" w:hAnsi="Times New Roman" w:cs="Times New Roman"/>
          <w:sz w:val="22"/>
          <w:szCs w:val="22"/>
        </w:rPr>
        <w:t xml:space="preserve"> </w:t>
      </w:r>
    </w:p>
    <w:p w14:paraId="18EA18CF" w14:textId="77777777" w:rsidR="004A174D" w:rsidRPr="003C4F65" w:rsidRDefault="004A174D" w:rsidP="003C4F65">
      <w:pPr>
        <w:spacing w:after="0" w:line="240" w:lineRule="auto"/>
        <w:jc w:val="both"/>
        <w:rPr>
          <w:rFonts w:ascii="Times New Roman" w:hAnsi="Times New Roman" w:cs="Times New Roman"/>
          <w:b/>
        </w:rPr>
      </w:pPr>
    </w:p>
    <w:p w14:paraId="5E2855C9" w14:textId="43ED0C9F" w:rsidR="0089445E" w:rsidRPr="003C4F65" w:rsidRDefault="000152BA" w:rsidP="00F023C9">
      <w:pPr>
        <w:pStyle w:val="ListParagraph"/>
        <w:ind w:left="0"/>
        <w:jc w:val="both"/>
        <w:rPr>
          <w:rStyle w:val="Strong"/>
          <w:rFonts w:ascii="Times New Roman" w:hAnsi="Times New Roman" w:cs="Times New Roman"/>
          <w:b w:val="0"/>
          <w:color w:val="262626" w:themeColor="text1" w:themeTint="D9"/>
          <w:sz w:val="22"/>
          <w:szCs w:val="22"/>
        </w:rPr>
      </w:pPr>
      <w:r w:rsidRPr="003C4F65">
        <w:rPr>
          <w:rFonts w:ascii="Times New Roman" w:hAnsi="Times New Roman" w:cs="Times New Roman"/>
          <w:b/>
          <w:sz w:val="22"/>
          <w:szCs w:val="22"/>
        </w:rPr>
        <w:t>The 2014 Namibia Enterprise Survey (ES) was conducted from April 2014 until February 2015, under the global ES methodology, with a sample of 580 firms.</w:t>
      </w:r>
      <w:r w:rsidRPr="003C4F65">
        <w:rPr>
          <w:rFonts w:ascii="Times New Roman" w:hAnsi="Times New Roman" w:cs="Times New Roman"/>
          <w:sz w:val="22"/>
          <w:szCs w:val="22"/>
        </w:rPr>
        <w:t xml:space="preserve"> The survey covered the formally registered, non-agricultural private sector (with a minimum of 5 employees) and was designed to be nationally representative. Th</w:t>
      </w:r>
      <w:r w:rsidR="009C0B8F" w:rsidRPr="003C4F65">
        <w:rPr>
          <w:rFonts w:ascii="Times New Roman" w:hAnsi="Times New Roman" w:cs="Times New Roman"/>
          <w:sz w:val="22"/>
          <w:szCs w:val="22"/>
        </w:rPr>
        <w:t xml:space="preserve">is included </w:t>
      </w:r>
      <w:r w:rsidRPr="003C4F65">
        <w:rPr>
          <w:rFonts w:ascii="Times New Roman" w:hAnsi="Times New Roman" w:cs="Times New Roman"/>
          <w:sz w:val="22"/>
          <w:szCs w:val="22"/>
        </w:rPr>
        <w:t xml:space="preserve">firms in all manufacturing sectors, retail, wholesale, restaurants, hotels, construction, transport, and information technology. </w:t>
      </w:r>
      <w:r w:rsidR="0089445E" w:rsidRPr="003C4F65">
        <w:rPr>
          <w:rStyle w:val="Strong"/>
          <w:rFonts w:ascii="Times New Roman" w:hAnsi="Times New Roman" w:cs="Times New Roman"/>
          <w:b w:val="0"/>
          <w:color w:val="262626" w:themeColor="text1" w:themeTint="D9"/>
          <w:sz w:val="22"/>
          <w:szCs w:val="22"/>
        </w:rPr>
        <w:t xml:space="preserve"> </w:t>
      </w:r>
    </w:p>
    <w:p w14:paraId="367A0EAE" w14:textId="77777777" w:rsidR="00B001B6" w:rsidRPr="003C4F65" w:rsidRDefault="00B001B6" w:rsidP="003C4F65">
      <w:pPr>
        <w:tabs>
          <w:tab w:val="num" w:pos="1440"/>
        </w:tabs>
        <w:autoSpaceDE w:val="0"/>
        <w:autoSpaceDN w:val="0"/>
        <w:adjustRightInd w:val="0"/>
        <w:spacing w:after="0" w:line="240" w:lineRule="auto"/>
        <w:jc w:val="both"/>
        <w:rPr>
          <w:rFonts w:ascii="Times New Roman" w:hAnsi="Times New Roman" w:cs="Times New Roman"/>
          <w:b/>
        </w:rPr>
      </w:pPr>
    </w:p>
    <w:p w14:paraId="7D4A7059" w14:textId="6823C321" w:rsidR="001864D9" w:rsidRPr="003C4F65" w:rsidRDefault="001864D9" w:rsidP="00F023C9">
      <w:pPr>
        <w:pStyle w:val="Body"/>
        <w:tabs>
          <w:tab w:val="left" w:pos="360"/>
        </w:tabs>
        <w:ind w:firstLine="0"/>
        <w:rPr>
          <w:sz w:val="22"/>
          <w:szCs w:val="22"/>
          <w:lang w:val="en-US"/>
        </w:rPr>
      </w:pPr>
      <w:r w:rsidRPr="003C4F65">
        <w:rPr>
          <w:b/>
          <w:sz w:val="22"/>
          <w:szCs w:val="22"/>
          <w:lang w:val="en-US"/>
        </w:rPr>
        <w:t xml:space="preserve">The World Bank reviewed </w:t>
      </w:r>
      <w:r w:rsidR="00AA7C77" w:rsidRPr="003C4F65">
        <w:rPr>
          <w:b/>
          <w:sz w:val="22"/>
          <w:szCs w:val="22"/>
          <w:lang w:val="en-US"/>
        </w:rPr>
        <w:t xml:space="preserve">the remittances market </w:t>
      </w:r>
      <w:r w:rsidRPr="003C4F65">
        <w:rPr>
          <w:b/>
          <w:sz w:val="22"/>
          <w:szCs w:val="22"/>
          <w:lang w:val="en-US"/>
        </w:rPr>
        <w:t>in Namibia in February 2014.</w:t>
      </w:r>
      <w:r w:rsidRPr="003C4F65">
        <w:rPr>
          <w:b/>
          <w:sz w:val="22"/>
          <w:szCs w:val="22"/>
        </w:rPr>
        <w:t xml:space="preserve"> </w:t>
      </w:r>
      <w:r w:rsidRPr="003C4F65">
        <w:rPr>
          <w:sz w:val="22"/>
          <w:szCs w:val="22"/>
        </w:rPr>
        <w:t xml:space="preserve"> The review was conducted </w:t>
      </w:r>
      <w:r w:rsidR="00AA7C77" w:rsidRPr="003C4F65">
        <w:rPr>
          <w:sz w:val="22"/>
          <w:szCs w:val="22"/>
        </w:rPr>
        <w:t xml:space="preserve">on the basis of the General Principles </w:t>
      </w:r>
      <w:r w:rsidRPr="003C4F65">
        <w:rPr>
          <w:sz w:val="22"/>
          <w:szCs w:val="22"/>
          <w:lang w:val="en-US"/>
        </w:rPr>
        <w:t>for International Remittance Services</w:t>
      </w:r>
      <w:r w:rsidRPr="003C4F65">
        <w:rPr>
          <w:sz w:val="22"/>
          <w:szCs w:val="22"/>
        </w:rPr>
        <w:t xml:space="preserve"> issued by </w:t>
      </w:r>
      <w:r w:rsidRPr="003C4F65">
        <w:rPr>
          <w:sz w:val="22"/>
          <w:szCs w:val="22"/>
          <w:lang w:val="en-US"/>
        </w:rPr>
        <w:t>the World Bank and the Committee on Payment and Settlement Systems (CPSS) of the Bank for International Settlements (BIS)</w:t>
      </w:r>
      <w:r w:rsidRPr="003C4F65">
        <w:rPr>
          <w:sz w:val="22"/>
          <w:szCs w:val="22"/>
        </w:rPr>
        <w:t xml:space="preserve"> on 2007.  </w:t>
      </w:r>
      <w:r w:rsidRPr="003C4F65">
        <w:rPr>
          <w:sz w:val="22"/>
          <w:szCs w:val="22"/>
          <w:lang w:val="en-US"/>
        </w:rPr>
        <w:t>The related Report identifies actions to improve the safety and efficiency of remittances transactions to and from Namibia and deliver other benefits associated with the implementation of the General Principles.</w:t>
      </w:r>
      <w:r w:rsidR="003312F5" w:rsidRPr="003C4F65">
        <w:rPr>
          <w:sz w:val="22"/>
          <w:szCs w:val="22"/>
          <w:lang w:val="en-US"/>
        </w:rPr>
        <w:t xml:space="preserve">  This note presents a summary of the issues and actions identified in the report.  </w:t>
      </w:r>
    </w:p>
    <w:p w14:paraId="423FC67C" w14:textId="5F8AF2AE" w:rsidR="00A10FC6" w:rsidRPr="003C4F65" w:rsidRDefault="00A10FC6" w:rsidP="001864D9">
      <w:pPr>
        <w:jc w:val="both"/>
        <w:rPr>
          <w:rStyle w:val="Strong"/>
          <w:rFonts w:ascii="Times New Roman" w:hAnsi="Times New Roman" w:cs="Times New Roman"/>
          <w:i/>
          <w:color w:val="262626" w:themeColor="text1" w:themeTint="D9"/>
        </w:rPr>
      </w:pPr>
    </w:p>
    <w:p w14:paraId="6F4EE108" w14:textId="77777777" w:rsidR="00822AB9" w:rsidRPr="003C4F65" w:rsidRDefault="00822AB9" w:rsidP="001864D9">
      <w:pPr>
        <w:jc w:val="both"/>
        <w:rPr>
          <w:rStyle w:val="Strong"/>
          <w:rFonts w:ascii="Times New Roman" w:hAnsi="Times New Roman" w:cs="Times New Roman"/>
          <w:i/>
          <w:color w:val="262626" w:themeColor="text1" w:themeTint="D9"/>
        </w:rPr>
      </w:pPr>
    </w:p>
    <w:p w14:paraId="401BD12A" w14:textId="77777777" w:rsidR="00822AB9" w:rsidRPr="00822AB9" w:rsidRDefault="00822AB9" w:rsidP="001864D9">
      <w:pPr>
        <w:jc w:val="both"/>
        <w:rPr>
          <w:rStyle w:val="Strong"/>
          <w:rFonts w:ascii="Times New Roman" w:hAnsi="Times New Roman" w:cs="Times New Roman"/>
          <w:i/>
          <w:color w:val="262626" w:themeColor="text1" w:themeTint="D9"/>
        </w:rPr>
      </w:pPr>
    </w:p>
    <w:p w14:paraId="0A4C0164" w14:textId="7639825E" w:rsidR="000E55E4" w:rsidRPr="00822AB9" w:rsidRDefault="00E70759" w:rsidP="003312F5">
      <w:pPr>
        <w:pStyle w:val="ListParagraph"/>
        <w:numPr>
          <w:ilvl w:val="0"/>
          <w:numId w:val="22"/>
        </w:numPr>
        <w:tabs>
          <w:tab w:val="left" w:pos="360"/>
        </w:tabs>
        <w:contextualSpacing w:val="0"/>
        <w:jc w:val="both"/>
        <w:rPr>
          <w:rFonts w:ascii="Times New Roman" w:hAnsi="Times New Roman" w:cs="Times New Roman"/>
          <w:b/>
          <w:sz w:val="22"/>
          <w:szCs w:val="22"/>
        </w:rPr>
      </w:pPr>
      <w:r w:rsidRPr="00822AB9">
        <w:rPr>
          <w:rFonts w:ascii="Times New Roman" w:hAnsi="Times New Roman" w:cs="Times New Roman"/>
          <w:b/>
          <w:sz w:val="22"/>
          <w:szCs w:val="22"/>
        </w:rPr>
        <w:lastRenderedPageBreak/>
        <w:t>Brief Overview of the Financial S</w:t>
      </w:r>
      <w:r w:rsidR="000E55E4" w:rsidRPr="00822AB9">
        <w:rPr>
          <w:rFonts w:ascii="Times New Roman" w:hAnsi="Times New Roman" w:cs="Times New Roman"/>
          <w:b/>
          <w:sz w:val="22"/>
          <w:szCs w:val="22"/>
        </w:rPr>
        <w:t>ector</w:t>
      </w:r>
      <w:r w:rsidR="009C0B8F" w:rsidRPr="00822AB9">
        <w:rPr>
          <w:rFonts w:ascii="Times New Roman" w:hAnsi="Times New Roman" w:cs="Times New Roman"/>
          <w:b/>
          <w:sz w:val="22"/>
          <w:szCs w:val="22"/>
        </w:rPr>
        <w:t xml:space="preserve"> in Namibia</w:t>
      </w:r>
    </w:p>
    <w:p w14:paraId="20DE1174" w14:textId="77777777" w:rsidR="003B307D" w:rsidRPr="00822AB9" w:rsidRDefault="003B307D" w:rsidP="00634742">
      <w:pPr>
        <w:autoSpaceDE w:val="0"/>
        <w:autoSpaceDN w:val="0"/>
        <w:adjustRightInd w:val="0"/>
        <w:spacing w:after="0" w:line="240" w:lineRule="auto"/>
        <w:jc w:val="both"/>
        <w:rPr>
          <w:rFonts w:ascii="Times New Roman" w:hAnsi="Times New Roman" w:cs="Times New Roman"/>
          <w:b/>
          <w:i/>
          <w:color w:val="000000"/>
        </w:rPr>
      </w:pPr>
    </w:p>
    <w:p w14:paraId="4F630564" w14:textId="5B59686C" w:rsidR="003C4F65" w:rsidRPr="003C4F65" w:rsidRDefault="00950456" w:rsidP="00F023C9">
      <w:pPr>
        <w:pStyle w:val="ListParagraph"/>
        <w:ind w:left="0"/>
        <w:jc w:val="both"/>
        <w:rPr>
          <w:rFonts w:ascii="Times New Roman" w:hAnsi="Times New Roman" w:cs="Times New Roman"/>
          <w:sz w:val="22"/>
          <w:szCs w:val="22"/>
        </w:rPr>
      </w:pPr>
      <w:r w:rsidRPr="003C4F65">
        <w:rPr>
          <w:rFonts w:ascii="Times New Roman" w:hAnsi="Times New Roman" w:cs="Times New Roman"/>
          <w:b/>
          <w:sz w:val="22"/>
          <w:szCs w:val="22"/>
        </w:rPr>
        <w:t xml:space="preserve">Namibia has the second largest financial system in Southern Africa </w:t>
      </w:r>
      <w:r w:rsidR="003B307D" w:rsidRPr="003C4F65">
        <w:rPr>
          <w:rFonts w:ascii="Times New Roman" w:hAnsi="Times New Roman" w:cs="Times New Roman"/>
          <w:b/>
          <w:sz w:val="22"/>
          <w:szCs w:val="22"/>
        </w:rPr>
        <w:t>(SA)</w:t>
      </w:r>
      <w:r w:rsidR="007B289D" w:rsidRPr="003C4F65">
        <w:rPr>
          <w:rFonts w:ascii="Times New Roman" w:hAnsi="Times New Roman" w:cs="Times New Roman"/>
          <w:b/>
          <w:sz w:val="22"/>
          <w:szCs w:val="22"/>
        </w:rPr>
        <w:t xml:space="preserve">.  </w:t>
      </w:r>
      <w:r w:rsidR="007B289D" w:rsidRPr="003C4F65">
        <w:rPr>
          <w:rFonts w:ascii="Times New Roman" w:hAnsi="Times New Roman" w:cs="Times New Roman"/>
          <w:sz w:val="22"/>
          <w:szCs w:val="22"/>
        </w:rPr>
        <w:t xml:space="preserve">The financial system </w:t>
      </w:r>
      <w:r w:rsidRPr="003C4F65">
        <w:rPr>
          <w:rFonts w:ascii="Times New Roman" w:hAnsi="Times New Roman" w:cs="Times New Roman"/>
          <w:sz w:val="22"/>
          <w:szCs w:val="22"/>
        </w:rPr>
        <w:t>is relatively well-developed compared to regional peers</w:t>
      </w:r>
      <w:r w:rsidR="00165B62" w:rsidRPr="003C4F65">
        <w:rPr>
          <w:rFonts w:ascii="Times New Roman" w:hAnsi="Times New Roman" w:cs="Times New Roman"/>
          <w:sz w:val="22"/>
          <w:szCs w:val="22"/>
        </w:rPr>
        <w:t xml:space="preserve"> (e.g. i</w:t>
      </w:r>
      <w:r w:rsidR="003B307D" w:rsidRPr="003C4F65">
        <w:rPr>
          <w:rFonts w:ascii="Times New Roman" w:hAnsi="Times New Roman" w:cs="Times New Roman"/>
          <w:sz w:val="22"/>
          <w:szCs w:val="22"/>
        </w:rPr>
        <w:t>t is the o</w:t>
      </w:r>
      <w:r w:rsidRPr="003C4F65">
        <w:rPr>
          <w:rFonts w:ascii="Times New Roman" w:hAnsi="Times New Roman" w:cs="Times New Roman"/>
          <w:sz w:val="22"/>
          <w:szCs w:val="22"/>
        </w:rPr>
        <w:t>nly other country in SA</w:t>
      </w:r>
      <w:r w:rsidR="002C656E" w:rsidRPr="003C4F65">
        <w:rPr>
          <w:rFonts w:ascii="Times New Roman" w:hAnsi="Times New Roman" w:cs="Times New Roman"/>
          <w:sz w:val="22"/>
          <w:szCs w:val="22"/>
        </w:rPr>
        <w:t>,</w:t>
      </w:r>
      <w:r w:rsidRPr="003C4F65">
        <w:rPr>
          <w:rFonts w:ascii="Times New Roman" w:hAnsi="Times New Roman" w:cs="Times New Roman"/>
          <w:sz w:val="22"/>
          <w:szCs w:val="22"/>
        </w:rPr>
        <w:t xml:space="preserve"> besides South Africa</w:t>
      </w:r>
      <w:r w:rsidR="002C656E" w:rsidRPr="003C4F65">
        <w:rPr>
          <w:rFonts w:ascii="Times New Roman" w:hAnsi="Times New Roman" w:cs="Times New Roman"/>
          <w:sz w:val="22"/>
          <w:szCs w:val="22"/>
        </w:rPr>
        <w:t>,</w:t>
      </w:r>
      <w:r w:rsidRPr="003C4F65">
        <w:rPr>
          <w:rFonts w:ascii="Times New Roman" w:hAnsi="Times New Roman" w:cs="Times New Roman"/>
          <w:sz w:val="22"/>
          <w:szCs w:val="22"/>
        </w:rPr>
        <w:t xml:space="preserve"> to issue external sovereign bonds</w:t>
      </w:r>
      <w:r w:rsidR="00165B62" w:rsidRPr="003C4F65">
        <w:rPr>
          <w:rFonts w:ascii="Times New Roman" w:hAnsi="Times New Roman" w:cs="Times New Roman"/>
          <w:sz w:val="22"/>
          <w:szCs w:val="22"/>
        </w:rPr>
        <w:t>)</w:t>
      </w:r>
      <w:r w:rsidRPr="003C4F65">
        <w:rPr>
          <w:rFonts w:ascii="Times New Roman" w:hAnsi="Times New Roman" w:cs="Times New Roman"/>
          <w:sz w:val="22"/>
          <w:szCs w:val="22"/>
        </w:rPr>
        <w:t xml:space="preserve">. </w:t>
      </w:r>
      <w:r w:rsidR="00BF5526" w:rsidRPr="003C4F65">
        <w:rPr>
          <w:rFonts w:ascii="Times New Roman" w:hAnsi="Times New Roman" w:cs="Times New Roman"/>
          <w:bCs/>
          <w:sz w:val="22"/>
          <w:szCs w:val="22"/>
        </w:rPr>
        <w:t>Unlike most African countries, the financial sector in Namibia is dominated by NBFIs, with p</w:t>
      </w:r>
      <w:r w:rsidR="00BF5526" w:rsidRPr="003C4F65">
        <w:rPr>
          <w:rFonts w:ascii="Times New Roman" w:hAnsi="Times New Roman" w:cs="Times New Roman"/>
          <w:sz w:val="22"/>
          <w:szCs w:val="22"/>
        </w:rPr>
        <w:t>ension funds and insurance companies being the largest component.</w:t>
      </w:r>
    </w:p>
    <w:p w14:paraId="441B637C" w14:textId="77777777" w:rsidR="003C4F65" w:rsidRPr="003C4F65" w:rsidRDefault="003C4F65" w:rsidP="003C4F65">
      <w:pPr>
        <w:pStyle w:val="ListParagraph"/>
        <w:ind w:left="0"/>
        <w:jc w:val="both"/>
        <w:rPr>
          <w:rFonts w:ascii="Times New Roman" w:hAnsi="Times New Roman" w:cs="Times New Roman"/>
          <w:sz w:val="22"/>
          <w:szCs w:val="22"/>
        </w:rPr>
      </w:pPr>
    </w:p>
    <w:p w14:paraId="76C9D832" w14:textId="24D2BFF8" w:rsidR="00950456" w:rsidRPr="003C4F65" w:rsidRDefault="003B307D" w:rsidP="00F023C9">
      <w:pPr>
        <w:pStyle w:val="ListParagraph"/>
        <w:tabs>
          <w:tab w:val="num" w:pos="1440"/>
        </w:tabs>
        <w:ind w:left="0"/>
        <w:jc w:val="both"/>
        <w:rPr>
          <w:rFonts w:ascii="Times New Roman" w:hAnsi="Times New Roman" w:cs="Times New Roman"/>
          <w:sz w:val="22"/>
          <w:szCs w:val="22"/>
        </w:rPr>
      </w:pPr>
      <w:r w:rsidRPr="003C4F65">
        <w:rPr>
          <w:rFonts w:ascii="Times New Roman" w:hAnsi="Times New Roman" w:cs="Times New Roman"/>
          <w:b/>
          <w:sz w:val="22"/>
          <w:szCs w:val="22"/>
        </w:rPr>
        <w:t>The financial sector is c</w:t>
      </w:r>
      <w:r w:rsidR="00950456" w:rsidRPr="003C4F65">
        <w:rPr>
          <w:rFonts w:ascii="Times New Roman" w:hAnsi="Times New Roman" w:cs="Times New Roman"/>
          <w:b/>
          <w:sz w:val="22"/>
          <w:szCs w:val="22"/>
        </w:rPr>
        <w:t>omprised of 5 commercial banks, 1 microfinance bank, and 1 branchless Ebank.</w:t>
      </w:r>
      <w:r w:rsidRPr="003C4F65">
        <w:rPr>
          <w:rFonts w:ascii="Times New Roman" w:hAnsi="Times New Roman" w:cs="Times New Roman"/>
          <w:sz w:val="22"/>
          <w:szCs w:val="22"/>
        </w:rPr>
        <w:t xml:space="preserve"> </w:t>
      </w:r>
      <w:r w:rsidRPr="003C4F65">
        <w:rPr>
          <w:rFonts w:ascii="Times New Roman" w:hAnsi="Times New Roman" w:cs="Times New Roman"/>
          <w:b/>
          <w:sz w:val="22"/>
          <w:szCs w:val="22"/>
        </w:rPr>
        <w:t xml:space="preserve"> </w:t>
      </w:r>
      <w:r w:rsidR="00950456" w:rsidRPr="003C4F65">
        <w:rPr>
          <w:rFonts w:ascii="Times New Roman" w:hAnsi="Times New Roman" w:cs="Times New Roman"/>
          <w:sz w:val="22"/>
          <w:szCs w:val="22"/>
        </w:rPr>
        <w:t xml:space="preserve">Reportedly, </w:t>
      </w:r>
      <w:r w:rsidR="00E70759" w:rsidRPr="003C4F65">
        <w:rPr>
          <w:rFonts w:ascii="Times New Roman" w:hAnsi="Times New Roman" w:cs="Times New Roman"/>
          <w:sz w:val="22"/>
          <w:szCs w:val="22"/>
        </w:rPr>
        <w:t xml:space="preserve">the </w:t>
      </w:r>
      <w:r w:rsidR="00950456" w:rsidRPr="003C4F65">
        <w:rPr>
          <w:rFonts w:ascii="Times New Roman" w:hAnsi="Times New Roman" w:cs="Times New Roman"/>
          <w:sz w:val="22"/>
          <w:szCs w:val="22"/>
        </w:rPr>
        <w:t>banking sector is sound, profitable and adequately capitalized</w:t>
      </w:r>
      <w:r w:rsidR="003312F5" w:rsidRPr="003C4F65">
        <w:rPr>
          <w:rFonts w:ascii="Times New Roman" w:hAnsi="Times New Roman" w:cs="Times New Roman"/>
          <w:sz w:val="22"/>
          <w:szCs w:val="22"/>
        </w:rPr>
        <w:t xml:space="preserve">, with a </w:t>
      </w:r>
      <w:r w:rsidR="005C0796" w:rsidRPr="003C4F65">
        <w:rPr>
          <w:rFonts w:ascii="Times New Roman" w:hAnsi="Times New Roman" w:cs="Times New Roman"/>
          <w:sz w:val="22"/>
          <w:szCs w:val="22"/>
        </w:rPr>
        <w:t>l</w:t>
      </w:r>
      <w:r w:rsidR="00950456" w:rsidRPr="003C4F65">
        <w:rPr>
          <w:rFonts w:ascii="Times New Roman" w:hAnsi="Times New Roman" w:cs="Times New Roman"/>
          <w:sz w:val="22"/>
          <w:szCs w:val="22"/>
        </w:rPr>
        <w:t xml:space="preserve">ow </w:t>
      </w:r>
      <w:r w:rsidR="00E70759" w:rsidRPr="003C4F65">
        <w:rPr>
          <w:rFonts w:ascii="Times New Roman" w:hAnsi="Times New Roman" w:cs="Times New Roman"/>
          <w:sz w:val="22"/>
          <w:szCs w:val="22"/>
        </w:rPr>
        <w:t>Non-Performing-Loan (</w:t>
      </w:r>
      <w:r w:rsidR="00950456" w:rsidRPr="003C4F65">
        <w:rPr>
          <w:rFonts w:ascii="Times New Roman" w:hAnsi="Times New Roman" w:cs="Times New Roman"/>
          <w:sz w:val="22"/>
          <w:szCs w:val="22"/>
        </w:rPr>
        <w:t>NPL</w:t>
      </w:r>
      <w:r w:rsidR="00E70759" w:rsidRPr="003C4F65">
        <w:rPr>
          <w:rFonts w:ascii="Times New Roman" w:hAnsi="Times New Roman" w:cs="Times New Roman"/>
          <w:sz w:val="22"/>
          <w:szCs w:val="22"/>
        </w:rPr>
        <w:t>)</w:t>
      </w:r>
      <w:r w:rsidR="00950456" w:rsidRPr="003C4F65">
        <w:rPr>
          <w:rFonts w:ascii="Times New Roman" w:hAnsi="Times New Roman" w:cs="Times New Roman"/>
          <w:sz w:val="22"/>
          <w:szCs w:val="22"/>
        </w:rPr>
        <w:t xml:space="preserve"> ratio (</w:t>
      </w:r>
      <w:r w:rsidR="003312F5" w:rsidRPr="003C4F65">
        <w:rPr>
          <w:rFonts w:ascii="Times New Roman" w:hAnsi="Times New Roman" w:cs="Times New Roman"/>
          <w:sz w:val="22"/>
          <w:szCs w:val="22"/>
        </w:rPr>
        <w:t xml:space="preserve">of </w:t>
      </w:r>
      <w:r w:rsidR="00950456" w:rsidRPr="003C4F65">
        <w:rPr>
          <w:rFonts w:ascii="Times New Roman" w:hAnsi="Times New Roman" w:cs="Times New Roman"/>
          <w:sz w:val="22"/>
          <w:szCs w:val="22"/>
        </w:rPr>
        <w:t>less than 1.5</w:t>
      </w:r>
      <w:r w:rsidR="00E70759" w:rsidRPr="003C4F65">
        <w:rPr>
          <w:rFonts w:ascii="Times New Roman" w:hAnsi="Times New Roman" w:cs="Times New Roman"/>
          <w:sz w:val="22"/>
          <w:szCs w:val="22"/>
        </w:rPr>
        <w:t xml:space="preserve"> percent</w:t>
      </w:r>
      <w:r w:rsidR="00950456" w:rsidRPr="003C4F65">
        <w:rPr>
          <w:rFonts w:ascii="Times New Roman" w:hAnsi="Times New Roman" w:cs="Times New Roman"/>
          <w:sz w:val="22"/>
          <w:szCs w:val="22"/>
        </w:rPr>
        <w:t xml:space="preserve">). </w:t>
      </w:r>
      <w:r w:rsidR="002C656E" w:rsidRPr="003C4F65">
        <w:rPr>
          <w:rFonts w:ascii="Times New Roman" w:hAnsi="Times New Roman" w:cs="Times New Roman"/>
          <w:sz w:val="22"/>
          <w:szCs w:val="22"/>
        </w:rPr>
        <w:t xml:space="preserve">Out of the 5 commercial banks, 3 </w:t>
      </w:r>
      <w:r w:rsidR="0062359A" w:rsidRPr="003C4F65">
        <w:rPr>
          <w:rFonts w:ascii="Times New Roman" w:hAnsi="Times New Roman" w:cs="Times New Roman"/>
          <w:sz w:val="22"/>
          <w:szCs w:val="22"/>
        </w:rPr>
        <w:t xml:space="preserve">are </w:t>
      </w:r>
      <w:r w:rsidR="002C656E" w:rsidRPr="003C4F65">
        <w:rPr>
          <w:rFonts w:ascii="Times New Roman" w:hAnsi="Times New Roman" w:cs="Times New Roman"/>
          <w:sz w:val="22"/>
          <w:szCs w:val="22"/>
        </w:rPr>
        <w:t xml:space="preserve">primarily South African owned, 1 </w:t>
      </w:r>
      <w:r w:rsidR="0062359A" w:rsidRPr="003C4F65">
        <w:rPr>
          <w:rFonts w:ascii="Times New Roman" w:hAnsi="Times New Roman" w:cs="Times New Roman"/>
          <w:sz w:val="22"/>
          <w:szCs w:val="22"/>
        </w:rPr>
        <w:t xml:space="preserve">is </w:t>
      </w:r>
      <w:r w:rsidR="002C656E" w:rsidRPr="003C4F65">
        <w:rPr>
          <w:rFonts w:ascii="Times New Roman" w:hAnsi="Times New Roman" w:cs="Times New Roman"/>
          <w:sz w:val="22"/>
          <w:szCs w:val="22"/>
        </w:rPr>
        <w:t xml:space="preserve">private and domestically owned, and 1 SME bank </w:t>
      </w:r>
      <w:r w:rsidR="0062359A" w:rsidRPr="003C4F65">
        <w:rPr>
          <w:rFonts w:ascii="Times New Roman" w:hAnsi="Times New Roman" w:cs="Times New Roman"/>
          <w:sz w:val="22"/>
          <w:szCs w:val="22"/>
        </w:rPr>
        <w:t xml:space="preserve">is </w:t>
      </w:r>
      <w:r w:rsidR="002C656E" w:rsidRPr="003C4F65">
        <w:rPr>
          <w:rFonts w:ascii="Times New Roman" w:hAnsi="Times New Roman" w:cs="Times New Roman"/>
          <w:sz w:val="22"/>
          <w:szCs w:val="22"/>
        </w:rPr>
        <w:t>owned by the government</w:t>
      </w:r>
      <w:r w:rsidR="0062359A" w:rsidRPr="003C4F65">
        <w:rPr>
          <w:rFonts w:ascii="Times New Roman" w:hAnsi="Times New Roman" w:cs="Times New Roman"/>
          <w:sz w:val="22"/>
          <w:szCs w:val="22"/>
        </w:rPr>
        <w:t xml:space="preserve">.  </w:t>
      </w:r>
      <w:r w:rsidR="00950456" w:rsidRPr="003C4F65">
        <w:rPr>
          <w:rFonts w:ascii="Times New Roman" w:hAnsi="Times New Roman" w:cs="Times New Roman"/>
          <w:sz w:val="22"/>
          <w:szCs w:val="22"/>
        </w:rPr>
        <w:t>The 4 main commercial banks (3 South African and 1 Namibian) hold more than 95% of assets and deposits.</w:t>
      </w:r>
    </w:p>
    <w:p w14:paraId="3877E4C2" w14:textId="77777777" w:rsidR="003B307D" w:rsidRPr="003C4F65" w:rsidRDefault="003B307D" w:rsidP="003C4F65">
      <w:pPr>
        <w:tabs>
          <w:tab w:val="num" w:pos="1440"/>
        </w:tabs>
        <w:autoSpaceDE w:val="0"/>
        <w:autoSpaceDN w:val="0"/>
        <w:adjustRightInd w:val="0"/>
        <w:spacing w:after="0" w:line="240" w:lineRule="auto"/>
        <w:jc w:val="both"/>
        <w:rPr>
          <w:rFonts w:ascii="Times New Roman" w:hAnsi="Times New Roman" w:cs="Times New Roman"/>
        </w:rPr>
      </w:pPr>
    </w:p>
    <w:p w14:paraId="6A8FC436" w14:textId="77777777" w:rsidR="00950456" w:rsidRPr="003C4F65" w:rsidRDefault="003B307D" w:rsidP="00F023C9">
      <w:pPr>
        <w:pStyle w:val="ListParagraph"/>
        <w:ind w:left="0"/>
        <w:jc w:val="both"/>
        <w:rPr>
          <w:rFonts w:ascii="Times New Roman" w:hAnsi="Times New Roman" w:cs="Times New Roman"/>
          <w:b/>
          <w:sz w:val="22"/>
          <w:szCs w:val="22"/>
        </w:rPr>
      </w:pPr>
      <w:r w:rsidRPr="003C4F65">
        <w:rPr>
          <w:rFonts w:ascii="Times New Roman" w:hAnsi="Times New Roman" w:cs="Times New Roman"/>
          <w:b/>
          <w:sz w:val="22"/>
          <w:szCs w:val="22"/>
        </w:rPr>
        <w:t>The f</w:t>
      </w:r>
      <w:r w:rsidR="00950456" w:rsidRPr="003C4F65">
        <w:rPr>
          <w:rFonts w:ascii="Times New Roman" w:hAnsi="Times New Roman" w:cs="Times New Roman"/>
          <w:b/>
          <w:sz w:val="22"/>
          <w:szCs w:val="22"/>
        </w:rPr>
        <w:t xml:space="preserve">inancial system also includes 4 autonomous government owned entities designed to broaden access to specific financial products. </w:t>
      </w:r>
      <w:r w:rsidR="00950456" w:rsidRPr="003C4F65">
        <w:rPr>
          <w:rFonts w:ascii="Times New Roman" w:hAnsi="Times New Roman" w:cs="Times New Roman"/>
          <w:sz w:val="22"/>
          <w:szCs w:val="22"/>
        </w:rPr>
        <w:t>Except PostBank, these institutions have had limited success</w:t>
      </w:r>
      <w:r w:rsidR="00723A96" w:rsidRPr="003C4F65">
        <w:rPr>
          <w:rFonts w:ascii="Times New Roman" w:hAnsi="Times New Roman" w:cs="Times New Roman"/>
          <w:sz w:val="22"/>
          <w:szCs w:val="22"/>
        </w:rPr>
        <w:t xml:space="preserve">, with </w:t>
      </w:r>
      <w:r w:rsidR="00950456" w:rsidRPr="003C4F65">
        <w:rPr>
          <w:rFonts w:ascii="Times New Roman" w:hAnsi="Times New Roman" w:cs="Times New Roman"/>
          <w:sz w:val="22"/>
          <w:szCs w:val="22"/>
        </w:rPr>
        <w:t>economies-of-scale problems</w:t>
      </w:r>
      <w:r w:rsidR="005C0796" w:rsidRPr="003C4F65">
        <w:rPr>
          <w:rFonts w:ascii="Times New Roman" w:hAnsi="Times New Roman" w:cs="Times New Roman"/>
          <w:sz w:val="22"/>
          <w:szCs w:val="22"/>
        </w:rPr>
        <w:t xml:space="preserve"> and</w:t>
      </w:r>
      <w:r w:rsidR="00950456" w:rsidRPr="003C4F65">
        <w:rPr>
          <w:rFonts w:ascii="Times New Roman" w:hAnsi="Times New Roman" w:cs="Times New Roman"/>
          <w:sz w:val="22"/>
          <w:szCs w:val="22"/>
        </w:rPr>
        <w:t xml:space="preserve"> relatively large NPLs. Despite taking deposits, these specialized financial institutions are exempt from BON supervision.</w:t>
      </w:r>
      <w:r w:rsidR="00950456" w:rsidRPr="003C4F65">
        <w:rPr>
          <w:rFonts w:ascii="Times New Roman" w:hAnsi="Times New Roman" w:cs="Times New Roman"/>
          <w:b/>
          <w:sz w:val="22"/>
          <w:szCs w:val="22"/>
        </w:rPr>
        <w:t xml:space="preserve"> </w:t>
      </w:r>
    </w:p>
    <w:p w14:paraId="28672E60" w14:textId="77777777" w:rsidR="00D33560" w:rsidRPr="003C4F65" w:rsidRDefault="00D33560" w:rsidP="003C4F65">
      <w:pPr>
        <w:autoSpaceDE w:val="0"/>
        <w:autoSpaceDN w:val="0"/>
        <w:adjustRightInd w:val="0"/>
        <w:spacing w:after="0" w:line="240" w:lineRule="auto"/>
        <w:jc w:val="both"/>
        <w:rPr>
          <w:rFonts w:ascii="Times New Roman" w:hAnsi="Times New Roman" w:cs="Times New Roman"/>
          <w:b/>
        </w:rPr>
      </w:pPr>
    </w:p>
    <w:p w14:paraId="196ADBCA" w14:textId="77777777" w:rsidR="00950456" w:rsidRPr="003C4F65" w:rsidRDefault="00D33560" w:rsidP="00F023C9">
      <w:pPr>
        <w:pStyle w:val="ListParagraph"/>
        <w:ind w:left="0"/>
        <w:jc w:val="both"/>
        <w:rPr>
          <w:rFonts w:ascii="Times New Roman" w:hAnsi="Times New Roman" w:cs="Times New Roman"/>
          <w:sz w:val="22"/>
          <w:szCs w:val="22"/>
        </w:rPr>
      </w:pPr>
      <w:r w:rsidRPr="003C4F65">
        <w:rPr>
          <w:rFonts w:ascii="Times New Roman" w:hAnsi="Times New Roman" w:cs="Times New Roman"/>
          <w:b/>
          <w:sz w:val="22"/>
          <w:szCs w:val="22"/>
        </w:rPr>
        <w:t xml:space="preserve">Non-bank financial institutions </w:t>
      </w:r>
      <w:r w:rsidR="0062359A" w:rsidRPr="003C4F65">
        <w:rPr>
          <w:rFonts w:ascii="Times New Roman" w:hAnsi="Times New Roman" w:cs="Times New Roman"/>
          <w:b/>
          <w:sz w:val="22"/>
          <w:szCs w:val="22"/>
        </w:rPr>
        <w:t xml:space="preserve">(NBFI) </w:t>
      </w:r>
      <w:r w:rsidRPr="003C4F65">
        <w:rPr>
          <w:rFonts w:ascii="Times New Roman" w:hAnsi="Times New Roman" w:cs="Times New Roman"/>
          <w:b/>
          <w:sz w:val="22"/>
          <w:szCs w:val="22"/>
        </w:rPr>
        <w:t xml:space="preserve">have </w:t>
      </w:r>
      <w:r w:rsidR="00950456" w:rsidRPr="003C4F65">
        <w:rPr>
          <w:rFonts w:ascii="Times New Roman" w:hAnsi="Times New Roman" w:cs="Times New Roman"/>
          <w:b/>
          <w:sz w:val="22"/>
          <w:szCs w:val="22"/>
        </w:rPr>
        <w:t xml:space="preserve">grown substantially, </w:t>
      </w:r>
      <w:r w:rsidR="0062359A" w:rsidRPr="003C4F65">
        <w:rPr>
          <w:rFonts w:ascii="Times New Roman" w:hAnsi="Times New Roman" w:cs="Times New Roman"/>
          <w:b/>
          <w:sz w:val="22"/>
          <w:szCs w:val="22"/>
        </w:rPr>
        <w:t xml:space="preserve">representing </w:t>
      </w:r>
      <w:r w:rsidR="00950456" w:rsidRPr="003C4F65">
        <w:rPr>
          <w:rFonts w:ascii="Times New Roman" w:hAnsi="Times New Roman" w:cs="Times New Roman"/>
          <w:b/>
          <w:sz w:val="22"/>
          <w:szCs w:val="22"/>
        </w:rPr>
        <w:t>about 140</w:t>
      </w:r>
      <w:r w:rsidR="00E70759" w:rsidRPr="003C4F65">
        <w:rPr>
          <w:rFonts w:ascii="Times New Roman" w:hAnsi="Times New Roman" w:cs="Times New Roman"/>
          <w:b/>
          <w:sz w:val="22"/>
          <w:szCs w:val="22"/>
        </w:rPr>
        <w:t xml:space="preserve"> percent</w:t>
      </w:r>
      <w:r w:rsidR="00950456" w:rsidRPr="003C4F65">
        <w:rPr>
          <w:rFonts w:ascii="Times New Roman" w:hAnsi="Times New Roman" w:cs="Times New Roman"/>
          <w:b/>
          <w:sz w:val="22"/>
          <w:szCs w:val="22"/>
        </w:rPr>
        <w:t xml:space="preserve"> of GDP (of which pensions and insurance comprise about 120</w:t>
      </w:r>
      <w:r w:rsidR="00E70759" w:rsidRPr="003C4F65">
        <w:rPr>
          <w:rFonts w:ascii="Times New Roman" w:hAnsi="Times New Roman" w:cs="Times New Roman"/>
          <w:b/>
          <w:sz w:val="22"/>
          <w:szCs w:val="22"/>
        </w:rPr>
        <w:t xml:space="preserve"> percent</w:t>
      </w:r>
      <w:r w:rsidR="00950456" w:rsidRPr="003C4F65">
        <w:rPr>
          <w:rFonts w:ascii="Times New Roman" w:hAnsi="Times New Roman" w:cs="Times New Roman"/>
          <w:b/>
          <w:sz w:val="22"/>
          <w:szCs w:val="22"/>
        </w:rPr>
        <w:t xml:space="preserve">). </w:t>
      </w:r>
      <w:r w:rsidRPr="003C4F65">
        <w:rPr>
          <w:rFonts w:ascii="Times New Roman" w:hAnsi="Times New Roman" w:cs="Times New Roman"/>
          <w:sz w:val="22"/>
          <w:szCs w:val="22"/>
        </w:rPr>
        <w:t>There is a w</w:t>
      </w:r>
      <w:r w:rsidR="00950456" w:rsidRPr="003C4F65">
        <w:rPr>
          <w:rFonts w:ascii="Times New Roman" w:hAnsi="Times New Roman" w:cs="Times New Roman"/>
          <w:sz w:val="22"/>
          <w:szCs w:val="22"/>
        </w:rPr>
        <w:t>ide range and number of registered NBFI: NAMFISA regulates over 3800 registered entities, including the Namibia Stock Exchange, investment managers and investment companies, micro-lenders, insurers and pension funds. Informal financial institutions are rare.</w:t>
      </w:r>
      <w:r w:rsidRPr="003C4F65">
        <w:rPr>
          <w:rFonts w:ascii="Times New Roman" w:hAnsi="Times New Roman" w:cs="Times New Roman"/>
          <w:sz w:val="22"/>
          <w:szCs w:val="22"/>
        </w:rPr>
        <w:t xml:space="preserve">  </w:t>
      </w:r>
      <w:r w:rsidR="0062359A" w:rsidRPr="003C4F65">
        <w:rPr>
          <w:rFonts w:ascii="Times New Roman" w:hAnsi="Times New Roman" w:cs="Times New Roman"/>
          <w:bCs/>
          <w:sz w:val="22"/>
          <w:szCs w:val="22"/>
        </w:rPr>
        <w:t>Namibia’s Financial Sector S</w:t>
      </w:r>
      <w:r w:rsidRPr="003C4F65">
        <w:rPr>
          <w:rFonts w:ascii="Times New Roman" w:hAnsi="Times New Roman" w:cs="Times New Roman"/>
          <w:bCs/>
          <w:sz w:val="22"/>
          <w:szCs w:val="22"/>
        </w:rPr>
        <w:t xml:space="preserve">trategy </w:t>
      </w:r>
      <w:r w:rsidR="005C0796" w:rsidRPr="003C4F65">
        <w:rPr>
          <w:rFonts w:ascii="Times New Roman" w:hAnsi="Times New Roman" w:cs="Times New Roman"/>
          <w:bCs/>
          <w:sz w:val="22"/>
          <w:szCs w:val="22"/>
        </w:rPr>
        <w:t xml:space="preserve">(Government of Namibia 2011) </w:t>
      </w:r>
      <w:r w:rsidRPr="003C4F65">
        <w:rPr>
          <w:rFonts w:ascii="Times New Roman" w:hAnsi="Times New Roman" w:cs="Times New Roman"/>
          <w:bCs/>
          <w:sz w:val="22"/>
          <w:szCs w:val="22"/>
        </w:rPr>
        <w:t xml:space="preserve">highlights some of the limitations of NBFI in the country, including MFIs with high rates and targeting salaried individuals only, low levels of liquidity of the Namibia Stock Exchange and low access to </w:t>
      </w:r>
      <w:r w:rsidRPr="003C4F65">
        <w:rPr>
          <w:rStyle w:val="A6"/>
          <w:rFonts w:ascii="Times New Roman" w:hAnsi="Times New Roman" w:cs="Times New Roman"/>
          <w:sz w:val="22"/>
          <w:szCs w:val="22"/>
        </w:rPr>
        <w:t>short-term insurance services.</w:t>
      </w:r>
      <w:r w:rsidR="00950456" w:rsidRPr="003C4F65">
        <w:rPr>
          <w:rFonts w:ascii="Times New Roman" w:hAnsi="Times New Roman" w:cs="Times New Roman"/>
          <w:sz w:val="22"/>
          <w:szCs w:val="22"/>
        </w:rPr>
        <w:t xml:space="preserve"> </w:t>
      </w:r>
    </w:p>
    <w:p w14:paraId="337E8FBA" w14:textId="77777777" w:rsidR="00136C22" w:rsidRPr="003C4F65" w:rsidRDefault="00136C22" w:rsidP="003C4F65">
      <w:pPr>
        <w:autoSpaceDE w:val="0"/>
        <w:autoSpaceDN w:val="0"/>
        <w:adjustRightInd w:val="0"/>
        <w:spacing w:after="0" w:line="240" w:lineRule="auto"/>
        <w:jc w:val="both"/>
        <w:rPr>
          <w:rFonts w:ascii="Times New Roman" w:hAnsi="Times New Roman" w:cs="Times New Roman"/>
        </w:rPr>
      </w:pPr>
    </w:p>
    <w:p w14:paraId="195CA704" w14:textId="434ED497" w:rsidR="00136C22" w:rsidRPr="003C4F65" w:rsidRDefault="00136C22" w:rsidP="00F023C9">
      <w:pPr>
        <w:pStyle w:val="ListParagraph"/>
        <w:tabs>
          <w:tab w:val="left" w:pos="360"/>
        </w:tabs>
        <w:ind w:left="0"/>
        <w:contextualSpacing w:val="0"/>
        <w:jc w:val="both"/>
        <w:rPr>
          <w:rFonts w:ascii="Times New Roman" w:eastAsiaTheme="minorHAnsi" w:hAnsi="Times New Roman" w:cs="Times New Roman"/>
          <w:sz w:val="22"/>
          <w:szCs w:val="22"/>
          <w:lang w:eastAsia="en-US"/>
        </w:rPr>
      </w:pPr>
      <w:r w:rsidRPr="003C4F65">
        <w:rPr>
          <w:rFonts w:ascii="Times New Roman" w:hAnsi="Times New Roman" w:cs="Times New Roman"/>
          <w:b/>
          <w:bCs/>
          <w:sz w:val="22"/>
          <w:szCs w:val="22"/>
        </w:rPr>
        <w:t>“Namibia Financial Sector Strategy 2011-2021: Towards Achieving Vision 2030” was developed by the Government to address the weaknesses of the financial sector</w:t>
      </w:r>
      <w:r w:rsidRPr="003C4F65">
        <w:rPr>
          <w:rFonts w:ascii="Times New Roman" w:hAnsi="Times New Roman" w:cs="Times New Roman"/>
          <w:bCs/>
          <w:sz w:val="22"/>
          <w:szCs w:val="22"/>
        </w:rPr>
        <w:t xml:space="preserve">.  </w:t>
      </w:r>
      <w:r w:rsidRPr="003C4F65">
        <w:rPr>
          <w:rStyle w:val="A6"/>
          <w:rFonts w:ascii="Times New Roman" w:hAnsi="Times New Roman" w:cs="Times New Roman"/>
          <w:sz w:val="22"/>
          <w:szCs w:val="22"/>
        </w:rPr>
        <w:t>T</w:t>
      </w:r>
      <w:r w:rsidRPr="003C4F65">
        <w:rPr>
          <w:rFonts w:ascii="Times New Roman" w:eastAsiaTheme="minorHAnsi" w:hAnsi="Times New Roman" w:cs="Times New Roman"/>
          <w:sz w:val="22"/>
          <w:szCs w:val="22"/>
          <w:lang w:eastAsia="en-US"/>
        </w:rPr>
        <w:t xml:space="preserve">he overall goal of the Strategy is </w:t>
      </w:r>
      <w:r w:rsidR="00ED4CAC" w:rsidRPr="003C4F65">
        <w:rPr>
          <w:rFonts w:ascii="Times New Roman" w:eastAsiaTheme="minorHAnsi" w:hAnsi="Times New Roman" w:cs="Times New Roman"/>
          <w:sz w:val="22"/>
          <w:szCs w:val="22"/>
          <w:lang w:eastAsia="en-US"/>
        </w:rPr>
        <w:t>to promote a well-developed</w:t>
      </w:r>
      <w:r w:rsidRPr="003C4F65">
        <w:rPr>
          <w:rFonts w:ascii="Times New Roman" w:eastAsiaTheme="minorHAnsi" w:hAnsi="Times New Roman" w:cs="Times New Roman"/>
          <w:sz w:val="22"/>
          <w:szCs w:val="22"/>
          <w:lang w:eastAsia="en-US"/>
        </w:rPr>
        <w:t xml:space="preserve"> and diversified financial sector</w:t>
      </w:r>
      <w:r w:rsidR="00ED4CAC" w:rsidRPr="003C4F65">
        <w:rPr>
          <w:rFonts w:ascii="Times New Roman" w:eastAsiaTheme="minorHAnsi" w:hAnsi="Times New Roman" w:cs="Times New Roman"/>
          <w:sz w:val="22"/>
          <w:szCs w:val="22"/>
          <w:lang w:eastAsia="en-US"/>
        </w:rPr>
        <w:t>,</w:t>
      </w:r>
      <w:r w:rsidRPr="003C4F65">
        <w:rPr>
          <w:rFonts w:ascii="Times New Roman" w:eastAsiaTheme="minorHAnsi" w:hAnsi="Times New Roman" w:cs="Times New Roman"/>
          <w:sz w:val="22"/>
          <w:szCs w:val="22"/>
          <w:lang w:eastAsia="en-US"/>
        </w:rPr>
        <w:t xml:space="preserve"> characterized by </w:t>
      </w:r>
      <w:r w:rsidRPr="003C4F65">
        <w:rPr>
          <w:rFonts w:ascii="Times New Roman" w:eastAsiaTheme="minorHAnsi" w:hAnsi="Times New Roman" w:cs="Times New Roman"/>
          <w:iCs/>
          <w:sz w:val="22"/>
          <w:szCs w:val="22"/>
          <w:lang w:eastAsia="en-US"/>
        </w:rPr>
        <w:t xml:space="preserve">efficiency, effectiveness </w:t>
      </w:r>
      <w:r w:rsidRPr="003C4F65">
        <w:rPr>
          <w:rFonts w:ascii="Times New Roman" w:eastAsiaTheme="minorHAnsi" w:hAnsi="Times New Roman" w:cs="Times New Roman"/>
          <w:sz w:val="22"/>
          <w:szCs w:val="22"/>
          <w:lang w:eastAsia="en-US"/>
        </w:rPr>
        <w:t xml:space="preserve">and </w:t>
      </w:r>
      <w:r w:rsidRPr="003C4F65">
        <w:rPr>
          <w:rFonts w:ascii="Times New Roman" w:eastAsiaTheme="minorHAnsi" w:hAnsi="Times New Roman" w:cs="Times New Roman"/>
          <w:iCs/>
          <w:sz w:val="22"/>
          <w:szCs w:val="22"/>
          <w:lang w:eastAsia="en-US"/>
        </w:rPr>
        <w:t xml:space="preserve">stability.  </w:t>
      </w:r>
      <w:r w:rsidRPr="003C4F65">
        <w:rPr>
          <w:rFonts w:ascii="Times New Roman" w:hAnsi="Times New Roman" w:cs="Times New Roman"/>
          <w:bCs/>
          <w:sz w:val="22"/>
          <w:szCs w:val="22"/>
        </w:rPr>
        <w:t xml:space="preserve">The strategy seeks to reduce financial exclusion by </w:t>
      </w:r>
      <w:r w:rsidRPr="003C4F65">
        <w:rPr>
          <w:rFonts w:ascii="Times New Roman" w:eastAsiaTheme="minorHAnsi" w:hAnsi="Times New Roman" w:cs="Times New Roman"/>
          <w:sz w:val="22"/>
          <w:szCs w:val="22"/>
          <w:lang w:eastAsia="en-US"/>
        </w:rPr>
        <w:t>focusing in two areas: (i) consumer financial literacy and protection and</w:t>
      </w:r>
      <w:r w:rsidR="00E70759" w:rsidRPr="003C4F65">
        <w:rPr>
          <w:rFonts w:ascii="Times New Roman" w:eastAsiaTheme="minorHAnsi" w:hAnsi="Times New Roman" w:cs="Times New Roman"/>
          <w:sz w:val="22"/>
          <w:szCs w:val="22"/>
          <w:lang w:eastAsia="en-US"/>
        </w:rPr>
        <w:t>,</w:t>
      </w:r>
      <w:r w:rsidRPr="003C4F65">
        <w:rPr>
          <w:rFonts w:ascii="Times New Roman" w:eastAsiaTheme="minorHAnsi" w:hAnsi="Times New Roman" w:cs="Times New Roman"/>
          <w:sz w:val="22"/>
          <w:szCs w:val="22"/>
          <w:lang w:eastAsia="en-US"/>
        </w:rPr>
        <w:t xml:space="preserve"> (ii) access to financial services and products (with focus on SMEs). </w:t>
      </w:r>
    </w:p>
    <w:p w14:paraId="12801322" w14:textId="77777777" w:rsidR="00E70759" w:rsidRPr="003C4F65" w:rsidRDefault="00E70759" w:rsidP="003C4F65">
      <w:pPr>
        <w:pStyle w:val="ListParagraph"/>
        <w:tabs>
          <w:tab w:val="left" w:pos="360"/>
        </w:tabs>
        <w:ind w:left="0"/>
        <w:contextualSpacing w:val="0"/>
        <w:jc w:val="both"/>
        <w:rPr>
          <w:rFonts w:ascii="Times New Roman" w:eastAsiaTheme="minorHAnsi" w:hAnsi="Times New Roman" w:cs="Times New Roman"/>
          <w:sz w:val="22"/>
          <w:szCs w:val="22"/>
          <w:lang w:eastAsia="en-US"/>
        </w:rPr>
      </w:pPr>
    </w:p>
    <w:p w14:paraId="566AA830" w14:textId="124315FD" w:rsidR="00E70759" w:rsidRPr="00822AB9" w:rsidRDefault="00E70759" w:rsidP="00F023C9">
      <w:pPr>
        <w:pStyle w:val="ListParagraph"/>
        <w:tabs>
          <w:tab w:val="left" w:pos="360"/>
        </w:tabs>
        <w:ind w:left="0"/>
        <w:contextualSpacing w:val="0"/>
        <w:jc w:val="both"/>
        <w:rPr>
          <w:rFonts w:ascii="Times New Roman" w:hAnsi="Times New Roman" w:cs="Times New Roman"/>
          <w:b/>
          <w:bCs/>
          <w:sz w:val="22"/>
          <w:szCs w:val="22"/>
        </w:rPr>
      </w:pPr>
      <w:r w:rsidRPr="003C4F65">
        <w:rPr>
          <w:rFonts w:ascii="Times New Roman" w:hAnsi="Times New Roman" w:cs="Times New Roman"/>
          <w:b/>
          <w:sz w:val="22"/>
          <w:szCs w:val="22"/>
        </w:rPr>
        <w:t>The development of the SME sector is increasingly seen as an important catalyst and delivery vehicle to reach key development</w:t>
      </w:r>
      <w:r w:rsidR="003312F5" w:rsidRPr="003C4F65">
        <w:rPr>
          <w:rFonts w:ascii="Times New Roman" w:hAnsi="Times New Roman" w:cs="Times New Roman"/>
          <w:b/>
          <w:sz w:val="22"/>
          <w:szCs w:val="22"/>
        </w:rPr>
        <w:t xml:space="preserve"> objectives in the country (such as</w:t>
      </w:r>
      <w:r w:rsidRPr="003C4F65">
        <w:rPr>
          <w:rFonts w:ascii="Times New Roman" w:hAnsi="Times New Roman" w:cs="Times New Roman"/>
          <w:b/>
          <w:sz w:val="22"/>
          <w:szCs w:val="22"/>
        </w:rPr>
        <w:t xml:space="preserve"> economic growth, employment and inequality).</w:t>
      </w:r>
      <w:r w:rsidRPr="003C4F65">
        <w:rPr>
          <w:rFonts w:ascii="Times New Roman" w:hAnsi="Times New Roman" w:cs="Times New Roman"/>
          <w:sz w:val="22"/>
          <w:szCs w:val="22"/>
        </w:rPr>
        <w:t xml:space="preserve">  This is reflected in Vision 2030 and a number of government initiatives to support SME development</w:t>
      </w:r>
      <w:r w:rsidR="00427920" w:rsidRPr="00822AB9">
        <w:rPr>
          <w:rFonts w:ascii="Times New Roman" w:hAnsi="Times New Roman" w:cs="Times New Roman"/>
          <w:sz w:val="22"/>
          <w:szCs w:val="22"/>
        </w:rPr>
        <w:t xml:space="preserve">. The latter include </w:t>
      </w:r>
      <w:r w:rsidRPr="00822AB9">
        <w:rPr>
          <w:rFonts w:ascii="Times New Roman" w:hAnsi="Times New Roman" w:cs="Times New Roman"/>
          <w:sz w:val="22"/>
          <w:szCs w:val="22"/>
        </w:rPr>
        <w:t xml:space="preserve">allowing greater access to public tenders/contracts to Namibian-owned SMEs, the establishment of an SME </w:t>
      </w:r>
      <w:r w:rsidR="00704798" w:rsidRPr="00822AB9">
        <w:rPr>
          <w:rFonts w:ascii="Times New Roman" w:hAnsi="Times New Roman" w:cs="Times New Roman"/>
          <w:sz w:val="22"/>
          <w:szCs w:val="22"/>
        </w:rPr>
        <w:t>bank (which experienced challenges and has not been subject to detailed analysis under this engagement)</w:t>
      </w:r>
      <w:r w:rsidRPr="00822AB9">
        <w:rPr>
          <w:rFonts w:ascii="Times New Roman" w:hAnsi="Times New Roman" w:cs="Times New Roman"/>
          <w:sz w:val="22"/>
          <w:szCs w:val="22"/>
        </w:rPr>
        <w:t xml:space="preserve"> the promotion of private equity finance, and other initiatives by the Ministry of Trade and Industry (e.g. financing of business plans, business mentorship services and financial assistance). </w:t>
      </w:r>
      <w:r w:rsidR="00610D67" w:rsidRPr="00822AB9">
        <w:rPr>
          <w:rFonts w:ascii="Times New Roman" w:hAnsi="Times New Roman" w:cs="Times New Roman"/>
          <w:sz w:val="22"/>
          <w:szCs w:val="22"/>
        </w:rPr>
        <w:t>R</w:t>
      </w:r>
      <w:r w:rsidRPr="00822AB9">
        <w:rPr>
          <w:rFonts w:ascii="Times New Roman" w:hAnsi="Times New Roman" w:cs="Times New Roman"/>
          <w:sz w:val="22"/>
          <w:szCs w:val="22"/>
        </w:rPr>
        <w:t>ecent government proposal</w:t>
      </w:r>
      <w:r w:rsidR="00610D67" w:rsidRPr="00822AB9">
        <w:rPr>
          <w:rFonts w:ascii="Times New Roman" w:hAnsi="Times New Roman" w:cs="Times New Roman"/>
          <w:sz w:val="22"/>
          <w:szCs w:val="22"/>
        </w:rPr>
        <w:t>s</w:t>
      </w:r>
      <w:r w:rsidRPr="00822AB9">
        <w:rPr>
          <w:rFonts w:ascii="Times New Roman" w:hAnsi="Times New Roman" w:cs="Times New Roman"/>
          <w:sz w:val="22"/>
          <w:szCs w:val="22"/>
        </w:rPr>
        <w:t xml:space="preserve"> under evaluation</w:t>
      </w:r>
      <w:r w:rsidR="00610D67" w:rsidRPr="00822AB9">
        <w:rPr>
          <w:rFonts w:ascii="Times New Roman" w:hAnsi="Times New Roman" w:cs="Times New Roman"/>
          <w:sz w:val="22"/>
          <w:szCs w:val="22"/>
        </w:rPr>
        <w:t xml:space="preserve"> are the </w:t>
      </w:r>
      <w:r w:rsidRPr="00822AB9">
        <w:rPr>
          <w:rFonts w:ascii="Times New Roman" w:hAnsi="Times New Roman" w:cs="Times New Roman"/>
          <w:sz w:val="22"/>
          <w:szCs w:val="22"/>
        </w:rPr>
        <w:t>establishment of a national venture capital fund for SMEs</w:t>
      </w:r>
      <w:r w:rsidR="00610D67" w:rsidRPr="00822AB9">
        <w:rPr>
          <w:rFonts w:ascii="Times New Roman" w:hAnsi="Times New Roman" w:cs="Times New Roman"/>
          <w:sz w:val="22"/>
          <w:szCs w:val="22"/>
        </w:rPr>
        <w:t xml:space="preserve"> and a partial guarantee facility to be managed by the Development Bank of Namibia (DBN)</w:t>
      </w:r>
      <w:r w:rsidRPr="00822AB9">
        <w:rPr>
          <w:rFonts w:ascii="Times New Roman" w:hAnsi="Times New Roman" w:cs="Times New Roman"/>
          <w:sz w:val="22"/>
          <w:szCs w:val="22"/>
        </w:rPr>
        <w:t>. Additionally, there are efforts aimed at SME development that are spearheaded by private sector, Non-governmental organizations (NGOs) and private business representative entities.</w:t>
      </w:r>
    </w:p>
    <w:p w14:paraId="5ABEBCDA" w14:textId="77777777" w:rsidR="000E55E4" w:rsidRPr="00822AB9" w:rsidRDefault="000E55E4" w:rsidP="00920AD4">
      <w:pPr>
        <w:tabs>
          <w:tab w:val="left" w:pos="360"/>
        </w:tabs>
        <w:spacing w:after="0" w:line="240" w:lineRule="auto"/>
        <w:jc w:val="both"/>
        <w:rPr>
          <w:rFonts w:ascii="Times New Roman" w:hAnsi="Times New Roman" w:cs="Times New Roman"/>
          <w:bCs/>
        </w:rPr>
      </w:pPr>
    </w:p>
    <w:p w14:paraId="625FDCF2" w14:textId="31A5FC20" w:rsidR="000E55E4" w:rsidRPr="00822AB9" w:rsidRDefault="00E70759" w:rsidP="003312F5">
      <w:pPr>
        <w:pStyle w:val="NoSpacing"/>
        <w:numPr>
          <w:ilvl w:val="0"/>
          <w:numId w:val="22"/>
        </w:numPr>
        <w:jc w:val="both"/>
        <w:rPr>
          <w:rFonts w:ascii="Times New Roman" w:hAnsi="Times New Roman" w:cs="Times New Roman"/>
          <w:b/>
        </w:rPr>
      </w:pPr>
      <w:r w:rsidRPr="00822AB9">
        <w:rPr>
          <w:rFonts w:ascii="Times New Roman" w:hAnsi="Times New Roman" w:cs="Times New Roman"/>
          <w:b/>
        </w:rPr>
        <w:t>Financial Inclusion for I</w:t>
      </w:r>
      <w:r w:rsidR="000E55E4" w:rsidRPr="00822AB9">
        <w:rPr>
          <w:rFonts w:ascii="Times New Roman" w:hAnsi="Times New Roman" w:cs="Times New Roman"/>
          <w:b/>
        </w:rPr>
        <w:t>ndividuals</w:t>
      </w:r>
    </w:p>
    <w:p w14:paraId="12AC2362" w14:textId="77777777" w:rsidR="009E5DD4" w:rsidRPr="00822AB9" w:rsidRDefault="009E5DD4" w:rsidP="00634742">
      <w:pPr>
        <w:pStyle w:val="ListParagraph"/>
        <w:tabs>
          <w:tab w:val="left" w:pos="360"/>
        </w:tabs>
        <w:ind w:left="0"/>
        <w:contextualSpacing w:val="0"/>
        <w:jc w:val="both"/>
        <w:rPr>
          <w:rFonts w:ascii="Times New Roman" w:hAnsi="Times New Roman" w:cs="Times New Roman"/>
          <w:b/>
          <w:bCs/>
          <w:sz w:val="22"/>
          <w:szCs w:val="22"/>
        </w:rPr>
      </w:pPr>
    </w:p>
    <w:p w14:paraId="70D6168E" w14:textId="2478B5E3" w:rsidR="000E55E4" w:rsidRPr="00822AB9" w:rsidRDefault="00EC39E2" w:rsidP="00F023C9">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
          <w:bCs/>
          <w:sz w:val="22"/>
          <w:szCs w:val="22"/>
        </w:rPr>
        <w:t>F</w:t>
      </w:r>
      <w:r w:rsidR="000E55E4" w:rsidRPr="00822AB9">
        <w:rPr>
          <w:rFonts w:ascii="Times New Roman" w:hAnsi="Times New Roman" w:cs="Times New Roman"/>
          <w:b/>
          <w:bCs/>
          <w:sz w:val="22"/>
          <w:szCs w:val="22"/>
        </w:rPr>
        <w:t xml:space="preserve">inancial inclusion </w:t>
      </w:r>
      <w:r w:rsidRPr="00822AB9">
        <w:rPr>
          <w:rFonts w:ascii="Times New Roman" w:hAnsi="Times New Roman" w:cs="Times New Roman"/>
          <w:b/>
          <w:bCs/>
          <w:sz w:val="22"/>
          <w:szCs w:val="22"/>
        </w:rPr>
        <w:t xml:space="preserve">at the individual/household level has increased remarkably </w:t>
      </w:r>
      <w:r w:rsidR="006766D2" w:rsidRPr="00822AB9">
        <w:rPr>
          <w:rFonts w:ascii="Times New Roman" w:hAnsi="Times New Roman" w:cs="Times New Roman"/>
          <w:b/>
          <w:bCs/>
          <w:sz w:val="22"/>
          <w:szCs w:val="22"/>
        </w:rPr>
        <w:t xml:space="preserve">in Namibia </w:t>
      </w:r>
      <w:r w:rsidR="000E55E4" w:rsidRPr="00822AB9">
        <w:rPr>
          <w:rFonts w:ascii="Times New Roman" w:hAnsi="Times New Roman" w:cs="Times New Roman"/>
          <w:b/>
          <w:bCs/>
          <w:sz w:val="22"/>
          <w:szCs w:val="22"/>
        </w:rPr>
        <w:t xml:space="preserve">(Figure 1). </w:t>
      </w:r>
      <w:r w:rsidR="00950456" w:rsidRPr="00822AB9">
        <w:rPr>
          <w:rFonts w:ascii="Times New Roman" w:hAnsi="Times New Roman" w:cs="Times New Roman"/>
          <w:bCs/>
          <w:sz w:val="22"/>
          <w:szCs w:val="22"/>
        </w:rPr>
        <w:t>According to FinScope surveys, f</w:t>
      </w:r>
      <w:r w:rsidR="000E55E4" w:rsidRPr="00822AB9">
        <w:rPr>
          <w:rFonts w:ascii="Times New Roman" w:hAnsi="Times New Roman" w:cs="Times New Roman"/>
          <w:bCs/>
          <w:sz w:val="22"/>
          <w:szCs w:val="22"/>
        </w:rPr>
        <w:t>inancial exclusion dropped from 51 percent in 2007 to 31 percent in 2011</w:t>
      </w:r>
      <w:r w:rsidR="006766D2" w:rsidRPr="00822AB9">
        <w:rPr>
          <w:rFonts w:ascii="Times New Roman" w:hAnsi="Times New Roman" w:cs="Times New Roman"/>
          <w:bCs/>
          <w:sz w:val="22"/>
          <w:szCs w:val="22"/>
        </w:rPr>
        <w:t>,</w:t>
      </w:r>
      <w:r w:rsidR="000E55E4" w:rsidRPr="00822AB9">
        <w:rPr>
          <w:rFonts w:ascii="Times New Roman" w:hAnsi="Times New Roman" w:cs="Times New Roman"/>
          <w:bCs/>
          <w:sz w:val="22"/>
          <w:szCs w:val="22"/>
        </w:rPr>
        <w:t xml:space="preserve"> with large increases on the percentages of individuals formally served by banks and NBFI.  In 2011</w:t>
      </w:r>
      <w:r w:rsidR="00950456" w:rsidRPr="00822AB9">
        <w:rPr>
          <w:rFonts w:ascii="Times New Roman" w:hAnsi="Times New Roman" w:cs="Times New Roman"/>
          <w:bCs/>
          <w:sz w:val="22"/>
          <w:szCs w:val="22"/>
        </w:rPr>
        <w:t>,</w:t>
      </w:r>
      <w:r w:rsidR="000E55E4" w:rsidRPr="00822AB9">
        <w:rPr>
          <w:rFonts w:ascii="Times New Roman" w:hAnsi="Times New Roman" w:cs="Times New Roman"/>
          <w:bCs/>
          <w:sz w:val="22"/>
          <w:szCs w:val="22"/>
        </w:rPr>
        <w:t xml:space="preserve"> 62 percent of individuals were banked, 3 percent were using formal non-bank financial products only and </w:t>
      </w:r>
      <w:r w:rsidR="000E55E4" w:rsidRPr="00822AB9">
        <w:rPr>
          <w:rFonts w:ascii="Times New Roman" w:hAnsi="Times New Roman" w:cs="Times New Roman"/>
          <w:bCs/>
          <w:sz w:val="22"/>
          <w:szCs w:val="22"/>
        </w:rPr>
        <w:lastRenderedPageBreak/>
        <w:t xml:space="preserve">4 percent were using informal products only. </w:t>
      </w:r>
    </w:p>
    <w:p w14:paraId="602C2904" w14:textId="77777777" w:rsidR="000E55E4" w:rsidRPr="00822AB9" w:rsidRDefault="000E55E4" w:rsidP="00634742">
      <w:pPr>
        <w:pStyle w:val="ListParagraph"/>
        <w:tabs>
          <w:tab w:val="left" w:pos="360"/>
        </w:tabs>
        <w:ind w:left="0"/>
        <w:contextualSpacing w:val="0"/>
        <w:jc w:val="both"/>
        <w:rPr>
          <w:rFonts w:ascii="Times New Roman" w:hAnsi="Times New Roman" w:cs="Times New Roman"/>
          <w:bCs/>
          <w:sz w:val="22"/>
          <w:szCs w:val="22"/>
        </w:rPr>
      </w:pPr>
    </w:p>
    <w:p w14:paraId="192E59CB" w14:textId="77777777" w:rsidR="000E55E4" w:rsidRPr="00822AB9" w:rsidRDefault="000E55E4" w:rsidP="00634742">
      <w:pPr>
        <w:spacing w:after="0" w:line="240" w:lineRule="auto"/>
        <w:jc w:val="center"/>
        <w:rPr>
          <w:rFonts w:ascii="Times New Roman" w:hAnsi="Times New Roman" w:cs="Times New Roman"/>
          <w:b/>
          <w:bCs/>
        </w:rPr>
      </w:pPr>
      <w:r w:rsidRPr="00822AB9">
        <w:rPr>
          <w:rFonts w:ascii="Times New Roman" w:hAnsi="Times New Roman" w:cs="Times New Roman"/>
          <w:b/>
          <w:bCs/>
        </w:rPr>
        <w:t>Figure 1: Financial inclusion/exclusion in 2007 and 2011 (percentage of adults)</w:t>
      </w:r>
    </w:p>
    <w:p w14:paraId="22378455" w14:textId="77777777" w:rsidR="000E55E4" w:rsidRPr="00822AB9" w:rsidRDefault="000E55E4" w:rsidP="00634742">
      <w:pPr>
        <w:spacing w:after="0" w:line="240" w:lineRule="auto"/>
        <w:jc w:val="center"/>
        <w:rPr>
          <w:rFonts w:ascii="Times New Roman" w:hAnsi="Times New Roman" w:cs="Times New Roman"/>
          <w:b/>
          <w:bCs/>
        </w:rPr>
      </w:pPr>
    </w:p>
    <w:p w14:paraId="46DC8493" w14:textId="77777777" w:rsidR="000E55E4" w:rsidRPr="00822AB9" w:rsidRDefault="000E55E4" w:rsidP="00634742">
      <w:pPr>
        <w:spacing w:after="0" w:line="240" w:lineRule="auto"/>
        <w:jc w:val="center"/>
        <w:rPr>
          <w:rFonts w:ascii="Times New Roman" w:hAnsi="Times New Roman" w:cs="Times New Roman"/>
          <w:b/>
          <w:bCs/>
        </w:rPr>
      </w:pPr>
      <w:r w:rsidRPr="00822AB9">
        <w:rPr>
          <w:rFonts w:ascii="Times New Roman" w:hAnsi="Times New Roman" w:cs="Times New Roman"/>
          <w:b/>
          <w:bCs/>
          <w:noProof/>
        </w:rPr>
        <w:drawing>
          <wp:inline distT="0" distB="0" distL="0" distR="0" wp14:anchorId="09961BAF" wp14:editId="4A0AE521">
            <wp:extent cx="4565954" cy="1760561"/>
            <wp:effectExtent l="19050" t="0" r="25096"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216450" w14:textId="3236ED15" w:rsidR="000E55E4" w:rsidRDefault="000E55E4" w:rsidP="003C4F65">
      <w:pPr>
        <w:spacing w:after="0" w:line="240" w:lineRule="auto"/>
        <w:jc w:val="center"/>
        <w:rPr>
          <w:rFonts w:ascii="Times New Roman" w:hAnsi="Times New Roman" w:cs="Times New Roman"/>
          <w:bCs/>
          <w:i/>
        </w:rPr>
      </w:pPr>
      <w:r w:rsidRPr="00822AB9">
        <w:rPr>
          <w:rFonts w:ascii="Times New Roman" w:hAnsi="Times New Roman" w:cs="Times New Roman"/>
          <w:bCs/>
          <w:i/>
        </w:rPr>
        <w:t xml:space="preserve">Source: Namibia FinScope Consumer Survey </w:t>
      </w:r>
    </w:p>
    <w:p w14:paraId="00321A0C" w14:textId="77777777" w:rsidR="003C4F65" w:rsidRPr="003C4F65" w:rsidRDefault="003C4F65" w:rsidP="003C4F65">
      <w:pPr>
        <w:spacing w:after="0" w:line="240" w:lineRule="auto"/>
        <w:jc w:val="center"/>
        <w:rPr>
          <w:rFonts w:ascii="Times New Roman" w:hAnsi="Times New Roman" w:cs="Times New Roman"/>
          <w:bCs/>
          <w:i/>
        </w:rPr>
      </w:pPr>
    </w:p>
    <w:p w14:paraId="09AC9AAA" w14:textId="7E9493C2" w:rsidR="000E55E4" w:rsidRPr="00822AB9" w:rsidRDefault="000E55E4" w:rsidP="00634742">
      <w:pPr>
        <w:pStyle w:val="ListParagraph"/>
        <w:tabs>
          <w:tab w:val="left" w:pos="360"/>
        </w:tabs>
        <w:ind w:left="0"/>
        <w:jc w:val="both"/>
        <w:rPr>
          <w:rFonts w:ascii="Times New Roman" w:hAnsi="Times New Roman" w:cs="Times New Roman"/>
          <w:bCs/>
          <w:sz w:val="22"/>
          <w:szCs w:val="22"/>
        </w:rPr>
      </w:pPr>
      <w:r w:rsidRPr="00822AB9">
        <w:rPr>
          <w:rFonts w:ascii="Times New Roman" w:hAnsi="Times New Roman" w:cs="Times New Roman"/>
          <w:b/>
          <w:bCs/>
          <w:sz w:val="22"/>
          <w:szCs w:val="22"/>
        </w:rPr>
        <w:t>Namibia stands out for the high level of banked individuals in Africa (Figure 2).</w:t>
      </w:r>
      <w:r w:rsidRPr="00822AB9">
        <w:rPr>
          <w:rFonts w:ascii="Times New Roman" w:hAnsi="Times New Roman" w:cs="Times New Roman"/>
          <w:bCs/>
          <w:sz w:val="22"/>
          <w:szCs w:val="22"/>
        </w:rPr>
        <w:t xml:space="preserve">  </w:t>
      </w:r>
      <w:r w:rsidR="00BD3EA5" w:rsidRPr="00822AB9">
        <w:rPr>
          <w:rFonts w:ascii="Times New Roman" w:hAnsi="Times New Roman" w:cs="Times New Roman"/>
          <w:bCs/>
          <w:sz w:val="22"/>
          <w:szCs w:val="22"/>
        </w:rPr>
        <w:t>Namibia</w:t>
      </w:r>
      <w:r w:rsidRPr="00822AB9">
        <w:rPr>
          <w:rFonts w:ascii="Times New Roman" w:hAnsi="Times New Roman" w:cs="Times New Roman"/>
          <w:bCs/>
          <w:sz w:val="22"/>
          <w:szCs w:val="22"/>
        </w:rPr>
        <w:t xml:space="preserve"> ranks </w:t>
      </w:r>
      <w:r w:rsidR="007378CE" w:rsidRPr="00822AB9">
        <w:rPr>
          <w:rFonts w:ascii="Times New Roman" w:hAnsi="Times New Roman" w:cs="Times New Roman"/>
          <w:bCs/>
          <w:sz w:val="22"/>
          <w:szCs w:val="22"/>
        </w:rPr>
        <w:t>third</w:t>
      </w:r>
      <w:r w:rsidRPr="00822AB9">
        <w:rPr>
          <w:rFonts w:ascii="Times New Roman" w:hAnsi="Times New Roman" w:cs="Times New Roman"/>
          <w:bCs/>
          <w:sz w:val="22"/>
          <w:szCs w:val="22"/>
        </w:rPr>
        <w:t xml:space="preserve"> (after </w:t>
      </w:r>
      <w:r w:rsidR="007378CE" w:rsidRPr="00822AB9">
        <w:rPr>
          <w:rFonts w:ascii="Times New Roman" w:hAnsi="Times New Roman" w:cs="Times New Roman"/>
          <w:bCs/>
          <w:sz w:val="22"/>
          <w:szCs w:val="22"/>
        </w:rPr>
        <w:t xml:space="preserve">Mauritius and </w:t>
      </w:r>
      <w:r w:rsidRPr="00822AB9">
        <w:rPr>
          <w:rFonts w:ascii="Times New Roman" w:hAnsi="Times New Roman" w:cs="Times New Roman"/>
          <w:bCs/>
          <w:sz w:val="22"/>
          <w:szCs w:val="22"/>
        </w:rPr>
        <w:t xml:space="preserve">South Africa) among African countries with FinScope surveys in terms of the level of financial inclusion and banked individuals.  In fact, the levels of financial inclusion and banked individuals are very similar in Namibia and South Africa.  Importantly, the increase in the banked population during 2007-2011 has largely emerged from low income earners who tend to live in rural areas.  </w:t>
      </w:r>
      <w:r w:rsidR="007378CE" w:rsidRPr="00822AB9">
        <w:rPr>
          <w:rFonts w:ascii="Times New Roman" w:hAnsi="Times New Roman" w:cs="Times New Roman"/>
          <w:bCs/>
          <w:sz w:val="22"/>
          <w:szCs w:val="22"/>
        </w:rPr>
        <w:t xml:space="preserve">The </w:t>
      </w:r>
      <w:r w:rsidRPr="00822AB9">
        <w:rPr>
          <w:rFonts w:ascii="Times New Roman" w:hAnsi="Times New Roman" w:cs="Times New Roman"/>
          <w:bCs/>
          <w:sz w:val="22"/>
          <w:szCs w:val="22"/>
        </w:rPr>
        <w:t xml:space="preserve">Financial Literacy Initiative </w:t>
      </w:r>
      <w:r w:rsidR="007378CE" w:rsidRPr="00822AB9">
        <w:rPr>
          <w:rFonts w:ascii="Times New Roman" w:hAnsi="Times New Roman" w:cs="Times New Roman"/>
          <w:bCs/>
          <w:sz w:val="22"/>
          <w:szCs w:val="22"/>
        </w:rPr>
        <w:t>(</w:t>
      </w:r>
      <w:r w:rsidRPr="00822AB9">
        <w:rPr>
          <w:rFonts w:ascii="Times New Roman" w:hAnsi="Times New Roman" w:cs="Times New Roman"/>
          <w:bCs/>
          <w:sz w:val="22"/>
          <w:szCs w:val="22"/>
        </w:rPr>
        <w:t>FLI</w:t>
      </w:r>
      <w:r w:rsidR="007378CE" w:rsidRPr="00822AB9">
        <w:rPr>
          <w:rFonts w:ascii="Times New Roman" w:hAnsi="Times New Roman" w:cs="Times New Roman"/>
          <w:bCs/>
          <w:sz w:val="22"/>
          <w:szCs w:val="22"/>
        </w:rPr>
        <w:t xml:space="preserve">, </w:t>
      </w:r>
      <w:r w:rsidRPr="00822AB9">
        <w:rPr>
          <w:rFonts w:ascii="Times New Roman" w:hAnsi="Times New Roman" w:cs="Times New Roman"/>
          <w:bCs/>
          <w:sz w:val="22"/>
          <w:szCs w:val="22"/>
        </w:rPr>
        <w:t>et al 2013) found that 60 percent of Namibians had bank accounts, which is slightly higher than the level observed in South Africa and EAP</w:t>
      </w:r>
      <w:r w:rsidR="00560C62" w:rsidRPr="00822AB9">
        <w:rPr>
          <w:rFonts w:ascii="Times New Roman" w:hAnsi="Times New Roman" w:cs="Times New Roman"/>
          <w:bCs/>
          <w:sz w:val="22"/>
          <w:szCs w:val="22"/>
        </w:rPr>
        <w:t xml:space="preserve"> Region</w:t>
      </w:r>
      <w:r w:rsidRPr="00822AB9">
        <w:rPr>
          <w:rFonts w:ascii="Times New Roman" w:hAnsi="Times New Roman" w:cs="Times New Roman"/>
          <w:bCs/>
          <w:sz w:val="22"/>
          <w:szCs w:val="22"/>
        </w:rPr>
        <w:t xml:space="preserve">.  </w:t>
      </w:r>
      <w:r w:rsidR="00B123D0" w:rsidRPr="00822AB9">
        <w:rPr>
          <w:rFonts w:ascii="Times New Roman" w:hAnsi="Times New Roman" w:cs="Times New Roman"/>
          <w:bCs/>
          <w:sz w:val="22"/>
          <w:szCs w:val="22"/>
        </w:rPr>
        <w:t>Similarly, Global Findex 2014 finds a relatively high percentage</w:t>
      </w:r>
      <w:r w:rsidR="00BE5818" w:rsidRPr="00822AB9">
        <w:rPr>
          <w:rFonts w:ascii="Times New Roman" w:hAnsi="Times New Roman" w:cs="Times New Roman"/>
          <w:bCs/>
          <w:sz w:val="22"/>
          <w:szCs w:val="22"/>
        </w:rPr>
        <w:t xml:space="preserve"> of individuals with accounts at financial institutions </w:t>
      </w:r>
      <w:r w:rsidR="00B123D0" w:rsidRPr="00822AB9">
        <w:rPr>
          <w:rFonts w:ascii="Times New Roman" w:hAnsi="Times New Roman" w:cs="Times New Roman"/>
          <w:bCs/>
          <w:sz w:val="22"/>
          <w:szCs w:val="22"/>
        </w:rPr>
        <w:t>(</w:t>
      </w:r>
      <w:r w:rsidR="00BE5818" w:rsidRPr="00822AB9">
        <w:rPr>
          <w:rFonts w:ascii="Times New Roman" w:hAnsi="Times New Roman" w:cs="Times New Roman"/>
          <w:bCs/>
          <w:sz w:val="22"/>
          <w:szCs w:val="22"/>
        </w:rPr>
        <w:t>58</w:t>
      </w:r>
      <w:r w:rsidR="00B123D0" w:rsidRPr="00822AB9">
        <w:rPr>
          <w:rFonts w:ascii="Times New Roman" w:hAnsi="Times New Roman" w:cs="Times New Roman"/>
          <w:bCs/>
          <w:sz w:val="22"/>
          <w:szCs w:val="22"/>
        </w:rPr>
        <w:t xml:space="preserve"> percent </w:t>
      </w:r>
      <w:r w:rsidR="00BE5818" w:rsidRPr="00822AB9">
        <w:rPr>
          <w:rFonts w:ascii="Times New Roman" w:hAnsi="Times New Roman" w:cs="Times New Roman"/>
          <w:bCs/>
          <w:sz w:val="22"/>
          <w:szCs w:val="22"/>
        </w:rPr>
        <w:t>vs. 69</w:t>
      </w:r>
      <w:r w:rsidR="00B123D0" w:rsidRPr="00822AB9">
        <w:rPr>
          <w:rFonts w:ascii="Times New Roman" w:hAnsi="Times New Roman" w:cs="Times New Roman"/>
          <w:bCs/>
          <w:sz w:val="22"/>
          <w:szCs w:val="22"/>
        </w:rPr>
        <w:t xml:space="preserve"> percent in </w:t>
      </w:r>
      <w:r w:rsidR="00BE5818" w:rsidRPr="00822AB9">
        <w:rPr>
          <w:rFonts w:ascii="Times New Roman" w:hAnsi="Times New Roman" w:cs="Times New Roman"/>
          <w:bCs/>
          <w:sz w:val="22"/>
          <w:szCs w:val="22"/>
        </w:rPr>
        <w:t>South Africa and 51</w:t>
      </w:r>
      <w:r w:rsidR="00B123D0" w:rsidRPr="00822AB9">
        <w:rPr>
          <w:rFonts w:ascii="Times New Roman" w:hAnsi="Times New Roman" w:cs="Times New Roman"/>
          <w:bCs/>
          <w:sz w:val="22"/>
          <w:szCs w:val="22"/>
        </w:rPr>
        <w:t xml:space="preserve"> percent </w:t>
      </w:r>
      <w:r w:rsidR="00BE5818" w:rsidRPr="00822AB9">
        <w:rPr>
          <w:rFonts w:ascii="Times New Roman" w:hAnsi="Times New Roman" w:cs="Times New Roman"/>
          <w:bCs/>
          <w:sz w:val="22"/>
          <w:szCs w:val="22"/>
        </w:rPr>
        <w:t>in LAC).</w:t>
      </w:r>
      <w:r w:rsidR="00B123D0" w:rsidRPr="00822AB9">
        <w:rPr>
          <w:rFonts w:ascii="Times New Roman" w:hAnsi="Times New Roman" w:cs="Times New Roman"/>
          <w:bCs/>
          <w:sz w:val="22"/>
          <w:szCs w:val="22"/>
        </w:rPr>
        <w:t xml:space="preserve"> </w:t>
      </w:r>
      <w:r w:rsidR="00183BF2" w:rsidRPr="00822AB9">
        <w:rPr>
          <w:rFonts w:ascii="Times New Roman" w:hAnsi="Times New Roman" w:cs="Times New Roman"/>
          <w:bCs/>
          <w:sz w:val="22"/>
          <w:szCs w:val="22"/>
        </w:rPr>
        <w:t xml:space="preserve">The percentage of </w:t>
      </w:r>
      <w:r w:rsidR="00BE5818" w:rsidRPr="00822AB9">
        <w:rPr>
          <w:rFonts w:ascii="Times New Roman" w:hAnsi="Times New Roman" w:cs="Times New Roman"/>
          <w:bCs/>
          <w:sz w:val="22"/>
          <w:szCs w:val="22"/>
        </w:rPr>
        <w:t xml:space="preserve">lower income individuals with accounts at financial institutions </w:t>
      </w:r>
      <w:r w:rsidR="00183BF2" w:rsidRPr="00822AB9">
        <w:rPr>
          <w:rFonts w:ascii="Times New Roman" w:hAnsi="Times New Roman" w:cs="Times New Roman"/>
          <w:bCs/>
          <w:sz w:val="22"/>
          <w:szCs w:val="22"/>
        </w:rPr>
        <w:t xml:space="preserve">was also relatively high </w:t>
      </w:r>
      <w:r w:rsidR="00BE5818" w:rsidRPr="00822AB9">
        <w:rPr>
          <w:rFonts w:ascii="Times New Roman" w:hAnsi="Times New Roman" w:cs="Times New Roman"/>
          <w:bCs/>
          <w:sz w:val="22"/>
          <w:szCs w:val="22"/>
        </w:rPr>
        <w:t>(41</w:t>
      </w:r>
      <w:r w:rsidR="00183BF2" w:rsidRPr="00822AB9">
        <w:rPr>
          <w:rFonts w:ascii="Times New Roman" w:hAnsi="Times New Roman" w:cs="Times New Roman"/>
          <w:bCs/>
          <w:sz w:val="22"/>
          <w:szCs w:val="22"/>
        </w:rPr>
        <w:t xml:space="preserve"> percent </w:t>
      </w:r>
      <w:r w:rsidR="00BE5818" w:rsidRPr="00822AB9">
        <w:rPr>
          <w:rFonts w:ascii="Times New Roman" w:hAnsi="Times New Roman" w:cs="Times New Roman"/>
          <w:bCs/>
          <w:sz w:val="22"/>
          <w:szCs w:val="22"/>
        </w:rPr>
        <w:t>vs. 56</w:t>
      </w:r>
      <w:r w:rsidR="00183BF2" w:rsidRPr="00822AB9">
        <w:rPr>
          <w:rFonts w:ascii="Times New Roman" w:hAnsi="Times New Roman" w:cs="Times New Roman"/>
          <w:bCs/>
          <w:sz w:val="22"/>
          <w:szCs w:val="22"/>
        </w:rPr>
        <w:t xml:space="preserve"> percent </w:t>
      </w:r>
      <w:r w:rsidR="00BE5818" w:rsidRPr="00822AB9">
        <w:rPr>
          <w:rFonts w:ascii="Times New Roman" w:hAnsi="Times New Roman" w:cs="Times New Roman"/>
          <w:bCs/>
          <w:sz w:val="22"/>
          <w:szCs w:val="22"/>
        </w:rPr>
        <w:t>in South Africa and 41</w:t>
      </w:r>
      <w:r w:rsidR="00183BF2" w:rsidRPr="00822AB9">
        <w:rPr>
          <w:rFonts w:ascii="Times New Roman" w:hAnsi="Times New Roman" w:cs="Times New Roman"/>
          <w:bCs/>
          <w:sz w:val="22"/>
          <w:szCs w:val="22"/>
        </w:rPr>
        <w:t xml:space="preserve"> percent </w:t>
      </w:r>
      <w:r w:rsidR="00BE5818" w:rsidRPr="00822AB9">
        <w:rPr>
          <w:rFonts w:ascii="Times New Roman" w:hAnsi="Times New Roman" w:cs="Times New Roman"/>
          <w:bCs/>
          <w:sz w:val="22"/>
          <w:szCs w:val="22"/>
        </w:rPr>
        <w:t xml:space="preserve">in LAC).  </w:t>
      </w:r>
      <w:r w:rsidR="007378CE" w:rsidRPr="00822AB9">
        <w:rPr>
          <w:rFonts w:ascii="Times New Roman" w:hAnsi="Times New Roman" w:cs="Times New Roman"/>
          <w:bCs/>
          <w:sz w:val="22"/>
          <w:szCs w:val="22"/>
        </w:rPr>
        <w:t>Survey respondents keep their bank accounts to receive and send money, curb spending, keep money safe and save.</w:t>
      </w:r>
      <w:r w:rsidR="00BE5818" w:rsidRPr="00822AB9">
        <w:rPr>
          <w:rFonts w:ascii="Times New Roman" w:hAnsi="Times New Roman" w:cs="Times New Roman"/>
          <w:bCs/>
          <w:sz w:val="22"/>
          <w:szCs w:val="22"/>
        </w:rPr>
        <w:t xml:space="preserve"> </w:t>
      </w:r>
    </w:p>
    <w:p w14:paraId="3DB61318" w14:textId="77777777" w:rsidR="000E55E4" w:rsidRPr="00822AB9" w:rsidRDefault="000E55E4" w:rsidP="00634742">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Cs/>
          <w:sz w:val="22"/>
          <w:szCs w:val="22"/>
        </w:rPr>
        <w:t xml:space="preserve">   </w:t>
      </w:r>
    </w:p>
    <w:p w14:paraId="0D07676C" w14:textId="77777777" w:rsidR="00EC39E2" w:rsidRPr="00822AB9" w:rsidRDefault="00EC39E2" w:rsidP="00634742">
      <w:pPr>
        <w:pStyle w:val="ListParagraph"/>
        <w:tabs>
          <w:tab w:val="left" w:pos="360"/>
        </w:tabs>
        <w:ind w:left="0"/>
        <w:contextualSpacing w:val="0"/>
        <w:jc w:val="center"/>
        <w:rPr>
          <w:rFonts w:ascii="Times New Roman" w:hAnsi="Times New Roman" w:cs="Times New Roman"/>
          <w:b/>
          <w:bCs/>
          <w:sz w:val="22"/>
          <w:szCs w:val="22"/>
        </w:rPr>
      </w:pPr>
      <w:r w:rsidRPr="00822AB9">
        <w:rPr>
          <w:rFonts w:ascii="Times New Roman" w:hAnsi="Times New Roman" w:cs="Times New Roman"/>
          <w:b/>
          <w:bCs/>
          <w:sz w:val="22"/>
          <w:szCs w:val="22"/>
        </w:rPr>
        <w:t>Figure 2: Access strand (% of individuals)</w:t>
      </w:r>
    </w:p>
    <w:p w14:paraId="70175CB1" w14:textId="77777777" w:rsidR="00EC39E2" w:rsidRPr="00822AB9" w:rsidRDefault="00EC39E2" w:rsidP="00634742">
      <w:pPr>
        <w:pStyle w:val="ListParagraph"/>
        <w:tabs>
          <w:tab w:val="left" w:pos="360"/>
        </w:tabs>
        <w:ind w:left="0"/>
        <w:contextualSpacing w:val="0"/>
        <w:jc w:val="center"/>
        <w:rPr>
          <w:rFonts w:ascii="Times New Roman" w:hAnsi="Times New Roman" w:cs="Times New Roman"/>
          <w:bCs/>
          <w:sz w:val="22"/>
          <w:szCs w:val="22"/>
        </w:rPr>
      </w:pPr>
      <w:r w:rsidRPr="00822AB9">
        <w:rPr>
          <w:rFonts w:ascii="Times New Roman" w:hAnsi="Times New Roman" w:cs="Times New Roman"/>
          <w:bCs/>
          <w:noProof/>
          <w:sz w:val="22"/>
          <w:szCs w:val="22"/>
          <w:lang w:eastAsia="en-US"/>
        </w:rPr>
        <w:drawing>
          <wp:inline distT="0" distB="0" distL="0" distR="0" wp14:anchorId="3F3BF899" wp14:editId="5D380B00">
            <wp:extent cx="4540885" cy="2736376"/>
            <wp:effectExtent l="19050" t="0" r="12065" b="6824"/>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4BF6EC" w14:textId="77777777" w:rsidR="00EC39E2" w:rsidRPr="00822AB9" w:rsidRDefault="00172330" w:rsidP="00634742">
      <w:pPr>
        <w:pStyle w:val="ListParagraph"/>
        <w:tabs>
          <w:tab w:val="left" w:pos="360"/>
        </w:tabs>
        <w:ind w:left="0"/>
        <w:contextualSpacing w:val="0"/>
        <w:jc w:val="center"/>
        <w:rPr>
          <w:rFonts w:ascii="Times New Roman" w:hAnsi="Times New Roman" w:cs="Times New Roman"/>
          <w:bCs/>
          <w:i/>
          <w:sz w:val="22"/>
          <w:szCs w:val="22"/>
        </w:rPr>
      </w:pPr>
      <w:r w:rsidRPr="00822AB9">
        <w:rPr>
          <w:rFonts w:ascii="Times New Roman" w:hAnsi="Times New Roman" w:cs="Times New Roman"/>
          <w:bCs/>
          <w:i/>
          <w:sz w:val="22"/>
          <w:szCs w:val="22"/>
        </w:rPr>
        <w:t>Source: FinScope most recent consumer survey</w:t>
      </w:r>
    </w:p>
    <w:p w14:paraId="3C4CA90E" w14:textId="77777777" w:rsidR="00950456" w:rsidRPr="00822AB9" w:rsidRDefault="00950456" w:rsidP="00634742">
      <w:pPr>
        <w:pStyle w:val="ListParagraph"/>
        <w:tabs>
          <w:tab w:val="left" w:pos="360"/>
        </w:tabs>
        <w:ind w:left="0"/>
        <w:contextualSpacing w:val="0"/>
        <w:jc w:val="both"/>
        <w:rPr>
          <w:rFonts w:ascii="Times New Roman" w:hAnsi="Times New Roman" w:cs="Times New Roman"/>
          <w:b/>
          <w:bCs/>
          <w:sz w:val="22"/>
          <w:szCs w:val="22"/>
        </w:rPr>
      </w:pPr>
    </w:p>
    <w:p w14:paraId="1EBD8795" w14:textId="77777777" w:rsidR="00666D0F" w:rsidRDefault="00666D0F" w:rsidP="00F023C9">
      <w:pPr>
        <w:pStyle w:val="ListParagraph"/>
        <w:tabs>
          <w:tab w:val="left" w:pos="360"/>
        </w:tabs>
        <w:ind w:left="0"/>
        <w:contextualSpacing w:val="0"/>
        <w:jc w:val="both"/>
        <w:rPr>
          <w:rFonts w:ascii="Times New Roman" w:hAnsi="Times New Roman" w:cs="Times New Roman"/>
          <w:b/>
          <w:bCs/>
          <w:sz w:val="22"/>
          <w:szCs w:val="22"/>
        </w:rPr>
      </w:pPr>
    </w:p>
    <w:p w14:paraId="63FE5873" w14:textId="0D829B9D" w:rsidR="000E55E4" w:rsidRPr="00822AB9" w:rsidRDefault="000E55E4" w:rsidP="00F023C9">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
          <w:bCs/>
          <w:sz w:val="22"/>
          <w:szCs w:val="22"/>
        </w:rPr>
        <w:lastRenderedPageBreak/>
        <w:t xml:space="preserve">Increased financial inclusion has been driven by greater usage of transactional and savings products.  </w:t>
      </w:r>
      <w:r w:rsidR="00454926" w:rsidRPr="00822AB9">
        <w:rPr>
          <w:rFonts w:ascii="Times New Roman" w:hAnsi="Times New Roman" w:cs="Times New Roman"/>
          <w:bCs/>
          <w:sz w:val="22"/>
          <w:szCs w:val="22"/>
        </w:rPr>
        <w:t xml:space="preserve">The introduction of the Nampost Smartcard contributed to increased access by providing low cost alternatives to the unbanked.  Government transfers also enhance financial inclusion (10 percent of adults receive government transfers and 60 percent of recipients receive transfers at financial institutions accounts). </w:t>
      </w:r>
      <w:r w:rsidRPr="00822AB9">
        <w:rPr>
          <w:rFonts w:ascii="Times New Roman" w:hAnsi="Times New Roman" w:cs="Times New Roman"/>
          <w:bCs/>
          <w:sz w:val="22"/>
          <w:szCs w:val="22"/>
        </w:rPr>
        <w:t xml:space="preserve">Usage of transactional and savings products is considerably higher than that of insurance and credit.  </w:t>
      </w:r>
      <w:r w:rsidR="00454926" w:rsidRPr="00822AB9">
        <w:rPr>
          <w:rFonts w:ascii="Times New Roman" w:hAnsi="Times New Roman" w:cs="Times New Roman"/>
          <w:bCs/>
          <w:sz w:val="22"/>
          <w:szCs w:val="22"/>
        </w:rPr>
        <w:t>According to Global Findex 2014</w:t>
      </w:r>
      <w:r w:rsidR="00DE6F01" w:rsidRPr="00822AB9">
        <w:rPr>
          <w:rFonts w:ascii="Times New Roman" w:hAnsi="Times New Roman" w:cs="Times New Roman"/>
          <w:bCs/>
          <w:sz w:val="22"/>
          <w:szCs w:val="22"/>
        </w:rPr>
        <w:t>,</w:t>
      </w:r>
      <w:r w:rsidR="00454926" w:rsidRPr="00822AB9">
        <w:rPr>
          <w:rFonts w:ascii="Times New Roman" w:hAnsi="Times New Roman" w:cs="Times New Roman"/>
          <w:bCs/>
          <w:sz w:val="22"/>
          <w:szCs w:val="22"/>
        </w:rPr>
        <w:t xml:space="preserve"> about 57 percent of Namibians save</w:t>
      </w:r>
      <w:r w:rsidR="00DE6F01" w:rsidRPr="00822AB9">
        <w:rPr>
          <w:rFonts w:ascii="Times New Roman" w:hAnsi="Times New Roman" w:cs="Times New Roman"/>
          <w:bCs/>
          <w:sz w:val="22"/>
          <w:szCs w:val="22"/>
        </w:rPr>
        <w:t xml:space="preserve"> and</w:t>
      </w:r>
      <w:r w:rsidR="00454926" w:rsidRPr="00822AB9">
        <w:rPr>
          <w:rFonts w:ascii="Times New Roman" w:hAnsi="Times New Roman" w:cs="Times New Roman"/>
          <w:bCs/>
          <w:sz w:val="22"/>
          <w:szCs w:val="22"/>
        </w:rPr>
        <w:t xml:space="preserve"> 27 percent save at financial institutions</w:t>
      </w:r>
      <w:r w:rsidR="00DE6F01" w:rsidRPr="00822AB9">
        <w:rPr>
          <w:rFonts w:ascii="Times New Roman" w:hAnsi="Times New Roman" w:cs="Times New Roman"/>
          <w:bCs/>
          <w:sz w:val="22"/>
          <w:szCs w:val="22"/>
        </w:rPr>
        <w:t xml:space="preserve">. In contrast, </w:t>
      </w:r>
      <w:r w:rsidR="00454926" w:rsidRPr="00822AB9">
        <w:rPr>
          <w:rFonts w:ascii="Times New Roman" w:hAnsi="Times New Roman" w:cs="Times New Roman"/>
          <w:bCs/>
          <w:sz w:val="22"/>
          <w:szCs w:val="22"/>
        </w:rPr>
        <w:t xml:space="preserve">only 7 percent borrow from financial institutions </w:t>
      </w:r>
      <w:r w:rsidR="00DE6F01" w:rsidRPr="00822AB9">
        <w:rPr>
          <w:rFonts w:ascii="Times New Roman" w:hAnsi="Times New Roman" w:cs="Times New Roman"/>
          <w:bCs/>
          <w:sz w:val="22"/>
          <w:szCs w:val="22"/>
        </w:rPr>
        <w:t xml:space="preserve">but this </w:t>
      </w:r>
      <w:r w:rsidR="00454926" w:rsidRPr="00822AB9">
        <w:rPr>
          <w:rFonts w:ascii="Times New Roman" w:hAnsi="Times New Roman" w:cs="Times New Roman"/>
          <w:bCs/>
          <w:sz w:val="22"/>
          <w:szCs w:val="22"/>
        </w:rPr>
        <w:t xml:space="preserve">percentage </w:t>
      </w:r>
      <w:r w:rsidR="00D22663" w:rsidRPr="00822AB9">
        <w:rPr>
          <w:rFonts w:ascii="Times New Roman" w:hAnsi="Times New Roman" w:cs="Times New Roman"/>
          <w:bCs/>
          <w:sz w:val="22"/>
          <w:szCs w:val="22"/>
        </w:rPr>
        <w:t>is</w:t>
      </w:r>
      <w:r w:rsidR="00454926" w:rsidRPr="00822AB9">
        <w:rPr>
          <w:rFonts w:ascii="Times New Roman" w:hAnsi="Times New Roman" w:cs="Times New Roman"/>
          <w:bCs/>
          <w:sz w:val="22"/>
          <w:szCs w:val="22"/>
        </w:rPr>
        <w:t xml:space="preserve"> similar </w:t>
      </w:r>
      <w:r w:rsidR="00D22663" w:rsidRPr="00822AB9">
        <w:rPr>
          <w:rFonts w:ascii="Times New Roman" w:hAnsi="Times New Roman" w:cs="Times New Roman"/>
          <w:bCs/>
          <w:sz w:val="22"/>
          <w:szCs w:val="22"/>
        </w:rPr>
        <w:t>in</w:t>
      </w:r>
      <w:r w:rsidR="00454926" w:rsidRPr="00822AB9">
        <w:rPr>
          <w:rFonts w:ascii="Times New Roman" w:hAnsi="Times New Roman" w:cs="Times New Roman"/>
          <w:bCs/>
          <w:sz w:val="22"/>
          <w:szCs w:val="22"/>
        </w:rPr>
        <w:t xml:space="preserve"> SSA and other developing regions.  B</w:t>
      </w:r>
      <w:r w:rsidRPr="00822AB9">
        <w:rPr>
          <w:rFonts w:ascii="Times New Roman" w:hAnsi="Times New Roman" w:cs="Times New Roman"/>
          <w:bCs/>
          <w:sz w:val="22"/>
          <w:szCs w:val="22"/>
        </w:rPr>
        <w:t xml:space="preserve">etween 2007 and 2010 there </w:t>
      </w:r>
      <w:r w:rsidR="003506BB" w:rsidRPr="00822AB9">
        <w:rPr>
          <w:rFonts w:ascii="Times New Roman" w:hAnsi="Times New Roman" w:cs="Times New Roman"/>
          <w:bCs/>
          <w:sz w:val="22"/>
          <w:szCs w:val="22"/>
        </w:rPr>
        <w:t xml:space="preserve">was </w:t>
      </w:r>
      <w:r w:rsidRPr="00822AB9">
        <w:rPr>
          <w:rFonts w:ascii="Times New Roman" w:hAnsi="Times New Roman" w:cs="Times New Roman"/>
          <w:bCs/>
          <w:sz w:val="22"/>
          <w:szCs w:val="22"/>
        </w:rPr>
        <w:t>little change in the percentage of individuals using credit</w:t>
      </w:r>
      <w:r w:rsidR="003506BB" w:rsidRPr="00822AB9">
        <w:rPr>
          <w:rFonts w:ascii="Times New Roman" w:hAnsi="Times New Roman" w:cs="Times New Roman"/>
          <w:bCs/>
          <w:sz w:val="22"/>
          <w:szCs w:val="22"/>
        </w:rPr>
        <w:t xml:space="preserve"> (Figure 3)</w:t>
      </w:r>
      <w:r w:rsidRPr="00822AB9">
        <w:rPr>
          <w:rFonts w:ascii="Times New Roman" w:hAnsi="Times New Roman" w:cs="Times New Roman"/>
          <w:bCs/>
          <w:sz w:val="22"/>
          <w:szCs w:val="22"/>
        </w:rPr>
        <w:t xml:space="preserve">.  </w:t>
      </w:r>
      <w:r w:rsidR="00BE4BBD" w:rsidRPr="00822AB9">
        <w:rPr>
          <w:rFonts w:ascii="Times New Roman" w:hAnsi="Times New Roman" w:cs="Times New Roman"/>
          <w:bCs/>
          <w:sz w:val="22"/>
          <w:szCs w:val="22"/>
        </w:rPr>
        <w:t xml:space="preserve">The 2011 FinMark Consumer Survey report for Namibia concludes that notwithstanding </w:t>
      </w:r>
      <w:r w:rsidR="00D22663" w:rsidRPr="00822AB9">
        <w:rPr>
          <w:rFonts w:ascii="Times New Roman" w:hAnsi="Times New Roman" w:cs="Times New Roman"/>
          <w:bCs/>
          <w:sz w:val="22"/>
          <w:szCs w:val="22"/>
        </w:rPr>
        <w:t>r</w:t>
      </w:r>
      <w:r w:rsidR="00BE4BBD" w:rsidRPr="00822AB9">
        <w:rPr>
          <w:rFonts w:ascii="Times New Roman" w:hAnsi="Times New Roman" w:cs="Times New Roman"/>
          <w:bCs/>
          <w:sz w:val="22"/>
          <w:szCs w:val="22"/>
        </w:rPr>
        <w:t xml:space="preserve">elevant improvements, </w:t>
      </w:r>
      <w:r w:rsidR="00BE4BBD" w:rsidRPr="00822AB9">
        <w:rPr>
          <w:rFonts w:ascii="Times New Roman" w:hAnsi="Times New Roman" w:cs="Times New Roman"/>
          <w:sz w:val="22"/>
          <w:szCs w:val="22"/>
        </w:rPr>
        <w:t xml:space="preserve">financial inclusion </w:t>
      </w:r>
      <w:r w:rsidR="00D22663" w:rsidRPr="00822AB9">
        <w:rPr>
          <w:rFonts w:ascii="Times New Roman" w:hAnsi="Times New Roman" w:cs="Times New Roman"/>
          <w:sz w:val="22"/>
          <w:szCs w:val="22"/>
        </w:rPr>
        <w:t xml:space="preserve">at the household level </w:t>
      </w:r>
      <w:r w:rsidR="00BE4BBD" w:rsidRPr="00822AB9">
        <w:rPr>
          <w:rFonts w:ascii="Times New Roman" w:hAnsi="Times New Roman" w:cs="Times New Roman"/>
          <w:sz w:val="22"/>
          <w:szCs w:val="22"/>
        </w:rPr>
        <w:t>remains superficial given that its increase has been driven by transactional and savings products and the usage of credit and insurance remains low.</w:t>
      </w:r>
      <w:r w:rsidRPr="00822AB9">
        <w:rPr>
          <w:rFonts w:ascii="Times New Roman" w:hAnsi="Times New Roman" w:cs="Times New Roman"/>
          <w:bCs/>
          <w:sz w:val="22"/>
          <w:szCs w:val="22"/>
        </w:rPr>
        <w:t xml:space="preserve">          </w:t>
      </w:r>
    </w:p>
    <w:p w14:paraId="2F940FDE" w14:textId="77777777" w:rsidR="000E55E4" w:rsidRPr="00822AB9" w:rsidRDefault="000E55E4" w:rsidP="00634742">
      <w:pPr>
        <w:spacing w:after="0" w:line="240" w:lineRule="auto"/>
        <w:jc w:val="both"/>
        <w:rPr>
          <w:rFonts w:ascii="Times New Roman" w:hAnsi="Times New Roman" w:cs="Times New Roman"/>
          <w:b/>
          <w:bCs/>
        </w:rPr>
      </w:pPr>
    </w:p>
    <w:p w14:paraId="5E317430" w14:textId="77777777" w:rsidR="000E55E4" w:rsidRPr="00822AB9" w:rsidRDefault="00950456" w:rsidP="00634742">
      <w:pPr>
        <w:spacing w:after="0" w:line="240" w:lineRule="auto"/>
        <w:jc w:val="center"/>
        <w:rPr>
          <w:rFonts w:ascii="Times New Roman" w:hAnsi="Times New Roman" w:cs="Times New Roman"/>
          <w:b/>
          <w:bCs/>
        </w:rPr>
      </w:pPr>
      <w:r w:rsidRPr="00822AB9">
        <w:rPr>
          <w:rFonts w:ascii="Times New Roman" w:hAnsi="Times New Roman" w:cs="Times New Roman"/>
          <w:b/>
          <w:bCs/>
        </w:rPr>
        <w:t>Figure 3</w:t>
      </w:r>
      <w:r w:rsidR="000E55E4" w:rsidRPr="00822AB9">
        <w:rPr>
          <w:rFonts w:ascii="Times New Roman" w:hAnsi="Times New Roman" w:cs="Times New Roman"/>
          <w:b/>
          <w:bCs/>
        </w:rPr>
        <w:t>: Use of different financial products: 2007-2011</w:t>
      </w:r>
    </w:p>
    <w:p w14:paraId="2A434CA6" w14:textId="77777777" w:rsidR="000E55E4" w:rsidRPr="00822AB9" w:rsidRDefault="000E55E4" w:rsidP="00634742">
      <w:pPr>
        <w:spacing w:after="0" w:line="240" w:lineRule="auto"/>
        <w:jc w:val="center"/>
        <w:rPr>
          <w:rFonts w:ascii="Times New Roman" w:hAnsi="Times New Roman" w:cs="Times New Roman"/>
          <w:b/>
          <w:bCs/>
        </w:rPr>
      </w:pPr>
      <w:r w:rsidRPr="00822AB9">
        <w:rPr>
          <w:rFonts w:ascii="Times New Roman" w:hAnsi="Times New Roman" w:cs="Times New Roman"/>
          <w:b/>
          <w:bCs/>
          <w:noProof/>
        </w:rPr>
        <w:drawing>
          <wp:inline distT="0" distB="0" distL="0" distR="0" wp14:anchorId="3C1BB52A" wp14:editId="0E01DC36">
            <wp:extent cx="4574844" cy="2013044"/>
            <wp:effectExtent l="19050" t="0" r="16206" b="6256"/>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E055C4" w14:textId="77777777" w:rsidR="000E55E4" w:rsidRPr="00822AB9" w:rsidRDefault="000E55E4" w:rsidP="00634742">
      <w:pPr>
        <w:spacing w:after="0" w:line="240" w:lineRule="auto"/>
        <w:jc w:val="center"/>
        <w:rPr>
          <w:rFonts w:ascii="Times New Roman" w:hAnsi="Times New Roman" w:cs="Times New Roman"/>
          <w:bCs/>
          <w:i/>
        </w:rPr>
      </w:pPr>
      <w:r w:rsidRPr="00822AB9">
        <w:rPr>
          <w:rFonts w:ascii="Times New Roman" w:hAnsi="Times New Roman" w:cs="Times New Roman"/>
          <w:bCs/>
          <w:i/>
        </w:rPr>
        <w:t xml:space="preserve">Source: Namibia FinScope Consumer Survey </w:t>
      </w:r>
    </w:p>
    <w:p w14:paraId="23473BC3" w14:textId="77777777" w:rsidR="000E55E4" w:rsidRPr="00822AB9" w:rsidRDefault="000E55E4" w:rsidP="00634742">
      <w:pPr>
        <w:spacing w:after="0" w:line="240" w:lineRule="auto"/>
        <w:jc w:val="both"/>
        <w:rPr>
          <w:rFonts w:ascii="Times New Roman" w:hAnsi="Times New Roman" w:cs="Times New Roman"/>
          <w:b/>
          <w:bCs/>
        </w:rPr>
      </w:pPr>
    </w:p>
    <w:p w14:paraId="35AEFEF9" w14:textId="7BB5F6D2" w:rsidR="005F09F6" w:rsidRPr="00822AB9" w:rsidRDefault="00DC6D89" w:rsidP="00F023C9">
      <w:pPr>
        <w:pStyle w:val="Body"/>
        <w:ind w:firstLine="0"/>
        <w:rPr>
          <w:sz w:val="22"/>
          <w:szCs w:val="22"/>
          <w:lang w:val="en-US" w:eastAsia="en-US"/>
        </w:rPr>
      </w:pPr>
      <w:r w:rsidRPr="00822AB9">
        <w:rPr>
          <w:b/>
          <w:bCs/>
          <w:sz w:val="22"/>
          <w:szCs w:val="22"/>
          <w:lang w:val="en-US"/>
        </w:rPr>
        <w:t>About 35 percent of Namibians receive domestic remittances, mostly through financial institutions (60 percent) or in cash/person (62 percent)</w:t>
      </w:r>
      <w:r w:rsidR="00733442" w:rsidRPr="00822AB9">
        <w:rPr>
          <w:b/>
          <w:bCs/>
          <w:sz w:val="22"/>
          <w:szCs w:val="22"/>
          <w:lang w:val="en-US"/>
        </w:rPr>
        <w:t xml:space="preserve"> (2014 Global Findex)</w:t>
      </w:r>
      <w:r w:rsidRPr="00822AB9">
        <w:rPr>
          <w:b/>
          <w:bCs/>
          <w:sz w:val="22"/>
          <w:szCs w:val="22"/>
          <w:lang w:val="en-US"/>
        </w:rPr>
        <w:t xml:space="preserve">. </w:t>
      </w:r>
      <w:r w:rsidRPr="00822AB9">
        <w:rPr>
          <w:bCs/>
          <w:sz w:val="22"/>
          <w:szCs w:val="22"/>
          <w:lang w:val="en-US"/>
        </w:rPr>
        <w:t xml:space="preserve"> </w:t>
      </w:r>
      <w:r w:rsidR="006766D2" w:rsidRPr="00822AB9">
        <w:rPr>
          <w:bCs/>
          <w:sz w:val="22"/>
          <w:szCs w:val="22"/>
          <w:lang w:val="en-US"/>
        </w:rPr>
        <w:t>Remittances</w:t>
      </w:r>
      <w:r w:rsidR="00733442" w:rsidRPr="00822AB9">
        <w:rPr>
          <w:bCs/>
          <w:sz w:val="22"/>
          <w:szCs w:val="22"/>
          <w:lang w:val="en-US"/>
        </w:rPr>
        <w:t xml:space="preserve"> also constitute a relevant source of income for Namibians.  I</w:t>
      </w:r>
      <w:r w:rsidR="00733442" w:rsidRPr="00822AB9">
        <w:rPr>
          <w:sz w:val="22"/>
          <w:szCs w:val="22"/>
          <w:lang w:val="en-US" w:eastAsia="en-US"/>
        </w:rPr>
        <w:t xml:space="preserve">n 2011, 10 percent of households reported cash remittances (domestic and international) as their primary income source, compared to 19 percent for wages and salaries from government, and 12 percent for old-age pension. </w:t>
      </w:r>
      <w:r w:rsidR="005F09F6" w:rsidRPr="00822AB9">
        <w:rPr>
          <w:sz w:val="22"/>
          <w:szCs w:val="22"/>
          <w:lang w:val="en-US" w:eastAsia="en-US"/>
        </w:rPr>
        <w:t xml:space="preserve">Namibia is a net receiver </w:t>
      </w:r>
      <w:r w:rsidR="005F09F6" w:rsidRPr="00822AB9">
        <w:rPr>
          <w:sz w:val="22"/>
          <w:szCs w:val="22"/>
        </w:rPr>
        <w:t xml:space="preserve">of </w:t>
      </w:r>
      <w:r w:rsidR="005F09F6" w:rsidRPr="00822AB9">
        <w:rPr>
          <w:sz w:val="22"/>
          <w:szCs w:val="22"/>
          <w:lang w:val="en-US"/>
        </w:rPr>
        <w:t>international remittances (</w:t>
      </w:r>
      <w:r w:rsidR="005F09F6" w:rsidRPr="00822AB9">
        <w:rPr>
          <w:sz w:val="22"/>
          <w:szCs w:val="22"/>
          <w:lang w:val="en-US" w:eastAsia="en-US"/>
        </w:rPr>
        <w:t>2013 Bank of Namibia figures).  Outflows were approximately USD 1.4 billion, with the bigger percentage of this going to South Africa, and other neighboring countries, such as Zambia and Botswana. Remittance inflows were approximately USD 2 billion, primarily from Germany, UK, USA, and from some African countries, such as South Africa and Tanzania.  It is likely that these figures, which are estimated based on balance of payments statistics, underestimate the size of both inbound and outbound remittance flows though.</w:t>
      </w:r>
    </w:p>
    <w:p w14:paraId="0B9F7F92" w14:textId="77777777" w:rsidR="006766D2" w:rsidRPr="00822AB9" w:rsidRDefault="006766D2" w:rsidP="003C4F65">
      <w:pPr>
        <w:pStyle w:val="Body"/>
        <w:ind w:firstLine="0"/>
        <w:rPr>
          <w:b/>
          <w:sz w:val="22"/>
          <w:szCs w:val="22"/>
          <w:lang w:val="en-US" w:eastAsia="en-US"/>
        </w:rPr>
      </w:pPr>
    </w:p>
    <w:p w14:paraId="73B368BE" w14:textId="76E0C842" w:rsidR="00733442" w:rsidRPr="00822AB9" w:rsidRDefault="00733442" w:rsidP="00F023C9">
      <w:pPr>
        <w:pStyle w:val="Body"/>
        <w:ind w:firstLine="0"/>
        <w:rPr>
          <w:b/>
          <w:sz w:val="22"/>
          <w:szCs w:val="22"/>
          <w:lang w:val="en-US"/>
        </w:rPr>
      </w:pPr>
      <w:r w:rsidRPr="00822AB9">
        <w:rPr>
          <w:b/>
          <w:sz w:val="22"/>
          <w:szCs w:val="22"/>
          <w:lang w:val="en-US" w:eastAsia="en-US"/>
        </w:rPr>
        <w:t xml:space="preserve">The World Bank Review of the Market for Remittances in Namibia identifies several actions to </w:t>
      </w:r>
      <w:r w:rsidR="00EF5290" w:rsidRPr="00822AB9">
        <w:rPr>
          <w:b/>
          <w:sz w:val="22"/>
          <w:szCs w:val="22"/>
          <w:lang w:val="en-US" w:eastAsia="en-US"/>
        </w:rPr>
        <w:t xml:space="preserve">enhance the efficiency and safety of remittances transactions to and from Namibia (for </w:t>
      </w:r>
      <w:r w:rsidR="00F87A9F" w:rsidRPr="00822AB9">
        <w:rPr>
          <w:b/>
          <w:sz w:val="22"/>
          <w:szCs w:val="22"/>
          <w:lang w:val="en-US" w:eastAsia="en-US"/>
        </w:rPr>
        <w:t xml:space="preserve">a complete list </w:t>
      </w:r>
      <w:r w:rsidR="00EF5290" w:rsidRPr="00822AB9">
        <w:rPr>
          <w:b/>
          <w:sz w:val="22"/>
          <w:szCs w:val="22"/>
          <w:lang w:val="en-US" w:eastAsia="en-US"/>
        </w:rPr>
        <w:t xml:space="preserve">please see </w:t>
      </w:r>
      <w:r w:rsidR="006766D2" w:rsidRPr="00822AB9">
        <w:rPr>
          <w:b/>
          <w:sz w:val="22"/>
          <w:szCs w:val="22"/>
          <w:lang w:val="en-US" w:eastAsia="en-US"/>
        </w:rPr>
        <w:t xml:space="preserve">the </w:t>
      </w:r>
      <w:r w:rsidR="00EF5290" w:rsidRPr="00822AB9">
        <w:rPr>
          <w:b/>
          <w:sz w:val="22"/>
          <w:szCs w:val="22"/>
          <w:lang w:val="en-US" w:eastAsia="en-US"/>
        </w:rPr>
        <w:t xml:space="preserve">Report): </w:t>
      </w:r>
      <w:r w:rsidR="00EF5290" w:rsidRPr="00822AB9">
        <w:rPr>
          <w:sz w:val="22"/>
          <w:szCs w:val="22"/>
          <w:lang w:val="en-US" w:eastAsia="en-US"/>
        </w:rPr>
        <w:t xml:space="preserve">(i) </w:t>
      </w:r>
      <w:r w:rsidR="005C062D" w:rsidRPr="00822AB9">
        <w:rPr>
          <w:sz w:val="22"/>
          <w:szCs w:val="22"/>
          <w:lang w:val="en-US" w:eastAsia="en-US"/>
        </w:rPr>
        <w:t xml:space="preserve">developing </w:t>
      </w:r>
      <w:r w:rsidR="00EF5290" w:rsidRPr="00822AB9">
        <w:rPr>
          <w:sz w:val="22"/>
          <w:szCs w:val="22"/>
          <w:lang w:val="en-US" w:eastAsia="en-US"/>
        </w:rPr>
        <w:t xml:space="preserve">common standards of transparency applicable to all Remittance Service Providers </w:t>
      </w:r>
      <w:r w:rsidR="00F87A9F" w:rsidRPr="00822AB9">
        <w:rPr>
          <w:sz w:val="22"/>
          <w:szCs w:val="22"/>
          <w:lang w:val="en-US" w:eastAsia="en-US"/>
        </w:rPr>
        <w:t xml:space="preserve">(RSP) </w:t>
      </w:r>
      <w:r w:rsidR="00EF5290" w:rsidRPr="00822AB9">
        <w:rPr>
          <w:sz w:val="22"/>
          <w:szCs w:val="22"/>
          <w:lang w:val="en-US" w:eastAsia="en-US"/>
        </w:rPr>
        <w:t>and ensuring that senders and receivers of remittances are informed in advance on all the relevant elements of the transaction</w:t>
      </w:r>
      <w:r w:rsidR="005C062D" w:rsidRPr="00822AB9">
        <w:rPr>
          <w:sz w:val="22"/>
          <w:szCs w:val="22"/>
          <w:lang w:val="en-US" w:eastAsia="en-US"/>
        </w:rPr>
        <w:t>; (ii) clarifying the framework for the protection of consumers of rem</w:t>
      </w:r>
      <w:r w:rsidR="001D7E04" w:rsidRPr="00822AB9">
        <w:rPr>
          <w:sz w:val="22"/>
          <w:szCs w:val="22"/>
          <w:lang w:val="en-US" w:eastAsia="en-US"/>
        </w:rPr>
        <w:t xml:space="preserve">ittance services and </w:t>
      </w:r>
      <w:r w:rsidR="005C062D" w:rsidRPr="00822AB9">
        <w:rPr>
          <w:sz w:val="22"/>
          <w:szCs w:val="22"/>
          <w:lang w:val="en-US" w:eastAsia="en-US"/>
        </w:rPr>
        <w:t xml:space="preserve">assigning </w:t>
      </w:r>
      <w:r w:rsidR="001D7E04" w:rsidRPr="00822AB9">
        <w:rPr>
          <w:sz w:val="22"/>
          <w:szCs w:val="22"/>
          <w:lang w:val="en-US" w:eastAsia="en-US"/>
        </w:rPr>
        <w:t xml:space="preserve">institutional responsibility for </w:t>
      </w:r>
      <w:r w:rsidR="005C062D" w:rsidRPr="00822AB9">
        <w:rPr>
          <w:sz w:val="22"/>
          <w:szCs w:val="22"/>
          <w:lang w:val="en-US" w:eastAsia="en-US"/>
        </w:rPr>
        <w:t xml:space="preserve">protecting the rights of consumers of remittance services; (iii) fostering the use of electronic channels for the collection and disbursement of remittances and ensuring the interoperability of </w:t>
      </w:r>
      <w:r w:rsidR="008C6A07" w:rsidRPr="00822AB9">
        <w:rPr>
          <w:sz w:val="22"/>
          <w:szCs w:val="22"/>
          <w:lang w:val="en-US" w:eastAsia="en-US"/>
        </w:rPr>
        <w:t xml:space="preserve">payment instruments; (iv) leveraging NamPost for the delivery of remittances; </w:t>
      </w:r>
      <w:r w:rsidR="00F87A9F" w:rsidRPr="00822AB9">
        <w:rPr>
          <w:sz w:val="22"/>
          <w:szCs w:val="22"/>
          <w:lang w:val="en-US" w:eastAsia="en-US"/>
        </w:rPr>
        <w:t xml:space="preserve">(v) </w:t>
      </w:r>
      <w:r w:rsidR="008C6A07" w:rsidRPr="00822AB9">
        <w:rPr>
          <w:sz w:val="22"/>
          <w:szCs w:val="22"/>
          <w:lang w:val="en-US" w:eastAsia="en-US"/>
        </w:rPr>
        <w:t>consider relaxing currency exchange control requirements for low-value transactions to encourage the use of regulated channels; (v</w:t>
      </w:r>
      <w:r w:rsidR="00F87A9F" w:rsidRPr="00822AB9">
        <w:rPr>
          <w:sz w:val="22"/>
          <w:szCs w:val="22"/>
          <w:lang w:val="en-US" w:eastAsia="en-US"/>
        </w:rPr>
        <w:t>i</w:t>
      </w:r>
      <w:r w:rsidR="008C6A07" w:rsidRPr="00822AB9">
        <w:rPr>
          <w:sz w:val="22"/>
          <w:szCs w:val="22"/>
          <w:lang w:val="en-US" w:eastAsia="en-US"/>
        </w:rPr>
        <w:t xml:space="preserve">) review the licensing procedures for RSPs as well as the procedures for the authorization of new products, services, partnerships, agents and similar, </w:t>
      </w:r>
      <w:r w:rsidR="00831D51" w:rsidRPr="00822AB9">
        <w:rPr>
          <w:sz w:val="22"/>
          <w:szCs w:val="22"/>
          <w:lang w:val="en-US" w:eastAsia="en-US"/>
        </w:rPr>
        <w:t xml:space="preserve">(vii) eliminate few remaining elements that seem to be </w:t>
      </w:r>
      <w:r w:rsidR="00831D51" w:rsidRPr="00822AB9">
        <w:rPr>
          <w:sz w:val="22"/>
          <w:szCs w:val="22"/>
          <w:lang w:val="en-US" w:eastAsia="en-US"/>
        </w:rPr>
        <w:lastRenderedPageBreak/>
        <w:t>preventing some players in the market from competing on a level playing field for the delivery of payment and remittance services</w:t>
      </w:r>
      <w:r w:rsidR="00203474" w:rsidRPr="00822AB9">
        <w:rPr>
          <w:sz w:val="22"/>
          <w:szCs w:val="22"/>
          <w:lang w:val="en-US" w:eastAsia="en-US"/>
        </w:rPr>
        <w:t xml:space="preserve">; </w:t>
      </w:r>
      <w:r w:rsidR="00F87A9F" w:rsidRPr="00822AB9">
        <w:rPr>
          <w:sz w:val="22"/>
          <w:szCs w:val="22"/>
          <w:lang w:val="en-US" w:eastAsia="en-US"/>
        </w:rPr>
        <w:t xml:space="preserve">and </w:t>
      </w:r>
      <w:r w:rsidR="00203474" w:rsidRPr="00822AB9">
        <w:rPr>
          <w:sz w:val="22"/>
          <w:szCs w:val="22"/>
          <w:lang w:val="en-US" w:eastAsia="en-US"/>
        </w:rPr>
        <w:t xml:space="preserve">(viii) closely monitor </w:t>
      </w:r>
      <w:r w:rsidR="00F87A9F" w:rsidRPr="00822AB9">
        <w:rPr>
          <w:sz w:val="22"/>
          <w:szCs w:val="22"/>
          <w:lang w:val="en-US" w:eastAsia="en-US"/>
        </w:rPr>
        <w:t xml:space="preserve">(and consider banning) </w:t>
      </w:r>
      <w:r w:rsidR="00203474" w:rsidRPr="00822AB9">
        <w:rPr>
          <w:sz w:val="22"/>
          <w:szCs w:val="22"/>
          <w:lang w:val="en-US" w:eastAsia="en-US"/>
        </w:rPr>
        <w:t>exclusivity agreement</w:t>
      </w:r>
      <w:r w:rsidR="00F87A9F" w:rsidRPr="00822AB9">
        <w:rPr>
          <w:sz w:val="22"/>
          <w:szCs w:val="22"/>
          <w:lang w:val="en-US" w:eastAsia="en-US"/>
        </w:rPr>
        <w:t xml:space="preserve"> clauses</w:t>
      </w:r>
      <w:r w:rsidR="00203474" w:rsidRPr="00822AB9">
        <w:rPr>
          <w:sz w:val="22"/>
          <w:szCs w:val="22"/>
          <w:lang w:val="en-US" w:eastAsia="en-US"/>
        </w:rPr>
        <w:t xml:space="preserve"> by which international money transfer operators </w:t>
      </w:r>
      <w:r w:rsidR="00F87A9F" w:rsidRPr="00822AB9">
        <w:rPr>
          <w:sz w:val="22"/>
          <w:szCs w:val="22"/>
          <w:lang w:val="en-US" w:eastAsia="en-US"/>
        </w:rPr>
        <w:t>can prevent local RSP with whom they are partnering from offering other services along with those of the international MTO.</w:t>
      </w:r>
      <w:r w:rsidR="00EF5290" w:rsidRPr="00822AB9">
        <w:rPr>
          <w:sz w:val="22"/>
          <w:szCs w:val="22"/>
          <w:lang w:val="en-US" w:eastAsia="en-US"/>
        </w:rPr>
        <w:t xml:space="preserve"> </w:t>
      </w:r>
      <w:r w:rsidR="00EF5290" w:rsidRPr="00822AB9">
        <w:rPr>
          <w:b/>
          <w:sz w:val="22"/>
          <w:szCs w:val="22"/>
          <w:lang w:val="en-US" w:eastAsia="en-US"/>
        </w:rPr>
        <w:t xml:space="preserve"> </w:t>
      </w:r>
    </w:p>
    <w:p w14:paraId="1C0AB52D" w14:textId="77777777" w:rsidR="001510A5" w:rsidRPr="00822AB9" w:rsidRDefault="001510A5" w:rsidP="00733442">
      <w:pPr>
        <w:tabs>
          <w:tab w:val="left" w:pos="360"/>
        </w:tabs>
        <w:spacing w:after="0" w:line="240" w:lineRule="auto"/>
        <w:jc w:val="both"/>
        <w:rPr>
          <w:rFonts w:ascii="Times New Roman" w:hAnsi="Times New Roman" w:cs="Times New Roman"/>
          <w:b/>
          <w:bCs/>
        </w:rPr>
      </w:pPr>
    </w:p>
    <w:p w14:paraId="4865BAF3" w14:textId="3C4772C5" w:rsidR="000E55E4" w:rsidRPr="00822AB9" w:rsidRDefault="000E55E4" w:rsidP="00F023C9">
      <w:pPr>
        <w:pStyle w:val="ListParagraph"/>
        <w:tabs>
          <w:tab w:val="left" w:pos="360"/>
        </w:tabs>
        <w:ind w:left="0"/>
        <w:jc w:val="both"/>
        <w:rPr>
          <w:rFonts w:ascii="Times New Roman" w:hAnsi="Times New Roman" w:cs="Times New Roman"/>
          <w:bCs/>
          <w:sz w:val="22"/>
          <w:szCs w:val="22"/>
        </w:rPr>
      </w:pPr>
      <w:r w:rsidRPr="00822AB9">
        <w:rPr>
          <w:rFonts w:ascii="Times New Roman" w:hAnsi="Times New Roman" w:cs="Times New Roman"/>
          <w:b/>
          <w:bCs/>
          <w:sz w:val="22"/>
          <w:szCs w:val="22"/>
        </w:rPr>
        <w:t xml:space="preserve">The main reported barriers to banking are not having enough money to save (56 percent) and not being able to maintain the minimum balance (26 percent) (FinScope Consumer Survey 2011).  </w:t>
      </w:r>
      <w:r w:rsidRPr="00822AB9">
        <w:rPr>
          <w:rFonts w:ascii="Times New Roman" w:hAnsi="Times New Roman" w:cs="Times New Roman"/>
          <w:bCs/>
          <w:sz w:val="22"/>
          <w:szCs w:val="22"/>
        </w:rPr>
        <w:t xml:space="preserve">A study on the cost of financial services (Feasibility 2010) found that </w:t>
      </w:r>
      <w:r w:rsidR="00E70759" w:rsidRPr="00822AB9">
        <w:rPr>
          <w:rFonts w:ascii="Times New Roman" w:hAnsi="Times New Roman" w:cs="Times New Roman"/>
          <w:bCs/>
          <w:sz w:val="22"/>
          <w:szCs w:val="22"/>
        </w:rPr>
        <w:t xml:space="preserve">the </w:t>
      </w:r>
      <w:r w:rsidRPr="00822AB9">
        <w:rPr>
          <w:rFonts w:ascii="Times New Roman" w:hAnsi="Times New Roman" w:cs="Times New Roman"/>
          <w:bCs/>
          <w:sz w:val="22"/>
          <w:szCs w:val="22"/>
        </w:rPr>
        <w:t xml:space="preserve">most basic bank accounts appear to require a minimum balance but this balance is low enough so that low income individuals should be able to open accounts.  While there is a Basic Bank Account in Namibia, many individuals are not aware of it (only 23 percent of respondents to the Financial Literacy survey indicated that they had heard about it). </w:t>
      </w:r>
    </w:p>
    <w:p w14:paraId="01C1E2EF" w14:textId="77777777" w:rsidR="000E55E4" w:rsidRPr="00822AB9" w:rsidRDefault="000E55E4" w:rsidP="003C4F65">
      <w:pPr>
        <w:pStyle w:val="ListParagraph"/>
        <w:tabs>
          <w:tab w:val="left" w:pos="360"/>
        </w:tabs>
        <w:ind w:left="0"/>
        <w:contextualSpacing w:val="0"/>
        <w:jc w:val="both"/>
        <w:rPr>
          <w:rFonts w:ascii="Times New Roman" w:hAnsi="Times New Roman" w:cs="Times New Roman"/>
          <w:bCs/>
          <w:sz w:val="22"/>
          <w:szCs w:val="22"/>
        </w:rPr>
      </w:pPr>
    </w:p>
    <w:p w14:paraId="062B9876" w14:textId="77777777" w:rsidR="000E55E4" w:rsidRPr="00822AB9" w:rsidRDefault="000E55E4" w:rsidP="00F023C9">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
          <w:bCs/>
          <w:sz w:val="22"/>
          <w:szCs w:val="22"/>
        </w:rPr>
        <w:t>The three most frequently mentioned barriers to credit according to the FinScope Survey are fear of debt (51 percent), being worried not to be able to repay the loan (30 percent) and having no need for a loan (26 percent).</w:t>
      </w:r>
      <w:r w:rsidRPr="00822AB9">
        <w:rPr>
          <w:rFonts w:ascii="Times New Roman" w:hAnsi="Times New Roman" w:cs="Times New Roman"/>
          <w:bCs/>
          <w:sz w:val="22"/>
          <w:szCs w:val="22"/>
        </w:rPr>
        <w:t xml:space="preserve"> Respondents of the Financial Literacy Survey (2013) seemed well aware of the dangers of borrowing money and seemed to avoid borrowing whenever possible.  The great majority of individuals who run out of money borrowed from family and friends (57 percent) or someone in the community (10 percent) rather than asking for credit from financial institutions (only 4 percent borrowed from a bank).</w:t>
      </w:r>
    </w:p>
    <w:p w14:paraId="51848BBC" w14:textId="50CB3A78" w:rsidR="000E55E4" w:rsidRPr="00822AB9" w:rsidRDefault="000E55E4" w:rsidP="003C4F65">
      <w:pPr>
        <w:pStyle w:val="ListParagraph"/>
        <w:tabs>
          <w:tab w:val="left" w:pos="360"/>
        </w:tabs>
        <w:ind w:left="0"/>
        <w:contextualSpacing w:val="0"/>
        <w:jc w:val="both"/>
        <w:rPr>
          <w:rFonts w:ascii="Times New Roman" w:hAnsi="Times New Roman" w:cs="Times New Roman"/>
          <w:bCs/>
          <w:sz w:val="22"/>
          <w:szCs w:val="22"/>
        </w:rPr>
      </w:pPr>
    </w:p>
    <w:p w14:paraId="7EA84491" w14:textId="24F57E2D" w:rsidR="00822AB9" w:rsidRPr="00822AB9" w:rsidRDefault="00D35E00" w:rsidP="00626C56">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
          <w:bCs/>
          <w:sz w:val="22"/>
          <w:szCs w:val="22"/>
        </w:rPr>
        <w:t xml:space="preserve">As expected, particularly given the large size of the country, financial inclusion is lower in rural areas.  </w:t>
      </w:r>
      <w:r w:rsidRPr="00822AB9">
        <w:rPr>
          <w:rFonts w:ascii="Times New Roman" w:hAnsi="Times New Roman" w:cs="Times New Roman"/>
          <w:bCs/>
          <w:sz w:val="22"/>
          <w:szCs w:val="22"/>
        </w:rPr>
        <w:t xml:space="preserve">Back in 2011, </w:t>
      </w:r>
      <w:r w:rsidR="003F2382" w:rsidRPr="00822AB9">
        <w:rPr>
          <w:rFonts w:ascii="Times New Roman" w:hAnsi="Times New Roman" w:cs="Times New Roman"/>
          <w:bCs/>
          <w:sz w:val="22"/>
          <w:szCs w:val="22"/>
        </w:rPr>
        <w:t xml:space="preserve">the </w:t>
      </w:r>
      <w:r w:rsidRPr="00822AB9">
        <w:rPr>
          <w:rFonts w:ascii="Times New Roman" w:hAnsi="Times New Roman" w:cs="Times New Roman"/>
          <w:bCs/>
          <w:sz w:val="22"/>
          <w:szCs w:val="22"/>
        </w:rPr>
        <w:t xml:space="preserve">FinScope consumer survey showed higher financial exclusion and lower access to banks in rural areas (see </w:t>
      </w:r>
      <w:r w:rsidR="000E55E4" w:rsidRPr="00822AB9">
        <w:rPr>
          <w:rFonts w:ascii="Times New Roman" w:hAnsi="Times New Roman" w:cs="Times New Roman"/>
          <w:bCs/>
          <w:sz w:val="22"/>
          <w:szCs w:val="22"/>
        </w:rPr>
        <w:t xml:space="preserve">Figure </w:t>
      </w:r>
      <w:r w:rsidR="00183BF2" w:rsidRPr="00822AB9">
        <w:rPr>
          <w:rFonts w:ascii="Times New Roman" w:hAnsi="Times New Roman" w:cs="Times New Roman"/>
          <w:bCs/>
          <w:sz w:val="22"/>
          <w:szCs w:val="22"/>
        </w:rPr>
        <w:t>5</w:t>
      </w:r>
      <w:r w:rsidRPr="00822AB9">
        <w:rPr>
          <w:rFonts w:ascii="Times New Roman" w:hAnsi="Times New Roman" w:cs="Times New Roman"/>
          <w:bCs/>
          <w:sz w:val="22"/>
          <w:szCs w:val="22"/>
        </w:rPr>
        <w:t xml:space="preserve"> with 51 of individuals in rural areas with bank accounts vs. 76 in urban areas</w:t>
      </w:r>
      <w:r w:rsidR="000E55E4" w:rsidRPr="00822AB9">
        <w:rPr>
          <w:rFonts w:ascii="Times New Roman" w:hAnsi="Times New Roman" w:cs="Times New Roman"/>
          <w:bCs/>
          <w:sz w:val="22"/>
          <w:szCs w:val="22"/>
        </w:rPr>
        <w:t xml:space="preserve">).  </w:t>
      </w:r>
      <w:r w:rsidRPr="00822AB9">
        <w:rPr>
          <w:rFonts w:ascii="Times New Roman" w:hAnsi="Times New Roman" w:cs="Times New Roman"/>
          <w:bCs/>
          <w:sz w:val="22"/>
          <w:szCs w:val="22"/>
        </w:rPr>
        <w:t>The latest Global Findex (2014) finds a similar percentage of individuals with accounts at financial institutions in rural areas (54 percent)</w:t>
      </w:r>
      <w:r w:rsidR="007A4E8F" w:rsidRPr="00822AB9">
        <w:rPr>
          <w:rFonts w:ascii="Times New Roman" w:hAnsi="Times New Roman" w:cs="Times New Roman"/>
          <w:bCs/>
          <w:sz w:val="22"/>
          <w:szCs w:val="22"/>
        </w:rPr>
        <w:t xml:space="preserve"> but a small difference with urban areas</w:t>
      </w:r>
      <w:r w:rsidRPr="00822AB9">
        <w:rPr>
          <w:rFonts w:ascii="Times New Roman" w:hAnsi="Times New Roman" w:cs="Times New Roman"/>
          <w:bCs/>
          <w:sz w:val="22"/>
          <w:szCs w:val="22"/>
        </w:rPr>
        <w:t>.</w:t>
      </w:r>
      <w:r w:rsidR="007A4E8F" w:rsidRPr="00822AB9">
        <w:rPr>
          <w:rStyle w:val="FootnoteReference"/>
          <w:rFonts w:ascii="Times New Roman" w:hAnsi="Times New Roman"/>
          <w:bCs/>
          <w:sz w:val="22"/>
          <w:szCs w:val="22"/>
        </w:rPr>
        <w:footnoteReference w:id="1"/>
      </w:r>
      <w:r w:rsidRPr="00822AB9">
        <w:rPr>
          <w:rFonts w:ascii="Times New Roman" w:hAnsi="Times New Roman" w:cs="Times New Roman"/>
          <w:bCs/>
          <w:sz w:val="22"/>
          <w:szCs w:val="22"/>
        </w:rPr>
        <w:t xml:space="preserve">  </w:t>
      </w:r>
      <w:r w:rsidR="007A4E8F" w:rsidRPr="00822AB9">
        <w:rPr>
          <w:rFonts w:ascii="Times New Roman" w:hAnsi="Times New Roman" w:cs="Times New Roman"/>
          <w:bCs/>
          <w:sz w:val="22"/>
          <w:szCs w:val="22"/>
        </w:rPr>
        <w:t xml:space="preserve">Enhancing financial inclusion in rural areas is important given </w:t>
      </w:r>
      <w:r w:rsidR="000E55E4" w:rsidRPr="00822AB9">
        <w:rPr>
          <w:rFonts w:ascii="Times New Roman" w:hAnsi="Times New Roman" w:cs="Times New Roman"/>
          <w:bCs/>
          <w:sz w:val="22"/>
          <w:szCs w:val="22"/>
        </w:rPr>
        <w:t xml:space="preserve">that Namibia’s population is largely rural (3 in 5 adults live in rural areas).  </w:t>
      </w:r>
      <w:r w:rsidR="00183BF2" w:rsidRPr="00822AB9">
        <w:rPr>
          <w:rFonts w:ascii="Times New Roman" w:hAnsi="Times New Roman" w:cs="Times New Roman"/>
          <w:bCs/>
          <w:sz w:val="22"/>
          <w:szCs w:val="22"/>
        </w:rPr>
        <w:t>While b</w:t>
      </w:r>
      <w:r w:rsidR="000E55E4" w:rsidRPr="00822AB9">
        <w:rPr>
          <w:rFonts w:ascii="Times New Roman" w:hAnsi="Times New Roman" w:cs="Times New Roman"/>
          <w:bCs/>
          <w:sz w:val="22"/>
          <w:szCs w:val="22"/>
        </w:rPr>
        <w:t>ank branches have increased in the last couple of years</w:t>
      </w:r>
      <w:r w:rsidR="00183BF2" w:rsidRPr="00822AB9">
        <w:rPr>
          <w:rFonts w:ascii="Times New Roman" w:hAnsi="Times New Roman" w:cs="Times New Roman"/>
          <w:bCs/>
          <w:sz w:val="22"/>
          <w:szCs w:val="22"/>
        </w:rPr>
        <w:t xml:space="preserve">, </w:t>
      </w:r>
      <w:r w:rsidR="000E55E4" w:rsidRPr="00822AB9">
        <w:rPr>
          <w:rFonts w:ascii="Times New Roman" w:hAnsi="Times New Roman" w:cs="Times New Roman"/>
          <w:bCs/>
          <w:sz w:val="22"/>
          <w:szCs w:val="22"/>
        </w:rPr>
        <w:t>they are concentrated in urban areas. Physical access to banks is good in urban areas with 90 percent of adults needing an hour or less to get to a bank. But, as expected given the large size of the country</w:t>
      </w:r>
      <w:r w:rsidR="00E81420" w:rsidRPr="00822AB9">
        <w:rPr>
          <w:rFonts w:ascii="Times New Roman" w:hAnsi="Times New Roman" w:cs="Times New Roman"/>
          <w:bCs/>
          <w:sz w:val="22"/>
          <w:szCs w:val="22"/>
        </w:rPr>
        <w:t xml:space="preserve"> and the small population size</w:t>
      </w:r>
      <w:r w:rsidR="000E55E4" w:rsidRPr="00822AB9">
        <w:rPr>
          <w:rFonts w:ascii="Times New Roman" w:hAnsi="Times New Roman" w:cs="Times New Roman"/>
          <w:bCs/>
          <w:sz w:val="22"/>
          <w:szCs w:val="22"/>
        </w:rPr>
        <w:t>, distance to banks is larger in rural areas (with more than 40 percent need</w:t>
      </w:r>
      <w:r w:rsidR="001510A5" w:rsidRPr="00822AB9">
        <w:rPr>
          <w:rFonts w:ascii="Times New Roman" w:hAnsi="Times New Roman" w:cs="Times New Roman"/>
          <w:bCs/>
          <w:sz w:val="22"/>
          <w:szCs w:val="22"/>
        </w:rPr>
        <w:t>ing</w:t>
      </w:r>
      <w:r w:rsidR="000E55E4" w:rsidRPr="00822AB9">
        <w:rPr>
          <w:rFonts w:ascii="Times New Roman" w:hAnsi="Times New Roman" w:cs="Times New Roman"/>
          <w:bCs/>
          <w:sz w:val="22"/>
          <w:szCs w:val="22"/>
        </w:rPr>
        <w:t xml:space="preserve"> an hour or more to reach banks). This highlights the need to promote more innovative delivery channels.  Mobile banking seems particularly promising given high access </w:t>
      </w:r>
      <w:r w:rsidR="000E55E4" w:rsidRPr="00822AB9">
        <w:rPr>
          <w:rFonts w:ascii="Times New Roman" w:hAnsi="Times New Roman" w:cs="Times New Roman"/>
          <w:color w:val="3D3C3C"/>
          <w:sz w:val="22"/>
          <w:szCs w:val="22"/>
        </w:rPr>
        <w:t xml:space="preserve">to mobile phones is high (95 of the population has access according to FinScope 2011). </w:t>
      </w:r>
      <w:r w:rsidR="000E55E4" w:rsidRPr="00822AB9">
        <w:rPr>
          <w:rFonts w:ascii="Times New Roman" w:hAnsi="Times New Roman" w:cs="Times New Roman"/>
          <w:bCs/>
          <w:sz w:val="22"/>
          <w:szCs w:val="22"/>
        </w:rPr>
        <w:t xml:space="preserve"> </w:t>
      </w:r>
      <w:r w:rsidR="00E81420" w:rsidRPr="00822AB9">
        <w:rPr>
          <w:rFonts w:ascii="Times New Roman" w:hAnsi="Times New Roman" w:cs="Times New Roman"/>
          <w:bCs/>
          <w:sz w:val="22"/>
          <w:szCs w:val="22"/>
        </w:rPr>
        <w:t xml:space="preserve">  </w:t>
      </w:r>
      <w:r w:rsidR="000E55E4" w:rsidRPr="00822AB9">
        <w:rPr>
          <w:rFonts w:ascii="Times New Roman" w:hAnsi="Times New Roman" w:cs="Times New Roman"/>
          <w:bCs/>
          <w:sz w:val="22"/>
          <w:szCs w:val="22"/>
        </w:rPr>
        <w:t xml:space="preserve"> </w:t>
      </w:r>
    </w:p>
    <w:p w14:paraId="205C2793" w14:textId="77777777" w:rsidR="000E55E4" w:rsidRPr="00822AB9" w:rsidRDefault="000E55E4" w:rsidP="00634742">
      <w:pPr>
        <w:spacing w:after="0" w:line="240" w:lineRule="auto"/>
        <w:jc w:val="both"/>
        <w:rPr>
          <w:rFonts w:ascii="Times New Roman" w:hAnsi="Times New Roman" w:cs="Times New Roman"/>
          <w:bCs/>
        </w:rPr>
      </w:pPr>
    </w:p>
    <w:p w14:paraId="78F65232" w14:textId="77777777" w:rsidR="00626C56" w:rsidRDefault="00626C56" w:rsidP="00634742">
      <w:pPr>
        <w:spacing w:after="0" w:line="240" w:lineRule="auto"/>
        <w:jc w:val="center"/>
        <w:rPr>
          <w:rFonts w:ascii="Times New Roman" w:hAnsi="Times New Roman" w:cs="Times New Roman"/>
          <w:b/>
          <w:bCs/>
        </w:rPr>
      </w:pPr>
    </w:p>
    <w:p w14:paraId="1CBC3DCE" w14:textId="77777777" w:rsidR="00626C56" w:rsidRDefault="00626C56" w:rsidP="00634742">
      <w:pPr>
        <w:spacing w:after="0" w:line="240" w:lineRule="auto"/>
        <w:jc w:val="center"/>
        <w:rPr>
          <w:rFonts w:ascii="Times New Roman" w:hAnsi="Times New Roman" w:cs="Times New Roman"/>
          <w:b/>
          <w:bCs/>
        </w:rPr>
      </w:pPr>
    </w:p>
    <w:p w14:paraId="7C9BC234" w14:textId="77777777" w:rsidR="00626C56" w:rsidRDefault="00626C56" w:rsidP="00634742">
      <w:pPr>
        <w:spacing w:after="0" w:line="240" w:lineRule="auto"/>
        <w:jc w:val="center"/>
        <w:rPr>
          <w:rFonts w:ascii="Times New Roman" w:hAnsi="Times New Roman" w:cs="Times New Roman"/>
          <w:b/>
          <w:bCs/>
        </w:rPr>
      </w:pPr>
    </w:p>
    <w:p w14:paraId="7E7631D5" w14:textId="77777777" w:rsidR="00626C56" w:rsidRDefault="00626C56" w:rsidP="00634742">
      <w:pPr>
        <w:spacing w:after="0" w:line="240" w:lineRule="auto"/>
        <w:jc w:val="center"/>
        <w:rPr>
          <w:rFonts w:ascii="Times New Roman" w:hAnsi="Times New Roman" w:cs="Times New Roman"/>
          <w:b/>
          <w:bCs/>
        </w:rPr>
      </w:pPr>
    </w:p>
    <w:p w14:paraId="1762BCC8" w14:textId="77777777" w:rsidR="00626C56" w:rsidRDefault="00626C56" w:rsidP="00634742">
      <w:pPr>
        <w:spacing w:after="0" w:line="240" w:lineRule="auto"/>
        <w:jc w:val="center"/>
        <w:rPr>
          <w:rFonts w:ascii="Times New Roman" w:hAnsi="Times New Roman" w:cs="Times New Roman"/>
          <w:b/>
          <w:bCs/>
        </w:rPr>
      </w:pPr>
    </w:p>
    <w:p w14:paraId="41F0F6A2" w14:textId="77777777" w:rsidR="00626C56" w:rsidRDefault="00626C56" w:rsidP="00634742">
      <w:pPr>
        <w:spacing w:after="0" w:line="240" w:lineRule="auto"/>
        <w:jc w:val="center"/>
        <w:rPr>
          <w:rFonts w:ascii="Times New Roman" w:hAnsi="Times New Roman" w:cs="Times New Roman"/>
          <w:b/>
          <w:bCs/>
        </w:rPr>
      </w:pPr>
    </w:p>
    <w:p w14:paraId="5432849C" w14:textId="77777777" w:rsidR="00626C56" w:rsidRDefault="00626C56" w:rsidP="00634742">
      <w:pPr>
        <w:spacing w:after="0" w:line="240" w:lineRule="auto"/>
        <w:jc w:val="center"/>
        <w:rPr>
          <w:rFonts w:ascii="Times New Roman" w:hAnsi="Times New Roman" w:cs="Times New Roman"/>
          <w:b/>
          <w:bCs/>
        </w:rPr>
      </w:pPr>
    </w:p>
    <w:p w14:paraId="311633C2" w14:textId="77777777" w:rsidR="00626C56" w:rsidRDefault="00626C56" w:rsidP="00634742">
      <w:pPr>
        <w:spacing w:after="0" w:line="240" w:lineRule="auto"/>
        <w:jc w:val="center"/>
        <w:rPr>
          <w:rFonts w:ascii="Times New Roman" w:hAnsi="Times New Roman" w:cs="Times New Roman"/>
          <w:b/>
          <w:bCs/>
        </w:rPr>
      </w:pPr>
    </w:p>
    <w:p w14:paraId="3BCC6036" w14:textId="77777777" w:rsidR="00626C56" w:rsidRDefault="00626C56" w:rsidP="00634742">
      <w:pPr>
        <w:spacing w:after="0" w:line="240" w:lineRule="auto"/>
        <w:jc w:val="center"/>
        <w:rPr>
          <w:rFonts w:ascii="Times New Roman" w:hAnsi="Times New Roman" w:cs="Times New Roman"/>
          <w:b/>
          <w:bCs/>
        </w:rPr>
      </w:pPr>
    </w:p>
    <w:p w14:paraId="2A93BD14" w14:textId="77777777" w:rsidR="00626C56" w:rsidRDefault="00626C56" w:rsidP="00634742">
      <w:pPr>
        <w:spacing w:after="0" w:line="240" w:lineRule="auto"/>
        <w:jc w:val="center"/>
        <w:rPr>
          <w:rFonts w:ascii="Times New Roman" w:hAnsi="Times New Roman" w:cs="Times New Roman"/>
          <w:b/>
          <w:bCs/>
        </w:rPr>
      </w:pPr>
    </w:p>
    <w:p w14:paraId="00C96A5B" w14:textId="77777777" w:rsidR="00626C56" w:rsidRDefault="00626C56" w:rsidP="00634742">
      <w:pPr>
        <w:spacing w:after="0" w:line="240" w:lineRule="auto"/>
        <w:jc w:val="center"/>
        <w:rPr>
          <w:rFonts w:ascii="Times New Roman" w:hAnsi="Times New Roman" w:cs="Times New Roman"/>
          <w:b/>
          <w:bCs/>
        </w:rPr>
      </w:pPr>
    </w:p>
    <w:p w14:paraId="4A01E07A" w14:textId="77777777" w:rsidR="00626C56" w:rsidRDefault="00626C56" w:rsidP="00634742">
      <w:pPr>
        <w:spacing w:after="0" w:line="240" w:lineRule="auto"/>
        <w:jc w:val="center"/>
        <w:rPr>
          <w:rFonts w:ascii="Times New Roman" w:hAnsi="Times New Roman" w:cs="Times New Roman"/>
          <w:b/>
          <w:bCs/>
        </w:rPr>
      </w:pPr>
    </w:p>
    <w:p w14:paraId="450D83BC" w14:textId="77777777" w:rsidR="00626C56" w:rsidRDefault="00626C56" w:rsidP="00634742">
      <w:pPr>
        <w:spacing w:after="0" w:line="240" w:lineRule="auto"/>
        <w:jc w:val="center"/>
        <w:rPr>
          <w:rFonts w:ascii="Times New Roman" w:hAnsi="Times New Roman" w:cs="Times New Roman"/>
          <w:b/>
          <w:bCs/>
        </w:rPr>
      </w:pPr>
    </w:p>
    <w:p w14:paraId="0A670307" w14:textId="77777777" w:rsidR="000E55E4" w:rsidRPr="00822AB9" w:rsidRDefault="00B123D0" w:rsidP="00634742">
      <w:pPr>
        <w:spacing w:after="0" w:line="240" w:lineRule="auto"/>
        <w:jc w:val="center"/>
        <w:rPr>
          <w:rFonts w:ascii="Times New Roman" w:hAnsi="Times New Roman" w:cs="Times New Roman"/>
          <w:b/>
          <w:bCs/>
        </w:rPr>
      </w:pPr>
      <w:r w:rsidRPr="00822AB9">
        <w:rPr>
          <w:rFonts w:ascii="Times New Roman" w:hAnsi="Times New Roman" w:cs="Times New Roman"/>
          <w:b/>
          <w:bCs/>
        </w:rPr>
        <w:lastRenderedPageBreak/>
        <w:t>Figure 5</w:t>
      </w:r>
      <w:r w:rsidR="000E55E4" w:rsidRPr="00822AB9">
        <w:rPr>
          <w:rFonts w:ascii="Times New Roman" w:hAnsi="Times New Roman" w:cs="Times New Roman"/>
          <w:b/>
          <w:bCs/>
        </w:rPr>
        <w:t xml:space="preserve">: Access </w:t>
      </w:r>
      <w:r w:rsidR="003F2382" w:rsidRPr="00822AB9">
        <w:rPr>
          <w:rFonts w:ascii="Times New Roman" w:hAnsi="Times New Roman" w:cs="Times New Roman"/>
          <w:b/>
          <w:bCs/>
        </w:rPr>
        <w:t>s</w:t>
      </w:r>
      <w:r w:rsidR="000E55E4" w:rsidRPr="00822AB9">
        <w:rPr>
          <w:rFonts w:ascii="Times New Roman" w:hAnsi="Times New Roman" w:cs="Times New Roman"/>
          <w:b/>
          <w:bCs/>
        </w:rPr>
        <w:t>trand</w:t>
      </w:r>
      <w:r w:rsidR="003F2382" w:rsidRPr="00822AB9">
        <w:rPr>
          <w:rFonts w:ascii="Times New Roman" w:hAnsi="Times New Roman" w:cs="Times New Roman"/>
          <w:b/>
          <w:bCs/>
        </w:rPr>
        <w:t xml:space="preserve"> (</w:t>
      </w:r>
      <w:r w:rsidR="000E55E4" w:rsidRPr="00822AB9">
        <w:rPr>
          <w:rFonts w:ascii="Times New Roman" w:hAnsi="Times New Roman" w:cs="Times New Roman"/>
          <w:b/>
          <w:bCs/>
        </w:rPr>
        <w:t>urban vs. rural</w:t>
      </w:r>
      <w:r w:rsidR="003F2382" w:rsidRPr="00822AB9">
        <w:rPr>
          <w:rFonts w:ascii="Times New Roman" w:hAnsi="Times New Roman" w:cs="Times New Roman"/>
          <w:b/>
          <w:bCs/>
        </w:rPr>
        <w:t>)</w:t>
      </w:r>
    </w:p>
    <w:p w14:paraId="2CEBE81B" w14:textId="77777777" w:rsidR="000E55E4" w:rsidRPr="00822AB9" w:rsidRDefault="000E55E4" w:rsidP="00634742">
      <w:pPr>
        <w:spacing w:after="0" w:line="240" w:lineRule="auto"/>
        <w:jc w:val="center"/>
        <w:rPr>
          <w:rFonts w:ascii="Times New Roman" w:hAnsi="Times New Roman" w:cs="Times New Roman"/>
          <w:b/>
          <w:bCs/>
        </w:rPr>
      </w:pPr>
      <w:r w:rsidRPr="00822AB9">
        <w:rPr>
          <w:rFonts w:ascii="Times New Roman" w:hAnsi="Times New Roman" w:cs="Times New Roman"/>
          <w:b/>
          <w:bCs/>
          <w:noProof/>
        </w:rPr>
        <w:drawing>
          <wp:inline distT="0" distB="0" distL="0" distR="0" wp14:anchorId="7869AFD2" wp14:editId="098B11F0">
            <wp:extent cx="4675458" cy="2040340"/>
            <wp:effectExtent l="19050" t="0" r="10842"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340F00" w14:textId="77777777" w:rsidR="000E55E4" w:rsidRPr="00822AB9" w:rsidRDefault="000E55E4" w:rsidP="00634742">
      <w:pPr>
        <w:spacing w:after="0" w:line="240" w:lineRule="auto"/>
        <w:jc w:val="center"/>
        <w:rPr>
          <w:rFonts w:ascii="Times New Roman" w:hAnsi="Times New Roman" w:cs="Times New Roman"/>
          <w:bCs/>
          <w:i/>
        </w:rPr>
      </w:pPr>
      <w:r w:rsidRPr="00822AB9">
        <w:rPr>
          <w:rFonts w:ascii="Times New Roman" w:hAnsi="Times New Roman" w:cs="Times New Roman"/>
          <w:bCs/>
          <w:i/>
        </w:rPr>
        <w:t>Source: FinScope Consumer Survey Namibia 2011</w:t>
      </w:r>
    </w:p>
    <w:p w14:paraId="75305FDE" w14:textId="77777777" w:rsidR="000E55E4" w:rsidRPr="00822AB9" w:rsidRDefault="000E55E4" w:rsidP="00634742">
      <w:pPr>
        <w:spacing w:after="0" w:line="240" w:lineRule="auto"/>
        <w:jc w:val="both"/>
        <w:rPr>
          <w:rFonts w:ascii="Times New Roman" w:hAnsi="Times New Roman" w:cs="Times New Roman"/>
          <w:b/>
          <w:bCs/>
        </w:rPr>
      </w:pPr>
    </w:p>
    <w:p w14:paraId="5BDAC501" w14:textId="77777777" w:rsidR="000E55E4" w:rsidRPr="00666D0F" w:rsidRDefault="000E55E4" w:rsidP="00F023C9">
      <w:pPr>
        <w:pStyle w:val="ListParagraph"/>
        <w:tabs>
          <w:tab w:val="left" w:pos="360"/>
        </w:tabs>
        <w:ind w:left="0"/>
        <w:contextualSpacing w:val="0"/>
        <w:jc w:val="both"/>
        <w:rPr>
          <w:rFonts w:ascii="Times New Roman" w:hAnsi="Times New Roman" w:cs="Times New Roman"/>
          <w:b/>
          <w:bCs/>
          <w:sz w:val="22"/>
          <w:szCs w:val="22"/>
        </w:rPr>
      </w:pPr>
      <w:r w:rsidRPr="00666D0F">
        <w:rPr>
          <w:rFonts w:ascii="Times New Roman" w:hAnsi="Times New Roman" w:cs="Times New Roman"/>
          <w:b/>
          <w:sz w:val="22"/>
          <w:szCs w:val="22"/>
        </w:rPr>
        <w:t xml:space="preserve">A study on the cost of financial services in Namibia and its impact on low income individuals and MSMEs (Feasibility 2010) found considerable variability in prices and some unaffordable services for low income individuals. </w:t>
      </w:r>
      <w:r w:rsidRPr="00666D0F">
        <w:rPr>
          <w:rFonts w:ascii="Times New Roman" w:hAnsi="Times New Roman" w:cs="Times New Roman"/>
          <w:sz w:val="22"/>
          <w:szCs w:val="22"/>
        </w:rPr>
        <w:t xml:space="preserve"> There was considerable variability between the maximum and lowest price for a comparable service</w:t>
      </w:r>
      <w:r w:rsidR="00E81420" w:rsidRPr="00666D0F">
        <w:rPr>
          <w:rFonts w:ascii="Times New Roman" w:hAnsi="Times New Roman" w:cs="Times New Roman"/>
          <w:sz w:val="22"/>
          <w:szCs w:val="22"/>
        </w:rPr>
        <w:t xml:space="preserve"> and </w:t>
      </w:r>
      <w:r w:rsidRPr="00666D0F">
        <w:rPr>
          <w:rFonts w:ascii="Times New Roman" w:hAnsi="Times New Roman" w:cs="Times New Roman"/>
          <w:sz w:val="22"/>
          <w:szCs w:val="22"/>
        </w:rPr>
        <w:t>consumers faced difficulties in making comparisons due to weak financial data disclosure as well as the need to improve consumer protection and literacy</w:t>
      </w:r>
      <w:r w:rsidR="00E81420" w:rsidRPr="00666D0F">
        <w:rPr>
          <w:rFonts w:ascii="Times New Roman" w:hAnsi="Times New Roman" w:cs="Times New Roman"/>
          <w:sz w:val="22"/>
          <w:szCs w:val="22"/>
        </w:rPr>
        <w:t>.</w:t>
      </w:r>
      <w:r w:rsidRPr="00666D0F">
        <w:rPr>
          <w:rFonts w:ascii="Times New Roman" w:hAnsi="Times New Roman" w:cs="Times New Roman"/>
          <w:sz w:val="22"/>
          <w:szCs w:val="22"/>
        </w:rPr>
        <w:t xml:space="preserve"> </w:t>
      </w:r>
      <w:r w:rsidR="00E81420" w:rsidRPr="00666D0F">
        <w:rPr>
          <w:rFonts w:ascii="Times New Roman" w:hAnsi="Times New Roman" w:cs="Times New Roman"/>
          <w:sz w:val="22"/>
          <w:szCs w:val="22"/>
        </w:rPr>
        <w:t>F</w:t>
      </w:r>
      <w:r w:rsidRPr="00666D0F">
        <w:rPr>
          <w:rFonts w:ascii="Times New Roman" w:hAnsi="Times New Roman" w:cs="Times New Roman"/>
          <w:sz w:val="22"/>
          <w:szCs w:val="22"/>
        </w:rPr>
        <w:t>or some financial services, the lowest pricing appeared to be out of reach for low-income consumers</w:t>
      </w:r>
      <w:r w:rsidR="009E5DD4" w:rsidRPr="00666D0F">
        <w:rPr>
          <w:rFonts w:ascii="Times New Roman" w:hAnsi="Times New Roman" w:cs="Times New Roman"/>
          <w:sz w:val="22"/>
          <w:szCs w:val="22"/>
        </w:rPr>
        <w:t xml:space="preserve"> (e.g. </w:t>
      </w:r>
      <w:r w:rsidRPr="00666D0F">
        <w:rPr>
          <w:rFonts w:ascii="Times New Roman" w:hAnsi="Times New Roman" w:cs="Times New Roman"/>
          <w:sz w:val="22"/>
          <w:szCs w:val="22"/>
        </w:rPr>
        <w:t>vehicle asset insurance, at 11</w:t>
      </w:r>
      <w:r w:rsidR="003F2382" w:rsidRPr="00666D0F">
        <w:rPr>
          <w:rFonts w:ascii="Times New Roman" w:hAnsi="Times New Roman" w:cs="Times New Roman"/>
          <w:sz w:val="22"/>
          <w:szCs w:val="22"/>
        </w:rPr>
        <w:t xml:space="preserve"> percent</w:t>
      </w:r>
      <w:r w:rsidRPr="00666D0F">
        <w:rPr>
          <w:rFonts w:ascii="Times New Roman" w:hAnsi="Times New Roman" w:cs="Times New Roman"/>
          <w:sz w:val="22"/>
          <w:szCs w:val="22"/>
        </w:rPr>
        <w:t xml:space="preserve"> and 17</w:t>
      </w:r>
      <w:r w:rsidR="003F2382" w:rsidRPr="00666D0F">
        <w:rPr>
          <w:rFonts w:ascii="Times New Roman" w:hAnsi="Times New Roman" w:cs="Times New Roman"/>
          <w:sz w:val="22"/>
          <w:szCs w:val="22"/>
        </w:rPr>
        <w:t xml:space="preserve"> percent</w:t>
      </w:r>
      <w:r w:rsidRPr="00666D0F">
        <w:rPr>
          <w:rFonts w:ascii="Times New Roman" w:hAnsi="Times New Roman" w:cs="Times New Roman"/>
          <w:sz w:val="22"/>
          <w:szCs w:val="22"/>
        </w:rPr>
        <w:t xml:space="preserve"> of gross monthly income</w:t>
      </w:r>
      <w:r w:rsidR="009E5DD4" w:rsidRPr="00666D0F">
        <w:rPr>
          <w:rFonts w:ascii="Times New Roman" w:hAnsi="Times New Roman" w:cs="Times New Roman"/>
          <w:sz w:val="22"/>
          <w:szCs w:val="22"/>
        </w:rPr>
        <w:t>)</w:t>
      </w:r>
      <w:r w:rsidRPr="00666D0F">
        <w:rPr>
          <w:rFonts w:ascii="Times New Roman" w:hAnsi="Times New Roman" w:cs="Times New Roman"/>
          <w:sz w:val="22"/>
          <w:szCs w:val="22"/>
        </w:rPr>
        <w:t xml:space="preserve">. The study </w:t>
      </w:r>
      <w:r w:rsidR="009E5DD4" w:rsidRPr="00666D0F">
        <w:rPr>
          <w:rFonts w:ascii="Times New Roman" w:hAnsi="Times New Roman" w:cs="Times New Roman"/>
          <w:sz w:val="22"/>
          <w:szCs w:val="22"/>
        </w:rPr>
        <w:t xml:space="preserve">found that </w:t>
      </w:r>
      <w:r w:rsidRPr="00666D0F">
        <w:rPr>
          <w:rFonts w:ascii="Times New Roman" w:hAnsi="Times New Roman" w:cs="Times New Roman"/>
          <w:sz w:val="22"/>
          <w:szCs w:val="22"/>
        </w:rPr>
        <w:t xml:space="preserve">financial provision in Namibia </w:t>
      </w:r>
      <w:r w:rsidR="009E5DD4" w:rsidRPr="00666D0F">
        <w:rPr>
          <w:rFonts w:ascii="Times New Roman" w:hAnsi="Times New Roman" w:cs="Times New Roman"/>
          <w:sz w:val="22"/>
          <w:szCs w:val="22"/>
        </w:rPr>
        <w:t>was</w:t>
      </w:r>
      <w:r w:rsidRPr="00666D0F">
        <w:rPr>
          <w:rFonts w:ascii="Times New Roman" w:hAnsi="Times New Roman" w:cs="Times New Roman"/>
          <w:sz w:val="22"/>
          <w:szCs w:val="22"/>
        </w:rPr>
        <w:t>, for the most part, designed for wealthier and middle class consumers</w:t>
      </w:r>
      <w:r w:rsidR="009E5DD4" w:rsidRPr="00666D0F">
        <w:rPr>
          <w:rFonts w:ascii="Times New Roman" w:hAnsi="Times New Roman" w:cs="Times New Roman"/>
          <w:sz w:val="22"/>
          <w:szCs w:val="22"/>
        </w:rPr>
        <w:t xml:space="preserve"> and that </w:t>
      </w:r>
      <w:r w:rsidRPr="00666D0F">
        <w:rPr>
          <w:rFonts w:ascii="Times New Roman" w:hAnsi="Times New Roman" w:cs="Times New Roman"/>
          <w:sz w:val="22"/>
          <w:szCs w:val="22"/>
        </w:rPr>
        <w:t xml:space="preserve">regular employment </w:t>
      </w:r>
      <w:r w:rsidR="009E5DD4" w:rsidRPr="00666D0F">
        <w:rPr>
          <w:rFonts w:ascii="Times New Roman" w:hAnsi="Times New Roman" w:cs="Times New Roman"/>
          <w:sz w:val="22"/>
          <w:szCs w:val="22"/>
        </w:rPr>
        <w:t xml:space="preserve">was a </w:t>
      </w:r>
      <w:r w:rsidRPr="00666D0F">
        <w:rPr>
          <w:rFonts w:ascii="Times New Roman" w:hAnsi="Times New Roman" w:cs="Times New Roman"/>
          <w:sz w:val="22"/>
          <w:szCs w:val="22"/>
        </w:rPr>
        <w:t xml:space="preserve">condition </w:t>
      </w:r>
      <w:r w:rsidR="00E81420" w:rsidRPr="00666D0F">
        <w:rPr>
          <w:rFonts w:ascii="Times New Roman" w:hAnsi="Times New Roman" w:cs="Times New Roman"/>
          <w:sz w:val="22"/>
          <w:szCs w:val="22"/>
        </w:rPr>
        <w:t>to</w:t>
      </w:r>
      <w:r w:rsidRPr="00666D0F">
        <w:rPr>
          <w:rFonts w:ascii="Times New Roman" w:hAnsi="Times New Roman" w:cs="Times New Roman"/>
          <w:sz w:val="22"/>
          <w:szCs w:val="22"/>
        </w:rPr>
        <w:t xml:space="preserve"> access </w:t>
      </w:r>
      <w:r w:rsidR="009E5DD4" w:rsidRPr="00666D0F">
        <w:rPr>
          <w:rFonts w:ascii="Times New Roman" w:hAnsi="Times New Roman" w:cs="Times New Roman"/>
          <w:sz w:val="22"/>
          <w:szCs w:val="22"/>
        </w:rPr>
        <w:t xml:space="preserve">many </w:t>
      </w:r>
      <w:r w:rsidRPr="00666D0F">
        <w:rPr>
          <w:rFonts w:ascii="Times New Roman" w:hAnsi="Times New Roman" w:cs="Times New Roman"/>
          <w:sz w:val="22"/>
          <w:szCs w:val="22"/>
        </w:rPr>
        <w:t xml:space="preserve">financial services.  </w:t>
      </w:r>
    </w:p>
    <w:p w14:paraId="72C48CDB" w14:textId="77777777" w:rsidR="000E55E4" w:rsidRPr="00666D0F" w:rsidRDefault="000E55E4" w:rsidP="003C4F65">
      <w:pPr>
        <w:pStyle w:val="ListParagraph"/>
        <w:tabs>
          <w:tab w:val="left" w:pos="360"/>
        </w:tabs>
        <w:ind w:left="0"/>
        <w:contextualSpacing w:val="0"/>
        <w:jc w:val="both"/>
        <w:rPr>
          <w:rFonts w:ascii="Times New Roman" w:hAnsi="Times New Roman" w:cs="Times New Roman"/>
          <w:bCs/>
          <w:sz w:val="22"/>
          <w:szCs w:val="22"/>
        </w:rPr>
      </w:pPr>
    </w:p>
    <w:p w14:paraId="795C910F" w14:textId="77777777" w:rsidR="000E55E4" w:rsidRPr="00822AB9" w:rsidRDefault="000E55E4" w:rsidP="00F023C9">
      <w:pPr>
        <w:pStyle w:val="ListParagraph"/>
        <w:tabs>
          <w:tab w:val="left" w:pos="360"/>
        </w:tabs>
        <w:ind w:left="0"/>
        <w:contextualSpacing w:val="0"/>
        <w:jc w:val="both"/>
        <w:rPr>
          <w:rFonts w:ascii="Times New Roman" w:hAnsi="Times New Roman" w:cs="Times New Roman"/>
          <w:b/>
          <w:bCs/>
          <w:sz w:val="22"/>
          <w:szCs w:val="22"/>
        </w:rPr>
      </w:pPr>
      <w:r w:rsidRPr="00666D0F">
        <w:rPr>
          <w:rFonts w:ascii="Times New Roman" w:hAnsi="Times New Roman" w:cs="Times New Roman"/>
          <w:b/>
          <w:bCs/>
          <w:sz w:val="22"/>
          <w:szCs w:val="22"/>
        </w:rPr>
        <w:t>In part</w:t>
      </w:r>
      <w:r w:rsidR="003F2382" w:rsidRPr="00666D0F">
        <w:rPr>
          <w:rFonts w:ascii="Times New Roman" w:hAnsi="Times New Roman" w:cs="Times New Roman"/>
          <w:b/>
          <w:bCs/>
          <w:sz w:val="22"/>
          <w:szCs w:val="22"/>
        </w:rPr>
        <w:t>icular, the cost of insurance was</w:t>
      </w:r>
      <w:r w:rsidRPr="00666D0F">
        <w:rPr>
          <w:rFonts w:ascii="Times New Roman" w:hAnsi="Times New Roman" w:cs="Times New Roman"/>
          <w:b/>
          <w:bCs/>
          <w:sz w:val="22"/>
          <w:szCs w:val="22"/>
        </w:rPr>
        <w:t xml:space="preserve"> reported as a relevant barrier (FLI et al 2013). </w:t>
      </w:r>
      <w:r w:rsidRPr="00666D0F">
        <w:rPr>
          <w:rFonts w:ascii="Times New Roman" w:hAnsi="Times New Roman" w:cs="Times New Roman"/>
          <w:b/>
          <w:bCs/>
          <w:i/>
          <w:sz w:val="22"/>
          <w:szCs w:val="22"/>
        </w:rPr>
        <w:t xml:space="preserve"> </w:t>
      </w:r>
      <w:r w:rsidRPr="00666D0F">
        <w:rPr>
          <w:rFonts w:ascii="Times New Roman" w:hAnsi="Times New Roman" w:cs="Times New Roman"/>
          <w:bCs/>
          <w:sz w:val="22"/>
          <w:szCs w:val="22"/>
        </w:rPr>
        <w:t xml:space="preserve">The </w:t>
      </w:r>
      <w:r w:rsidR="003F2382" w:rsidRPr="00666D0F">
        <w:rPr>
          <w:rFonts w:ascii="Times New Roman" w:hAnsi="Times New Roman" w:cs="Times New Roman"/>
          <w:bCs/>
          <w:sz w:val="22"/>
          <w:szCs w:val="22"/>
        </w:rPr>
        <w:t xml:space="preserve">2013 </w:t>
      </w:r>
      <w:r w:rsidRPr="00666D0F">
        <w:rPr>
          <w:rFonts w:ascii="Times New Roman" w:hAnsi="Times New Roman" w:cs="Times New Roman"/>
          <w:bCs/>
          <w:sz w:val="22"/>
          <w:szCs w:val="22"/>
        </w:rPr>
        <w:t>Financial Literacy Survey found that about 26 percent of respondents had insurance products (lower than the 36 percent reported by FinScope 2011).  By far, the most relevant reason for not having insurance was that respondents</w:t>
      </w:r>
      <w:r w:rsidRPr="00822AB9">
        <w:rPr>
          <w:rFonts w:ascii="Times New Roman" w:hAnsi="Times New Roman" w:cs="Times New Roman"/>
          <w:bCs/>
          <w:sz w:val="22"/>
          <w:szCs w:val="22"/>
        </w:rPr>
        <w:t xml:space="preserve"> thought it was too expensive (46 percent), followed by lack if income (21 percent).  Funeral cover </w:t>
      </w:r>
      <w:r w:rsidR="003F2382" w:rsidRPr="00822AB9">
        <w:rPr>
          <w:rFonts w:ascii="Times New Roman" w:hAnsi="Times New Roman" w:cs="Times New Roman"/>
          <w:bCs/>
          <w:sz w:val="22"/>
          <w:szCs w:val="22"/>
        </w:rPr>
        <w:t xml:space="preserve">was </w:t>
      </w:r>
      <w:r w:rsidRPr="00822AB9">
        <w:rPr>
          <w:rFonts w:ascii="Times New Roman" w:hAnsi="Times New Roman" w:cs="Times New Roman"/>
          <w:bCs/>
          <w:sz w:val="22"/>
          <w:szCs w:val="22"/>
        </w:rPr>
        <w:t xml:space="preserve">the most popular type of insurance product (31 percent) followed by life insurance (24 percent), vehicle insurance (11 percent), health insurance (11 percent) and property insurance (10 percent). </w:t>
      </w:r>
      <w:r w:rsidRPr="00822AB9">
        <w:rPr>
          <w:rFonts w:ascii="Times New Roman" w:hAnsi="Times New Roman" w:cs="Times New Roman"/>
          <w:b/>
          <w:bCs/>
          <w:sz w:val="22"/>
          <w:szCs w:val="22"/>
        </w:rPr>
        <w:t xml:space="preserve">   </w:t>
      </w:r>
    </w:p>
    <w:p w14:paraId="6F35F50A" w14:textId="77777777" w:rsidR="000E55E4" w:rsidRPr="00822AB9" w:rsidRDefault="000E55E4" w:rsidP="00634742">
      <w:pPr>
        <w:pStyle w:val="ListParagraph"/>
        <w:tabs>
          <w:tab w:val="left" w:pos="360"/>
        </w:tabs>
        <w:ind w:left="0"/>
        <w:contextualSpacing w:val="0"/>
        <w:jc w:val="both"/>
        <w:rPr>
          <w:rFonts w:ascii="Times New Roman" w:hAnsi="Times New Roman" w:cs="Times New Roman"/>
          <w:b/>
          <w:bCs/>
          <w:sz w:val="22"/>
          <w:szCs w:val="22"/>
        </w:rPr>
      </w:pPr>
    </w:p>
    <w:p w14:paraId="040685EF" w14:textId="22D5DA8C" w:rsidR="000E55E4" w:rsidRPr="00822AB9" w:rsidRDefault="001510A5" w:rsidP="001510A5">
      <w:pPr>
        <w:pStyle w:val="NoSpacing"/>
        <w:numPr>
          <w:ilvl w:val="0"/>
          <w:numId w:val="22"/>
        </w:numPr>
        <w:jc w:val="both"/>
        <w:rPr>
          <w:rFonts w:ascii="Times New Roman" w:hAnsi="Times New Roman" w:cs="Times New Roman"/>
          <w:bCs/>
        </w:rPr>
      </w:pPr>
      <w:r w:rsidRPr="00822AB9">
        <w:rPr>
          <w:rFonts w:ascii="Times New Roman" w:hAnsi="Times New Roman" w:cs="Times New Roman"/>
          <w:b/>
        </w:rPr>
        <w:t>Financial Inclusion for E</w:t>
      </w:r>
      <w:r w:rsidR="000E55E4" w:rsidRPr="00822AB9">
        <w:rPr>
          <w:rFonts w:ascii="Times New Roman" w:hAnsi="Times New Roman" w:cs="Times New Roman"/>
          <w:b/>
        </w:rPr>
        <w:t>nterprises</w:t>
      </w:r>
    </w:p>
    <w:p w14:paraId="094CDAB3" w14:textId="77777777" w:rsidR="002F5C63" w:rsidRPr="00822AB9" w:rsidRDefault="002F5C63" w:rsidP="00634742">
      <w:pPr>
        <w:pStyle w:val="ListParagraph"/>
        <w:tabs>
          <w:tab w:val="left" w:pos="360"/>
        </w:tabs>
        <w:ind w:left="0"/>
        <w:contextualSpacing w:val="0"/>
        <w:jc w:val="both"/>
        <w:rPr>
          <w:rFonts w:ascii="Times New Roman" w:hAnsi="Times New Roman" w:cs="Times New Roman"/>
          <w:b/>
          <w:sz w:val="22"/>
          <w:szCs w:val="22"/>
        </w:rPr>
      </w:pPr>
    </w:p>
    <w:p w14:paraId="39144B9B" w14:textId="77777777" w:rsidR="000C2FDD" w:rsidRPr="00822AB9" w:rsidRDefault="000C2FDD" w:rsidP="00F023C9">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
          <w:sz w:val="22"/>
          <w:szCs w:val="22"/>
        </w:rPr>
        <w:t>The majority of enterprises in Namibia are informal (unregistered) and micro-small according to the 2009 Namibia First National Enterprise/Establishment Census (NEEC) (Sherbourne 2012)</w:t>
      </w:r>
      <w:r w:rsidRPr="00822AB9">
        <w:rPr>
          <w:rFonts w:ascii="Times New Roman" w:hAnsi="Times New Roman" w:cs="Times New Roman"/>
          <w:sz w:val="22"/>
          <w:szCs w:val="22"/>
        </w:rPr>
        <w:t>. Most of the country’s largest businesses are either State-Owned Enterprises (SOEs) or foreign multinationals. The majority of the country’s smallest businesses are informal, unregistered micro businesses, with many being subsistence businesses. Between these extremes there is a layer of medium-sized formal businesses.  M</w:t>
      </w:r>
      <w:r w:rsidRPr="00822AB9">
        <w:rPr>
          <w:rFonts w:ascii="Times New Roman" w:hAnsi="Times New Roman" w:cs="Times New Roman"/>
          <w:bCs/>
          <w:sz w:val="22"/>
          <w:szCs w:val="22"/>
        </w:rPr>
        <w:t>edium sized enterprises constitute a wide range of enterprises of different ages across a wide range of sectors, with most having the appropriate legal status. Nevertheless, many depend on the public sector (Government and SOEs) and only a few are export oriented.</w:t>
      </w:r>
    </w:p>
    <w:p w14:paraId="1D1DE28D" w14:textId="77777777" w:rsidR="003C4F65" w:rsidRDefault="003C4F65" w:rsidP="003C4F65">
      <w:pPr>
        <w:pStyle w:val="ListParagraph"/>
        <w:tabs>
          <w:tab w:val="left" w:pos="360"/>
        </w:tabs>
        <w:ind w:left="0"/>
        <w:contextualSpacing w:val="0"/>
        <w:jc w:val="both"/>
        <w:rPr>
          <w:rFonts w:ascii="Times New Roman" w:hAnsi="Times New Roman" w:cs="Times New Roman"/>
          <w:b/>
          <w:sz w:val="22"/>
          <w:szCs w:val="22"/>
        </w:rPr>
      </w:pPr>
    </w:p>
    <w:p w14:paraId="043F7CCC" w14:textId="1DB53CDC" w:rsidR="00704798" w:rsidRPr="00822AB9" w:rsidRDefault="00705FE3" w:rsidP="00F023C9">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
          <w:sz w:val="22"/>
          <w:szCs w:val="22"/>
        </w:rPr>
        <w:t>Access to financ</w:t>
      </w:r>
      <w:r w:rsidR="00662C78" w:rsidRPr="00822AB9">
        <w:rPr>
          <w:rFonts w:ascii="Times New Roman" w:hAnsi="Times New Roman" w:cs="Times New Roman"/>
          <w:b/>
          <w:sz w:val="22"/>
          <w:szCs w:val="22"/>
        </w:rPr>
        <w:t>ing</w:t>
      </w:r>
      <w:r w:rsidRPr="00822AB9">
        <w:rPr>
          <w:rFonts w:ascii="Times New Roman" w:hAnsi="Times New Roman" w:cs="Times New Roman"/>
          <w:b/>
          <w:sz w:val="22"/>
          <w:szCs w:val="22"/>
        </w:rPr>
        <w:t xml:space="preserve"> is consistently perceived as </w:t>
      </w:r>
      <w:r w:rsidR="00544C63" w:rsidRPr="00822AB9">
        <w:rPr>
          <w:rFonts w:ascii="Times New Roman" w:hAnsi="Times New Roman" w:cs="Times New Roman"/>
          <w:b/>
          <w:sz w:val="22"/>
          <w:szCs w:val="22"/>
        </w:rPr>
        <w:t>a</w:t>
      </w:r>
      <w:r w:rsidRPr="00822AB9">
        <w:rPr>
          <w:rFonts w:ascii="Times New Roman" w:hAnsi="Times New Roman" w:cs="Times New Roman"/>
          <w:b/>
          <w:sz w:val="22"/>
          <w:szCs w:val="22"/>
        </w:rPr>
        <w:t xml:space="preserve"> </w:t>
      </w:r>
      <w:r w:rsidR="00544C63" w:rsidRPr="00822AB9">
        <w:rPr>
          <w:rFonts w:ascii="Times New Roman" w:hAnsi="Times New Roman" w:cs="Times New Roman"/>
          <w:b/>
          <w:sz w:val="22"/>
          <w:szCs w:val="22"/>
        </w:rPr>
        <w:t>key</w:t>
      </w:r>
      <w:r w:rsidRPr="00822AB9">
        <w:rPr>
          <w:rFonts w:ascii="Times New Roman" w:hAnsi="Times New Roman" w:cs="Times New Roman"/>
          <w:b/>
          <w:sz w:val="22"/>
          <w:szCs w:val="22"/>
        </w:rPr>
        <w:t xml:space="preserve"> obstacl</w:t>
      </w:r>
      <w:r w:rsidR="00E378D4" w:rsidRPr="00822AB9">
        <w:rPr>
          <w:rFonts w:ascii="Times New Roman" w:hAnsi="Times New Roman" w:cs="Times New Roman"/>
          <w:b/>
          <w:sz w:val="22"/>
          <w:szCs w:val="22"/>
        </w:rPr>
        <w:t>e for doing business in Namibia</w:t>
      </w:r>
      <w:r w:rsidRPr="00822AB9">
        <w:rPr>
          <w:rFonts w:ascii="Times New Roman" w:hAnsi="Times New Roman" w:cs="Times New Roman"/>
          <w:b/>
          <w:sz w:val="22"/>
          <w:szCs w:val="22"/>
        </w:rPr>
        <w:t xml:space="preserve">.  </w:t>
      </w:r>
      <w:r w:rsidRPr="00822AB9">
        <w:rPr>
          <w:rFonts w:ascii="Times New Roman" w:hAnsi="Times New Roman" w:cs="Times New Roman"/>
          <w:sz w:val="22"/>
          <w:szCs w:val="22"/>
        </w:rPr>
        <w:t>Different b</w:t>
      </w:r>
      <w:r w:rsidRPr="00822AB9">
        <w:rPr>
          <w:rFonts w:ascii="Times New Roman" w:hAnsi="Times New Roman" w:cs="Times New Roman"/>
          <w:bCs/>
          <w:sz w:val="22"/>
          <w:szCs w:val="22"/>
        </w:rPr>
        <w:t xml:space="preserve">usiness surveys find that access to and cost of capital are perceived as key obstacles to business performance and investment. </w:t>
      </w:r>
      <w:r w:rsidR="00D463A1" w:rsidRPr="00822AB9">
        <w:rPr>
          <w:rFonts w:ascii="Times New Roman" w:hAnsi="Times New Roman" w:cs="Times New Roman"/>
          <w:bCs/>
          <w:sz w:val="22"/>
          <w:szCs w:val="22"/>
        </w:rPr>
        <w:t xml:space="preserve">The World Bank Enterprise Surveys </w:t>
      </w:r>
      <w:r w:rsidR="003F2382" w:rsidRPr="00822AB9">
        <w:rPr>
          <w:rFonts w:ascii="Times New Roman" w:hAnsi="Times New Roman" w:cs="Times New Roman"/>
          <w:bCs/>
          <w:sz w:val="22"/>
          <w:szCs w:val="22"/>
        </w:rPr>
        <w:t xml:space="preserve">(WBES), </w:t>
      </w:r>
      <w:r w:rsidR="00D463A1" w:rsidRPr="00822AB9">
        <w:rPr>
          <w:rFonts w:ascii="Times New Roman" w:hAnsi="Times New Roman" w:cs="Times New Roman"/>
          <w:bCs/>
          <w:sz w:val="22"/>
          <w:szCs w:val="22"/>
        </w:rPr>
        <w:t>which cover formal enterprises only</w:t>
      </w:r>
      <w:r w:rsidR="003F2382" w:rsidRPr="00822AB9">
        <w:rPr>
          <w:rFonts w:ascii="Times New Roman" w:hAnsi="Times New Roman" w:cs="Times New Roman"/>
          <w:bCs/>
          <w:sz w:val="22"/>
          <w:szCs w:val="22"/>
        </w:rPr>
        <w:t xml:space="preserve">, </w:t>
      </w:r>
      <w:r w:rsidR="00D463A1" w:rsidRPr="00822AB9">
        <w:rPr>
          <w:rFonts w:ascii="Times New Roman" w:hAnsi="Times New Roman" w:cs="Times New Roman"/>
          <w:bCs/>
          <w:sz w:val="22"/>
          <w:szCs w:val="22"/>
        </w:rPr>
        <w:t xml:space="preserve">find that during 2006-2014 there </w:t>
      </w:r>
      <w:r w:rsidR="003F2382" w:rsidRPr="00822AB9">
        <w:rPr>
          <w:rFonts w:ascii="Times New Roman" w:hAnsi="Times New Roman" w:cs="Times New Roman"/>
          <w:bCs/>
          <w:sz w:val="22"/>
          <w:szCs w:val="22"/>
        </w:rPr>
        <w:t xml:space="preserve">was </w:t>
      </w:r>
      <w:r w:rsidR="00D463A1" w:rsidRPr="00822AB9">
        <w:rPr>
          <w:rFonts w:ascii="Times New Roman" w:hAnsi="Times New Roman" w:cs="Times New Roman"/>
          <w:bCs/>
          <w:sz w:val="22"/>
          <w:szCs w:val="22"/>
        </w:rPr>
        <w:t>a considerable increase in the percentage of firms identifying access to finance as a major constraint (from 18 percent to 37 percent of firms overall)</w:t>
      </w:r>
      <w:r w:rsidR="003F2382" w:rsidRPr="00822AB9">
        <w:rPr>
          <w:rFonts w:ascii="Times New Roman" w:hAnsi="Times New Roman" w:cs="Times New Roman"/>
          <w:bCs/>
          <w:sz w:val="22"/>
          <w:szCs w:val="22"/>
        </w:rPr>
        <w:t xml:space="preserve">.  The </w:t>
      </w:r>
      <w:r w:rsidR="00D463A1" w:rsidRPr="00822AB9">
        <w:rPr>
          <w:rFonts w:ascii="Times New Roman" w:hAnsi="Times New Roman" w:cs="Times New Roman"/>
          <w:bCs/>
          <w:sz w:val="22"/>
          <w:szCs w:val="22"/>
        </w:rPr>
        <w:t>increase emerg</w:t>
      </w:r>
      <w:r w:rsidR="003F2382" w:rsidRPr="00822AB9">
        <w:rPr>
          <w:rFonts w:ascii="Times New Roman" w:hAnsi="Times New Roman" w:cs="Times New Roman"/>
          <w:bCs/>
          <w:sz w:val="22"/>
          <w:szCs w:val="22"/>
        </w:rPr>
        <w:t xml:space="preserve">ed </w:t>
      </w:r>
      <w:r w:rsidR="00D463A1" w:rsidRPr="00822AB9">
        <w:rPr>
          <w:rFonts w:ascii="Times New Roman" w:hAnsi="Times New Roman" w:cs="Times New Roman"/>
          <w:bCs/>
          <w:sz w:val="22"/>
          <w:szCs w:val="22"/>
        </w:rPr>
        <w:t xml:space="preserve">from smaller enterprises (see Figure 6).  </w:t>
      </w:r>
      <w:r w:rsidR="00B92AD6" w:rsidRPr="00822AB9">
        <w:rPr>
          <w:rFonts w:ascii="Times New Roman" w:hAnsi="Times New Roman" w:cs="Times New Roman"/>
          <w:bCs/>
          <w:sz w:val="22"/>
          <w:szCs w:val="22"/>
        </w:rPr>
        <w:t>T</w:t>
      </w:r>
      <w:r w:rsidRPr="00822AB9">
        <w:rPr>
          <w:rFonts w:ascii="Times New Roman" w:hAnsi="Times New Roman" w:cs="Times New Roman"/>
          <w:bCs/>
          <w:sz w:val="22"/>
          <w:szCs w:val="22"/>
        </w:rPr>
        <w:t xml:space="preserve">he </w:t>
      </w:r>
      <w:r w:rsidRPr="00822AB9">
        <w:rPr>
          <w:rFonts w:ascii="Times New Roman" w:hAnsi="Times New Roman" w:cs="Times New Roman"/>
          <w:sz w:val="22"/>
          <w:szCs w:val="22"/>
        </w:rPr>
        <w:t>2013 Namibian Business and Investment Climate Survey</w:t>
      </w:r>
      <w:r w:rsidR="00B92AD6" w:rsidRPr="00822AB9">
        <w:rPr>
          <w:rFonts w:ascii="Times New Roman" w:hAnsi="Times New Roman" w:cs="Times New Roman"/>
          <w:sz w:val="22"/>
          <w:szCs w:val="22"/>
        </w:rPr>
        <w:t xml:space="preserve"> (which covers formal and informal enterprises) found that </w:t>
      </w:r>
      <w:r w:rsidRPr="00822AB9">
        <w:rPr>
          <w:rFonts w:ascii="Times New Roman" w:hAnsi="Times New Roman" w:cs="Times New Roman"/>
          <w:sz w:val="22"/>
          <w:szCs w:val="22"/>
        </w:rPr>
        <w:t xml:space="preserve">access and cost of finance was the biggest </w:t>
      </w:r>
      <w:r w:rsidRPr="00822AB9">
        <w:rPr>
          <w:rFonts w:ascii="Times New Roman" w:hAnsi="Times New Roman" w:cs="Times New Roman"/>
          <w:sz w:val="22"/>
          <w:szCs w:val="22"/>
        </w:rPr>
        <w:lastRenderedPageBreak/>
        <w:t>obstacle for all businesses (irrespective to size or age) and enterprises perceived it had deteriorated (Schade 2013).</w:t>
      </w:r>
      <w:r w:rsidRPr="00822AB9">
        <w:rPr>
          <w:rStyle w:val="FootnoteReference"/>
          <w:rFonts w:ascii="Times New Roman" w:hAnsi="Times New Roman"/>
          <w:sz w:val="22"/>
          <w:szCs w:val="22"/>
        </w:rPr>
        <w:footnoteReference w:id="2"/>
      </w:r>
      <w:r w:rsidR="00E378D4" w:rsidRPr="00822AB9">
        <w:rPr>
          <w:rFonts w:ascii="Times New Roman" w:hAnsi="Times New Roman" w:cs="Times New Roman"/>
          <w:sz w:val="22"/>
          <w:szCs w:val="22"/>
        </w:rPr>
        <w:t xml:space="preserve"> </w:t>
      </w:r>
      <w:r w:rsidRPr="00822AB9">
        <w:rPr>
          <w:rFonts w:ascii="Times New Roman" w:hAnsi="Times New Roman" w:cs="Times New Roman"/>
          <w:bCs/>
          <w:sz w:val="22"/>
          <w:szCs w:val="22"/>
        </w:rPr>
        <w:t xml:space="preserve">Similarly, the 2009 Namibian Business Climate Survey showed that the dominant reason for not making significant investments was lack of financial resources and access to finance was also seen as the main reason for bleak employment expectations (Stork 2010).  </w:t>
      </w:r>
    </w:p>
    <w:p w14:paraId="05E2A776" w14:textId="77777777" w:rsidR="00DC1EF2" w:rsidRPr="00822AB9" w:rsidRDefault="00DC1EF2" w:rsidP="00634742">
      <w:pPr>
        <w:spacing w:after="0" w:line="240" w:lineRule="auto"/>
        <w:ind w:left="720"/>
        <w:jc w:val="center"/>
        <w:rPr>
          <w:rFonts w:ascii="Times New Roman" w:hAnsi="Times New Roman" w:cs="Times New Roman"/>
          <w:b/>
          <w:bCs/>
        </w:rPr>
      </w:pPr>
    </w:p>
    <w:p w14:paraId="633F1CB4" w14:textId="77777777" w:rsidR="00E378D4" w:rsidRPr="00822AB9" w:rsidRDefault="00DD5933" w:rsidP="00634742">
      <w:pPr>
        <w:spacing w:after="0" w:line="240" w:lineRule="auto"/>
        <w:ind w:left="720"/>
        <w:jc w:val="center"/>
        <w:rPr>
          <w:rFonts w:ascii="Times New Roman" w:hAnsi="Times New Roman" w:cs="Times New Roman"/>
          <w:b/>
          <w:bCs/>
        </w:rPr>
      </w:pPr>
      <w:r w:rsidRPr="00822AB9">
        <w:rPr>
          <w:rFonts w:ascii="Times New Roman" w:hAnsi="Times New Roman" w:cs="Times New Roman"/>
          <w:b/>
          <w:bCs/>
        </w:rPr>
        <w:t xml:space="preserve">Figure 6: </w:t>
      </w:r>
      <w:r w:rsidR="00E378D4" w:rsidRPr="00822AB9">
        <w:rPr>
          <w:rFonts w:ascii="Times New Roman" w:hAnsi="Times New Roman" w:cs="Times New Roman"/>
          <w:b/>
          <w:bCs/>
        </w:rPr>
        <w:t>Percentage of firms identifying access to finance as a major constraint</w:t>
      </w:r>
    </w:p>
    <w:p w14:paraId="073D0022" w14:textId="77777777" w:rsidR="00E378D4" w:rsidRPr="00822AB9" w:rsidRDefault="00E378D4" w:rsidP="00634742">
      <w:pPr>
        <w:spacing w:after="0" w:line="240" w:lineRule="auto"/>
        <w:jc w:val="center"/>
        <w:rPr>
          <w:rFonts w:ascii="Times New Roman" w:hAnsi="Times New Roman" w:cs="Times New Roman"/>
          <w:b/>
          <w:bCs/>
        </w:rPr>
      </w:pPr>
      <w:r w:rsidRPr="00822AB9">
        <w:rPr>
          <w:rFonts w:ascii="Times New Roman" w:hAnsi="Times New Roman" w:cs="Times New Roman"/>
          <w:noProof/>
        </w:rPr>
        <w:drawing>
          <wp:inline distT="0" distB="0" distL="0" distR="0" wp14:anchorId="373BE766" wp14:editId="10290B46">
            <wp:extent cx="5193750" cy="1692322"/>
            <wp:effectExtent l="19050" t="0" r="25950" b="3128"/>
            <wp:docPr id="2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3ACA8E" w14:textId="77777777" w:rsidR="00705FE3" w:rsidRPr="00822AB9" w:rsidRDefault="00DD5933" w:rsidP="00634742">
      <w:pPr>
        <w:pStyle w:val="ListParagraph"/>
        <w:tabs>
          <w:tab w:val="left" w:pos="360"/>
        </w:tabs>
        <w:ind w:left="0"/>
        <w:contextualSpacing w:val="0"/>
        <w:jc w:val="center"/>
        <w:rPr>
          <w:rFonts w:ascii="Times New Roman" w:hAnsi="Times New Roman" w:cs="Times New Roman"/>
          <w:bCs/>
          <w:i/>
          <w:sz w:val="22"/>
          <w:szCs w:val="22"/>
        </w:rPr>
      </w:pPr>
      <w:r w:rsidRPr="00822AB9">
        <w:rPr>
          <w:rFonts w:ascii="Times New Roman" w:hAnsi="Times New Roman" w:cs="Times New Roman"/>
          <w:bCs/>
          <w:i/>
          <w:sz w:val="22"/>
          <w:szCs w:val="22"/>
        </w:rPr>
        <w:t>Source: World Bank Enterprise Survey</w:t>
      </w:r>
    </w:p>
    <w:p w14:paraId="4C7977E3" w14:textId="77777777" w:rsidR="00DD5933" w:rsidRPr="00822AB9" w:rsidRDefault="00DD5933" w:rsidP="00634742">
      <w:pPr>
        <w:pStyle w:val="ListParagraph"/>
        <w:tabs>
          <w:tab w:val="left" w:pos="360"/>
        </w:tabs>
        <w:ind w:left="0"/>
        <w:contextualSpacing w:val="0"/>
        <w:jc w:val="center"/>
        <w:rPr>
          <w:rFonts w:ascii="Times New Roman" w:hAnsi="Times New Roman" w:cs="Times New Roman"/>
          <w:b/>
          <w:bCs/>
          <w:i/>
          <w:sz w:val="22"/>
          <w:szCs w:val="22"/>
        </w:rPr>
      </w:pPr>
    </w:p>
    <w:p w14:paraId="6AF9122F" w14:textId="69D7F450" w:rsidR="00FB37C5" w:rsidRPr="00822AB9" w:rsidRDefault="00544C63" w:rsidP="00F023C9">
      <w:pPr>
        <w:pStyle w:val="ListParagraph"/>
        <w:widowControl/>
        <w:autoSpaceDE/>
        <w:autoSpaceDN/>
        <w:adjustRightInd/>
        <w:ind w:left="0"/>
        <w:contextualSpacing w:val="0"/>
        <w:jc w:val="both"/>
        <w:rPr>
          <w:rFonts w:ascii="Times New Roman" w:hAnsi="Times New Roman" w:cs="Times New Roman"/>
          <w:sz w:val="22"/>
          <w:szCs w:val="22"/>
        </w:rPr>
      </w:pPr>
      <w:r w:rsidRPr="00822AB9">
        <w:rPr>
          <w:rFonts w:ascii="Times New Roman" w:hAnsi="Times New Roman" w:cs="Times New Roman"/>
          <w:b/>
          <w:sz w:val="22"/>
          <w:szCs w:val="22"/>
        </w:rPr>
        <w:t xml:space="preserve">These </w:t>
      </w:r>
      <w:r w:rsidR="00DD5933" w:rsidRPr="00822AB9">
        <w:rPr>
          <w:rFonts w:ascii="Times New Roman" w:hAnsi="Times New Roman" w:cs="Times New Roman"/>
          <w:b/>
          <w:sz w:val="22"/>
          <w:szCs w:val="22"/>
        </w:rPr>
        <w:t xml:space="preserve">negative </w:t>
      </w:r>
      <w:r w:rsidRPr="00822AB9">
        <w:rPr>
          <w:rFonts w:ascii="Times New Roman" w:hAnsi="Times New Roman" w:cs="Times New Roman"/>
          <w:b/>
          <w:sz w:val="22"/>
          <w:szCs w:val="22"/>
        </w:rPr>
        <w:t>perceptions are consistent with</w:t>
      </w:r>
      <w:r w:rsidR="00DD5933" w:rsidRPr="00822AB9">
        <w:rPr>
          <w:rFonts w:ascii="Times New Roman" w:hAnsi="Times New Roman" w:cs="Times New Roman"/>
          <w:b/>
          <w:sz w:val="22"/>
          <w:szCs w:val="22"/>
        </w:rPr>
        <w:t>: (i)</w:t>
      </w:r>
      <w:r w:rsidRPr="00822AB9">
        <w:rPr>
          <w:rFonts w:ascii="Times New Roman" w:hAnsi="Times New Roman" w:cs="Times New Roman"/>
          <w:b/>
          <w:sz w:val="22"/>
          <w:szCs w:val="22"/>
        </w:rPr>
        <w:t xml:space="preserve"> the relatively low percentage of Namibian firms having lines of credit/loans</w:t>
      </w:r>
      <w:r w:rsidR="00DD5933" w:rsidRPr="00822AB9">
        <w:rPr>
          <w:rFonts w:ascii="Times New Roman" w:hAnsi="Times New Roman" w:cs="Times New Roman"/>
          <w:b/>
          <w:sz w:val="22"/>
          <w:szCs w:val="22"/>
        </w:rPr>
        <w:t xml:space="preserve"> </w:t>
      </w:r>
      <w:r w:rsidR="005D58E1" w:rsidRPr="00822AB9">
        <w:rPr>
          <w:rFonts w:ascii="Times New Roman" w:hAnsi="Times New Roman" w:cs="Times New Roman"/>
          <w:b/>
          <w:sz w:val="22"/>
          <w:szCs w:val="22"/>
        </w:rPr>
        <w:t>(with little change overtime)</w:t>
      </w:r>
      <w:r w:rsidR="00DD5933" w:rsidRPr="00822AB9">
        <w:rPr>
          <w:rFonts w:ascii="Times New Roman" w:hAnsi="Times New Roman" w:cs="Times New Roman"/>
          <w:b/>
          <w:sz w:val="22"/>
          <w:szCs w:val="22"/>
        </w:rPr>
        <w:t xml:space="preserve">, (ii) the relatively low percentage of firms </w:t>
      </w:r>
      <w:r w:rsidRPr="00822AB9">
        <w:rPr>
          <w:rFonts w:ascii="Times New Roman" w:hAnsi="Times New Roman" w:cs="Times New Roman"/>
          <w:b/>
          <w:sz w:val="22"/>
          <w:szCs w:val="22"/>
        </w:rPr>
        <w:t>using external financ</w:t>
      </w:r>
      <w:r w:rsidR="00DD5933" w:rsidRPr="00822AB9">
        <w:rPr>
          <w:rFonts w:ascii="Times New Roman" w:hAnsi="Times New Roman" w:cs="Times New Roman"/>
          <w:b/>
          <w:sz w:val="22"/>
          <w:szCs w:val="22"/>
        </w:rPr>
        <w:t>ing</w:t>
      </w:r>
      <w:r w:rsidRPr="00822AB9">
        <w:rPr>
          <w:rFonts w:ascii="Times New Roman" w:hAnsi="Times New Roman" w:cs="Times New Roman"/>
          <w:b/>
          <w:sz w:val="22"/>
          <w:szCs w:val="22"/>
        </w:rPr>
        <w:t xml:space="preserve"> for working capital</w:t>
      </w:r>
      <w:r w:rsidR="005D58E1" w:rsidRPr="00822AB9">
        <w:rPr>
          <w:rFonts w:ascii="Times New Roman" w:hAnsi="Times New Roman" w:cs="Times New Roman"/>
          <w:b/>
          <w:sz w:val="22"/>
          <w:szCs w:val="22"/>
        </w:rPr>
        <w:t>, (iii) greater demand for credit</w:t>
      </w:r>
      <w:r w:rsidR="00DA5373" w:rsidRPr="00822AB9">
        <w:rPr>
          <w:rFonts w:ascii="Times New Roman" w:hAnsi="Times New Roman" w:cs="Times New Roman"/>
          <w:b/>
          <w:sz w:val="22"/>
          <w:szCs w:val="22"/>
        </w:rPr>
        <w:t>, and (iv) low use of overdraft facilities</w:t>
      </w:r>
      <w:r w:rsidR="00DD5933" w:rsidRPr="00822AB9">
        <w:rPr>
          <w:rFonts w:ascii="Times New Roman" w:hAnsi="Times New Roman" w:cs="Times New Roman"/>
          <w:b/>
          <w:sz w:val="22"/>
          <w:szCs w:val="22"/>
        </w:rPr>
        <w:t xml:space="preserve"> (Figure 7</w:t>
      </w:r>
      <w:r w:rsidR="00DA5373" w:rsidRPr="00822AB9">
        <w:rPr>
          <w:rFonts w:ascii="Times New Roman" w:hAnsi="Times New Roman" w:cs="Times New Roman"/>
          <w:b/>
          <w:sz w:val="22"/>
          <w:szCs w:val="22"/>
        </w:rPr>
        <w:t xml:space="preserve"> and 8</w:t>
      </w:r>
      <w:r w:rsidR="00DD5933" w:rsidRPr="00822AB9">
        <w:rPr>
          <w:rFonts w:ascii="Times New Roman" w:hAnsi="Times New Roman" w:cs="Times New Roman"/>
          <w:b/>
          <w:sz w:val="22"/>
          <w:szCs w:val="22"/>
        </w:rPr>
        <w:t>)</w:t>
      </w:r>
      <w:r w:rsidRPr="00822AB9">
        <w:rPr>
          <w:rFonts w:ascii="Times New Roman" w:hAnsi="Times New Roman" w:cs="Times New Roman"/>
          <w:b/>
          <w:sz w:val="22"/>
          <w:szCs w:val="22"/>
        </w:rPr>
        <w:t xml:space="preserve">. </w:t>
      </w:r>
      <w:r w:rsidRPr="00822AB9">
        <w:rPr>
          <w:rFonts w:ascii="Times New Roman" w:hAnsi="Times New Roman" w:cs="Times New Roman"/>
          <w:sz w:val="22"/>
          <w:szCs w:val="22"/>
        </w:rPr>
        <w:t>Approximately 22 percent of firms in Namibia report having an active line of credit or loan, which trails averages in 37 comparable African countries and upper-middle-income peers</w:t>
      </w:r>
      <w:r w:rsidR="005D58E1" w:rsidRPr="00822AB9">
        <w:rPr>
          <w:rFonts w:ascii="Times New Roman" w:hAnsi="Times New Roman" w:cs="Times New Roman"/>
          <w:sz w:val="22"/>
          <w:szCs w:val="22"/>
        </w:rPr>
        <w:t xml:space="preserve"> (Figure 8)</w:t>
      </w:r>
      <w:r w:rsidRPr="00822AB9">
        <w:rPr>
          <w:rFonts w:ascii="Times New Roman" w:hAnsi="Times New Roman" w:cs="Times New Roman"/>
          <w:sz w:val="22"/>
          <w:szCs w:val="22"/>
        </w:rPr>
        <w:t xml:space="preserve">. </w:t>
      </w:r>
      <w:r w:rsidR="0043191E" w:rsidRPr="00822AB9">
        <w:rPr>
          <w:rFonts w:ascii="Times New Roman" w:hAnsi="Times New Roman" w:cs="Times New Roman"/>
          <w:sz w:val="22"/>
          <w:szCs w:val="22"/>
        </w:rPr>
        <w:t>T</w:t>
      </w:r>
      <w:r w:rsidR="00DD5933" w:rsidRPr="00822AB9">
        <w:rPr>
          <w:rFonts w:ascii="Times New Roman" w:hAnsi="Times New Roman" w:cs="Times New Roman"/>
          <w:sz w:val="22"/>
          <w:szCs w:val="22"/>
        </w:rPr>
        <w:t>his percentage has remained largely constant since 2006</w:t>
      </w:r>
      <w:r w:rsidR="005D58E1" w:rsidRPr="00822AB9">
        <w:rPr>
          <w:rFonts w:ascii="Times New Roman" w:hAnsi="Times New Roman" w:cs="Times New Roman"/>
          <w:sz w:val="22"/>
          <w:szCs w:val="22"/>
        </w:rPr>
        <w:t xml:space="preserve"> even when a greater percentage of firms </w:t>
      </w:r>
      <w:r w:rsidR="00F9213C" w:rsidRPr="00822AB9">
        <w:rPr>
          <w:rFonts w:ascii="Times New Roman" w:hAnsi="Times New Roman" w:cs="Times New Roman"/>
          <w:sz w:val="22"/>
          <w:szCs w:val="22"/>
        </w:rPr>
        <w:t>report</w:t>
      </w:r>
      <w:r w:rsidR="00E611DE" w:rsidRPr="00822AB9">
        <w:rPr>
          <w:rFonts w:ascii="Times New Roman" w:hAnsi="Times New Roman" w:cs="Times New Roman"/>
          <w:sz w:val="22"/>
          <w:szCs w:val="22"/>
        </w:rPr>
        <w:t>s</w:t>
      </w:r>
      <w:r w:rsidR="00F9213C" w:rsidRPr="00822AB9">
        <w:rPr>
          <w:rFonts w:ascii="Times New Roman" w:hAnsi="Times New Roman" w:cs="Times New Roman"/>
          <w:sz w:val="22"/>
          <w:szCs w:val="22"/>
        </w:rPr>
        <w:t xml:space="preserve"> </w:t>
      </w:r>
      <w:r w:rsidR="005D58E1" w:rsidRPr="00822AB9">
        <w:rPr>
          <w:rFonts w:ascii="Times New Roman" w:hAnsi="Times New Roman" w:cs="Times New Roman"/>
          <w:sz w:val="22"/>
          <w:szCs w:val="22"/>
        </w:rPr>
        <w:t>need</w:t>
      </w:r>
      <w:r w:rsidR="00F9213C" w:rsidRPr="00822AB9">
        <w:rPr>
          <w:rFonts w:ascii="Times New Roman" w:hAnsi="Times New Roman" w:cs="Times New Roman"/>
          <w:sz w:val="22"/>
          <w:szCs w:val="22"/>
        </w:rPr>
        <w:t>ing</w:t>
      </w:r>
      <w:r w:rsidR="005D58E1" w:rsidRPr="00822AB9">
        <w:rPr>
          <w:rFonts w:ascii="Times New Roman" w:hAnsi="Times New Roman" w:cs="Times New Roman"/>
          <w:sz w:val="22"/>
          <w:szCs w:val="22"/>
        </w:rPr>
        <w:t xml:space="preserve"> loans</w:t>
      </w:r>
      <w:r w:rsidR="00DD5933" w:rsidRPr="00822AB9">
        <w:rPr>
          <w:rFonts w:ascii="Times New Roman" w:hAnsi="Times New Roman" w:cs="Times New Roman"/>
          <w:sz w:val="22"/>
          <w:szCs w:val="22"/>
        </w:rPr>
        <w:t xml:space="preserve">.  </w:t>
      </w:r>
      <w:r w:rsidR="0043191E" w:rsidRPr="00822AB9">
        <w:rPr>
          <w:rFonts w:ascii="Times New Roman" w:hAnsi="Times New Roman" w:cs="Times New Roman"/>
          <w:sz w:val="22"/>
          <w:szCs w:val="22"/>
        </w:rPr>
        <w:t xml:space="preserve">Additionally, </w:t>
      </w:r>
      <w:r w:rsidR="0055072F" w:rsidRPr="00822AB9">
        <w:rPr>
          <w:rFonts w:ascii="Times New Roman" w:hAnsi="Times New Roman" w:cs="Times New Roman"/>
          <w:sz w:val="22"/>
          <w:szCs w:val="22"/>
        </w:rPr>
        <w:t xml:space="preserve">the percentage of firms using banks to finance working capital has declined in the last couple of years (Figure 7).  </w:t>
      </w:r>
      <w:r w:rsidR="007A1979" w:rsidRPr="00822AB9">
        <w:rPr>
          <w:rFonts w:ascii="Times New Roman" w:hAnsi="Times New Roman" w:cs="Times New Roman"/>
          <w:sz w:val="22"/>
          <w:szCs w:val="22"/>
        </w:rPr>
        <w:t>V</w:t>
      </w:r>
      <w:r w:rsidR="00FB37C5" w:rsidRPr="00822AB9">
        <w:rPr>
          <w:rFonts w:ascii="Times New Roman" w:hAnsi="Times New Roman" w:cs="Times New Roman"/>
          <w:bCs/>
          <w:sz w:val="22"/>
          <w:szCs w:val="22"/>
        </w:rPr>
        <w:t>irtually all formal firms in Namibia maintain a bank account (checking or savings)</w:t>
      </w:r>
      <w:r w:rsidR="007A1979" w:rsidRPr="00822AB9">
        <w:rPr>
          <w:rFonts w:ascii="Times New Roman" w:hAnsi="Times New Roman" w:cs="Times New Roman"/>
          <w:bCs/>
          <w:sz w:val="22"/>
          <w:szCs w:val="22"/>
        </w:rPr>
        <w:t xml:space="preserve"> regardless of enterprise size.  In contrast, only </w:t>
      </w:r>
      <w:r w:rsidR="00FB37C5" w:rsidRPr="00822AB9">
        <w:rPr>
          <w:rFonts w:ascii="Times New Roman" w:hAnsi="Times New Roman" w:cs="Times New Roman"/>
          <w:bCs/>
          <w:sz w:val="22"/>
          <w:szCs w:val="22"/>
        </w:rPr>
        <w:t xml:space="preserve">a low proportion </w:t>
      </w:r>
      <w:r w:rsidR="003F2382" w:rsidRPr="00822AB9">
        <w:rPr>
          <w:rFonts w:ascii="Times New Roman" w:hAnsi="Times New Roman" w:cs="Times New Roman"/>
          <w:bCs/>
          <w:sz w:val="22"/>
          <w:szCs w:val="22"/>
        </w:rPr>
        <w:t xml:space="preserve">of firms </w:t>
      </w:r>
      <w:r w:rsidR="00FB37C5" w:rsidRPr="00822AB9">
        <w:rPr>
          <w:rFonts w:ascii="Times New Roman" w:hAnsi="Times New Roman" w:cs="Times New Roman"/>
          <w:bCs/>
          <w:sz w:val="22"/>
          <w:szCs w:val="22"/>
        </w:rPr>
        <w:t>(one in three</w:t>
      </w:r>
      <w:r w:rsidR="007A1979" w:rsidRPr="00822AB9">
        <w:rPr>
          <w:rFonts w:ascii="Times New Roman" w:hAnsi="Times New Roman" w:cs="Times New Roman"/>
          <w:bCs/>
          <w:sz w:val="22"/>
          <w:szCs w:val="22"/>
        </w:rPr>
        <w:t xml:space="preserve">) </w:t>
      </w:r>
      <w:r w:rsidR="00FB37C5" w:rsidRPr="00822AB9">
        <w:rPr>
          <w:rFonts w:ascii="Times New Roman" w:hAnsi="Times New Roman" w:cs="Times New Roman"/>
          <w:bCs/>
          <w:sz w:val="22"/>
          <w:szCs w:val="22"/>
        </w:rPr>
        <w:t xml:space="preserve">use overdraft facilities (versus </w:t>
      </w:r>
      <w:r w:rsidR="00FB37C5" w:rsidRPr="00822AB9">
        <w:rPr>
          <w:rFonts w:ascii="Times New Roman" w:hAnsi="Times New Roman" w:cs="Times New Roman"/>
          <w:sz w:val="22"/>
          <w:szCs w:val="22"/>
        </w:rPr>
        <w:t xml:space="preserve">other African countries and other upper middle income economies </w:t>
      </w:r>
      <w:r w:rsidR="00DC1EF2" w:rsidRPr="00822AB9">
        <w:rPr>
          <w:rFonts w:ascii="Times New Roman" w:hAnsi="Times New Roman" w:cs="Times New Roman"/>
          <w:sz w:val="22"/>
          <w:szCs w:val="22"/>
        </w:rPr>
        <w:t>with higher percentages</w:t>
      </w:r>
      <w:r w:rsidR="00FB37C5" w:rsidRPr="00822AB9">
        <w:rPr>
          <w:rFonts w:ascii="Times New Roman" w:hAnsi="Times New Roman" w:cs="Times New Roman"/>
          <w:sz w:val="22"/>
          <w:szCs w:val="22"/>
        </w:rPr>
        <w:t xml:space="preserve">– Figure 8). </w:t>
      </w:r>
      <w:r w:rsidR="00D021C4" w:rsidRPr="00822AB9">
        <w:rPr>
          <w:rFonts w:ascii="Times New Roman" w:hAnsi="Times New Roman" w:cs="Times New Roman"/>
          <w:sz w:val="22"/>
          <w:szCs w:val="22"/>
        </w:rPr>
        <w:t xml:space="preserve"> Interestingly, it is large firms who generally do not use overdraft facilities (compared with smaller enterprises in Namibia and large enterprises in comparator countries –Figure 9).  </w:t>
      </w:r>
      <w:r w:rsidR="0043191E" w:rsidRPr="00822AB9">
        <w:rPr>
          <w:rFonts w:ascii="Times New Roman" w:hAnsi="Times New Roman" w:cs="Times New Roman"/>
          <w:sz w:val="22"/>
          <w:szCs w:val="22"/>
        </w:rPr>
        <w:t xml:space="preserve">Compared with other Southern African countries, unattainable collateral is considered by firms a bigger obstacle to apply for loans/lines of credit. </w:t>
      </w:r>
      <w:r w:rsidR="00D021C4" w:rsidRPr="00822AB9">
        <w:rPr>
          <w:rFonts w:ascii="Times New Roman" w:hAnsi="Times New Roman" w:cs="Times New Roman"/>
          <w:sz w:val="22"/>
          <w:szCs w:val="22"/>
        </w:rPr>
        <w:t xml:space="preserve"> </w:t>
      </w:r>
    </w:p>
    <w:p w14:paraId="703B834B" w14:textId="77777777" w:rsidR="005D58E1" w:rsidRPr="00822AB9" w:rsidRDefault="005D58E1" w:rsidP="00634742">
      <w:pPr>
        <w:pStyle w:val="ListParagraph"/>
        <w:tabs>
          <w:tab w:val="left" w:pos="360"/>
        </w:tabs>
        <w:ind w:left="0"/>
        <w:contextualSpacing w:val="0"/>
        <w:jc w:val="both"/>
        <w:rPr>
          <w:rFonts w:ascii="Times New Roman" w:hAnsi="Times New Roman" w:cs="Times New Roman"/>
          <w:b/>
          <w:sz w:val="22"/>
          <w:szCs w:val="22"/>
        </w:rPr>
      </w:pPr>
    </w:p>
    <w:p w14:paraId="4CEC7BD1"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2756EE19"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4CF90182"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07BBBC8F"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483D75BE" w14:textId="7D9D7FFB" w:rsidR="00822AB9" w:rsidRDefault="00626C56" w:rsidP="00626C56">
      <w:pPr>
        <w:pStyle w:val="ListParagraph"/>
        <w:tabs>
          <w:tab w:val="left" w:pos="360"/>
          <w:tab w:val="left" w:pos="3735"/>
        </w:tabs>
        <w:ind w:left="0"/>
        <w:contextualSpacing w:val="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14:paraId="78DAD1E9"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7DB3DA51"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77CB4D3C"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4D5EE1B8"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4C06317A"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24A4E2CC"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649D7EE7"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3628B594" w14:textId="77777777" w:rsidR="005D58E1" w:rsidRPr="00822AB9" w:rsidRDefault="005D58E1" w:rsidP="00634742">
      <w:pPr>
        <w:pStyle w:val="ListParagraph"/>
        <w:tabs>
          <w:tab w:val="left" w:pos="360"/>
        </w:tabs>
        <w:ind w:left="0"/>
        <w:contextualSpacing w:val="0"/>
        <w:jc w:val="center"/>
        <w:rPr>
          <w:rFonts w:ascii="Times New Roman" w:hAnsi="Times New Roman" w:cs="Times New Roman"/>
          <w:b/>
          <w:sz w:val="22"/>
          <w:szCs w:val="22"/>
        </w:rPr>
      </w:pPr>
      <w:r w:rsidRPr="00822AB9">
        <w:rPr>
          <w:rFonts w:ascii="Times New Roman" w:hAnsi="Times New Roman" w:cs="Times New Roman"/>
          <w:b/>
          <w:sz w:val="22"/>
          <w:szCs w:val="22"/>
        </w:rPr>
        <w:lastRenderedPageBreak/>
        <w:t xml:space="preserve">Figure 7: Firms </w:t>
      </w:r>
      <w:r w:rsidR="003F2382" w:rsidRPr="00822AB9">
        <w:rPr>
          <w:rFonts w:ascii="Times New Roman" w:hAnsi="Times New Roman" w:cs="Times New Roman"/>
          <w:b/>
          <w:sz w:val="22"/>
          <w:szCs w:val="22"/>
        </w:rPr>
        <w:t xml:space="preserve">with bank </w:t>
      </w:r>
      <w:r w:rsidRPr="00822AB9">
        <w:rPr>
          <w:rFonts w:ascii="Times New Roman" w:hAnsi="Times New Roman" w:cs="Times New Roman"/>
          <w:b/>
          <w:sz w:val="22"/>
          <w:szCs w:val="22"/>
        </w:rPr>
        <w:t>loans/lines of credit</w:t>
      </w:r>
    </w:p>
    <w:p w14:paraId="52CAC6CE" w14:textId="77777777" w:rsidR="005D58E1" w:rsidRPr="00822AB9" w:rsidRDefault="005D58E1" w:rsidP="00634742">
      <w:pPr>
        <w:pStyle w:val="ListParagraph"/>
        <w:tabs>
          <w:tab w:val="left" w:pos="360"/>
        </w:tabs>
        <w:ind w:left="0"/>
        <w:contextualSpacing w:val="0"/>
        <w:jc w:val="center"/>
        <w:rPr>
          <w:rFonts w:ascii="Times New Roman" w:hAnsi="Times New Roman" w:cs="Times New Roman"/>
          <w:bCs/>
          <w:i/>
          <w:sz w:val="22"/>
          <w:szCs w:val="22"/>
        </w:rPr>
      </w:pPr>
      <w:r w:rsidRPr="00822AB9">
        <w:rPr>
          <w:rFonts w:ascii="Times New Roman" w:hAnsi="Times New Roman" w:cs="Times New Roman"/>
          <w:b/>
          <w:noProof/>
          <w:sz w:val="22"/>
          <w:szCs w:val="22"/>
          <w:lang w:eastAsia="en-US"/>
        </w:rPr>
        <w:drawing>
          <wp:inline distT="0" distB="0" distL="0" distR="0" wp14:anchorId="11A24065" wp14:editId="188D0C81">
            <wp:extent cx="5946443" cy="2408830"/>
            <wp:effectExtent l="19050" t="0" r="16207" b="0"/>
            <wp:docPr id="2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22AB9">
        <w:rPr>
          <w:rFonts w:ascii="Times New Roman" w:hAnsi="Times New Roman" w:cs="Times New Roman"/>
          <w:bCs/>
          <w:i/>
          <w:sz w:val="22"/>
          <w:szCs w:val="22"/>
        </w:rPr>
        <w:t xml:space="preserve"> Source: World Bank Enterprise Survey</w:t>
      </w:r>
    </w:p>
    <w:p w14:paraId="71D4BD07" w14:textId="77777777" w:rsidR="00704798" w:rsidRPr="00822AB9" w:rsidRDefault="00704798" w:rsidP="00634742">
      <w:pPr>
        <w:spacing w:after="0" w:line="240" w:lineRule="auto"/>
        <w:ind w:left="1440"/>
        <w:jc w:val="center"/>
        <w:rPr>
          <w:rFonts w:ascii="Times New Roman" w:hAnsi="Times New Roman" w:cs="Times New Roman"/>
          <w:b/>
          <w:bCs/>
        </w:rPr>
      </w:pPr>
    </w:p>
    <w:p w14:paraId="69319032" w14:textId="77777777" w:rsidR="00DA5373" w:rsidRPr="00822AB9" w:rsidRDefault="00FB37C5" w:rsidP="00634742">
      <w:pPr>
        <w:spacing w:after="0" w:line="240" w:lineRule="auto"/>
        <w:ind w:left="1440"/>
        <w:jc w:val="center"/>
        <w:rPr>
          <w:rFonts w:ascii="Times New Roman" w:hAnsi="Times New Roman" w:cs="Times New Roman"/>
          <w:b/>
          <w:bCs/>
        </w:rPr>
      </w:pPr>
      <w:r w:rsidRPr="00822AB9">
        <w:rPr>
          <w:rFonts w:ascii="Times New Roman" w:hAnsi="Times New Roman" w:cs="Times New Roman"/>
          <w:b/>
          <w:bCs/>
        </w:rPr>
        <w:t>Figure 8: Proportion of firms u</w:t>
      </w:r>
      <w:r w:rsidR="00DA5373" w:rsidRPr="00822AB9">
        <w:rPr>
          <w:rFonts w:ascii="Times New Roman" w:hAnsi="Times New Roman" w:cs="Times New Roman"/>
          <w:b/>
          <w:bCs/>
        </w:rPr>
        <w:t xml:space="preserve">sing </w:t>
      </w:r>
      <w:r w:rsidRPr="00822AB9">
        <w:rPr>
          <w:rFonts w:ascii="Times New Roman" w:hAnsi="Times New Roman" w:cs="Times New Roman"/>
          <w:b/>
          <w:bCs/>
        </w:rPr>
        <w:t xml:space="preserve">bank accounts and overdraft facilities </w:t>
      </w:r>
    </w:p>
    <w:p w14:paraId="2D75B9C3" w14:textId="77777777" w:rsidR="00DA5373" w:rsidRPr="00822AB9" w:rsidRDefault="00DA5373" w:rsidP="00634742">
      <w:pPr>
        <w:spacing w:after="0" w:line="240" w:lineRule="auto"/>
        <w:jc w:val="center"/>
        <w:rPr>
          <w:rFonts w:ascii="Times New Roman" w:hAnsi="Times New Roman" w:cs="Times New Roman"/>
          <w:b/>
          <w:bCs/>
        </w:rPr>
      </w:pPr>
      <w:r w:rsidRPr="00822AB9">
        <w:rPr>
          <w:rFonts w:ascii="Times New Roman" w:hAnsi="Times New Roman" w:cs="Times New Roman"/>
          <w:noProof/>
        </w:rPr>
        <w:drawing>
          <wp:inline distT="0" distB="0" distL="0" distR="0" wp14:anchorId="762571F9" wp14:editId="159257BE">
            <wp:extent cx="4574844" cy="1897039"/>
            <wp:effectExtent l="19050" t="0" r="16206" b="7961"/>
            <wp:docPr id="1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644163" w14:textId="77777777" w:rsidR="00DA5373" w:rsidRPr="00822AB9" w:rsidRDefault="00FB37C5" w:rsidP="00634742">
      <w:pPr>
        <w:pStyle w:val="ListParagraph"/>
        <w:tabs>
          <w:tab w:val="left" w:pos="360"/>
        </w:tabs>
        <w:ind w:left="0"/>
        <w:contextualSpacing w:val="0"/>
        <w:jc w:val="center"/>
        <w:rPr>
          <w:rFonts w:ascii="Times New Roman" w:hAnsi="Times New Roman" w:cs="Times New Roman"/>
          <w:b/>
          <w:sz w:val="22"/>
          <w:szCs w:val="22"/>
        </w:rPr>
      </w:pPr>
      <w:r w:rsidRPr="00822AB9">
        <w:rPr>
          <w:rFonts w:ascii="Times New Roman" w:hAnsi="Times New Roman" w:cs="Times New Roman"/>
          <w:bCs/>
          <w:i/>
          <w:sz w:val="22"/>
          <w:szCs w:val="22"/>
        </w:rPr>
        <w:t>Source: World Bank Enterprise Survey</w:t>
      </w:r>
    </w:p>
    <w:p w14:paraId="592D3ABF" w14:textId="77777777" w:rsidR="00DA5373" w:rsidRPr="00822AB9" w:rsidRDefault="00DA5373" w:rsidP="00634742">
      <w:pPr>
        <w:pStyle w:val="ListParagraph"/>
        <w:tabs>
          <w:tab w:val="left" w:pos="360"/>
        </w:tabs>
        <w:ind w:left="0"/>
        <w:contextualSpacing w:val="0"/>
        <w:jc w:val="both"/>
        <w:rPr>
          <w:rFonts w:ascii="Times New Roman" w:hAnsi="Times New Roman" w:cs="Times New Roman"/>
          <w:b/>
          <w:sz w:val="22"/>
          <w:szCs w:val="22"/>
        </w:rPr>
      </w:pPr>
    </w:p>
    <w:p w14:paraId="37338BAD" w14:textId="77777777" w:rsidR="00D021C4" w:rsidRPr="00822AB9" w:rsidRDefault="007A1979" w:rsidP="00634742">
      <w:pPr>
        <w:spacing w:after="0" w:line="240" w:lineRule="auto"/>
        <w:ind w:left="720"/>
        <w:jc w:val="center"/>
        <w:rPr>
          <w:rFonts w:ascii="Times New Roman" w:hAnsi="Times New Roman" w:cs="Times New Roman"/>
          <w:b/>
          <w:bCs/>
        </w:rPr>
      </w:pPr>
      <w:r w:rsidRPr="00822AB9">
        <w:rPr>
          <w:rFonts w:ascii="Times New Roman" w:hAnsi="Times New Roman" w:cs="Times New Roman"/>
          <w:b/>
          <w:bCs/>
        </w:rPr>
        <w:t>Figure 9: Percentage of firms with an overdraft facility</w:t>
      </w:r>
    </w:p>
    <w:p w14:paraId="4F8240F7" w14:textId="77777777" w:rsidR="00D021C4" w:rsidRPr="00822AB9" w:rsidRDefault="00D021C4" w:rsidP="00634742">
      <w:pPr>
        <w:spacing w:after="0" w:line="240" w:lineRule="auto"/>
        <w:rPr>
          <w:rFonts w:ascii="Times New Roman" w:hAnsi="Times New Roman" w:cs="Times New Roman"/>
          <w:b/>
          <w:bCs/>
        </w:rPr>
      </w:pPr>
      <w:r w:rsidRPr="00822AB9">
        <w:rPr>
          <w:rFonts w:ascii="Times New Roman" w:hAnsi="Times New Roman" w:cs="Times New Roman"/>
          <w:noProof/>
        </w:rPr>
        <w:drawing>
          <wp:inline distT="0" distB="0" distL="0" distR="0" wp14:anchorId="2A3CD849" wp14:editId="7B422E33">
            <wp:extent cx="6143625" cy="1838325"/>
            <wp:effectExtent l="0" t="0" r="9525" b="9525"/>
            <wp:docPr id="1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032AC2" w14:textId="77777777" w:rsidR="007A1979" w:rsidRPr="00822AB9" w:rsidRDefault="007A1979" w:rsidP="00634742">
      <w:pPr>
        <w:pStyle w:val="ListParagraph"/>
        <w:tabs>
          <w:tab w:val="left" w:pos="360"/>
        </w:tabs>
        <w:ind w:left="0"/>
        <w:contextualSpacing w:val="0"/>
        <w:jc w:val="center"/>
        <w:rPr>
          <w:rFonts w:ascii="Times New Roman" w:hAnsi="Times New Roman" w:cs="Times New Roman"/>
          <w:b/>
          <w:sz w:val="22"/>
          <w:szCs w:val="22"/>
        </w:rPr>
      </w:pPr>
      <w:r w:rsidRPr="00822AB9">
        <w:rPr>
          <w:rFonts w:ascii="Times New Roman" w:hAnsi="Times New Roman" w:cs="Times New Roman"/>
          <w:bCs/>
          <w:i/>
          <w:sz w:val="22"/>
          <w:szCs w:val="22"/>
        </w:rPr>
        <w:t>Source: World Bank Enterprise Survey</w:t>
      </w:r>
    </w:p>
    <w:p w14:paraId="3B8C24F3" w14:textId="77777777" w:rsidR="007A1979" w:rsidRPr="00822AB9" w:rsidRDefault="007A1979" w:rsidP="00634742">
      <w:pPr>
        <w:pStyle w:val="ListParagraph"/>
        <w:tabs>
          <w:tab w:val="left" w:pos="360"/>
        </w:tabs>
        <w:ind w:left="0"/>
        <w:contextualSpacing w:val="0"/>
        <w:jc w:val="both"/>
        <w:rPr>
          <w:rFonts w:ascii="Times New Roman" w:hAnsi="Times New Roman" w:cs="Times New Roman"/>
          <w:b/>
          <w:sz w:val="22"/>
          <w:szCs w:val="22"/>
        </w:rPr>
      </w:pPr>
    </w:p>
    <w:p w14:paraId="0A725B44" w14:textId="77777777" w:rsidR="00DA5373" w:rsidRPr="00822AB9" w:rsidRDefault="00DA5373" w:rsidP="00F023C9">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
          <w:sz w:val="22"/>
          <w:szCs w:val="22"/>
        </w:rPr>
        <w:t xml:space="preserve">As it happens in other countries, informal enterprises are more credit constrained.  </w:t>
      </w:r>
      <w:r w:rsidRPr="00822AB9">
        <w:rPr>
          <w:rFonts w:ascii="Times New Roman" w:hAnsi="Times New Roman" w:cs="Times New Roman"/>
          <w:bCs/>
          <w:sz w:val="22"/>
          <w:szCs w:val="22"/>
        </w:rPr>
        <w:t>Informal enterprises perceive that access to finance is a bigger obstacle and they have less access to credit from the financial sector (Stork 2010).  The 2009 and 2013 Namibian Business and Investment Climate Survey</w:t>
      </w:r>
      <w:r w:rsidR="00FB37C5" w:rsidRPr="00822AB9">
        <w:rPr>
          <w:rFonts w:ascii="Times New Roman" w:hAnsi="Times New Roman" w:cs="Times New Roman"/>
          <w:bCs/>
          <w:sz w:val="22"/>
          <w:szCs w:val="22"/>
        </w:rPr>
        <w:t>s</w:t>
      </w:r>
      <w:r w:rsidRPr="00822AB9">
        <w:rPr>
          <w:rFonts w:ascii="Times New Roman" w:hAnsi="Times New Roman" w:cs="Times New Roman"/>
          <w:bCs/>
          <w:sz w:val="22"/>
          <w:szCs w:val="22"/>
        </w:rPr>
        <w:t xml:space="preserve"> find </w:t>
      </w:r>
      <w:r w:rsidRPr="00822AB9">
        <w:rPr>
          <w:rFonts w:ascii="Times New Roman" w:hAnsi="Times New Roman" w:cs="Times New Roman"/>
          <w:bCs/>
          <w:sz w:val="22"/>
          <w:szCs w:val="22"/>
        </w:rPr>
        <w:lastRenderedPageBreak/>
        <w:t xml:space="preserve">that access and cost of finance remains a big obstacle for informal enterprises. While formal businesses have commercial banks as the main source of credit, informal businesses generally take credit from friends and relatives. In the informal sector, reported barriers to access credit are the lack of: (i) skills and systems to generate the necessary data and business plans required to obtain bank loans, (ii) collateral and, (iii) credit history. </w:t>
      </w:r>
    </w:p>
    <w:p w14:paraId="60240323" w14:textId="77777777" w:rsidR="00984B1C" w:rsidRPr="00822AB9" w:rsidRDefault="00984B1C" w:rsidP="00920AD4">
      <w:pPr>
        <w:pStyle w:val="ListParagraph"/>
        <w:tabs>
          <w:tab w:val="left" w:pos="360"/>
        </w:tabs>
        <w:ind w:left="0"/>
        <w:contextualSpacing w:val="0"/>
        <w:jc w:val="both"/>
        <w:rPr>
          <w:rFonts w:ascii="Times New Roman" w:hAnsi="Times New Roman" w:cs="Times New Roman"/>
          <w:bCs/>
          <w:sz w:val="22"/>
          <w:szCs w:val="22"/>
        </w:rPr>
      </w:pPr>
    </w:p>
    <w:p w14:paraId="609941D6" w14:textId="726A4143" w:rsidR="00662C78" w:rsidRPr="00822AB9" w:rsidRDefault="00152212" w:rsidP="00F023C9">
      <w:pPr>
        <w:pStyle w:val="ListParagraph"/>
        <w:tabs>
          <w:tab w:val="left" w:pos="360"/>
        </w:tabs>
        <w:ind w:left="0"/>
        <w:contextualSpacing w:val="0"/>
        <w:jc w:val="both"/>
        <w:rPr>
          <w:rFonts w:ascii="Times New Roman" w:hAnsi="Times New Roman" w:cs="Times New Roman"/>
          <w:b/>
          <w:bCs/>
          <w:sz w:val="22"/>
          <w:szCs w:val="22"/>
        </w:rPr>
      </w:pPr>
      <w:r w:rsidRPr="00822AB9">
        <w:rPr>
          <w:rFonts w:ascii="Times New Roman" w:hAnsi="Times New Roman" w:cs="Times New Roman"/>
          <w:b/>
          <w:sz w:val="22"/>
          <w:szCs w:val="22"/>
        </w:rPr>
        <w:t>Similarly</w:t>
      </w:r>
      <w:r w:rsidR="004D2FB5" w:rsidRPr="00822AB9">
        <w:rPr>
          <w:rFonts w:ascii="Times New Roman" w:hAnsi="Times New Roman" w:cs="Times New Roman"/>
          <w:b/>
          <w:sz w:val="22"/>
          <w:szCs w:val="22"/>
        </w:rPr>
        <w:t xml:space="preserve"> (and in line with international experience)</w:t>
      </w:r>
      <w:r w:rsidRPr="00822AB9">
        <w:rPr>
          <w:rFonts w:ascii="Times New Roman" w:hAnsi="Times New Roman" w:cs="Times New Roman"/>
          <w:b/>
          <w:sz w:val="22"/>
          <w:szCs w:val="22"/>
        </w:rPr>
        <w:t xml:space="preserve">, smaller enterprises (MSMEs) </w:t>
      </w:r>
      <w:r w:rsidR="00682587" w:rsidRPr="00822AB9">
        <w:rPr>
          <w:rFonts w:ascii="Times New Roman" w:hAnsi="Times New Roman" w:cs="Times New Roman"/>
          <w:b/>
          <w:sz w:val="22"/>
          <w:szCs w:val="22"/>
        </w:rPr>
        <w:t>find that access to finance is a big obstacle for their business.</w:t>
      </w:r>
      <w:r w:rsidR="00682587" w:rsidRPr="00822AB9">
        <w:rPr>
          <w:rFonts w:ascii="Times New Roman" w:hAnsi="Times New Roman" w:cs="Times New Roman"/>
          <w:sz w:val="22"/>
          <w:szCs w:val="22"/>
        </w:rPr>
        <w:t xml:space="preserve">  </w:t>
      </w:r>
      <w:r w:rsidRPr="00822AB9">
        <w:rPr>
          <w:rFonts w:ascii="Times New Roman" w:hAnsi="Times New Roman" w:cs="Times New Roman"/>
          <w:sz w:val="22"/>
          <w:szCs w:val="22"/>
        </w:rPr>
        <w:t>The 2013 Namibian Business and Investment Climate Survey show</w:t>
      </w:r>
      <w:r w:rsidR="00993BCC" w:rsidRPr="00822AB9">
        <w:rPr>
          <w:rFonts w:ascii="Times New Roman" w:hAnsi="Times New Roman" w:cs="Times New Roman"/>
          <w:sz w:val="22"/>
          <w:szCs w:val="22"/>
        </w:rPr>
        <w:t>ed</w:t>
      </w:r>
      <w:r w:rsidRPr="00822AB9">
        <w:rPr>
          <w:rFonts w:ascii="Times New Roman" w:hAnsi="Times New Roman" w:cs="Times New Roman"/>
          <w:sz w:val="22"/>
          <w:szCs w:val="22"/>
        </w:rPr>
        <w:t xml:space="preserve"> that access and cost of credit is a bigger concern for microenterprises. In particular, l</w:t>
      </w:r>
      <w:r w:rsidRPr="00822AB9">
        <w:rPr>
          <w:rFonts w:ascii="Times New Roman" w:hAnsi="Times New Roman" w:cs="Times New Roman"/>
          <w:bCs/>
          <w:sz w:val="22"/>
          <w:szCs w:val="22"/>
        </w:rPr>
        <w:t xml:space="preserve">ack of access to credit to MSMEs </w:t>
      </w:r>
      <w:r w:rsidR="00993BCC" w:rsidRPr="00822AB9">
        <w:rPr>
          <w:rFonts w:ascii="Times New Roman" w:hAnsi="Times New Roman" w:cs="Times New Roman"/>
          <w:bCs/>
          <w:sz w:val="22"/>
          <w:szCs w:val="22"/>
        </w:rPr>
        <w:t>was</w:t>
      </w:r>
      <w:r w:rsidRPr="00822AB9">
        <w:rPr>
          <w:rFonts w:ascii="Times New Roman" w:hAnsi="Times New Roman" w:cs="Times New Roman"/>
          <w:bCs/>
          <w:sz w:val="22"/>
          <w:szCs w:val="22"/>
        </w:rPr>
        <w:t xml:space="preserve"> a main concern, with many smaller enterprises failing to meet bank requirements to obtain a loan such as a business plan, down payment, financial statements, business registration, bank records and adequate collateral (FinMark 2011).  A</w:t>
      </w:r>
      <w:r w:rsidR="00993BCC" w:rsidRPr="00822AB9">
        <w:rPr>
          <w:rFonts w:ascii="Times New Roman" w:hAnsi="Times New Roman" w:cs="Times New Roman"/>
          <w:bCs/>
          <w:sz w:val="22"/>
          <w:szCs w:val="22"/>
        </w:rPr>
        <w:t xml:space="preserve">nother </w:t>
      </w:r>
      <w:r w:rsidRPr="00822AB9">
        <w:rPr>
          <w:rFonts w:ascii="Times New Roman" w:hAnsi="Times New Roman" w:cs="Times New Roman"/>
          <w:bCs/>
          <w:sz w:val="22"/>
          <w:szCs w:val="22"/>
        </w:rPr>
        <w:t xml:space="preserve">survey to medium enterprises in Namibia found that access and cost of finance </w:t>
      </w:r>
      <w:r w:rsidR="00993BCC" w:rsidRPr="00822AB9">
        <w:rPr>
          <w:rFonts w:ascii="Times New Roman" w:hAnsi="Times New Roman" w:cs="Times New Roman"/>
          <w:bCs/>
          <w:sz w:val="22"/>
          <w:szCs w:val="22"/>
        </w:rPr>
        <w:t>were</w:t>
      </w:r>
      <w:r w:rsidRPr="00822AB9">
        <w:rPr>
          <w:rFonts w:ascii="Times New Roman" w:hAnsi="Times New Roman" w:cs="Times New Roman"/>
          <w:bCs/>
          <w:sz w:val="22"/>
          <w:szCs w:val="22"/>
        </w:rPr>
        <w:t xml:space="preserve"> reported as a significant issue (Sherbourne 2012).  In fact, within </w:t>
      </w:r>
      <w:r w:rsidRPr="00822AB9">
        <w:rPr>
          <w:rFonts w:ascii="Times New Roman" w:hAnsi="Times New Roman" w:cs="Times New Roman"/>
          <w:sz w:val="22"/>
          <w:szCs w:val="22"/>
        </w:rPr>
        <w:t>external obstacles to growth, medium firms perceived access to finance as the top one-constraint.  In the same way, t</w:t>
      </w:r>
      <w:r w:rsidR="00163EA8" w:rsidRPr="00822AB9">
        <w:rPr>
          <w:rFonts w:ascii="Times New Roman" w:hAnsi="Times New Roman" w:cs="Times New Roman"/>
          <w:sz w:val="22"/>
          <w:szCs w:val="22"/>
        </w:rPr>
        <w:t>he WB</w:t>
      </w:r>
      <w:r w:rsidR="006C3250" w:rsidRPr="00822AB9">
        <w:rPr>
          <w:rFonts w:ascii="Times New Roman" w:hAnsi="Times New Roman" w:cs="Times New Roman"/>
          <w:sz w:val="22"/>
          <w:szCs w:val="22"/>
        </w:rPr>
        <w:t>ES</w:t>
      </w:r>
      <w:r w:rsidR="00163EA8" w:rsidRPr="00822AB9">
        <w:rPr>
          <w:rFonts w:ascii="Times New Roman" w:hAnsi="Times New Roman" w:cs="Times New Roman"/>
          <w:sz w:val="22"/>
          <w:szCs w:val="22"/>
        </w:rPr>
        <w:t xml:space="preserve"> shows that </w:t>
      </w:r>
      <w:r w:rsidR="00FB37C5" w:rsidRPr="00822AB9">
        <w:rPr>
          <w:rFonts w:ascii="Times New Roman" w:hAnsi="Times New Roman" w:cs="Times New Roman"/>
          <w:sz w:val="22"/>
          <w:szCs w:val="22"/>
        </w:rPr>
        <w:t xml:space="preserve">formal </w:t>
      </w:r>
      <w:r w:rsidR="00D24581" w:rsidRPr="00822AB9">
        <w:rPr>
          <w:rFonts w:ascii="Times New Roman" w:hAnsi="Times New Roman" w:cs="Times New Roman"/>
          <w:sz w:val="22"/>
          <w:szCs w:val="22"/>
        </w:rPr>
        <w:t>SMEs are substantially more likely to report that access to finance is a major constraint to their operations</w:t>
      </w:r>
      <w:r w:rsidR="004D2FB5" w:rsidRPr="00822AB9">
        <w:rPr>
          <w:rFonts w:ascii="Times New Roman" w:hAnsi="Times New Roman" w:cs="Times New Roman"/>
          <w:sz w:val="22"/>
          <w:szCs w:val="22"/>
        </w:rPr>
        <w:t xml:space="preserve"> (Figure 6)</w:t>
      </w:r>
      <w:r w:rsidR="00D24581" w:rsidRPr="00822AB9">
        <w:rPr>
          <w:rFonts w:ascii="Times New Roman" w:hAnsi="Times New Roman" w:cs="Times New Roman"/>
          <w:sz w:val="22"/>
          <w:szCs w:val="22"/>
        </w:rPr>
        <w:t xml:space="preserve">. Additionally, </w:t>
      </w:r>
      <w:r w:rsidR="004D2FB5" w:rsidRPr="00822AB9">
        <w:rPr>
          <w:rFonts w:ascii="Times New Roman" w:hAnsi="Times New Roman" w:cs="Times New Roman"/>
          <w:sz w:val="22"/>
          <w:szCs w:val="22"/>
        </w:rPr>
        <w:t xml:space="preserve">a substantially </w:t>
      </w:r>
      <w:r w:rsidR="00F00E0C" w:rsidRPr="00822AB9">
        <w:rPr>
          <w:rFonts w:ascii="Times New Roman" w:hAnsi="Times New Roman" w:cs="Times New Roman"/>
          <w:sz w:val="22"/>
          <w:szCs w:val="22"/>
        </w:rPr>
        <w:t xml:space="preserve">higher </w:t>
      </w:r>
      <w:r w:rsidR="004D2FB5" w:rsidRPr="00822AB9">
        <w:rPr>
          <w:rFonts w:ascii="Times New Roman" w:hAnsi="Times New Roman" w:cs="Times New Roman"/>
          <w:sz w:val="22"/>
          <w:szCs w:val="22"/>
        </w:rPr>
        <w:t xml:space="preserve">percentage of </w:t>
      </w:r>
      <w:r w:rsidR="00F00E0C" w:rsidRPr="00822AB9">
        <w:rPr>
          <w:rFonts w:ascii="Times New Roman" w:hAnsi="Times New Roman" w:cs="Times New Roman"/>
          <w:sz w:val="22"/>
          <w:szCs w:val="22"/>
        </w:rPr>
        <w:t xml:space="preserve">large enterprises report not needing loans </w:t>
      </w:r>
      <w:r w:rsidR="00E502C0" w:rsidRPr="00822AB9">
        <w:rPr>
          <w:rFonts w:ascii="Times New Roman" w:hAnsi="Times New Roman" w:cs="Times New Roman"/>
          <w:sz w:val="22"/>
          <w:szCs w:val="22"/>
        </w:rPr>
        <w:t>(</w:t>
      </w:r>
      <w:r w:rsidR="00D24581" w:rsidRPr="00822AB9">
        <w:rPr>
          <w:rFonts w:ascii="Times New Roman" w:hAnsi="Times New Roman" w:cs="Times New Roman"/>
          <w:sz w:val="22"/>
          <w:szCs w:val="22"/>
        </w:rPr>
        <w:t xml:space="preserve">80 percent of </w:t>
      </w:r>
      <w:r w:rsidR="00163EA8" w:rsidRPr="00822AB9">
        <w:rPr>
          <w:rFonts w:ascii="Times New Roman" w:hAnsi="Times New Roman" w:cs="Times New Roman"/>
          <w:sz w:val="22"/>
          <w:szCs w:val="22"/>
        </w:rPr>
        <w:t xml:space="preserve">large firms </w:t>
      </w:r>
      <w:r w:rsidR="00E502C0" w:rsidRPr="00822AB9">
        <w:rPr>
          <w:rFonts w:ascii="Times New Roman" w:hAnsi="Times New Roman" w:cs="Times New Roman"/>
          <w:sz w:val="22"/>
          <w:szCs w:val="22"/>
        </w:rPr>
        <w:t xml:space="preserve">versus </w:t>
      </w:r>
      <w:r w:rsidR="00163EA8" w:rsidRPr="00822AB9">
        <w:rPr>
          <w:rFonts w:ascii="Times New Roman" w:hAnsi="Times New Roman" w:cs="Times New Roman"/>
          <w:sz w:val="22"/>
          <w:szCs w:val="22"/>
        </w:rPr>
        <w:t>44 percent of small and 58 percent of medium firms</w:t>
      </w:r>
      <w:r w:rsidR="007A1979" w:rsidRPr="00822AB9">
        <w:rPr>
          <w:rFonts w:ascii="Times New Roman" w:hAnsi="Times New Roman" w:cs="Times New Roman"/>
          <w:sz w:val="22"/>
          <w:szCs w:val="22"/>
        </w:rPr>
        <w:t xml:space="preserve"> – Figure 10</w:t>
      </w:r>
      <w:r w:rsidR="00E502C0" w:rsidRPr="00822AB9">
        <w:rPr>
          <w:rFonts w:ascii="Times New Roman" w:hAnsi="Times New Roman" w:cs="Times New Roman"/>
          <w:sz w:val="22"/>
          <w:szCs w:val="22"/>
        </w:rPr>
        <w:t>)</w:t>
      </w:r>
      <w:r w:rsidR="00163EA8" w:rsidRPr="00822AB9">
        <w:rPr>
          <w:rFonts w:ascii="Times New Roman" w:hAnsi="Times New Roman" w:cs="Times New Roman"/>
          <w:sz w:val="22"/>
          <w:szCs w:val="22"/>
        </w:rPr>
        <w:t xml:space="preserve">.  </w:t>
      </w:r>
      <w:r w:rsidR="00662C78" w:rsidRPr="00822AB9">
        <w:rPr>
          <w:rFonts w:ascii="Times New Roman" w:hAnsi="Times New Roman" w:cs="Times New Roman"/>
          <w:sz w:val="22"/>
          <w:szCs w:val="22"/>
        </w:rPr>
        <w:t xml:space="preserve">  </w:t>
      </w:r>
    </w:p>
    <w:p w14:paraId="727F8CB3" w14:textId="77777777" w:rsidR="00662C78" w:rsidRPr="00822AB9" w:rsidRDefault="00662C78" w:rsidP="00634742">
      <w:pPr>
        <w:pStyle w:val="ListParagraph"/>
        <w:tabs>
          <w:tab w:val="left" w:pos="360"/>
        </w:tabs>
        <w:ind w:left="0"/>
        <w:contextualSpacing w:val="0"/>
        <w:jc w:val="both"/>
        <w:rPr>
          <w:rFonts w:ascii="Times New Roman" w:hAnsi="Times New Roman" w:cs="Times New Roman"/>
          <w:b/>
          <w:bCs/>
          <w:sz w:val="22"/>
          <w:szCs w:val="22"/>
        </w:rPr>
      </w:pPr>
    </w:p>
    <w:p w14:paraId="2245A6B1" w14:textId="77777777" w:rsidR="004E2D48" w:rsidRPr="00822AB9" w:rsidRDefault="007A1979" w:rsidP="00634742">
      <w:pPr>
        <w:pStyle w:val="ListParagraph"/>
        <w:tabs>
          <w:tab w:val="left" w:pos="360"/>
        </w:tabs>
        <w:ind w:left="0"/>
        <w:contextualSpacing w:val="0"/>
        <w:jc w:val="center"/>
        <w:rPr>
          <w:rFonts w:ascii="Times New Roman" w:hAnsi="Times New Roman" w:cs="Times New Roman"/>
          <w:b/>
          <w:bCs/>
          <w:sz w:val="22"/>
          <w:szCs w:val="22"/>
        </w:rPr>
      </w:pPr>
      <w:r w:rsidRPr="00822AB9">
        <w:rPr>
          <w:rFonts w:ascii="Times New Roman" w:hAnsi="Times New Roman" w:cs="Times New Roman"/>
          <w:b/>
          <w:bCs/>
          <w:sz w:val="22"/>
          <w:szCs w:val="22"/>
        </w:rPr>
        <w:t>Figure 10</w:t>
      </w:r>
      <w:r w:rsidR="004E2D48" w:rsidRPr="00822AB9">
        <w:rPr>
          <w:rFonts w:ascii="Times New Roman" w:hAnsi="Times New Roman" w:cs="Times New Roman"/>
          <w:b/>
          <w:bCs/>
          <w:sz w:val="22"/>
          <w:szCs w:val="22"/>
        </w:rPr>
        <w:t>:</w:t>
      </w:r>
      <w:r w:rsidR="004D2FB5" w:rsidRPr="00822AB9">
        <w:rPr>
          <w:rFonts w:ascii="Times New Roman" w:hAnsi="Times New Roman" w:cs="Times New Roman"/>
          <w:b/>
          <w:bCs/>
          <w:sz w:val="22"/>
          <w:szCs w:val="22"/>
        </w:rPr>
        <w:t xml:space="preserve">  Lack of credit demand related with lack of need</w:t>
      </w:r>
      <w:r w:rsidR="004E2D48" w:rsidRPr="00822AB9">
        <w:rPr>
          <w:rFonts w:ascii="Times New Roman" w:hAnsi="Times New Roman" w:cs="Times New Roman"/>
          <w:b/>
          <w:bCs/>
          <w:sz w:val="22"/>
          <w:szCs w:val="22"/>
        </w:rPr>
        <w:t xml:space="preserve"> </w:t>
      </w:r>
      <w:r w:rsidR="00F43CB0" w:rsidRPr="00822AB9">
        <w:rPr>
          <w:rFonts w:ascii="Times New Roman" w:hAnsi="Times New Roman" w:cs="Times New Roman"/>
          <w:b/>
          <w:bCs/>
          <w:sz w:val="22"/>
          <w:szCs w:val="22"/>
        </w:rPr>
        <w:t>(percentage of firms reporting no need for a loan)</w:t>
      </w:r>
      <w:r w:rsidR="004E2D48" w:rsidRPr="00822AB9">
        <w:rPr>
          <w:rFonts w:ascii="Times New Roman" w:hAnsi="Times New Roman" w:cs="Times New Roman"/>
          <w:b/>
          <w:bCs/>
          <w:noProof/>
          <w:sz w:val="22"/>
          <w:szCs w:val="22"/>
          <w:lang w:eastAsia="en-US"/>
        </w:rPr>
        <w:drawing>
          <wp:inline distT="0" distB="0" distL="0" distR="0" wp14:anchorId="34F357E2" wp14:editId="767F4E97">
            <wp:extent cx="5676900" cy="1771650"/>
            <wp:effectExtent l="0" t="0" r="0" b="0"/>
            <wp:docPr id="1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188AEC" w14:textId="77777777" w:rsidR="004E2D48" w:rsidRPr="00822AB9" w:rsidRDefault="004E2D48" w:rsidP="00634742">
      <w:pPr>
        <w:pStyle w:val="ListParagraph"/>
        <w:tabs>
          <w:tab w:val="left" w:pos="360"/>
        </w:tabs>
        <w:ind w:left="0"/>
        <w:contextualSpacing w:val="0"/>
        <w:jc w:val="both"/>
        <w:rPr>
          <w:rFonts w:ascii="Times New Roman" w:hAnsi="Times New Roman" w:cs="Times New Roman"/>
          <w:b/>
          <w:bCs/>
          <w:sz w:val="22"/>
          <w:szCs w:val="22"/>
        </w:rPr>
      </w:pPr>
    </w:p>
    <w:p w14:paraId="79966988" w14:textId="77777777" w:rsidR="00D24581" w:rsidRPr="00822AB9" w:rsidRDefault="00D24581" w:rsidP="00920AD4">
      <w:pPr>
        <w:pStyle w:val="ListParagraph"/>
        <w:tabs>
          <w:tab w:val="left" w:pos="360"/>
        </w:tabs>
        <w:ind w:left="0"/>
        <w:contextualSpacing w:val="0"/>
        <w:jc w:val="both"/>
        <w:rPr>
          <w:rFonts w:ascii="Times New Roman" w:hAnsi="Times New Roman" w:cs="Times New Roman"/>
          <w:b/>
          <w:bCs/>
          <w:sz w:val="22"/>
          <w:szCs w:val="22"/>
        </w:rPr>
      </w:pPr>
    </w:p>
    <w:p w14:paraId="1A5B7288" w14:textId="77777777" w:rsidR="00DF6B3A" w:rsidRPr="00822AB9" w:rsidRDefault="00E502C0" w:rsidP="00F023C9">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
          <w:bCs/>
          <w:sz w:val="22"/>
          <w:szCs w:val="22"/>
        </w:rPr>
        <w:t xml:space="preserve">Negative perceptions regarding access to financing among </w:t>
      </w:r>
      <w:r w:rsidR="0055072F" w:rsidRPr="00822AB9">
        <w:rPr>
          <w:rFonts w:ascii="Times New Roman" w:hAnsi="Times New Roman" w:cs="Times New Roman"/>
          <w:b/>
          <w:bCs/>
          <w:sz w:val="22"/>
          <w:szCs w:val="22"/>
        </w:rPr>
        <w:t>micro-enterprises</w:t>
      </w:r>
      <w:r w:rsidRPr="00822AB9">
        <w:rPr>
          <w:rFonts w:ascii="Times New Roman" w:hAnsi="Times New Roman" w:cs="Times New Roman"/>
          <w:b/>
          <w:bCs/>
          <w:sz w:val="22"/>
          <w:szCs w:val="22"/>
        </w:rPr>
        <w:t xml:space="preserve"> emerge from greater constraints.  </w:t>
      </w:r>
      <w:r w:rsidRPr="00822AB9">
        <w:rPr>
          <w:rFonts w:ascii="Times New Roman" w:hAnsi="Times New Roman" w:cs="Times New Roman"/>
          <w:bCs/>
          <w:sz w:val="22"/>
          <w:szCs w:val="22"/>
        </w:rPr>
        <w:t>For instance, a</w:t>
      </w:r>
      <w:r w:rsidR="00662C78" w:rsidRPr="00822AB9">
        <w:rPr>
          <w:rFonts w:ascii="Times New Roman" w:hAnsi="Times New Roman" w:cs="Times New Roman"/>
          <w:bCs/>
          <w:sz w:val="22"/>
          <w:szCs w:val="22"/>
        </w:rPr>
        <w:t xml:space="preserve"> 2011 World Bank report on microenterprise development f</w:t>
      </w:r>
      <w:r w:rsidRPr="00822AB9">
        <w:rPr>
          <w:rFonts w:ascii="Times New Roman" w:hAnsi="Times New Roman" w:cs="Times New Roman"/>
          <w:bCs/>
          <w:sz w:val="22"/>
          <w:szCs w:val="22"/>
        </w:rPr>
        <w:t xml:space="preserve">ound that </w:t>
      </w:r>
      <w:r w:rsidR="00662C78" w:rsidRPr="00822AB9">
        <w:rPr>
          <w:rFonts w:ascii="Times New Roman" w:hAnsi="Times New Roman" w:cs="Times New Roman"/>
          <w:bCs/>
          <w:sz w:val="22"/>
          <w:szCs w:val="22"/>
        </w:rPr>
        <w:t xml:space="preserve">there </w:t>
      </w:r>
      <w:r w:rsidRPr="00822AB9">
        <w:rPr>
          <w:rFonts w:ascii="Times New Roman" w:hAnsi="Times New Roman" w:cs="Times New Roman"/>
          <w:bCs/>
          <w:sz w:val="22"/>
          <w:szCs w:val="22"/>
        </w:rPr>
        <w:t xml:space="preserve">were </w:t>
      </w:r>
      <w:r w:rsidR="00662C78" w:rsidRPr="00822AB9">
        <w:rPr>
          <w:rFonts w:ascii="Times New Roman" w:hAnsi="Times New Roman" w:cs="Times New Roman"/>
          <w:bCs/>
          <w:sz w:val="22"/>
          <w:szCs w:val="22"/>
        </w:rPr>
        <w:t xml:space="preserve">no financial products or business development services in Namibia appropriate or affordable for microenterprises (World Bank 2011).  The report </w:t>
      </w:r>
      <w:r w:rsidRPr="00822AB9">
        <w:rPr>
          <w:rFonts w:ascii="Times New Roman" w:hAnsi="Times New Roman" w:cs="Times New Roman"/>
          <w:bCs/>
          <w:sz w:val="22"/>
          <w:szCs w:val="22"/>
        </w:rPr>
        <w:t xml:space="preserve">was </w:t>
      </w:r>
      <w:r w:rsidR="00662C78" w:rsidRPr="00822AB9">
        <w:rPr>
          <w:rFonts w:ascii="Times New Roman" w:hAnsi="Times New Roman" w:cs="Times New Roman"/>
          <w:bCs/>
          <w:sz w:val="22"/>
          <w:szCs w:val="22"/>
        </w:rPr>
        <w:t xml:space="preserve">based on a pilot sample survey of 800 microenterprises carried out in 2009. The survey found that most micro-enterprises </w:t>
      </w:r>
      <w:r w:rsidRPr="00822AB9">
        <w:rPr>
          <w:rFonts w:ascii="Times New Roman" w:hAnsi="Times New Roman" w:cs="Times New Roman"/>
          <w:bCs/>
          <w:sz w:val="22"/>
          <w:szCs w:val="22"/>
        </w:rPr>
        <w:t xml:space="preserve">were </w:t>
      </w:r>
      <w:r w:rsidR="00662C78" w:rsidRPr="00822AB9">
        <w:rPr>
          <w:rFonts w:ascii="Times New Roman" w:hAnsi="Times New Roman" w:cs="Times New Roman"/>
          <w:bCs/>
          <w:sz w:val="22"/>
          <w:szCs w:val="22"/>
        </w:rPr>
        <w:t xml:space="preserve">informal (66 percent) and the sector </w:t>
      </w:r>
      <w:r w:rsidRPr="00822AB9">
        <w:rPr>
          <w:rFonts w:ascii="Times New Roman" w:hAnsi="Times New Roman" w:cs="Times New Roman"/>
          <w:bCs/>
          <w:sz w:val="22"/>
          <w:szCs w:val="22"/>
        </w:rPr>
        <w:t xml:space="preserve">was </w:t>
      </w:r>
      <w:r w:rsidR="00662C78" w:rsidRPr="00822AB9">
        <w:rPr>
          <w:rFonts w:ascii="Times New Roman" w:hAnsi="Times New Roman" w:cs="Times New Roman"/>
          <w:bCs/>
          <w:sz w:val="22"/>
          <w:szCs w:val="22"/>
        </w:rPr>
        <w:t xml:space="preserve">characterized by low productivity and underemployment. Lack of access to finance and land </w:t>
      </w:r>
      <w:r w:rsidRPr="00822AB9">
        <w:rPr>
          <w:rFonts w:ascii="Times New Roman" w:hAnsi="Times New Roman" w:cs="Times New Roman"/>
          <w:bCs/>
          <w:sz w:val="22"/>
          <w:szCs w:val="22"/>
        </w:rPr>
        <w:t xml:space="preserve">were </w:t>
      </w:r>
      <w:r w:rsidR="00662C78" w:rsidRPr="00822AB9">
        <w:rPr>
          <w:rFonts w:ascii="Times New Roman" w:hAnsi="Times New Roman" w:cs="Times New Roman"/>
          <w:bCs/>
          <w:sz w:val="22"/>
          <w:szCs w:val="22"/>
        </w:rPr>
        <w:t xml:space="preserve">the top one and two growth constraints for microenterprises.  </w:t>
      </w:r>
      <w:r w:rsidR="002F3EB5" w:rsidRPr="00822AB9">
        <w:rPr>
          <w:rFonts w:ascii="Times New Roman" w:hAnsi="Times New Roman" w:cs="Times New Roman"/>
          <w:bCs/>
          <w:sz w:val="22"/>
          <w:szCs w:val="22"/>
        </w:rPr>
        <w:t>E</w:t>
      </w:r>
      <w:r w:rsidR="00662C78" w:rsidRPr="00822AB9">
        <w:rPr>
          <w:rFonts w:ascii="Times New Roman" w:hAnsi="Times New Roman" w:cs="Times New Roman"/>
          <w:bCs/>
          <w:sz w:val="22"/>
          <w:szCs w:val="22"/>
        </w:rPr>
        <w:t xml:space="preserve">xternal finance </w:t>
      </w:r>
      <w:r w:rsidR="00984B1C" w:rsidRPr="00822AB9">
        <w:rPr>
          <w:rFonts w:ascii="Times New Roman" w:hAnsi="Times New Roman" w:cs="Times New Roman"/>
          <w:bCs/>
          <w:sz w:val="22"/>
          <w:szCs w:val="22"/>
        </w:rPr>
        <w:t>was</w:t>
      </w:r>
      <w:r w:rsidR="00662C78" w:rsidRPr="00822AB9">
        <w:rPr>
          <w:rFonts w:ascii="Times New Roman" w:hAnsi="Times New Roman" w:cs="Times New Roman"/>
          <w:bCs/>
          <w:sz w:val="22"/>
          <w:szCs w:val="22"/>
        </w:rPr>
        <w:t xml:space="preserve"> generally obtained from informal sources and suppliers.  The report conclude</w:t>
      </w:r>
      <w:r w:rsidRPr="00822AB9">
        <w:rPr>
          <w:rFonts w:ascii="Times New Roman" w:hAnsi="Times New Roman" w:cs="Times New Roman"/>
          <w:bCs/>
          <w:sz w:val="22"/>
          <w:szCs w:val="22"/>
        </w:rPr>
        <w:t>d</w:t>
      </w:r>
      <w:r w:rsidR="00662C78" w:rsidRPr="00822AB9">
        <w:rPr>
          <w:rFonts w:ascii="Times New Roman" w:hAnsi="Times New Roman" w:cs="Times New Roman"/>
          <w:bCs/>
          <w:sz w:val="22"/>
          <w:szCs w:val="22"/>
        </w:rPr>
        <w:t xml:space="preserve"> that improved access to finance could raise the average product</w:t>
      </w:r>
      <w:r w:rsidRPr="00822AB9">
        <w:rPr>
          <w:rFonts w:ascii="Times New Roman" w:hAnsi="Times New Roman" w:cs="Times New Roman"/>
          <w:bCs/>
          <w:sz w:val="22"/>
          <w:szCs w:val="22"/>
        </w:rPr>
        <w:t>ivity of microenterprises and found</w:t>
      </w:r>
      <w:r w:rsidR="00662C78" w:rsidRPr="00822AB9">
        <w:rPr>
          <w:rFonts w:ascii="Times New Roman" w:hAnsi="Times New Roman" w:cs="Times New Roman"/>
          <w:bCs/>
          <w:sz w:val="22"/>
          <w:szCs w:val="22"/>
        </w:rPr>
        <w:t xml:space="preserve"> that Government-financed business support programs ha</w:t>
      </w:r>
      <w:r w:rsidR="0055072F" w:rsidRPr="00822AB9">
        <w:rPr>
          <w:rFonts w:ascii="Times New Roman" w:hAnsi="Times New Roman" w:cs="Times New Roman"/>
          <w:bCs/>
          <w:sz w:val="22"/>
          <w:szCs w:val="22"/>
        </w:rPr>
        <w:t>d</w:t>
      </w:r>
      <w:r w:rsidR="00662C78" w:rsidRPr="00822AB9">
        <w:rPr>
          <w:rFonts w:ascii="Times New Roman" w:hAnsi="Times New Roman" w:cs="Times New Roman"/>
          <w:bCs/>
          <w:sz w:val="22"/>
          <w:szCs w:val="22"/>
        </w:rPr>
        <w:t xml:space="preserve"> not been successful in reaching microenterprises.    </w:t>
      </w:r>
    </w:p>
    <w:p w14:paraId="41458314" w14:textId="77777777" w:rsidR="00984B1C" w:rsidRPr="00822AB9" w:rsidRDefault="00984B1C" w:rsidP="003C4F65">
      <w:pPr>
        <w:pStyle w:val="ListParagraph"/>
        <w:tabs>
          <w:tab w:val="left" w:pos="360"/>
        </w:tabs>
        <w:ind w:left="0"/>
        <w:contextualSpacing w:val="0"/>
        <w:jc w:val="both"/>
        <w:rPr>
          <w:rFonts w:ascii="Times New Roman" w:hAnsi="Times New Roman" w:cs="Times New Roman"/>
          <w:bCs/>
          <w:sz w:val="22"/>
          <w:szCs w:val="22"/>
        </w:rPr>
      </w:pPr>
    </w:p>
    <w:p w14:paraId="4CA0D15E" w14:textId="77777777" w:rsidR="00984B1C" w:rsidRPr="00822AB9" w:rsidRDefault="00984B1C" w:rsidP="00F023C9">
      <w:pPr>
        <w:pStyle w:val="ListParagraph"/>
        <w:ind w:left="0"/>
        <w:jc w:val="both"/>
        <w:rPr>
          <w:rFonts w:ascii="Times New Roman" w:hAnsi="Times New Roman" w:cs="Times New Roman"/>
          <w:sz w:val="22"/>
          <w:szCs w:val="22"/>
        </w:rPr>
      </w:pPr>
      <w:r w:rsidRPr="00822AB9">
        <w:rPr>
          <w:rFonts w:ascii="Times New Roman" w:hAnsi="Times New Roman" w:cs="Times New Roman"/>
          <w:b/>
          <w:bCs/>
          <w:sz w:val="22"/>
          <w:szCs w:val="22"/>
        </w:rPr>
        <w:t>Formal SMEs are more credit constrained, considering financing as a key obstacle for the</w:t>
      </w:r>
      <w:r w:rsidR="0055072F" w:rsidRPr="00822AB9">
        <w:rPr>
          <w:rFonts w:ascii="Times New Roman" w:hAnsi="Times New Roman" w:cs="Times New Roman"/>
          <w:b/>
          <w:bCs/>
          <w:sz w:val="22"/>
          <w:szCs w:val="22"/>
        </w:rPr>
        <w:t>ir</w:t>
      </w:r>
      <w:r w:rsidRPr="00822AB9">
        <w:rPr>
          <w:rFonts w:ascii="Times New Roman" w:hAnsi="Times New Roman" w:cs="Times New Roman"/>
          <w:b/>
          <w:bCs/>
          <w:sz w:val="22"/>
          <w:szCs w:val="22"/>
        </w:rPr>
        <w:t xml:space="preserve"> operations</w:t>
      </w:r>
      <w:r w:rsidR="00DC1EF2" w:rsidRPr="00822AB9">
        <w:rPr>
          <w:rFonts w:ascii="Times New Roman" w:hAnsi="Times New Roman" w:cs="Times New Roman"/>
          <w:b/>
          <w:bCs/>
          <w:sz w:val="22"/>
          <w:szCs w:val="22"/>
        </w:rPr>
        <w:t>/</w:t>
      </w:r>
      <w:r w:rsidRPr="00822AB9">
        <w:rPr>
          <w:rFonts w:ascii="Times New Roman" w:hAnsi="Times New Roman" w:cs="Times New Roman"/>
          <w:b/>
          <w:bCs/>
          <w:sz w:val="22"/>
          <w:szCs w:val="22"/>
        </w:rPr>
        <w:t>growth and being less likely to have credit from financial institutions (W</w:t>
      </w:r>
      <w:r w:rsidR="006C3250" w:rsidRPr="00822AB9">
        <w:rPr>
          <w:rFonts w:ascii="Times New Roman" w:hAnsi="Times New Roman" w:cs="Times New Roman"/>
          <w:b/>
          <w:bCs/>
          <w:sz w:val="22"/>
          <w:szCs w:val="22"/>
        </w:rPr>
        <w:t>BES</w:t>
      </w:r>
      <w:r w:rsidRPr="00822AB9">
        <w:rPr>
          <w:rFonts w:ascii="Times New Roman" w:hAnsi="Times New Roman" w:cs="Times New Roman"/>
          <w:b/>
          <w:bCs/>
          <w:sz w:val="22"/>
          <w:szCs w:val="22"/>
        </w:rPr>
        <w:t xml:space="preserve">).   </w:t>
      </w:r>
      <w:r w:rsidRPr="00822AB9">
        <w:rPr>
          <w:rFonts w:ascii="Times New Roman" w:hAnsi="Times New Roman" w:cs="Times New Roman"/>
          <w:bCs/>
          <w:sz w:val="22"/>
          <w:szCs w:val="22"/>
        </w:rPr>
        <w:t>While only 1 percent of large enterprises consider access to financing as a problem, 41 percent of small businesses and 29 percent of medium business think it is a major obstacle for their business. Consistent with these perceptions, a lower percentage of SMEs in Namibia have loans/lines of credit compared with SMEs in upper MICs or LAC</w:t>
      </w:r>
      <w:r w:rsidR="007A1979" w:rsidRPr="00822AB9">
        <w:rPr>
          <w:rFonts w:ascii="Times New Roman" w:hAnsi="Times New Roman" w:cs="Times New Roman"/>
          <w:bCs/>
          <w:sz w:val="22"/>
          <w:szCs w:val="22"/>
        </w:rPr>
        <w:t xml:space="preserve"> (Figure 11</w:t>
      </w:r>
      <w:r w:rsidR="0055072F" w:rsidRPr="00822AB9">
        <w:rPr>
          <w:rFonts w:ascii="Times New Roman" w:hAnsi="Times New Roman" w:cs="Times New Roman"/>
          <w:bCs/>
          <w:sz w:val="22"/>
          <w:szCs w:val="22"/>
        </w:rPr>
        <w:t>)</w:t>
      </w:r>
      <w:r w:rsidRPr="00822AB9">
        <w:rPr>
          <w:rFonts w:ascii="Times New Roman" w:hAnsi="Times New Roman" w:cs="Times New Roman"/>
          <w:bCs/>
          <w:sz w:val="22"/>
          <w:szCs w:val="22"/>
        </w:rPr>
        <w:t>.  Interestingly</w:t>
      </w:r>
      <w:r w:rsidR="00DE66D2" w:rsidRPr="00822AB9">
        <w:rPr>
          <w:rFonts w:ascii="Times New Roman" w:hAnsi="Times New Roman" w:cs="Times New Roman"/>
          <w:bCs/>
          <w:sz w:val="22"/>
          <w:szCs w:val="22"/>
        </w:rPr>
        <w:t xml:space="preserve"> (and in contrast with international experience)</w:t>
      </w:r>
      <w:r w:rsidRPr="00822AB9">
        <w:rPr>
          <w:rFonts w:ascii="Times New Roman" w:hAnsi="Times New Roman" w:cs="Times New Roman"/>
          <w:bCs/>
          <w:sz w:val="22"/>
          <w:szCs w:val="22"/>
        </w:rPr>
        <w:t xml:space="preserve">, the </w:t>
      </w:r>
      <w:r w:rsidRPr="00822AB9">
        <w:rPr>
          <w:rFonts w:ascii="Times New Roman" w:hAnsi="Times New Roman" w:cs="Times New Roman"/>
          <w:bCs/>
          <w:sz w:val="22"/>
          <w:szCs w:val="22"/>
        </w:rPr>
        <w:lastRenderedPageBreak/>
        <w:t xml:space="preserve">percentage of SMEs with loans/lines of credit is bigger than that of large enterprises in Namibia. The relatively low percentage of large enterprises with credit emerges from reported lack of need as </w:t>
      </w:r>
      <w:r w:rsidRPr="00822AB9">
        <w:rPr>
          <w:rFonts w:ascii="Times New Roman" w:hAnsi="Times New Roman" w:cs="Times New Roman"/>
          <w:sz w:val="22"/>
          <w:szCs w:val="22"/>
        </w:rPr>
        <w:t xml:space="preserve">four out of each five large firms in Namibia report not needing a loan (Figure 9).  </w:t>
      </w:r>
    </w:p>
    <w:p w14:paraId="508CEFDE" w14:textId="77777777" w:rsidR="00984B1C" w:rsidRPr="00822AB9" w:rsidRDefault="00984B1C" w:rsidP="00634742">
      <w:pPr>
        <w:spacing w:after="0" w:line="240" w:lineRule="auto"/>
        <w:jc w:val="both"/>
        <w:rPr>
          <w:rFonts w:ascii="Times New Roman" w:hAnsi="Times New Roman" w:cs="Times New Roman"/>
        </w:rPr>
      </w:pPr>
    </w:p>
    <w:p w14:paraId="49DB06FE" w14:textId="77777777" w:rsidR="00984B1C" w:rsidRPr="00822AB9" w:rsidRDefault="007A1979" w:rsidP="00634742">
      <w:pPr>
        <w:pStyle w:val="ListParagraph"/>
        <w:tabs>
          <w:tab w:val="left" w:pos="360"/>
        </w:tabs>
        <w:ind w:left="0"/>
        <w:contextualSpacing w:val="0"/>
        <w:jc w:val="center"/>
        <w:rPr>
          <w:rFonts w:ascii="Times New Roman" w:hAnsi="Times New Roman" w:cs="Times New Roman"/>
          <w:b/>
          <w:bCs/>
          <w:sz w:val="22"/>
          <w:szCs w:val="22"/>
        </w:rPr>
      </w:pPr>
      <w:r w:rsidRPr="00822AB9">
        <w:rPr>
          <w:rFonts w:ascii="Times New Roman" w:hAnsi="Times New Roman" w:cs="Times New Roman"/>
          <w:b/>
          <w:bCs/>
          <w:sz w:val="22"/>
          <w:szCs w:val="22"/>
        </w:rPr>
        <w:t>Figure 11</w:t>
      </w:r>
      <w:r w:rsidR="00984B1C" w:rsidRPr="00822AB9">
        <w:rPr>
          <w:rFonts w:ascii="Times New Roman" w:hAnsi="Times New Roman" w:cs="Times New Roman"/>
          <w:b/>
          <w:bCs/>
          <w:sz w:val="22"/>
          <w:szCs w:val="22"/>
        </w:rPr>
        <w:t>: Firms (formal) with bank loan / line of credit</w:t>
      </w:r>
    </w:p>
    <w:p w14:paraId="72A814F6" w14:textId="77777777" w:rsidR="00984B1C" w:rsidRPr="00822AB9" w:rsidRDefault="00984B1C" w:rsidP="00634742">
      <w:pPr>
        <w:spacing w:after="0" w:line="240" w:lineRule="auto"/>
        <w:jc w:val="center"/>
        <w:rPr>
          <w:rFonts w:ascii="Times New Roman" w:hAnsi="Times New Roman" w:cs="Times New Roman"/>
        </w:rPr>
      </w:pPr>
      <w:r w:rsidRPr="00822AB9">
        <w:rPr>
          <w:rFonts w:ascii="Times New Roman" w:hAnsi="Times New Roman" w:cs="Times New Roman"/>
          <w:noProof/>
        </w:rPr>
        <w:drawing>
          <wp:inline distT="0" distB="0" distL="0" distR="0" wp14:anchorId="0CF700BA" wp14:editId="7AE39B6F">
            <wp:extent cx="5819775" cy="18669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3927A4" w14:textId="77777777" w:rsidR="00984B1C" w:rsidRPr="00822AB9" w:rsidRDefault="00984B1C" w:rsidP="00634742">
      <w:pPr>
        <w:pStyle w:val="ListParagraph"/>
        <w:tabs>
          <w:tab w:val="left" w:pos="360"/>
        </w:tabs>
        <w:ind w:left="0"/>
        <w:contextualSpacing w:val="0"/>
        <w:jc w:val="center"/>
        <w:rPr>
          <w:rFonts w:ascii="Times New Roman" w:hAnsi="Times New Roman" w:cs="Times New Roman"/>
          <w:bCs/>
          <w:i/>
          <w:sz w:val="22"/>
          <w:szCs w:val="22"/>
        </w:rPr>
      </w:pPr>
      <w:r w:rsidRPr="00822AB9">
        <w:rPr>
          <w:rFonts w:ascii="Times New Roman" w:hAnsi="Times New Roman" w:cs="Times New Roman"/>
          <w:bCs/>
          <w:i/>
          <w:sz w:val="22"/>
          <w:szCs w:val="22"/>
        </w:rPr>
        <w:t>Source: World Bank Enterprise Survey</w:t>
      </w:r>
    </w:p>
    <w:p w14:paraId="6CB2853C" w14:textId="77777777" w:rsidR="00984B1C" w:rsidRPr="00822AB9" w:rsidRDefault="00984B1C" w:rsidP="00634742">
      <w:pPr>
        <w:pStyle w:val="ListParagraph"/>
        <w:tabs>
          <w:tab w:val="left" w:pos="360"/>
        </w:tabs>
        <w:ind w:left="0"/>
        <w:contextualSpacing w:val="0"/>
        <w:jc w:val="center"/>
        <w:rPr>
          <w:rFonts w:ascii="Times New Roman" w:hAnsi="Times New Roman" w:cs="Times New Roman"/>
          <w:bCs/>
          <w:i/>
          <w:sz w:val="22"/>
          <w:szCs w:val="22"/>
        </w:rPr>
      </w:pPr>
    </w:p>
    <w:p w14:paraId="17AE33A7" w14:textId="5D5AA7AF" w:rsidR="00984B1C" w:rsidRPr="00822AB9" w:rsidRDefault="00984B1C" w:rsidP="00F023C9">
      <w:pPr>
        <w:pStyle w:val="ListParagraph"/>
        <w:ind w:left="0"/>
        <w:jc w:val="both"/>
        <w:rPr>
          <w:rFonts w:ascii="Times New Roman" w:hAnsi="Times New Roman" w:cs="Times New Roman"/>
          <w:sz w:val="22"/>
          <w:szCs w:val="22"/>
        </w:rPr>
      </w:pPr>
      <w:r w:rsidRPr="00822AB9">
        <w:rPr>
          <w:rFonts w:ascii="Times New Roman" w:hAnsi="Times New Roman" w:cs="Times New Roman"/>
          <w:b/>
          <w:sz w:val="22"/>
          <w:szCs w:val="22"/>
        </w:rPr>
        <w:t>A remarkably low percentage of Namibian firms use banks to fi</w:t>
      </w:r>
      <w:r w:rsidR="00DC1EF2" w:rsidRPr="00822AB9">
        <w:rPr>
          <w:rFonts w:ascii="Times New Roman" w:hAnsi="Times New Roman" w:cs="Times New Roman"/>
          <w:b/>
          <w:sz w:val="22"/>
          <w:szCs w:val="22"/>
        </w:rPr>
        <w:t>nance wor</w:t>
      </w:r>
      <w:r w:rsidR="007A1979" w:rsidRPr="00822AB9">
        <w:rPr>
          <w:rFonts w:ascii="Times New Roman" w:hAnsi="Times New Roman" w:cs="Times New Roman"/>
          <w:b/>
          <w:sz w:val="22"/>
          <w:szCs w:val="22"/>
        </w:rPr>
        <w:t>king capital (Figure 12</w:t>
      </w:r>
      <w:r w:rsidRPr="00822AB9">
        <w:rPr>
          <w:rFonts w:ascii="Times New Roman" w:hAnsi="Times New Roman" w:cs="Times New Roman"/>
          <w:b/>
          <w:sz w:val="22"/>
          <w:szCs w:val="22"/>
        </w:rPr>
        <w:t>).</w:t>
      </w:r>
      <w:r w:rsidRPr="00822AB9">
        <w:rPr>
          <w:rFonts w:ascii="Times New Roman" w:hAnsi="Times New Roman" w:cs="Times New Roman"/>
          <w:sz w:val="22"/>
          <w:szCs w:val="22"/>
        </w:rPr>
        <w:t xml:space="preserve">  While Namibian enterprises compare relatively well with other countries in terms of the percentage using banks to finance investments, the use of bank financing for working capital is very low.  Interestingly, large firms in Namibia are less likely to use banks to finance their investments or working capital compared with SMEs.  This is in contrast with trends in other African countries and income-group comparators. </w:t>
      </w:r>
      <w:r w:rsidR="00DE66D2" w:rsidRPr="00822AB9">
        <w:rPr>
          <w:rFonts w:ascii="Times New Roman" w:hAnsi="Times New Roman" w:cs="Times New Roman"/>
          <w:bCs/>
          <w:sz w:val="22"/>
          <w:szCs w:val="22"/>
        </w:rPr>
        <w:t>In other countries, as enterprises grow in size, a greater percentage of them have loans/lines of credit from financial institutions to finance working capital and/or investments but the opposite trend is observed in Namibia. Larger firms in Namibia tend to be more self-funded for investment and working capital.  To a large extent, large firms in Namibia are not using credit due to reported lack of need (</w:t>
      </w:r>
      <w:r w:rsidR="000C2FDD" w:rsidRPr="00822AB9">
        <w:rPr>
          <w:rFonts w:ascii="Times New Roman" w:hAnsi="Times New Roman" w:cs="Times New Roman"/>
          <w:sz w:val="22"/>
          <w:szCs w:val="22"/>
        </w:rPr>
        <w:t>four out of</w:t>
      </w:r>
      <w:r w:rsidR="00DE66D2" w:rsidRPr="00822AB9">
        <w:rPr>
          <w:rFonts w:ascii="Times New Roman" w:hAnsi="Times New Roman" w:cs="Times New Roman"/>
          <w:sz w:val="22"/>
          <w:szCs w:val="22"/>
        </w:rPr>
        <w:t xml:space="preserve"> five large firms in Namibia reports not needing a loan at all)</w:t>
      </w:r>
      <w:r w:rsidR="006C3250" w:rsidRPr="00822AB9">
        <w:rPr>
          <w:rFonts w:ascii="Times New Roman" w:hAnsi="Times New Roman" w:cs="Times New Roman"/>
          <w:sz w:val="22"/>
          <w:szCs w:val="22"/>
        </w:rPr>
        <w:t>.</w:t>
      </w:r>
    </w:p>
    <w:p w14:paraId="79DFDC75" w14:textId="77777777" w:rsidR="000C2FDD" w:rsidRPr="00822AB9" w:rsidRDefault="000C2FDD" w:rsidP="00634742">
      <w:pPr>
        <w:spacing w:after="0" w:line="240" w:lineRule="auto"/>
        <w:jc w:val="both"/>
        <w:rPr>
          <w:rFonts w:ascii="Times New Roman" w:hAnsi="Times New Roman" w:cs="Times New Roman"/>
          <w:b/>
          <w:bCs/>
        </w:rPr>
      </w:pPr>
    </w:p>
    <w:p w14:paraId="11005407" w14:textId="77777777" w:rsidR="00984B1C" w:rsidRPr="00822AB9" w:rsidRDefault="00984B1C" w:rsidP="00634742">
      <w:pPr>
        <w:pStyle w:val="ListParagraph"/>
        <w:tabs>
          <w:tab w:val="left" w:pos="360"/>
        </w:tabs>
        <w:ind w:left="0"/>
        <w:contextualSpacing w:val="0"/>
        <w:jc w:val="center"/>
        <w:rPr>
          <w:rFonts w:ascii="Times New Roman" w:hAnsi="Times New Roman" w:cs="Times New Roman"/>
          <w:b/>
          <w:bCs/>
          <w:sz w:val="22"/>
          <w:szCs w:val="22"/>
        </w:rPr>
      </w:pPr>
      <w:r w:rsidRPr="00822AB9">
        <w:rPr>
          <w:rFonts w:ascii="Times New Roman" w:hAnsi="Times New Roman" w:cs="Times New Roman"/>
          <w:b/>
          <w:bCs/>
          <w:sz w:val="22"/>
          <w:szCs w:val="22"/>
        </w:rPr>
        <w:t>Figure 1</w:t>
      </w:r>
      <w:r w:rsidR="007A1979" w:rsidRPr="00822AB9">
        <w:rPr>
          <w:rFonts w:ascii="Times New Roman" w:hAnsi="Times New Roman" w:cs="Times New Roman"/>
          <w:b/>
          <w:bCs/>
          <w:sz w:val="22"/>
          <w:szCs w:val="22"/>
        </w:rPr>
        <w:t>2</w:t>
      </w:r>
      <w:r w:rsidRPr="00822AB9">
        <w:rPr>
          <w:rFonts w:ascii="Times New Roman" w:hAnsi="Times New Roman" w:cs="Times New Roman"/>
          <w:b/>
          <w:bCs/>
          <w:sz w:val="22"/>
          <w:szCs w:val="22"/>
        </w:rPr>
        <w:t>: Firms using banks to finance investments and working capital</w:t>
      </w:r>
    </w:p>
    <w:p w14:paraId="54A45986" w14:textId="77777777" w:rsidR="00984B1C" w:rsidRPr="00822AB9" w:rsidRDefault="00984B1C" w:rsidP="00634742">
      <w:pPr>
        <w:pStyle w:val="ListParagraph"/>
        <w:tabs>
          <w:tab w:val="left" w:pos="360"/>
        </w:tabs>
        <w:ind w:left="0"/>
        <w:contextualSpacing w:val="0"/>
        <w:jc w:val="center"/>
        <w:rPr>
          <w:rFonts w:ascii="Times New Roman" w:hAnsi="Times New Roman" w:cs="Times New Roman"/>
          <w:sz w:val="22"/>
          <w:szCs w:val="22"/>
        </w:rPr>
      </w:pPr>
    </w:p>
    <w:p w14:paraId="400B405F" w14:textId="77777777" w:rsidR="00984B1C" w:rsidRPr="00822AB9" w:rsidRDefault="00984B1C" w:rsidP="00634742">
      <w:pPr>
        <w:spacing w:after="0" w:line="240" w:lineRule="auto"/>
        <w:jc w:val="center"/>
        <w:rPr>
          <w:rFonts w:ascii="Times New Roman" w:hAnsi="Times New Roman" w:cs="Times New Roman"/>
        </w:rPr>
      </w:pPr>
      <w:r w:rsidRPr="00822AB9">
        <w:rPr>
          <w:rFonts w:ascii="Times New Roman" w:hAnsi="Times New Roman" w:cs="Times New Roman"/>
          <w:noProof/>
        </w:rPr>
        <w:drawing>
          <wp:inline distT="0" distB="0" distL="0" distR="0" wp14:anchorId="08CEF68D" wp14:editId="06D53134">
            <wp:extent cx="5762625" cy="1724025"/>
            <wp:effectExtent l="0" t="0" r="9525" b="9525"/>
            <wp:docPr id="2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B15C6C" w14:textId="77777777" w:rsidR="00984B1C" w:rsidRPr="00822AB9" w:rsidRDefault="00984B1C" w:rsidP="00634742">
      <w:pPr>
        <w:spacing w:after="0" w:line="240" w:lineRule="auto"/>
        <w:jc w:val="center"/>
        <w:rPr>
          <w:rFonts w:ascii="Times New Roman" w:hAnsi="Times New Roman" w:cs="Times New Roman"/>
        </w:rPr>
      </w:pPr>
      <w:r w:rsidRPr="00822AB9">
        <w:rPr>
          <w:rFonts w:ascii="Times New Roman" w:hAnsi="Times New Roman" w:cs="Times New Roman"/>
          <w:noProof/>
        </w:rPr>
        <w:lastRenderedPageBreak/>
        <w:drawing>
          <wp:inline distT="0" distB="0" distL="0" distR="0" wp14:anchorId="3BCD5149" wp14:editId="4EB43C9A">
            <wp:extent cx="5762625" cy="1724025"/>
            <wp:effectExtent l="0" t="0" r="9525" b="9525"/>
            <wp:docPr id="2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13361E4" w14:textId="77777777" w:rsidR="00984B1C" w:rsidRPr="00822AB9" w:rsidRDefault="00984B1C" w:rsidP="00634742">
      <w:pPr>
        <w:pStyle w:val="ListParagraph"/>
        <w:tabs>
          <w:tab w:val="left" w:pos="360"/>
        </w:tabs>
        <w:ind w:left="0"/>
        <w:contextualSpacing w:val="0"/>
        <w:jc w:val="center"/>
        <w:rPr>
          <w:rFonts w:ascii="Times New Roman" w:hAnsi="Times New Roman" w:cs="Times New Roman"/>
          <w:bCs/>
          <w:i/>
          <w:sz w:val="22"/>
          <w:szCs w:val="22"/>
        </w:rPr>
      </w:pPr>
      <w:r w:rsidRPr="00822AB9">
        <w:rPr>
          <w:rFonts w:ascii="Times New Roman" w:hAnsi="Times New Roman" w:cs="Times New Roman"/>
          <w:bCs/>
          <w:i/>
          <w:sz w:val="22"/>
          <w:szCs w:val="22"/>
        </w:rPr>
        <w:t xml:space="preserve">Source: World Bank Enterprise Survey </w:t>
      </w:r>
    </w:p>
    <w:p w14:paraId="3B3F4CAF" w14:textId="77777777" w:rsidR="00984B1C" w:rsidRPr="00822AB9" w:rsidRDefault="00984B1C" w:rsidP="00634742">
      <w:pPr>
        <w:pStyle w:val="ListParagraph"/>
        <w:tabs>
          <w:tab w:val="left" w:pos="360"/>
        </w:tabs>
        <w:ind w:left="0"/>
        <w:contextualSpacing w:val="0"/>
        <w:jc w:val="both"/>
        <w:rPr>
          <w:rFonts w:ascii="Times New Roman" w:hAnsi="Times New Roman" w:cs="Times New Roman"/>
          <w:b/>
          <w:sz w:val="22"/>
          <w:szCs w:val="22"/>
        </w:rPr>
      </w:pPr>
    </w:p>
    <w:p w14:paraId="280EA7DE" w14:textId="05ADDE55" w:rsidR="00704798" w:rsidRPr="00822AB9" w:rsidRDefault="00984B1C" w:rsidP="00F023C9">
      <w:pPr>
        <w:pStyle w:val="ListParagraph"/>
        <w:ind w:left="0"/>
        <w:contextualSpacing w:val="0"/>
        <w:jc w:val="both"/>
        <w:rPr>
          <w:rFonts w:ascii="Times New Roman" w:hAnsi="Times New Roman" w:cs="Times New Roman"/>
          <w:sz w:val="22"/>
          <w:szCs w:val="22"/>
        </w:rPr>
      </w:pPr>
      <w:r w:rsidRPr="00822AB9">
        <w:rPr>
          <w:rFonts w:ascii="Times New Roman" w:hAnsi="Times New Roman" w:cs="Times New Roman"/>
          <w:b/>
          <w:color w:val="auto"/>
          <w:sz w:val="22"/>
          <w:szCs w:val="22"/>
        </w:rPr>
        <w:t>Banks</w:t>
      </w:r>
      <w:r w:rsidRPr="00822AB9">
        <w:rPr>
          <w:rFonts w:ascii="Times New Roman" w:hAnsi="Times New Roman" w:cs="Times New Roman"/>
          <w:b/>
          <w:sz w:val="22"/>
          <w:szCs w:val="22"/>
        </w:rPr>
        <w:t xml:space="preserve"> are the most relevant source of external financing for </w:t>
      </w:r>
      <w:r w:rsidR="006C3250" w:rsidRPr="00822AB9">
        <w:rPr>
          <w:rFonts w:ascii="Times New Roman" w:hAnsi="Times New Roman" w:cs="Times New Roman"/>
          <w:b/>
          <w:sz w:val="22"/>
          <w:szCs w:val="22"/>
        </w:rPr>
        <w:t xml:space="preserve">formal </w:t>
      </w:r>
      <w:r w:rsidRPr="00822AB9">
        <w:rPr>
          <w:rFonts w:ascii="Times New Roman" w:hAnsi="Times New Roman" w:cs="Times New Roman"/>
          <w:b/>
          <w:sz w:val="22"/>
          <w:szCs w:val="22"/>
        </w:rPr>
        <w:t>Namibian enterprises, particularly for long term financing</w:t>
      </w:r>
      <w:r w:rsidR="007A1979" w:rsidRPr="00822AB9">
        <w:rPr>
          <w:rFonts w:ascii="Times New Roman" w:hAnsi="Times New Roman" w:cs="Times New Roman"/>
          <w:b/>
          <w:sz w:val="22"/>
          <w:szCs w:val="22"/>
        </w:rPr>
        <w:t xml:space="preserve"> (Figure 13</w:t>
      </w:r>
      <w:r w:rsidRPr="00822AB9">
        <w:rPr>
          <w:rFonts w:ascii="Times New Roman" w:hAnsi="Times New Roman" w:cs="Times New Roman"/>
          <w:b/>
          <w:sz w:val="22"/>
          <w:szCs w:val="22"/>
        </w:rPr>
        <w:t xml:space="preserve">).  </w:t>
      </w:r>
      <w:r w:rsidRPr="00822AB9">
        <w:rPr>
          <w:rFonts w:ascii="Times New Roman" w:hAnsi="Times New Roman" w:cs="Times New Roman"/>
          <w:sz w:val="22"/>
          <w:szCs w:val="22"/>
        </w:rPr>
        <w:t xml:space="preserve">As it occurs in other countries, Namibian enterprises fund most of their working capital and investment with retained earnings, with banks being the most relevant source of external financing for investments.  In fact, more than one quarter of the financing of firms’ investments comes from banks; notably higher than the six percent that is used to fund working capital. Firms are much more reliant on internal funds for their working capital, </w:t>
      </w:r>
      <w:r w:rsidR="000C2FDD" w:rsidRPr="00822AB9">
        <w:rPr>
          <w:rFonts w:ascii="Times New Roman" w:hAnsi="Times New Roman" w:cs="Times New Roman"/>
          <w:sz w:val="22"/>
          <w:szCs w:val="22"/>
        </w:rPr>
        <w:t>85</w:t>
      </w:r>
      <w:r w:rsidRPr="00822AB9">
        <w:rPr>
          <w:rFonts w:ascii="Times New Roman" w:hAnsi="Times New Roman" w:cs="Times New Roman"/>
          <w:sz w:val="22"/>
          <w:szCs w:val="22"/>
        </w:rPr>
        <w:t xml:space="preserve"> percent of which comes from internal sources.  As expected, firms in Namibia are much more likely to utilize supplier credit as a source for funding of their day-to-day operations, rather than fixed asset investment.  </w:t>
      </w:r>
    </w:p>
    <w:p w14:paraId="554AA78B" w14:textId="77777777" w:rsidR="00704798" w:rsidRPr="00822AB9" w:rsidRDefault="00704798" w:rsidP="00634742">
      <w:pPr>
        <w:spacing w:after="0" w:line="240" w:lineRule="auto"/>
        <w:jc w:val="center"/>
        <w:rPr>
          <w:rFonts w:ascii="Times New Roman" w:hAnsi="Times New Roman" w:cs="Times New Roman"/>
          <w:b/>
          <w:bCs/>
        </w:rPr>
      </w:pPr>
    </w:p>
    <w:p w14:paraId="727A29BE" w14:textId="77777777" w:rsidR="00984B1C" w:rsidRPr="00822AB9" w:rsidRDefault="007A1979" w:rsidP="00634742">
      <w:pPr>
        <w:spacing w:after="0" w:line="240" w:lineRule="auto"/>
        <w:jc w:val="center"/>
        <w:rPr>
          <w:rFonts w:ascii="Times New Roman" w:hAnsi="Times New Roman" w:cs="Times New Roman"/>
          <w:b/>
          <w:bCs/>
        </w:rPr>
      </w:pPr>
      <w:r w:rsidRPr="00822AB9">
        <w:rPr>
          <w:rFonts w:ascii="Times New Roman" w:hAnsi="Times New Roman" w:cs="Times New Roman"/>
          <w:b/>
          <w:bCs/>
        </w:rPr>
        <w:t>Figure 13</w:t>
      </w:r>
      <w:r w:rsidR="00984B1C" w:rsidRPr="00822AB9">
        <w:rPr>
          <w:rFonts w:ascii="Times New Roman" w:hAnsi="Times New Roman" w:cs="Times New Roman"/>
          <w:b/>
          <w:bCs/>
        </w:rPr>
        <w:t xml:space="preserve">: Source of Financing by Type </w:t>
      </w:r>
    </w:p>
    <w:p w14:paraId="53A0638B" w14:textId="77777777" w:rsidR="00984B1C" w:rsidRPr="00822AB9" w:rsidRDefault="00984B1C" w:rsidP="00634742">
      <w:pPr>
        <w:spacing w:after="0" w:line="240" w:lineRule="auto"/>
        <w:jc w:val="both"/>
        <w:rPr>
          <w:rFonts w:ascii="Times New Roman" w:hAnsi="Times New Roman" w:cs="Times New Roman"/>
        </w:rPr>
      </w:pPr>
      <w:r w:rsidRPr="00822AB9">
        <w:rPr>
          <w:rFonts w:ascii="Times New Roman" w:hAnsi="Times New Roman" w:cs="Times New Roman"/>
          <w:noProof/>
        </w:rPr>
        <w:drawing>
          <wp:inline distT="0" distB="0" distL="0" distR="0" wp14:anchorId="7385CD0A" wp14:editId="6F17E474">
            <wp:extent cx="5943600" cy="1757680"/>
            <wp:effectExtent l="0" t="0" r="0"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17BFB6" w14:textId="77777777" w:rsidR="00984B1C" w:rsidRPr="00822AB9" w:rsidRDefault="00984B1C" w:rsidP="00634742">
      <w:pPr>
        <w:pStyle w:val="ListParagraph"/>
        <w:tabs>
          <w:tab w:val="left" w:pos="360"/>
        </w:tabs>
        <w:ind w:left="0"/>
        <w:contextualSpacing w:val="0"/>
        <w:jc w:val="center"/>
        <w:rPr>
          <w:rFonts w:ascii="Times New Roman" w:hAnsi="Times New Roman" w:cs="Times New Roman"/>
          <w:bCs/>
          <w:i/>
          <w:sz w:val="22"/>
          <w:szCs w:val="22"/>
        </w:rPr>
      </w:pPr>
      <w:r w:rsidRPr="00822AB9">
        <w:rPr>
          <w:rFonts w:ascii="Times New Roman" w:hAnsi="Times New Roman" w:cs="Times New Roman"/>
          <w:bCs/>
          <w:i/>
          <w:sz w:val="22"/>
          <w:szCs w:val="22"/>
        </w:rPr>
        <w:t xml:space="preserve">Source: World Bank Enterprise Survey </w:t>
      </w:r>
    </w:p>
    <w:p w14:paraId="69227864" w14:textId="77777777" w:rsidR="00984B1C" w:rsidRPr="00822AB9" w:rsidRDefault="00984B1C" w:rsidP="00634742">
      <w:pPr>
        <w:pStyle w:val="ListParagraph"/>
        <w:contextualSpacing w:val="0"/>
        <w:jc w:val="both"/>
        <w:rPr>
          <w:rFonts w:ascii="Times New Roman" w:hAnsi="Times New Roman" w:cs="Times New Roman"/>
          <w:sz w:val="22"/>
          <w:szCs w:val="22"/>
        </w:rPr>
      </w:pPr>
    </w:p>
    <w:p w14:paraId="6A7174E9" w14:textId="19ED868F" w:rsidR="00984B1C" w:rsidRPr="00822AB9" w:rsidRDefault="00984B1C" w:rsidP="00F023C9">
      <w:pPr>
        <w:pStyle w:val="ListParagraph"/>
        <w:ind w:left="0"/>
        <w:jc w:val="both"/>
        <w:rPr>
          <w:rFonts w:ascii="Times New Roman" w:hAnsi="Times New Roman" w:cs="Times New Roman"/>
          <w:sz w:val="22"/>
          <w:szCs w:val="22"/>
        </w:rPr>
      </w:pPr>
      <w:r w:rsidRPr="00822AB9">
        <w:rPr>
          <w:rFonts w:ascii="Times New Roman" w:hAnsi="Times New Roman" w:cs="Times New Roman"/>
          <w:b/>
          <w:sz w:val="22"/>
          <w:szCs w:val="22"/>
        </w:rPr>
        <w:t>Interestingly, smaller enterprises recur to external financing to a greater extent to fund investments and working capital compared with large firms (Figures 1</w:t>
      </w:r>
      <w:r w:rsidR="007A1979" w:rsidRPr="00822AB9">
        <w:rPr>
          <w:rFonts w:ascii="Times New Roman" w:hAnsi="Times New Roman" w:cs="Times New Roman"/>
          <w:b/>
          <w:sz w:val="22"/>
          <w:szCs w:val="22"/>
        </w:rPr>
        <w:t>4 and 16</w:t>
      </w:r>
      <w:r w:rsidRPr="00822AB9">
        <w:rPr>
          <w:rFonts w:ascii="Times New Roman" w:hAnsi="Times New Roman" w:cs="Times New Roman"/>
          <w:b/>
          <w:sz w:val="22"/>
          <w:szCs w:val="22"/>
        </w:rPr>
        <w:t>).</w:t>
      </w:r>
      <w:r w:rsidRPr="00822AB9">
        <w:rPr>
          <w:rFonts w:ascii="Times New Roman" w:hAnsi="Times New Roman" w:cs="Times New Roman"/>
          <w:sz w:val="22"/>
          <w:szCs w:val="22"/>
        </w:rPr>
        <w:t xml:space="preserve">  Small firms fund their fixed asset purchases much less through internal funds (58% funding) when compared to medium (83%) and large (86%) firms. In fact, small firms turn to banks and other (often informal) sources to finance their investments. </w:t>
      </w:r>
      <w:r w:rsidRPr="00822AB9">
        <w:rPr>
          <w:rFonts w:ascii="Times New Roman" w:hAnsi="Times New Roman" w:cs="Times New Roman"/>
          <w:bCs/>
          <w:sz w:val="22"/>
          <w:szCs w:val="22"/>
        </w:rPr>
        <w:t>Small firms are investing in fixed assets at lower rates than their larger peers</w:t>
      </w:r>
      <w:r w:rsidR="007A1979" w:rsidRPr="00822AB9">
        <w:rPr>
          <w:rFonts w:ascii="Times New Roman" w:hAnsi="Times New Roman" w:cs="Times New Roman"/>
          <w:bCs/>
          <w:sz w:val="22"/>
          <w:szCs w:val="22"/>
        </w:rPr>
        <w:t xml:space="preserve"> (Figure 15)</w:t>
      </w:r>
      <w:r w:rsidRPr="00822AB9">
        <w:rPr>
          <w:rFonts w:ascii="Times New Roman" w:hAnsi="Times New Roman" w:cs="Times New Roman"/>
          <w:bCs/>
          <w:sz w:val="22"/>
          <w:szCs w:val="22"/>
        </w:rPr>
        <w:t>.  R</w:t>
      </w:r>
      <w:r w:rsidRPr="00822AB9">
        <w:rPr>
          <w:rFonts w:ascii="Times New Roman" w:hAnsi="Times New Roman" w:cs="Times New Roman"/>
          <w:sz w:val="22"/>
          <w:szCs w:val="22"/>
        </w:rPr>
        <w:t>eliance on external sources runs parallel to lagging investment by SMEs (especially among the smallest firms –i.e. those with 20 or fewer employees). Roughly a third of small firms report</w:t>
      </w:r>
      <w:r w:rsidR="00133841" w:rsidRPr="00822AB9">
        <w:rPr>
          <w:rFonts w:ascii="Times New Roman" w:hAnsi="Times New Roman" w:cs="Times New Roman"/>
          <w:sz w:val="22"/>
          <w:szCs w:val="22"/>
        </w:rPr>
        <w:t>s</w:t>
      </w:r>
      <w:r w:rsidRPr="00822AB9">
        <w:rPr>
          <w:rFonts w:ascii="Times New Roman" w:hAnsi="Times New Roman" w:cs="Times New Roman"/>
          <w:sz w:val="22"/>
          <w:szCs w:val="22"/>
        </w:rPr>
        <w:t xml:space="preserve"> having purchased fixed assets in the last fiscal year, decidedly trailing rates among medium-sized firms (70 percent) and large firms (82 percent).</w:t>
      </w:r>
    </w:p>
    <w:p w14:paraId="7A371275"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2DCBF975"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052DC72A"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483E3893"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160D4096"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15738486" w14:textId="77777777" w:rsidR="00822AB9" w:rsidRDefault="00822AB9" w:rsidP="00634742">
      <w:pPr>
        <w:pStyle w:val="ListParagraph"/>
        <w:tabs>
          <w:tab w:val="left" w:pos="360"/>
        </w:tabs>
        <w:ind w:left="0"/>
        <w:contextualSpacing w:val="0"/>
        <w:jc w:val="center"/>
        <w:rPr>
          <w:rFonts w:ascii="Times New Roman" w:hAnsi="Times New Roman" w:cs="Times New Roman"/>
          <w:b/>
          <w:sz w:val="22"/>
          <w:szCs w:val="22"/>
        </w:rPr>
      </w:pPr>
    </w:p>
    <w:p w14:paraId="1D9EEDA8" w14:textId="77777777" w:rsidR="00984B1C" w:rsidRPr="00822AB9" w:rsidRDefault="00984B1C" w:rsidP="00634742">
      <w:pPr>
        <w:pStyle w:val="ListParagraph"/>
        <w:tabs>
          <w:tab w:val="left" w:pos="360"/>
        </w:tabs>
        <w:ind w:left="0"/>
        <w:contextualSpacing w:val="0"/>
        <w:jc w:val="center"/>
        <w:rPr>
          <w:rFonts w:ascii="Times New Roman" w:hAnsi="Times New Roman" w:cs="Times New Roman"/>
          <w:b/>
          <w:sz w:val="22"/>
          <w:szCs w:val="22"/>
        </w:rPr>
      </w:pPr>
      <w:r w:rsidRPr="00822AB9">
        <w:rPr>
          <w:rFonts w:ascii="Times New Roman" w:hAnsi="Times New Roman" w:cs="Times New Roman"/>
          <w:b/>
          <w:sz w:val="22"/>
          <w:szCs w:val="22"/>
        </w:rPr>
        <w:lastRenderedPageBreak/>
        <w:t>Figure 1</w:t>
      </w:r>
      <w:r w:rsidR="007A1979" w:rsidRPr="00822AB9">
        <w:rPr>
          <w:rFonts w:ascii="Times New Roman" w:hAnsi="Times New Roman" w:cs="Times New Roman"/>
          <w:b/>
          <w:sz w:val="22"/>
          <w:szCs w:val="22"/>
        </w:rPr>
        <w:t>4</w:t>
      </w:r>
      <w:r w:rsidRPr="00822AB9">
        <w:rPr>
          <w:rFonts w:ascii="Times New Roman" w:hAnsi="Times New Roman" w:cs="Times New Roman"/>
          <w:b/>
          <w:sz w:val="22"/>
          <w:szCs w:val="22"/>
        </w:rPr>
        <w:t>: Source of investments by enterprise size</w:t>
      </w:r>
    </w:p>
    <w:p w14:paraId="751005CB" w14:textId="77777777" w:rsidR="00984B1C" w:rsidRPr="00822AB9" w:rsidRDefault="00984B1C" w:rsidP="00634742">
      <w:pPr>
        <w:pStyle w:val="ListParagraph"/>
        <w:tabs>
          <w:tab w:val="left" w:pos="360"/>
        </w:tabs>
        <w:ind w:left="0"/>
        <w:contextualSpacing w:val="0"/>
        <w:jc w:val="both"/>
        <w:rPr>
          <w:rFonts w:ascii="Times New Roman" w:hAnsi="Times New Roman" w:cs="Times New Roman"/>
          <w:sz w:val="22"/>
          <w:szCs w:val="22"/>
        </w:rPr>
      </w:pPr>
      <w:r w:rsidRPr="00822AB9">
        <w:rPr>
          <w:rFonts w:ascii="Times New Roman" w:hAnsi="Times New Roman" w:cs="Times New Roman"/>
          <w:noProof/>
          <w:sz w:val="22"/>
          <w:szCs w:val="22"/>
          <w:lang w:eastAsia="en-US"/>
        </w:rPr>
        <w:drawing>
          <wp:inline distT="0" distB="0" distL="0" distR="0" wp14:anchorId="02A41EAB" wp14:editId="6D394894">
            <wp:extent cx="5943600" cy="2172992"/>
            <wp:effectExtent l="0" t="0" r="0" b="0"/>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ED1652" w14:textId="74F69DD8" w:rsidR="00704798" w:rsidRPr="00822AB9" w:rsidRDefault="00984B1C" w:rsidP="00822AB9">
      <w:pPr>
        <w:pStyle w:val="ListParagraph"/>
        <w:tabs>
          <w:tab w:val="left" w:pos="360"/>
        </w:tabs>
        <w:ind w:left="0"/>
        <w:contextualSpacing w:val="0"/>
        <w:jc w:val="center"/>
        <w:rPr>
          <w:rFonts w:ascii="Times New Roman" w:hAnsi="Times New Roman" w:cs="Times New Roman"/>
          <w:bCs/>
          <w:i/>
          <w:sz w:val="22"/>
          <w:szCs w:val="22"/>
        </w:rPr>
      </w:pPr>
      <w:r w:rsidRPr="00822AB9">
        <w:rPr>
          <w:rFonts w:ascii="Times New Roman" w:hAnsi="Times New Roman" w:cs="Times New Roman"/>
          <w:bCs/>
          <w:i/>
          <w:sz w:val="22"/>
          <w:szCs w:val="22"/>
        </w:rPr>
        <w:t xml:space="preserve">Source: World Bank Enterprise Survey </w:t>
      </w:r>
    </w:p>
    <w:p w14:paraId="467E44B2" w14:textId="77777777" w:rsidR="00704798" w:rsidRPr="00822AB9" w:rsidRDefault="00704798" w:rsidP="00634742">
      <w:pPr>
        <w:pStyle w:val="ListParagraph"/>
        <w:ind w:firstLine="720"/>
        <w:contextualSpacing w:val="0"/>
        <w:jc w:val="both"/>
        <w:rPr>
          <w:rFonts w:ascii="Times New Roman" w:hAnsi="Times New Roman" w:cs="Times New Roman"/>
          <w:b/>
          <w:bCs/>
          <w:sz w:val="22"/>
          <w:szCs w:val="22"/>
        </w:rPr>
      </w:pPr>
    </w:p>
    <w:p w14:paraId="7579CC22" w14:textId="77777777" w:rsidR="00984B1C" w:rsidRPr="00822AB9" w:rsidRDefault="007A1979" w:rsidP="00634742">
      <w:pPr>
        <w:pStyle w:val="ListParagraph"/>
        <w:ind w:firstLine="720"/>
        <w:contextualSpacing w:val="0"/>
        <w:jc w:val="both"/>
        <w:rPr>
          <w:rFonts w:ascii="Times New Roman" w:hAnsi="Times New Roman" w:cs="Times New Roman"/>
          <w:b/>
          <w:bCs/>
          <w:sz w:val="22"/>
          <w:szCs w:val="22"/>
        </w:rPr>
      </w:pPr>
      <w:r w:rsidRPr="00822AB9">
        <w:rPr>
          <w:rFonts w:ascii="Times New Roman" w:hAnsi="Times New Roman" w:cs="Times New Roman"/>
          <w:b/>
          <w:bCs/>
          <w:sz w:val="22"/>
          <w:szCs w:val="22"/>
        </w:rPr>
        <w:t>Figure 15</w:t>
      </w:r>
      <w:r w:rsidR="00984B1C" w:rsidRPr="00822AB9">
        <w:rPr>
          <w:rFonts w:ascii="Times New Roman" w:hAnsi="Times New Roman" w:cs="Times New Roman"/>
          <w:b/>
          <w:bCs/>
          <w:sz w:val="22"/>
          <w:szCs w:val="22"/>
        </w:rPr>
        <w:t xml:space="preserve">: Percentage of firms buying fixed assets (by enterprise size) </w:t>
      </w:r>
    </w:p>
    <w:p w14:paraId="5C993321" w14:textId="77777777" w:rsidR="00984B1C" w:rsidRPr="00822AB9" w:rsidRDefault="00984B1C" w:rsidP="00634742">
      <w:pPr>
        <w:spacing w:after="0" w:line="240" w:lineRule="auto"/>
        <w:jc w:val="center"/>
        <w:rPr>
          <w:rFonts w:ascii="Times New Roman" w:hAnsi="Times New Roman" w:cs="Times New Roman"/>
          <w:b/>
          <w:bCs/>
        </w:rPr>
      </w:pPr>
      <w:r w:rsidRPr="00822AB9">
        <w:rPr>
          <w:rFonts w:ascii="Times New Roman" w:hAnsi="Times New Roman" w:cs="Times New Roman"/>
          <w:noProof/>
        </w:rPr>
        <w:drawing>
          <wp:inline distT="0" distB="0" distL="0" distR="0" wp14:anchorId="49A25A64" wp14:editId="74728C36">
            <wp:extent cx="3928110" cy="2033626"/>
            <wp:effectExtent l="0" t="0" r="0" b="5080"/>
            <wp:docPr id="3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4B5FB6" w14:textId="77777777" w:rsidR="00984B1C" w:rsidRPr="00822AB9" w:rsidRDefault="00984B1C" w:rsidP="00634742">
      <w:pPr>
        <w:pStyle w:val="ListParagraph"/>
        <w:tabs>
          <w:tab w:val="left" w:pos="360"/>
        </w:tabs>
        <w:ind w:left="0"/>
        <w:contextualSpacing w:val="0"/>
        <w:jc w:val="center"/>
        <w:rPr>
          <w:rFonts w:ascii="Times New Roman" w:hAnsi="Times New Roman" w:cs="Times New Roman"/>
          <w:bCs/>
          <w:i/>
          <w:sz w:val="22"/>
          <w:szCs w:val="22"/>
        </w:rPr>
      </w:pPr>
      <w:r w:rsidRPr="00822AB9">
        <w:rPr>
          <w:rFonts w:ascii="Times New Roman" w:hAnsi="Times New Roman" w:cs="Times New Roman"/>
          <w:bCs/>
          <w:i/>
          <w:sz w:val="22"/>
          <w:szCs w:val="22"/>
        </w:rPr>
        <w:t xml:space="preserve">Source: World Bank Enterprise Survey </w:t>
      </w:r>
    </w:p>
    <w:p w14:paraId="72A3CA71" w14:textId="77777777" w:rsidR="00984B1C" w:rsidRPr="00822AB9" w:rsidRDefault="00984B1C" w:rsidP="00634742">
      <w:pPr>
        <w:spacing w:after="0" w:line="240" w:lineRule="auto"/>
        <w:jc w:val="center"/>
        <w:rPr>
          <w:rFonts w:ascii="Times New Roman" w:hAnsi="Times New Roman" w:cs="Times New Roman"/>
          <w:b/>
          <w:bCs/>
        </w:rPr>
      </w:pPr>
    </w:p>
    <w:p w14:paraId="109A3EAD" w14:textId="0042735D" w:rsidR="00984B1C" w:rsidRPr="00822AB9" w:rsidRDefault="00984B1C" w:rsidP="00F023C9">
      <w:pPr>
        <w:pStyle w:val="ListParagraph"/>
        <w:ind w:left="0"/>
        <w:jc w:val="both"/>
        <w:rPr>
          <w:rFonts w:ascii="Times New Roman" w:hAnsi="Times New Roman" w:cs="Times New Roman"/>
          <w:b/>
          <w:bCs/>
          <w:sz w:val="22"/>
          <w:szCs w:val="22"/>
        </w:rPr>
      </w:pPr>
      <w:r w:rsidRPr="00822AB9">
        <w:rPr>
          <w:rFonts w:ascii="Times New Roman" w:hAnsi="Times New Roman" w:cs="Times New Roman"/>
          <w:b/>
          <w:bCs/>
          <w:sz w:val="22"/>
          <w:szCs w:val="22"/>
        </w:rPr>
        <w:t>SMEs are substantially more likely to use external financing for working capital</w:t>
      </w:r>
      <w:r w:rsidR="007A1979" w:rsidRPr="00822AB9">
        <w:rPr>
          <w:rFonts w:ascii="Times New Roman" w:hAnsi="Times New Roman" w:cs="Times New Roman"/>
          <w:b/>
          <w:bCs/>
          <w:sz w:val="22"/>
          <w:szCs w:val="22"/>
        </w:rPr>
        <w:t xml:space="preserve"> (Figure 16</w:t>
      </w:r>
      <w:r w:rsidR="005155B9" w:rsidRPr="00822AB9">
        <w:rPr>
          <w:rFonts w:ascii="Times New Roman" w:hAnsi="Times New Roman" w:cs="Times New Roman"/>
          <w:b/>
          <w:bCs/>
          <w:sz w:val="22"/>
          <w:szCs w:val="22"/>
        </w:rPr>
        <w:t>)</w:t>
      </w:r>
      <w:r w:rsidRPr="00822AB9">
        <w:rPr>
          <w:rFonts w:ascii="Times New Roman" w:hAnsi="Times New Roman" w:cs="Times New Roman"/>
          <w:b/>
          <w:bCs/>
          <w:sz w:val="22"/>
          <w:szCs w:val="22"/>
        </w:rPr>
        <w:t xml:space="preserve">.  </w:t>
      </w:r>
      <w:r w:rsidRPr="00822AB9">
        <w:rPr>
          <w:rFonts w:ascii="Times New Roman" w:hAnsi="Times New Roman" w:cs="Times New Roman"/>
          <w:noProof/>
          <w:sz w:val="22"/>
          <w:szCs w:val="22"/>
        </w:rPr>
        <w:t xml:space="preserve">Large firms in Namibia largely self fund their day-to-day operations, financing over </w:t>
      </w:r>
      <w:r w:rsidR="000C2FDD" w:rsidRPr="00822AB9">
        <w:rPr>
          <w:rFonts w:ascii="Times New Roman" w:hAnsi="Times New Roman" w:cs="Times New Roman"/>
          <w:noProof/>
          <w:sz w:val="22"/>
          <w:szCs w:val="22"/>
        </w:rPr>
        <w:t xml:space="preserve">97 </w:t>
      </w:r>
      <w:r w:rsidRPr="00822AB9">
        <w:rPr>
          <w:rFonts w:ascii="Times New Roman" w:hAnsi="Times New Roman" w:cs="Times New Roman"/>
          <w:noProof/>
          <w:sz w:val="22"/>
          <w:szCs w:val="22"/>
        </w:rPr>
        <w:t>percent of their operations with internal funds</w:t>
      </w:r>
      <w:r w:rsidR="005155B9" w:rsidRPr="00822AB9">
        <w:rPr>
          <w:rFonts w:ascii="Times New Roman" w:hAnsi="Times New Roman" w:cs="Times New Roman"/>
          <w:noProof/>
          <w:sz w:val="22"/>
          <w:szCs w:val="22"/>
        </w:rPr>
        <w:t>. By contrast, medium</w:t>
      </w:r>
      <w:r w:rsidRPr="00822AB9">
        <w:rPr>
          <w:rFonts w:ascii="Times New Roman" w:hAnsi="Times New Roman" w:cs="Times New Roman"/>
          <w:noProof/>
          <w:sz w:val="22"/>
          <w:szCs w:val="22"/>
        </w:rPr>
        <w:t xml:space="preserve"> and small-sized firms are substantially more reliant on bank financing, supplier credit (which is not used by large firms), and other sources of financing, which include informal sources such as family and friends.</w:t>
      </w:r>
    </w:p>
    <w:p w14:paraId="08631C70" w14:textId="77777777" w:rsidR="00984B1C" w:rsidRPr="00822AB9" w:rsidRDefault="00984B1C" w:rsidP="00634742">
      <w:pPr>
        <w:spacing w:after="0" w:line="240" w:lineRule="auto"/>
        <w:jc w:val="both"/>
        <w:rPr>
          <w:rFonts w:ascii="Times New Roman" w:hAnsi="Times New Roman" w:cs="Times New Roman"/>
          <w:b/>
          <w:bCs/>
        </w:rPr>
      </w:pPr>
    </w:p>
    <w:p w14:paraId="34125CCF" w14:textId="77777777" w:rsidR="00822AB9" w:rsidRDefault="00822AB9" w:rsidP="00634742">
      <w:pPr>
        <w:spacing w:after="0" w:line="240" w:lineRule="auto"/>
        <w:ind w:firstLine="720"/>
        <w:jc w:val="center"/>
        <w:rPr>
          <w:rFonts w:ascii="Times New Roman" w:hAnsi="Times New Roman" w:cs="Times New Roman"/>
          <w:b/>
          <w:bCs/>
        </w:rPr>
      </w:pPr>
    </w:p>
    <w:p w14:paraId="3F7F360F" w14:textId="77777777" w:rsidR="00822AB9" w:rsidRDefault="00822AB9" w:rsidP="00634742">
      <w:pPr>
        <w:spacing w:after="0" w:line="240" w:lineRule="auto"/>
        <w:ind w:firstLine="720"/>
        <w:jc w:val="center"/>
        <w:rPr>
          <w:rFonts w:ascii="Times New Roman" w:hAnsi="Times New Roman" w:cs="Times New Roman"/>
          <w:b/>
          <w:bCs/>
        </w:rPr>
      </w:pPr>
    </w:p>
    <w:p w14:paraId="0E49B485" w14:textId="77777777" w:rsidR="00822AB9" w:rsidRDefault="00822AB9" w:rsidP="00634742">
      <w:pPr>
        <w:spacing w:after="0" w:line="240" w:lineRule="auto"/>
        <w:ind w:firstLine="720"/>
        <w:jc w:val="center"/>
        <w:rPr>
          <w:rFonts w:ascii="Times New Roman" w:hAnsi="Times New Roman" w:cs="Times New Roman"/>
          <w:b/>
          <w:bCs/>
        </w:rPr>
      </w:pPr>
    </w:p>
    <w:p w14:paraId="3C9F0857" w14:textId="77777777" w:rsidR="00822AB9" w:rsidRDefault="00822AB9" w:rsidP="00634742">
      <w:pPr>
        <w:spacing w:after="0" w:line="240" w:lineRule="auto"/>
        <w:ind w:firstLine="720"/>
        <w:jc w:val="center"/>
        <w:rPr>
          <w:rFonts w:ascii="Times New Roman" w:hAnsi="Times New Roman" w:cs="Times New Roman"/>
          <w:b/>
          <w:bCs/>
        </w:rPr>
      </w:pPr>
    </w:p>
    <w:p w14:paraId="3C0FCA05" w14:textId="77777777" w:rsidR="00822AB9" w:rsidRDefault="00822AB9" w:rsidP="00634742">
      <w:pPr>
        <w:spacing w:after="0" w:line="240" w:lineRule="auto"/>
        <w:ind w:firstLine="720"/>
        <w:jc w:val="center"/>
        <w:rPr>
          <w:rFonts w:ascii="Times New Roman" w:hAnsi="Times New Roman" w:cs="Times New Roman"/>
          <w:b/>
          <w:bCs/>
        </w:rPr>
      </w:pPr>
    </w:p>
    <w:p w14:paraId="44C6088B" w14:textId="77777777" w:rsidR="00822AB9" w:rsidRDefault="00822AB9" w:rsidP="00634742">
      <w:pPr>
        <w:spacing w:after="0" w:line="240" w:lineRule="auto"/>
        <w:ind w:firstLine="720"/>
        <w:jc w:val="center"/>
        <w:rPr>
          <w:rFonts w:ascii="Times New Roman" w:hAnsi="Times New Roman" w:cs="Times New Roman"/>
          <w:b/>
          <w:bCs/>
        </w:rPr>
      </w:pPr>
    </w:p>
    <w:p w14:paraId="7C429775" w14:textId="77777777" w:rsidR="00822AB9" w:rsidRDefault="00822AB9" w:rsidP="00634742">
      <w:pPr>
        <w:spacing w:after="0" w:line="240" w:lineRule="auto"/>
        <w:ind w:firstLine="720"/>
        <w:jc w:val="center"/>
        <w:rPr>
          <w:rFonts w:ascii="Times New Roman" w:hAnsi="Times New Roman" w:cs="Times New Roman"/>
          <w:b/>
          <w:bCs/>
        </w:rPr>
      </w:pPr>
    </w:p>
    <w:p w14:paraId="21B950FA" w14:textId="77777777" w:rsidR="00822AB9" w:rsidRDefault="00822AB9" w:rsidP="00634742">
      <w:pPr>
        <w:spacing w:after="0" w:line="240" w:lineRule="auto"/>
        <w:ind w:firstLine="720"/>
        <w:jc w:val="center"/>
        <w:rPr>
          <w:rFonts w:ascii="Times New Roman" w:hAnsi="Times New Roman" w:cs="Times New Roman"/>
          <w:b/>
          <w:bCs/>
        </w:rPr>
      </w:pPr>
    </w:p>
    <w:p w14:paraId="5D6448D5" w14:textId="77777777" w:rsidR="00822AB9" w:rsidRDefault="00822AB9" w:rsidP="00634742">
      <w:pPr>
        <w:spacing w:after="0" w:line="240" w:lineRule="auto"/>
        <w:ind w:firstLine="720"/>
        <w:jc w:val="center"/>
        <w:rPr>
          <w:rFonts w:ascii="Times New Roman" w:hAnsi="Times New Roman" w:cs="Times New Roman"/>
          <w:b/>
          <w:bCs/>
        </w:rPr>
      </w:pPr>
    </w:p>
    <w:p w14:paraId="6B4AEE31" w14:textId="77777777" w:rsidR="00822AB9" w:rsidRDefault="00822AB9" w:rsidP="00634742">
      <w:pPr>
        <w:spacing w:after="0" w:line="240" w:lineRule="auto"/>
        <w:ind w:firstLine="720"/>
        <w:jc w:val="center"/>
        <w:rPr>
          <w:rFonts w:ascii="Times New Roman" w:hAnsi="Times New Roman" w:cs="Times New Roman"/>
          <w:b/>
          <w:bCs/>
        </w:rPr>
      </w:pPr>
    </w:p>
    <w:p w14:paraId="34A0AD56" w14:textId="77777777" w:rsidR="00822AB9" w:rsidRDefault="00822AB9" w:rsidP="00634742">
      <w:pPr>
        <w:spacing w:after="0" w:line="240" w:lineRule="auto"/>
        <w:ind w:firstLine="720"/>
        <w:jc w:val="center"/>
        <w:rPr>
          <w:rFonts w:ascii="Times New Roman" w:hAnsi="Times New Roman" w:cs="Times New Roman"/>
          <w:b/>
          <w:bCs/>
        </w:rPr>
      </w:pPr>
    </w:p>
    <w:p w14:paraId="13268680" w14:textId="77777777" w:rsidR="00822AB9" w:rsidRDefault="00822AB9" w:rsidP="00634742">
      <w:pPr>
        <w:spacing w:after="0" w:line="240" w:lineRule="auto"/>
        <w:ind w:firstLine="720"/>
        <w:jc w:val="center"/>
        <w:rPr>
          <w:rFonts w:ascii="Times New Roman" w:hAnsi="Times New Roman" w:cs="Times New Roman"/>
          <w:b/>
          <w:bCs/>
        </w:rPr>
      </w:pPr>
    </w:p>
    <w:p w14:paraId="48029033" w14:textId="77777777" w:rsidR="00822AB9" w:rsidRDefault="00822AB9" w:rsidP="00634742">
      <w:pPr>
        <w:spacing w:after="0" w:line="240" w:lineRule="auto"/>
        <w:ind w:firstLine="720"/>
        <w:jc w:val="center"/>
        <w:rPr>
          <w:rFonts w:ascii="Times New Roman" w:hAnsi="Times New Roman" w:cs="Times New Roman"/>
          <w:b/>
          <w:bCs/>
        </w:rPr>
      </w:pPr>
    </w:p>
    <w:p w14:paraId="5D46A0E5" w14:textId="77777777" w:rsidR="00984B1C" w:rsidRPr="00822AB9" w:rsidRDefault="00984B1C" w:rsidP="00634742">
      <w:pPr>
        <w:spacing w:after="0" w:line="240" w:lineRule="auto"/>
        <w:ind w:firstLine="720"/>
        <w:jc w:val="center"/>
        <w:rPr>
          <w:rFonts w:ascii="Times New Roman" w:hAnsi="Times New Roman" w:cs="Times New Roman"/>
          <w:b/>
          <w:bCs/>
        </w:rPr>
      </w:pPr>
      <w:r w:rsidRPr="00822AB9">
        <w:rPr>
          <w:rFonts w:ascii="Times New Roman" w:hAnsi="Times New Roman" w:cs="Times New Roman"/>
          <w:b/>
          <w:bCs/>
        </w:rPr>
        <w:lastRenderedPageBreak/>
        <w:t>Fig</w:t>
      </w:r>
      <w:r w:rsidR="005155B9" w:rsidRPr="00822AB9">
        <w:rPr>
          <w:rFonts w:ascii="Times New Roman" w:hAnsi="Times New Roman" w:cs="Times New Roman"/>
          <w:b/>
          <w:bCs/>
        </w:rPr>
        <w:t>ure 1</w:t>
      </w:r>
      <w:r w:rsidR="007A1979" w:rsidRPr="00822AB9">
        <w:rPr>
          <w:rFonts w:ascii="Times New Roman" w:hAnsi="Times New Roman" w:cs="Times New Roman"/>
          <w:b/>
          <w:bCs/>
        </w:rPr>
        <w:t>6</w:t>
      </w:r>
      <w:r w:rsidR="005155B9" w:rsidRPr="00822AB9">
        <w:rPr>
          <w:rFonts w:ascii="Times New Roman" w:hAnsi="Times New Roman" w:cs="Times New Roman"/>
          <w:b/>
          <w:bCs/>
        </w:rPr>
        <w:t>: Source of working capital by s</w:t>
      </w:r>
      <w:r w:rsidRPr="00822AB9">
        <w:rPr>
          <w:rFonts w:ascii="Times New Roman" w:hAnsi="Times New Roman" w:cs="Times New Roman"/>
          <w:b/>
          <w:bCs/>
        </w:rPr>
        <w:t>ize</w:t>
      </w:r>
    </w:p>
    <w:p w14:paraId="79975179" w14:textId="77777777" w:rsidR="00984B1C" w:rsidRPr="00822AB9" w:rsidRDefault="00984B1C" w:rsidP="00634742">
      <w:pPr>
        <w:spacing w:after="0" w:line="240" w:lineRule="auto"/>
        <w:jc w:val="both"/>
        <w:rPr>
          <w:rFonts w:ascii="Times New Roman" w:hAnsi="Times New Roman" w:cs="Times New Roman"/>
          <w:b/>
          <w:bCs/>
        </w:rPr>
      </w:pPr>
      <w:r w:rsidRPr="00822AB9">
        <w:rPr>
          <w:rFonts w:ascii="Times New Roman" w:hAnsi="Times New Roman" w:cs="Times New Roman"/>
          <w:noProof/>
        </w:rPr>
        <w:drawing>
          <wp:inline distT="0" distB="0" distL="0" distR="0" wp14:anchorId="6979E44F" wp14:editId="04388BBC">
            <wp:extent cx="6188075" cy="2157984"/>
            <wp:effectExtent l="0" t="0" r="3175" b="0"/>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D1D7875" w14:textId="77777777" w:rsidR="00984B1C" w:rsidRPr="00822AB9" w:rsidRDefault="00984B1C" w:rsidP="00634742">
      <w:pPr>
        <w:pStyle w:val="ListParagraph"/>
        <w:tabs>
          <w:tab w:val="left" w:pos="360"/>
        </w:tabs>
        <w:ind w:left="0"/>
        <w:contextualSpacing w:val="0"/>
        <w:jc w:val="center"/>
        <w:rPr>
          <w:rFonts w:ascii="Times New Roman" w:hAnsi="Times New Roman" w:cs="Times New Roman"/>
          <w:bCs/>
          <w:i/>
          <w:sz w:val="22"/>
          <w:szCs w:val="22"/>
        </w:rPr>
      </w:pPr>
      <w:r w:rsidRPr="00822AB9">
        <w:rPr>
          <w:rFonts w:ascii="Times New Roman" w:hAnsi="Times New Roman" w:cs="Times New Roman"/>
          <w:bCs/>
          <w:i/>
          <w:sz w:val="22"/>
          <w:szCs w:val="22"/>
        </w:rPr>
        <w:t xml:space="preserve">Source: World Bank Enterprise Survey </w:t>
      </w:r>
    </w:p>
    <w:p w14:paraId="2EA2F0C1" w14:textId="77777777" w:rsidR="00984B1C" w:rsidRPr="00822AB9" w:rsidRDefault="00984B1C" w:rsidP="00634742">
      <w:pPr>
        <w:pStyle w:val="ListParagraph"/>
        <w:contextualSpacing w:val="0"/>
        <w:jc w:val="center"/>
        <w:rPr>
          <w:rFonts w:ascii="Times New Roman" w:hAnsi="Times New Roman" w:cs="Times New Roman"/>
          <w:b/>
          <w:bCs/>
          <w:sz w:val="22"/>
          <w:szCs w:val="22"/>
        </w:rPr>
      </w:pPr>
    </w:p>
    <w:p w14:paraId="3BFAE432" w14:textId="77777777" w:rsidR="00211B74" w:rsidRPr="00822AB9" w:rsidRDefault="00211B74" w:rsidP="00F023C9">
      <w:pPr>
        <w:pStyle w:val="ListParagraph"/>
        <w:ind w:left="0"/>
        <w:jc w:val="both"/>
        <w:rPr>
          <w:rFonts w:ascii="Times New Roman" w:hAnsi="Times New Roman" w:cs="Times New Roman"/>
          <w:b/>
          <w:bCs/>
          <w:sz w:val="22"/>
          <w:szCs w:val="22"/>
        </w:rPr>
      </w:pPr>
      <w:r w:rsidRPr="00822AB9">
        <w:rPr>
          <w:rFonts w:ascii="Times New Roman" w:hAnsi="Times New Roman" w:cs="Times New Roman"/>
          <w:b/>
          <w:bCs/>
          <w:sz w:val="22"/>
          <w:szCs w:val="22"/>
        </w:rPr>
        <w:t xml:space="preserve">The overwhelming majority of loans (or lines of credit) </w:t>
      </w:r>
      <w:r w:rsidR="00353A26" w:rsidRPr="00822AB9">
        <w:rPr>
          <w:rFonts w:ascii="Times New Roman" w:hAnsi="Times New Roman" w:cs="Times New Roman"/>
          <w:b/>
          <w:bCs/>
          <w:sz w:val="22"/>
          <w:szCs w:val="22"/>
        </w:rPr>
        <w:t xml:space="preserve">for </w:t>
      </w:r>
      <w:r w:rsidRPr="00822AB9">
        <w:rPr>
          <w:rFonts w:ascii="Times New Roman" w:hAnsi="Times New Roman" w:cs="Times New Roman"/>
          <w:b/>
          <w:bCs/>
          <w:sz w:val="22"/>
          <w:szCs w:val="22"/>
        </w:rPr>
        <w:t xml:space="preserve">enterprises come from private commercial banks. </w:t>
      </w:r>
      <w:r w:rsidR="00353A26" w:rsidRPr="00822AB9">
        <w:rPr>
          <w:rFonts w:ascii="Times New Roman" w:hAnsi="Times New Roman" w:cs="Times New Roman"/>
          <w:bCs/>
          <w:sz w:val="22"/>
          <w:szCs w:val="22"/>
        </w:rPr>
        <w:t xml:space="preserve">The </w:t>
      </w:r>
      <w:r w:rsidR="00353A26" w:rsidRPr="00822AB9">
        <w:rPr>
          <w:rFonts w:ascii="Times New Roman" w:hAnsi="Times New Roman" w:cs="Times New Roman"/>
          <w:sz w:val="22"/>
          <w:szCs w:val="22"/>
        </w:rPr>
        <w:t>WBES 2014 found that o</w:t>
      </w:r>
      <w:r w:rsidRPr="00822AB9">
        <w:rPr>
          <w:rFonts w:ascii="Times New Roman" w:hAnsi="Times New Roman" w:cs="Times New Roman"/>
          <w:sz w:val="22"/>
          <w:szCs w:val="22"/>
        </w:rPr>
        <w:t xml:space="preserve">ver ninety percent of loans or active lines of credit to </w:t>
      </w:r>
      <w:r w:rsidR="00353A26" w:rsidRPr="00822AB9">
        <w:rPr>
          <w:rFonts w:ascii="Times New Roman" w:hAnsi="Times New Roman" w:cs="Times New Roman"/>
          <w:sz w:val="22"/>
          <w:szCs w:val="22"/>
        </w:rPr>
        <w:t xml:space="preserve">formal enterprises </w:t>
      </w:r>
      <w:r w:rsidRPr="00822AB9">
        <w:rPr>
          <w:rFonts w:ascii="Times New Roman" w:hAnsi="Times New Roman" w:cs="Times New Roman"/>
          <w:sz w:val="22"/>
          <w:szCs w:val="22"/>
        </w:rPr>
        <w:t>in Namibia are provided by private commercial banks.  By contrast, only 7 percent of these loans come from state-owned banks, while a mere 2 percent are provided by some other form of financial institution.</w:t>
      </w:r>
      <w:r w:rsidR="00353A26" w:rsidRPr="00822AB9">
        <w:rPr>
          <w:rFonts w:ascii="Times New Roman" w:hAnsi="Times New Roman" w:cs="Times New Roman"/>
          <w:sz w:val="22"/>
          <w:szCs w:val="22"/>
        </w:rPr>
        <w:t xml:space="preserve">  Similarly, a recent survey of medium enterprises found that they generally seek financing to grow (working capital or investment) from local commercial banks (followed by the Development Bank of Namibia and other local institutions).  </w:t>
      </w:r>
    </w:p>
    <w:p w14:paraId="231121F7" w14:textId="77777777" w:rsidR="00211B74" w:rsidRPr="00822AB9" w:rsidRDefault="00211B74" w:rsidP="003C4F65">
      <w:pPr>
        <w:pStyle w:val="ListParagraph"/>
        <w:tabs>
          <w:tab w:val="left" w:pos="360"/>
        </w:tabs>
        <w:ind w:left="0"/>
        <w:contextualSpacing w:val="0"/>
        <w:jc w:val="both"/>
        <w:rPr>
          <w:rFonts w:ascii="Times New Roman" w:hAnsi="Times New Roman" w:cs="Times New Roman"/>
          <w:b/>
          <w:sz w:val="22"/>
          <w:szCs w:val="22"/>
        </w:rPr>
      </w:pPr>
    </w:p>
    <w:p w14:paraId="6350C55D" w14:textId="3B105035" w:rsidR="00E54D58" w:rsidRPr="00822AB9" w:rsidRDefault="00353A26" w:rsidP="00F023C9">
      <w:pPr>
        <w:pStyle w:val="ListParagraph"/>
        <w:tabs>
          <w:tab w:val="left" w:pos="360"/>
        </w:tabs>
        <w:ind w:left="0"/>
        <w:contextualSpacing w:val="0"/>
        <w:jc w:val="both"/>
        <w:rPr>
          <w:rFonts w:ascii="Times New Roman" w:hAnsi="Times New Roman" w:cs="Times New Roman"/>
          <w:b/>
          <w:bCs/>
          <w:sz w:val="22"/>
          <w:szCs w:val="22"/>
        </w:rPr>
      </w:pPr>
      <w:r w:rsidRPr="00822AB9">
        <w:rPr>
          <w:rFonts w:ascii="Times New Roman" w:hAnsi="Times New Roman" w:cs="Times New Roman"/>
          <w:b/>
          <w:bCs/>
          <w:sz w:val="22"/>
          <w:szCs w:val="22"/>
        </w:rPr>
        <w:t>B</w:t>
      </w:r>
      <w:r w:rsidR="00E54D58" w:rsidRPr="00822AB9">
        <w:rPr>
          <w:rFonts w:ascii="Times New Roman" w:hAnsi="Times New Roman" w:cs="Times New Roman"/>
          <w:b/>
          <w:bCs/>
          <w:sz w:val="22"/>
          <w:szCs w:val="22"/>
        </w:rPr>
        <w:t xml:space="preserve">anks have increased their engagement with SMEs, including through the establishment of specialized SME units and tailoring of products.  </w:t>
      </w:r>
      <w:r w:rsidR="00E54D58" w:rsidRPr="00822AB9">
        <w:rPr>
          <w:rFonts w:ascii="Times New Roman" w:hAnsi="Times New Roman" w:cs="Times New Roman"/>
          <w:bCs/>
          <w:sz w:val="22"/>
          <w:szCs w:val="22"/>
        </w:rPr>
        <w:t xml:space="preserve">Since 2000 banks have become more interested in serving the SME segment. Consequently, they have adapted their business model to serve the segment, which has included putting in place SME units.  In fact, in a survey (Indongo et al </w:t>
      </w:r>
      <w:r w:rsidR="0077709E" w:rsidRPr="00822AB9">
        <w:rPr>
          <w:rFonts w:ascii="Times New Roman" w:hAnsi="Times New Roman" w:cs="Times New Roman"/>
          <w:bCs/>
          <w:sz w:val="22"/>
          <w:szCs w:val="22"/>
        </w:rPr>
        <w:t>2013</w:t>
      </w:r>
      <w:r w:rsidR="00E54D58" w:rsidRPr="00822AB9">
        <w:rPr>
          <w:rFonts w:ascii="Times New Roman" w:hAnsi="Times New Roman" w:cs="Times New Roman"/>
          <w:bCs/>
          <w:sz w:val="22"/>
          <w:szCs w:val="22"/>
        </w:rPr>
        <w:t xml:space="preserve">) to financial institutions, all interviewed banks indicated they provide financing products tailored to SMEs and some have specialized units. Some of the products offered include term loans, overdrafts, property and asset financing, and bridging finance among others.  All interviewed financial institutions provide additional support services to SMEs (such as training).  These support services (e.g. capacity building and skills enhancement) are also provided by </w:t>
      </w:r>
      <w:r w:rsidR="00E54D58" w:rsidRPr="00822AB9">
        <w:rPr>
          <w:rFonts w:ascii="Times New Roman" w:hAnsi="Times New Roman" w:cs="Times New Roman"/>
          <w:sz w:val="22"/>
          <w:szCs w:val="22"/>
        </w:rPr>
        <w:t xml:space="preserve">other private organizations (e.g. SME Compete). </w:t>
      </w:r>
      <w:r w:rsidR="00E54D58" w:rsidRPr="00822AB9">
        <w:rPr>
          <w:rFonts w:ascii="Times New Roman" w:hAnsi="Times New Roman" w:cs="Times New Roman"/>
          <w:bCs/>
          <w:sz w:val="22"/>
          <w:szCs w:val="22"/>
        </w:rPr>
        <w:t xml:space="preserve">The main reported impediments to lending to SMEs from the supply side are low turnover/ unfavorable credit history; lack of skills, training and experience of businesses; lack of appropriate collateral; lack of own financial contribution; lack of formal incorporation.   </w:t>
      </w:r>
    </w:p>
    <w:p w14:paraId="2CB06950" w14:textId="77777777" w:rsidR="00E54D58" w:rsidRPr="00822AB9" w:rsidRDefault="00E54D58" w:rsidP="003C4F65">
      <w:pPr>
        <w:pStyle w:val="ListParagraph"/>
        <w:tabs>
          <w:tab w:val="left" w:pos="360"/>
        </w:tabs>
        <w:ind w:left="0"/>
        <w:contextualSpacing w:val="0"/>
        <w:jc w:val="both"/>
        <w:rPr>
          <w:rFonts w:ascii="Times New Roman" w:hAnsi="Times New Roman" w:cs="Times New Roman"/>
          <w:b/>
          <w:sz w:val="22"/>
          <w:szCs w:val="22"/>
        </w:rPr>
      </w:pPr>
    </w:p>
    <w:p w14:paraId="06C4E474" w14:textId="77777777" w:rsidR="00E54D58" w:rsidRPr="00822AB9" w:rsidRDefault="002558AC" w:rsidP="00F023C9">
      <w:pPr>
        <w:pStyle w:val="ListParagraph"/>
        <w:tabs>
          <w:tab w:val="left" w:pos="360"/>
        </w:tabs>
        <w:ind w:left="0"/>
        <w:contextualSpacing w:val="0"/>
        <w:jc w:val="both"/>
        <w:rPr>
          <w:rFonts w:ascii="Times New Roman" w:hAnsi="Times New Roman" w:cs="Times New Roman"/>
          <w:b/>
          <w:bCs/>
          <w:sz w:val="22"/>
          <w:szCs w:val="22"/>
        </w:rPr>
      </w:pPr>
      <w:r w:rsidRPr="00822AB9">
        <w:rPr>
          <w:rFonts w:ascii="Times New Roman" w:hAnsi="Times New Roman" w:cs="Times New Roman"/>
          <w:b/>
          <w:sz w:val="22"/>
          <w:szCs w:val="22"/>
        </w:rPr>
        <w:t xml:space="preserve">While </w:t>
      </w:r>
      <w:r w:rsidR="00E54D58" w:rsidRPr="00822AB9">
        <w:rPr>
          <w:rFonts w:ascii="Times New Roman" w:hAnsi="Times New Roman" w:cs="Times New Roman"/>
          <w:b/>
          <w:sz w:val="22"/>
          <w:szCs w:val="22"/>
        </w:rPr>
        <w:t>Namibia’s private business sector is dependent on bank finance for investment and working capital</w:t>
      </w:r>
      <w:r w:rsidRPr="00822AB9">
        <w:rPr>
          <w:rFonts w:ascii="Times New Roman" w:hAnsi="Times New Roman" w:cs="Times New Roman"/>
          <w:b/>
          <w:sz w:val="22"/>
          <w:szCs w:val="22"/>
        </w:rPr>
        <w:t>, t</w:t>
      </w:r>
      <w:r w:rsidR="00E54D58" w:rsidRPr="00822AB9">
        <w:rPr>
          <w:rFonts w:ascii="Times New Roman" w:hAnsi="Times New Roman" w:cs="Times New Roman"/>
          <w:b/>
          <w:sz w:val="22"/>
          <w:szCs w:val="22"/>
        </w:rPr>
        <w:t>here are private equity options available (Sherbourne 2012).</w:t>
      </w:r>
      <w:r w:rsidR="00E54D58" w:rsidRPr="00822AB9">
        <w:rPr>
          <w:rFonts w:ascii="Times New Roman" w:hAnsi="Times New Roman" w:cs="Times New Roman"/>
          <w:sz w:val="22"/>
          <w:szCs w:val="22"/>
        </w:rPr>
        <w:t xml:space="preserve">  Private equity finance remains in its infancy but there have been several related initiatives since mid-1990s. In fact, Namibia has made greater efforts to promote private equity finance than any other country in SADC outside South Africa.  These efforts include the Unlisted Investment Programme of the Government Institutions Pension Fund (GIPF). There is now a limited but flexible range of private equity and venture capital finance providers in what remains a relatively small market.</w:t>
      </w:r>
      <w:r w:rsidR="00E54D58" w:rsidRPr="00822AB9">
        <w:rPr>
          <w:rStyle w:val="FootnoteReference"/>
          <w:rFonts w:ascii="Times New Roman" w:hAnsi="Times New Roman"/>
          <w:sz w:val="22"/>
          <w:szCs w:val="22"/>
        </w:rPr>
        <w:footnoteReference w:id="3"/>
      </w:r>
      <w:r w:rsidR="00E54D58" w:rsidRPr="00822AB9">
        <w:rPr>
          <w:rFonts w:ascii="Times New Roman" w:hAnsi="Times New Roman" w:cs="Times New Roman"/>
          <w:sz w:val="22"/>
          <w:szCs w:val="22"/>
        </w:rPr>
        <w:t xml:space="preserve">  </w:t>
      </w:r>
    </w:p>
    <w:p w14:paraId="4A7CE712" w14:textId="77777777" w:rsidR="00E54D58" w:rsidRPr="00822AB9" w:rsidRDefault="00E54D58" w:rsidP="003C4F65">
      <w:pPr>
        <w:pStyle w:val="ListParagraph"/>
        <w:tabs>
          <w:tab w:val="left" w:pos="360"/>
        </w:tabs>
        <w:ind w:left="0"/>
        <w:contextualSpacing w:val="0"/>
        <w:jc w:val="both"/>
        <w:rPr>
          <w:rFonts w:ascii="Times New Roman" w:hAnsi="Times New Roman" w:cs="Times New Roman"/>
          <w:b/>
          <w:bCs/>
          <w:sz w:val="22"/>
          <w:szCs w:val="22"/>
        </w:rPr>
      </w:pPr>
    </w:p>
    <w:p w14:paraId="34B96878" w14:textId="76658681" w:rsidR="00E54D58" w:rsidRPr="00822AB9" w:rsidRDefault="00E54D58" w:rsidP="00F023C9">
      <w:pPr>
        <w:pStyle w:val="ListParagraph"/>
        <w:tabs>
          <w:tab w:val="left" w:pos="360"/>
        </w:tabs>
        <w:ind w:left="0"/>
        <w:contextualSpacing w:val="0"/>
        <w:jc w:val="both"/>
        <w:rPr>
          <w:rFonts w:ascii="Times New Roman" w:hAnsi="Times New Roman" w:cs="Times New Roman"/>
          <w:b/>
          <w:bCs/>
          <w:sz w:val="22"/>
          <w:szCs w:val="22"/>
        </w:rPr>
      </w:pPr>
      <w:r w:rsidRPr="00822AB9">
        <w:rPr>
          <w:rFonts w:ascii="Times New Roman" w:hAnsi="Times New Roman" w:cs="Times New Roman"/>
          <w:b/>
          <w:sz w:val="22"/>
          <w:szCs w:val="22"/>
        </w:rPr>
        <w:t xml:space="preserve">Private equity firms and micro lenders have also enhanced financing options for smaller enterprises (Indongo </w:t>
      </w:r>
      <w:r w:rsidR="00133841" w:rsidRPr="00822AB9">
        <w:rPr>
          <w:rFonts w:ascii="Times New Roman" w:hAnsi="Times New Roman" w:cs="Times New Roman"/>
          <w:b/>
          <w:sz w:val="22"/>
          <w:szCs w:val="22"/>
        </w:rPr>
        <w:t>2013</w:t>
      </w:r>
      <w:r w:rsidRPr="00822AB9">
        <w:rPr>
          <w:rFonts w:ascii="Times New Roman" w:hAnsi="Times New Roman" w:cs="Times New Roman"/>
          <w:b/>
          <w:sz w:val="22"/>
          <w:szCs w:val="22"/>
        </w:rPr>
        <w:t>).</w:t>
      </w:r>
      <w:r w:rsidRPr="00822AB9">
        <w:rPr>
          <w:rFonts w:ascii="Times New Roman" w:hAnsi="Times New Roman" w:cs="Times New Roman"/>
          <w:sz w:val="22"/>
          <w:szCs w:val="22"/>
        </w:rPr>
        <w:t xml:space="preserve">  Equity firms have been established to enhance access to working capital and other </w:t>
      </w:r>
      <w:r w:rsidRPr="00822AB9">
        <w:rPr>
          <w:rFonts w:ascii="Times New Roman" w:hAnsi="Times New Roman" w:cs="Times New Roman"/>
          <w:sz w:val="22"/>
          <w:szCs w:val="22"/>
        </w:rPr>
        <w:lastRenderedPageBreak/>
        <w:t>financing needs of SMEs in Namibia. One such firm is The Namibia Procurement Fund which has had an impact in providing bridge finance to SMEs.  In the same vein, som</w:t>
      </w:r>
      <w:r w:rsidR="00133841" w:rsidRPr="00822AB9">
        <w:rPr>
          <w:rFonts w:ascii="Times New Roman" w:hAnsi="Times New Roman" w:cs="Times New Roman"/>
          <w:sz w:val="22"/>
          <w:szCs w:val="22"/>
        </w:rPr>
        <w:t>e micro lenders (such as Fides B</w:t>
      </w:r>
      <w:r w:rsidRPr="00822AB9">
        <w:rPr>
          <w:rFonts w:ascii="Times New Roman" w:hAnsi="Times New Roman" w:cs="Times New Roman"/>
          <w:sz w:val="22"/>
          <w:szCs w:val="22"/>
        </w:rPr>
        <w:t xml:space="preserve">ank) have also emerged to provide working capital to SMEs even when their loans are reported to be small and have a high cost.  While there are a number of leasing and factoring companies, a BoN paper finds that factoring operations are limited due to capital constraints and leasing services are largely linked to cars or hire purchase for durable goods with no separate/specific legislation covering leasing and factoring (Nakusera et al 2008).  </w:t>
      </w:r>
    </w:p>
    <w:p w14:paraId="47E98FA5" w14:textId="77777777" w:rsidR="00E54D58" w:rsidRPr="00822AB9" w:rsidRDefault="00E54D58" w:rsidP="00920AD4">
      <w:pPr>
        <w:pStyle w:val="ListParagraph"/>
        <w:tabs>
          <w:tab w:val="left" w:pos="360"/>
        </w:tabs>
        <w:ind w:left="0"/>
        <w:contextualSpacing w:val="0"/>
        <w:jc w:val="both"/>
        <w:rPr>
          <w:rFonts w:ascii="Times New Roman" w:hAnsi="Times New Roman" w:cs="Times New Roman"/>
          <w:b/>
          <w:sz w:val="22"/>
          <w:szCs w:val="22"/>
        </w:rPr>
      </w:pPr>
    </w:p>
    <w:p w14:paraId="663894CA" w14:textId="3CEAC770" w:rsidR="00211B74" w:rsidRPr="00822AB9" w:rsidRDefault="00CC6B95" w:rsidP="00F023C9">
      <w:pPr>
        <w:pStyle w:val="ListParagraph"/>
        <w:tabs>
          <w:tab w:val="left" w:pos="360"/>
        </w:tabs>
        <w:ind w:left="0"/>
        <w:contextualSpacing w:val="0"/>
        <w:jc w:val="both"/>
        <w:rPr>
          <w:rFonts w:ascii="Times New Roman" w:hAnsi="Times New Roman" w:cs="Times New Roman"/>
          <w:sz w:val="22"/>
          <w:szCs w:val="22"/>
        </w:rPr>
      </w:pPr>
      <w:r w:rsidRPr="00822AB9">
        <w:rPr>
          <w:rFonts w:ascii="Times New Roman" w:hAnsi="Times New Roman" w:cs="Times New Roman"/>
          <w:b/>
          <w:sz w:val="22"/>
          <w:szCs w:val="22"/>
        </w:rPr>
        <w:t xml:space="preserve">Lack of collateral is seen as a single most limiting factor for SMEs to secure financial support from financial institutions (Indongo </w:t>
      </w:r>
      <w:r w:rsidR="00177700" w:rsidRPr="00822AB9">
        <w:rPr>
          <w:rFonts w:ascii="Times New Roman" w:hAnsi="Times New Roman" w:cs="Times New Roman"/>
          <w:b/>
          <w:sz w:val="22"/>
          <w:szCs w:val="22"/>
        </w:rPr>
        <w:t>2013</w:t>
      </w:r>
      <w:r w:rsidRPr="00822AB9">
        <w:rPr>
          <w:rFonts w:ascii="Times New Roman" w:hAnsi="Times New Roman" w:cs="Times New Roman"/>
          <w:b/>
          <w:sz w:val="22"/>
          <w:szCs w:val="22"/>
        </w:rPr>
        <w:t>).</w:t>
      </w:r>
      <w:r w:rsidRPr="00822AB9">
        <w:rPr>
          <w:rFonts w:ascii="Times New Roman" w:hAnsi="Times New Roman" w:cs="Times New Roman"/>
          <w:sz w:val="22"/>
          <w:szCs w:val="22"/>
        </w:rPr>
        <w:t xml:space="preserve"> </w:t>
      </w:r>
      <w:r w:rsidR="006C3250" w:rsidRPr="00822AB9">
        <w:rPr>
          <w:rFonts w:ascii="Times New Roman" w:hAnsi="Times New Roman" w:cs="Times New Roman"/>
          <w:sz w:val="22"/>
          <w:szCs w:val="22"/>
        </w:rPr>
        <w:t xml:space="preserve">As Table 1 shows, </w:t>
      </w:r>
      <w:r w:rsidR="00211B74" w:rsidRPr="00822AB9">
        <w:rPr>
          <w:rFonts w:ascii="Times New Roman" w:hAnsi="Times New Roman" w:cs="Times New Roman"/>
          <w:sz w:val="22"/>
          <w:szCs w:val="22"/>
        </w:rPr>
        <w:t>aside from lack of need</w:t>
      </w:r>
      <w:r w:rsidR="006C3250" w:rsidRPr="00822AB9">
        <w:rPr>
          <w:rFonts w:ascii="Times New Roman" w:hAnsi="Times New Roman" w:cs="Times New Roman"/>
          <w:sz w:val="22"/>
          <w:szCs w:val="22"/>
        </w:rPr>
        <w:t>,</w:t>
      </w:r>
      <w:r w:rsidR="00211B74" w:rsidRPr="00822AB9">
        <w:rPr>
          <w:rFonts w:ascii="Times New Roman" w:hAnsi="Times New Roman" w:cs="Times New Roman"/>
          <w:sz w:val="22"/>
          <w:szCs w:val="22"/>
        </w:rPr>
        <w:t xml:space="preserve"> high collateral requirements is the number one reason for failing to apply to a loan among SMEs.  </w:t>
      </w:r>
      <w:r w:rsidRPr="00822AB9">
        <w:rPr>
          <w:rFonts w:ascii="Times New Roman" w:hAnsi="Times New Roman" w:cs="Times New Roman"/>
          <w:sz w:val="22"/>
          <w:szCs w:val="22"/>
        </w:rPr>
        <w:t xml:space="preserve">In particular, small firms are using movable collateral less frequently than larger enterprises.  The 2014 </w:t>
      </w:r>
      <w:r w:rsidR="008F60C9" w:rsidRPr="00822AB9">
        <w:rPr>
          <w:rFonts w:ascii="Times New Roman" w:hAnsi="Times New Roman" w:cs="Times New Roman"/>
          <w:sz w:val="22"/>
          <w:szCs w:val="22"/>
        </w:rPr>
        <w:t>WBES</w:t>
      </w:r>
      <w:r w:rsidRPr="00822AB9">
        <w:rPr>
          <w:rFonts w:ascii="Times New Roman" w:hAnsi="Times New Roman" w:cs="Times New Roman"/>
          <w:sz w:val="22"/>
          <w:szCs w:val="22"/>
        </w:rPr>
        <w:t xml:space="preserve"> finds that while guarantees are require</w:t>
      </w:r>
      <w:r w:rsidR="00D021C4" w:rsidRPr="00822AB9">
        <w:rPr>
          <w:rFonts w:ascii="Times New Roman" w:hAnsi="Times New Roman" w:cs="Times New Roman"/>
          <w:sz w:val="22"/>
          <w:szCs w:val="22"/>
        </w:rPr>
        <w:t>d</w:t>
      </w:r>
      <w:r w:rsidRPr="00822AB9">
        <w:rPr>
          <w:rFonts w:ascii="Times New Roman" w:hAnsi="Times New Roman" w:cs="Times New Roman"/>
          <w:sz w:val="22"/>
          <w:szCs w:val="22"/>
        </w:rPr>
        <w:t xml:space="preserve"> from SMEs at similar rates, a relatively small percentage of small firms are using movable collateral </w:t>
      </w:r>
      <w:r w:rsidR="00D021C4" w:rsidRPr="00822AB9">
        <w:rPr>
          <w:rFonts w:ascii="Times New Roman" w:hAnsi="Times New Roman" w:cs="Times New Roman"/>
          <w:sz w:val="22"/>
          <w:szCs w:val="22"/>
        </w:rPr>
        <w:t xml:space="preserve">(41 percent) compared with medium firms (93 percent).  </w:t>
      </w:r>
      <w:r w:rsidRPr="00822AB9">
        <w:rPr>
          <w:rFonts w:ascii="Times New Roman" w:hAnsi="Times New Roman" w:cs="Times New Roman"/>
          <w:sz w:val="22"/>
          <w:szCs w:val="22"/>
        </w:rPr>
        <w:t>Nevertheless, the latest Namibian Business and Investment Climate Survey (Schade 2013) finds that enterprises regard the provision of collateral as less challenging compared with previous surveys.  To address this obstacle, several government efforts were initiated, such as the establishment of the SME Bank.</w:t>
      </w:r>
      <w:r w:rsidR="00704798" w:rsidRPr="00822AB9">
        <w:rPr>
          <w:rFonts w:ascii="Times New Roman" w:hAnsi="Times New Roman" w:cs="Times New Roman"/>
          <w:sz w:val="22"/>
          <w:szCs w:val="22"/>
        </w:rPr>
        <w:t xml:space="preserve"> This bank had not been established when the stocktaking exercise was conducted, and is beyond the purview of this note.  However, it is understood that this bank has experienced challenges and further assessment of its design and performance would be warranted in the future.  </w:t>
      </w:r>
    </w:p>
    <w:p w14:paraId="23B10025" w14:textId="4D48CDAF" w:rsidR="00211B74" w:rsidRPr="00822AB9" w:rsidRDefault="00211B74" w:rsidP="003C4F65">
      <w:pPr>
        <w:pStyle w:val="ListParagraph"/>
        <w:tabs>
          <w:tab w:val="left" w:pos="360"/>
        </w:tabs>
        <w:ind w:left="0"/>
        <w:contextualSpacing w:val="0"/>
        <w:jc w:val="both"/>
        <w:rPr>
          <w:rFonts w:ascii="Times New Roman" w:hAnsi="Times New Roman" w:cs="Times New Roman"/>
          <w:sz w:val="22"/>
          <w:szCs w:val="22"/>
        </w:rPr>
      </w:pPr>
    </w:p>
    <w:p w14:paraId="16C1264D" w14:textId="3F2E7833" w:rsidR="008E2090" w:rsidRPr="00822AB9" w:rsidRDefault="00211B74" w:rsidP="00F023C9">
      <w:pPr>
        <w:pStyle w:val="ListParagraph"/>
        <w:tabs>
          <w:tab w:val="left" w:pos="360"/>
        </w:tabs>
        <w:ind w:left="0"/>
        <w:contextualSpacing w:val="0"/>
        <w:jc w:val="both"/>
        <w:rPr>
          <w:rFonts w:ascii="Times New Roman" w:hAnsi="Times New Roman" w:cs="Times New Roman"/>
          <w:sz w:val="22"/>
          <w:szCs w:val="22"/>
        </w:rPr>
      </w:pPr>
      <w:r w:rsidRPr="00822AB9">
        <w:rPr>
          <w:rFonts w:ascii="Times New Roman" w:hAnsi="Times New Roman" w:cs="Times New Roman"/>
          <w:b/>
          <w:sz w:val="22"/>
          <w:szCs w:val="22"/>
        </w:rPr>
        <w:t>Other relevant obstacles are lack of skills, credit history and complex application procedures among others.</w:t>
      </w:r>
      <w:r w:rsidRPr="00822AB9">
        <w:rPr>
          <w:rFonts w:ascii="Times New Roman" w:hAnsi="Times New Roman" w:cs="Times New Roman"/>
          <w:sz w:val="22"/>
          <w:szCs w:val="22"/>
        </w:rPr>
        <w:t xml:space="preserve">  </w:t>
      </w:r>
      <w:r w:rsidR="00CC6B95" w:rsidRPr="00822AB9">
        <w:rPr>
          <w:rFonts w:ascii="Times New Roman" w:hAnsi="Times New Roman" w:cs="Times New Roman"/>
          <w:sz w:val="22"/>
          <w:szCs w:val="22"/>
        </w:rPr>
        <w:t xml:space="preserve">Aside from the lack of collateral, </w:t>
      </w:r>
      <w:r w:rsidRPr="00822AB9">
        <w:rPr>
          <w:rFonts w:ascii="Times New Roman" w:hAnsi="Times New Roman" w:cs="Times New Roman"/>
          <w:sz w:val="22"/>
          <w:szCs w:val="22"/>
        </w:rPr>
        <w:t xml:space="preserve">financial institutions cite </w:t>
      </w:r>
      <w:r w:rsidR="00CC6B95" w:rsidRPr="00822AB9">
        <w:rPr>
          <w:rFonts w:ascii="Times New Roman" w:hAnsi="Times New Roman" w:cs="Times New Roman"/>
          <w:sz w:val="22"/>
          <w:szCs w:val="22"/>
        </w:rPr>
        <w:t>lack of skills, training and experience at SMEs</w:t>
      </w:r>
      <w:r w:rsidRPr="00822AB9">
        <w:rPr>
          <w:rFonts w:ascii="Times New Roman" w:hAnsi="Times New Roman" w:cs="Times New Roman"/>
          <w:sz w:val="22"/>
          <w:szCs w:val="22"/>
        </w:rPr>
        <w:t>,</w:t>
      </w:r>
      <w:r w:rsidR="00CC6B95" w:rsidRPr="00822AB9">
        <w:rPr>
          <w:rFonts w:ascii="Times New Roman" w:hAnsi="Times New Roman" w:cs="Times New Roman"/>
          <w:sz w:val="22"/>
          <w:szCs w:val="22"/>
        </w:rPr>
        <w:t xml:space="preserve"> lack of credit history and informality </w:t>
      </w:r>
      <w:r w:rsidRPr="00822AB9">
        <w:rPr>
          <w:rFonts w:ascii="Times New Roman" w:hAnsi="Times New Roman" w:cs="Times New Roman"/>
          <w:sz w:val="22"/>
          <w:szCs w:val="22"/>
        </w:rPr>
        <w:t>as relevant barriers</w:t>
      </w:r>
      <w:r w:rsidR="00CC6B95" w:rsidRPr="00822AB9">
        <w:rPr>
          <w:rFonts w:ascii="Times New Roman" w:hAnsi="Times New Roman" w:cs="Times New Roman"/>
          <w:sz w:val="22"/>
          <w:szCs w:val="22"/>
        </w:rPr>
        <w:t>.</w:t>
      </w:r>
      <w:r w:rsidR="00E54D58" w:rsidRPr="00822AB9">
        <w:rPr>
          <w:rFonts w:ascii="Times New Roman" w:hAnsi="Times New Roman" w:cs="Times New Roman"/>
          <w:sz w:val="22"/>
          <w:szCs w:val="22"/>
        </w:rPr>
        <w:t xml:space="preserve">  SMEs also consider complex application procedures and high interest rates as important reasons not to apply to a loan. </w:t>
      </w:r>
      <w:r w:rsidR="00CC6B95" w:rsidRPr="00822AB9">
        <w:rPr>
          <w:rFonts w:ascii="Times New Roman" w:hAnsi="Times New Roman" w:cs="Times New Roman"/>
          <w:sz w:val="22"/>
          <w:szCs w:val="22"/>
        </w:rPr>
        <w:t xml:space="preserve">  </w:t>
      </w:r>
    </w:p>
    <w:p w14:paraId="5E2AB36C" w14:textId="77777777" w:rsidR="00CC6B95" w:rsidRPr="00822AB9" w:rsidRDefault="00CC6B95" w:rsidP="00634742">
      <w:pPr>
        <w:pStyle w:val="ListParagraph"/>
        <w:tabs>
          <w:tab w:val="left" w:pos="360"/>
        </w:tabs>
        <w:ind w:left="0"/>
        <w:contextualSpacing w:val="0"/>
        <w:jc w:val="both"/>
        <w:rPr>
          <w:rFonts w:ascii="Times New Roman" w:hAnsi="Times New Roman" w:cs="Times New Roman"/>
          <w:b/>
          <w:sz w:val="22"/>
          <w:szCs w:val="22"/>
        </w:rPr>
      </w:pPr>
    </w:p>
    <w:p w14:paraId="273221FC" w14:textId="77777777" w:rsidR="00211B74" w:rsidRPr="00822AB9" w:rsidRDefault="00211B74" w:rsidP="00634742">
      <w:pPr>
        <w:spacing w:after="0" w:line="240" w:lineRule="auto"/>
        <w:ind w:left="540"/>
        <w:jc w:val="center"/>
        <w:rPr>
          <w:rFonts w:ascii="Times New Roman" w:hAnsi="Times New Roman" w:cs="Times New Roman"/>
          <w:b/>
          <w:bCs/>
        </w:rPr>
      </w:pPr>
      <w:r w:rsidRPr="00822AB9">
        <w:rPr>
          <w:rFonts w:ascii="Times New Roman" w:hAnsi="Times New Roman" w:cs="Times New Roman"/>
          <w:b/>
          <w:bCs/>
        </w:rPr>
        <w:t xml:space="preserve">Table 1: Reported reasons for not applying </w:t>
      </w:r>
      <w:r w:rsidR="00154775" w:rsidRPr="00822AB9">
        <w:rPr>
          <w:rFonts w:ascii="Times New Roman" w:hAnsi="Times New Roman" w:cs="Times New Roman"/>
          <w:b/>
          <w:bCs/>
        </w:rPr>
        <w:t>to</w:t>
      </w:r>
      <w:r w:rsidRPr="00822AB9">
        <w:rPr>
          <w:rFonts w:ascii="Times New Roman" w:hAnsi="Times New Roman" w:cs="Times New Roman"/>
          <w:b/>
          <w:bCs/>
        </w:rPr>
        <w:t xml:space="preserve"> loans</w:t>
      </w:r>
    </w:p>
    <w:tbl>
      <w:tblPr>
        <w:tblW w:w="7240" w:type="dxa"/>
        <w:jc w:val="center"/>
        <w:tblLook w:val="04A0" w:firstRow="1" w:lastRow="0" w:firstColumn="1" w:lastColumn="0" w:noHBand="0" w:noVBand="1"/>
      </w:tblPr>
      <w:tblGrid>
        <w:gridCol w:w="3400"/>
        <w:gridCol w:w="974"/>
        <w:gridCol w:w="960"/>
        <w:gridCol w:w="962"/>
        <w:gridCol w:w="960"/>
      </w:tblGrid>
      <w:tr w:rsidR="00211B74" w:rsidRPr="00822AB9" w14:paraId="130A2EC3" w14:textId="77777777" w:rsidTr="00DC3690">
        <w:trPr>
          <w:trHeight w:val="300"/>
          <w:jc w:val="center"/>
        </w:trPr>
        <w:tc>
          <w:tcPr>
            <w:tcW w:w="3400" w:type="dxa"/>
            <w:tcBorders>
              <w:top w:val="nil"/>
              <w:left w:val="nil"/>
              <w:bottom w:val="single" w:sz="4" w:space="0" w:color="auto"/>
              <w:right w:val="nil"/>
            </w:tcBorders>
            <w:shd w:val="clear" w:color="000000" w:fill="FFFFFF"/>
            <w:noWrap/>
            <w:vAlign w:val="bottom"/>
            <w:hideMark/>
          </w:tcPr>
          <w:p w14:paraId="494E7BAA" w14:textId="77777777" w:rsidR="00211B74" w:rsidRPr="00822AB9" w:rsidRDefault="00211B74" w:rsidP="00634742">
            <w:pPr>
              <w:spacing w:after="0" w:line="240" w:lineRule="auto"/>
              <w:rPr>
                <w:rFonts w:ascii="Times New Roman" w:eastAsia="Times New Roman" w:hAnsi="Times New Roman" w:cs="Times New Roman"/>
                <w:color w:val="000000"/>
              </w:rPr>
            </w:pPr>
            <w:r w:rsidRPr="00822AB9">
              <w:rPr>
                <w:rFonts w:ascii="Times New Roman" w:eastAsia="Times New Roman" w:hAnsi="Times New Roman" w:cs="Times New Roman"/>
                <w:color w:val="000000"/>
              </w:rPr>
              <w:t> Reason for not applying for a loan</w:t>
            </w:r>
          </w:p>
        </w:tc>
        <w:tc>
          <w:tcPr>
            <w:tcW w:w="960" w:type="dxa"/>
            <w:tcBorders>
              <w:top w:val="nil"/>
              <w:left w:val="nil"/>
              <w:bottom w:val="single" w:sz="4" w:space="0" w:color="auto"/>
              <w:right w:val="nil"/>
            </w:tcBorders>
            <w:shd w:val="clear" w:color="000000" w:fill="FFFFFF"/>
            <w:noWrap/>
            <w:vAlign w:val="bottom"/>
            <w:hideMark/>
          </w:tcPr>
          <w:p w14:paraId="62EB0EA9"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Namibia</w:t>
            </w:r>
          </w:p>
        </w:tc>
        <w:tc>
          <w:tcPr>
            <w:tcW w:w="960" w:type="dxa"/>
            <w:tcBorders>
              <w:top w:val="nil"/>
              <w:left w:val="single" w:sz="4" w:space="0" w:color="auto"/>
              <w:bottom w:val="single" w:sz="4" w:space="0" w:color="auto"/>
              <w:right w:val="nil"/>
            </w:tcBorders>
            <w:shd w:val="clear" w:color="000000" w:fill="FFFFFF"/>
            <w:noWrap/>
            <w:vAlign w:val="bottom"/>
            <w:hideMark/>
          </w:tcPr>
          <w:p w14:paraId="6E9E446E"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Small</w:t>
            </w:r>
          </w:p>
        </w:tc>
        <w:tc>
          <w:tcPr>
            <w:tcW w:w="960" w:type="dxa"/>
            <w:tcBorders>
              <w:top w:val="nil"/>
              <w:left w:val="nil"/>
              <w:bottom w:val="single" w:sz="4" w:space="0" w:color="auto"/>
              <w:right w:val="nil"/>
            </w:tcBorders>
            <w:shd w:val="clear" w:color="000000" w:fill="FFFFFF"/>
            <w:noWrap/>
            <w:vAlign w:val="bottom"/>
            <w:hideMark/>
          </w:tcPr>
          <w:p w14:paraId="48B42466"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Medium</w:t>
            </w:r>
          </w:p>
        </w:tc>
        <w:tc>
          <w:tcPr>
            <w:tcW w:w="960" w:type="dxa"/>
            <w:tcBorders>
              <w:top w:val="nil"/>
              <w:left w:val="nil"/>
              <w:bottom w:val="single" w:sz="4" w:space="0" w:color="auto"/>
              <w:right w:val="nil"/>
            </w:tcBorders>
            <w:shd w:val="clear" w:color="000000" w:fill="FFFFFF"/>
            <w:noWrap/>
            <w:vAlign w:val="bottom"/>
            <w:hideMark/>
          </w:tcPr>
          <w:p w14:paraId="41E54162"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Large</w:t>
            </w:r>
          </w:p>
        </w:tc>
      </w:tr>
      <w:tr w:rsidR="00211B74" w:rsidRPr="00822AB9" w14:paraId="18075452" w14:textId="77777777" w:rsidTr="00DC3690">
        <w:trPr>
          <w:trHeight w:val="300"/>
          <w:jc w:val="center"/>
        </w:trPr>
        <w:tc>
          <w:tcPr>
            <w:tcW w:w="3400" w:type="dxa"/>
            <w:tcBorders>
              <w:top w:val="nil"/>
              <w:left w:val="nil"/>
              <w:bottom w:val="nil"/>
              <w:right w:val="nil"/>
            </w:tcBorders>
            <w:shd w:val="clear" w:color="000000" w:fill="FFFFFF"/>
            <w:noWrap/>
            <w:vAlign w:val="bottom"/>
            <w:hideMark/>
          </w:tcPr>
          <w:p w14:paraId="08B0A05F" w14:textId="77777777" w:rsidR="00211B74" w:rsidRPr="00822AB9" w:rsidRDefault="00211B74" w:rsidP="00634742">
            <w:pPr>
              <w:spacing w:after="0" w:line="240" w:lineRule="auto"/>
              <w:jc w:val="right"/>
              <w:rPr>
                <w:rFonts w:ascii="Times New Roman" w:eastAsia="Times New Roman" w:hAnsi="Times New Roman" w:cs="Times New Roman"/>
                <w:color w:val="000000"/>
              </w:rPr>
            </w:pPr>
            <w:r w:rsidRPr="00822AB9">
              <w:rPr>
                <w:rFonts w:ascii="Times New Roman" w:eastAsia="Times New Roman" w:hAnsi="Times New Roman" w:cs="Times New Roman"/>
                <w:color w:val="000000"/>
              </w:rPr>
              <w:t>No need</w:t>
            </w:r>
          </w:p>
        </w:tc>
        <w:tc>
          <w:tcPr>
            <w:tcW w:w="960" w:type="dxa"/>
            <w:tcBorders>
              <w:top w:val="nil"/>
              <w:left w:val="nil"/>
              <w:bottom w:val="nil"/>
              <w:right w:val="nil"/>
            </w:tcBorders>
            <w:shd w:val="clear" w:color="000000" w:fill="FFFFFF"/>
            <w:noWrap/>
            <w:vAlign w:val="bottom"/>
            <w:hideMark/>
          </w:tcPr>
          <w:p w14:paraId="7B051275"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59%</w:t>
            </w:r>
          </w:p>
        </w:tc>
        <w:tc>
          <w:tcPr>
            <w:tcW w:w="960" w:type="dxa"/>
            <w:tcBorders>
              <w:top w:val="nil"/>
              <w:left w:val="single" w:sz="4" w:space="0" w:color="auto"/>
              <w:bottom w:val="nil"/>
              <w:right w:val="nil"/>
            </w:tcBorders>
            <w:shd w:val="clear" w:color="000000" w:fill="FFFFFF"/>
            <w:noWrap/>
            <w:vAlign w:val="bottom"/>
            <w:hideMark/>
          </w:tcPr>
          <w:p w14:paraId="0CA20A51"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53%</w:t>
            </w:r>
          </w:p>
        </w:tc>
        <w:tc>
          <w:tcPr>
            <w:tcW w:w="960" w:type="dxa"/>
            <w:tcBorders>
              <w:top w:val="nil"/>
              <w:left w:val="nil"/>
              <w:bottom w:val="nil"/>
              <w:right w:val="nil"/>
            </w:tcBorders>
            <w:shd w:val="clear" w:color="000000" w:fill="FFFFFF"/>
            <w:noWrap/>
            <w:vAlign w:val="bottom"/>
            <w:hideMark/>
          </w:tcPr>
          <w:p w14:paraId="3F7289FC"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77%</w:t>
            </w:r>
          </w:p>
        </w:tc>
        <w:tc>
          <w:tcPr>
            <w:tcW w:w="960" w:type="dxa"/>
            <w:tcBorders>
              <w:top w:val="nil"/>
              <w:left w:val="nil"/>
              <w:bottom w:val="nil"/>
              <w:right w:val="nil"/>
            </w:tcBorders>
            <w:shd w:val="clear" w:color="000000" w:fill="FFFFFF"/>
            <w:noWrap/>
            <w:vAlign w:val="bottom"/>
            <w:hideMark/>
          </w:tcPr>
          <w:p w14:paraId="28246A1B"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99%</w:t>
            </w:r>
          </w:p>
        </w:tc>
      </w:tr>
      <w:tr w:rsidR="00211B74" w:rsidRPr="00822AB9" w14:paraId="22696F8E" w14:textId="77777777" w:rsidTr="00DC3690">
        <w:trPr>
          <w:trHeight w:val="300"/>
          <w:jc w:val="center"/>
        </w:trPr>
        <w:tc>
          <w:tcPr>
            <w:tcW w:w="3400" w:type="dxa"/>
            <w:tcBorders>
              <w:top w:val="nil"/>
              <w:left w:val="nil"/>
              <w:bottom w:val="nil"/>
              <w:right w:val="nil"/>
            </w:tcBorders>
            <w:shd w:val="clear" w:color="000000" w:fill="FFFFFF"/>
            <w:noWrap/>
            <w:vAlign w:val="bottom"/>
            <w:hideMark/>
          </w:tcPr>
          <w:p w14:paraId="6C3A7E57" w14:textId="77777777" w:rsidR="00211B74" w:rsidRPr="00822AB9" w:rsidRDefault="00211B74" w:rsidP="00634742">
            <w:pPr>
              <w:spacing w:after="0" w:line="240" w:lineRule="auto"/>
              <w:jc w:val="right"/>
              <w:rPr>
                <w:rFonts w:ascii="Times New Roman" w:eastAsia="Times New Roman" w:hAnsi="Times New Roman" w:cs="Times New Roman"/>
                <w:color w:val="000000"/>
              </w:rPr>
            </w:pPr>
            <w:r w:rsidRPr="00822AB9">
              <w:rPr>
                <w:rFonts w:ascii="Times New Roman" w:eastAsia="Times New Roman" w:hAnsi="Times New Roman" w:cs="Times New Roman"/>
                <w:color w:val="000000"/>
              </w:rPr>
              <w:t>Procedures too complex</w:t>
            </w:r>
          </w:p>
        </w:tc>
        <w:tc>
          <w:tcPr>
            <w:tcW w:w="960" w:type="dxa"/>
            <w:tcBorders>
              <w:top w:val="nil"/>
              <w:left w:val="nil"/>
              <w:bottom w:val="nil"/>
              <w:right w:val="nil"/>
            </w:tcBorders>
            <w:shd w:val="clear" w:color="000000" w:fill="FFFFFF"/>
            <w:noWrap/>
            <w:vAlign w:val="bottom"/>
            <w:hideMark/>
          </w:tcPr>
          <w:p w14:paraId="1B0DC46C"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7%</w:t>
            </w:r>
          </w:p>
        </w:tc>
        <w:tc>
          <w:tcPr>
            <w:tcW w:w="960" w:type="dxa"/>
            <w:tcBorders>
              <w:top w:val="nil"/>
              <w:left w:val="single" w:sz="4" w:space="0" w:color="auto"/>
              <w:bottom w:val="nil"/>
              <w:right w:val="nil"/>
            </w:tcBorders>
            <w:shd w:val="clear" w:color="000000" w:fill="FFFFFF"/>
            <w:noWrap/>
            <w:vAlign w:val="bottom"/>
            <w:hideMark/>
          </w:tcPr>
          <w:p w14:paraId="7A351D9A"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7%</w:t>
            </w:r>
          </w:p>
        </w:tc>
        <w:tc>
          <w:tcPr>
            <w:tcW w:w="960" w:type="dxa"/>
            <w:tcBorders>
              <w:top w:val="nil"/>
              <w:left w:val="nil"/>
              <w:bottom w:val="nil"/>
              <w:right w:val="nil"/>
            </w:tcBorders>
            <w:shd w:val="clear" w:color="000000" w:fill="FFFFFF"/>
            <w:noWrap/>
            <w:vAlign w:val="bottom"/>
            <w:hideMark/>
          </w:tcPr>
          <w:p w14:paraId="62BD89E4"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7%</w:t>
            </w:r>
          </w:p>
        </w:tc>
        <w:tc>
          <w:tcPr>
            <w:tcW w:w="960" w:type="dxa"/>
            <w:tcBorders>
              <w:top w:val="nil"/>
              <w:left w:val="nil"/>
              <w:bottom w:val="nil"/>
              <w:right w:val="nil"/>
            </w:tcBorders>
            <w:shd w:val="clear" w:color="000000" w:fill="FFFFFF"/>
            <w:noWrap/>
            <w:vAlign w:val="bottom"/>
            <w:hideMark/>
          </w:tcPr>
          <w:p w14:paraId="1C5FCDDE"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1%</w:t>
            </w:r>
          </w:p>
        </w:tc>
      </w:tr>
      <w:tr w:rsidR="00211B74" w:rsidRPr="00822AB9" w14:paraId="60F55120" w14:textId="77777777" w:rsidTr="00DC3690">
        <w:trPr>
          <w:trHeight w:val="300"/>
          <w:jc w:val="center"/>
        </w:trPr>
        <w:tc>
          <w:tcPr>
            <w:tcW w:w="3400" w:type="dxa"/>
            <w:tcBorders>
              <w:top w:val="nil"/>
              <w:left w:val="nil"/>
              <w:bottom w:val="nil"/>
              <w:right w:val="nil"/>
            </w:tcBorders>
            <w:shd w:val="clear" w:color="000000" w:fill="FFFFFF"/>
            <w:noWrap/>
            <w:vAlign w:val="bottom"/>
            <w:hideMark/>
          </w:tcPr>
          <w:p w14:paraId="41E94D03" w14:textId="77777777" w:rsidR="00211B74" w:rsidRPr="00822AB9" w:rsidRDefault="00211B74" w:rsidP="00634742">
            <w:pPr>
              <w:spacing w:after="0" w:line="240" w:lineRule="auto"/>
              <w:jc w:val="right"/>
              <w:rPr>
                <w:rFonts w:ascii="Times New Roman" w:eastAsia="Times New Roman" w:hAnsi="Times New Roman" w:cs="Times New Roman"/>
                <w:color w:val="000000"/>
              </w:rPr>
            </w:pPr>
            <w:r w:rsidRPr="00822AB9">
              <w:rPr>
                <w:rFonts w:ascii="Times New Roman" w:eastAsia="Times New Roman" w:hAnsi="Times New Roman" w:cs="Times New Roman"/>
                <w:color w:val="000000"/>
              </w:rPr>
              <w:t>Interest rates too high</w:t>
            </w:r>
          </w:p>
        </w:tc>
        <w:tc>
          <w:tcPr>
            <w:tcW w:w="960" w:type="dxa"/>
            <w:tcBorders>
              <w:top w:val="nil"/>
              <w:left w:val="nil"/>
              <w:bottom w:val="nil"/>
              <w:right w:val="nil"/>
            </w:tcBorders>
            <w:shd w:val="clear" w:color="000000" w:fill="FFFFFF"/>
            <w:noWrap/>
            <w:vAlign w:val="bottom"/>
            <w:hideMark/>
          </w:tcPr>
          <w:p w14:paraId="2E3C4F4C"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9%</w:t>
            </w:r>
          </w:p>
        </w:tc>
        <w:tc>
          <w:tcPr>
            <w:tcW w:w="960" w:type="dxa"/>
            <w:tcBorders>
              <w:top w:val="nil"/>
              <w:left w:val="single" w:sz="4" w:space="0" w:color="auto"/>
              <w:bottom w:val="nil"/>
              <w:right w:val="nil"/>
            </w:tcBorders>
            <w:shd w:val="clear" w:color="000000" w:fill="FFFFFF"/>
            <w:noWrap/>
            <w:vAlign w:val="bottom"/>
            <w:hideMark/>
          </w:tcPr>
          <w:p w14:paraId="5ABADCF7"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11%</w:t>
            </w:r>
          </w:p>
        </w:tc>
        <w:tc>
          <w:tcPr>
            <w:tcW w:w="960" w:type="dxa"/>
            <w:tcBorders>
              <w:top w:val="nil"/>
              <w:left w:val="nil"/>
              <w:bottom w:val="nil"/>
              <w:right w:val="nil"/>
            </w:tcBorders>
            <w:shd w:val="clear" w:color="000000" w:fill="FFFFFF"/>
            <w:noWrap/>
            <w:vAlign w:val="bottom"/>
            <w:hideMark/>
          </w:tcPr>
          <w:p w14:paraId="4DBBDF13"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0%</w:t>
            </w:r>
          </w:p>
        </w:tc>
        <w:tc>
          <w:tcPr>
            <w:tcW w:w="960" w:type="dxa"/>
            <w:tcBorders>
              <w:top w:val="nil"/>
              <w:left w:val="nil"/>
              <w:bottom w:val="nil"/>
              <w:right w:val="nil"/>
            </w:tcBorders>
            <w:shd w:val="clear" w:color="000000" w:fill="FFFFFF"/>
            <w:noWrap/>
            <w:vAlign w:val="bottom"/>
            <w:hideMark/>
          </w:tcPr>
          <w:p w14:paraId="3B69B298"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0%</w:t>
            </w:r>
          </w:p>
        </w:tc>
      </w:tr>
      <w:tr w:rsidR="00211B74" w:rsidRPr="00822AB9" w14:paraId="551F5938" w14:textId="77777777" w:rsidTr="00DC3690">
        <w:trPr>
          <w:trHeight w:val="300"/>
          <w:jc w:val="center"/>
        </w:trPr>
        <w:tc>
          <w:tcPr>
            <w:tcW w:w="3400" w:type="dxa"/>
            <w:tcBorders>
              <w:top w:val="nil"/>
              <w:left w:val="nil"/>
              <w:bottom w:val="nil"/>
              <w:right w:val="nil"/>
            </w:tcBorders>
            <w:shd w:val="clear" w:color="000000" w:fill="FFFFFF"/>
            <w:noWrap/>
            <w:vAlign w:val="bottom"/>
            <w:hideMark/>
          </w:tcPr>
          <w:p w14:paraId="3E3625A5" w14:textId="77777777" w:rsidR="00211B74" w:rsidRPr="00822AB9" w:rsidRDefault="00211B74" w:rsidP="00634742">
            <w:pPr>
              <w:spacing w:after="0" w:line="240" w:lineRule="auto"/>
              <w:jc w:val="right"/>
              <w:rPr>
                <w:rFonts w:ascii="Times New Roman" w:eastAsia="Times New Roman" w:hAnsi="Times New Roman" w:cs="Times New Roman"/>
                <w:color w:val="000000"/>
              </w:rPr>
            </w:pPr>
            <w:r w:rsidRPr="00822AB9">
              <w:rPr>
                <w:rFonts w:ascii="Times New Roman" w:eastAsia="Times New Roman" w:hAnsi="Times New Roman" w:cs="Times New Roman"/>
                <w:color w:val="000000"/>
              </w:rPr>
              <w:t>Collateral requirements too high</w:t>
            </w:r>
          </w:p>
        </w:tc>
        <w:tc>
          <w:tcPr>
            <w:tcW w:w="960" w:type="dxa"/>
            <w:tcBorders>
              <w:top w:val="nil"/>
              <w:left w:val="nil"/>
              <w:bottom w:val="nil"/>
              <w:right w:val="nil"/>
            </w:tcBorders>
            <w:shd w:val="clear" w:color="000000" w:fill="FFFFFF"/>
            <w:noWrap/>
            <w:vAlign w:val="bottom"/>
            <w:hideMark/>
          </w:tcPr>
          <w:p w14:paraId="3E4F0FCC"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18%</w:t>
            </w:r>
          </w:p>
        </w:tc>
        <w:tc>
          <w:tcPr>
            <w:tcW w:w="960" w:type="dxa"/>
            <w:tcBorders>
              <w:top w:val="nil"/>
              <w:left w:val="single" w:sz="4" w:space="0" w:color="auto"/>
              <w:bottom w:val="nil"/>
              <w:right w:val="nil"/>
            </w:tcBorders>
            <w:shd w:val="clear" w:color="000000" w:fill="FFFFFF"/>
            <w:noWrap/>
            <w:vAlign w:val="bottom"/>
            <w:hideMark/>
          </w:tcPr>
          <w:p w14:paraId="7A1DCB50"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20%</w:t>
            </w:r>
          </w:p>
        </w:tc>
        <w:tc>
          <w:tcPr>
            <w:tcW w:w="960" w:type="dxa"/>
            <w:tcBorders>
              <w:top w:val="nil"/>
              <w:left w:val="nil"/>
              <w:bottom w:val="nil"/>
              <w:right w:val="nil"/>
            </w:tcBorders>
            <w:shd w:val="clear" w:color="000000" w:fill="FFFFFF"/>
            <w:noWrap/>
            <w:vAlign w:val="bottom"/>
            <w:hideMark/>
          </w:tcPr>
          <w:p w14:paraId="640DC3D5"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15%</w:t>
            </w:r>
          </w:p>
        </w:tc>
        <w:tc>
          <w:tcPr>
            <w:tcW w:w="960" w:type="dxa"/>
            <w:tcBorders>
              <w:top w:val="nil"/>
              <w:left w:val="nil"/>
              <w:bottom w:val="nil"/>
              <w:right w:val="nil"/>
            </w:tcBorders>
            <w:shd w:val="clear" w:color="000000" w:fill="FFFFFF"/>
            <w:noWrap/>
            <w:vAlign w:val="bottom"/>
            <w:hideMark/>
          </w:tcPr>
          <w:p w14:paraId="7F1EA14F"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0%</w:t>
            </w:r>
          </w:p>
        </w:tc>
      </w:tr>
      <w:tr w:rsidR="00211B74" w:rsidRPr="00822AB9" w14:paraId="3CE5247A" w14:textId="77777777" w:rsidTr="00DC3690">
        <w:trPr>
          <w:trHeight w:val="300"/>
          <w:jc w:val="center"/>
        </w:trPr>
        <w:tc>
          <w:tcPr>
            <w:tcW w:w="3400" w:type="dxa"/>
            <w:tcBorders>
              <w:top w:val="nil"/>
              <w:left w:val="nil"/>
              <w:bottom w:val="nil"/>
              <w:right w:val="nil"/>
            </w:tcBorders>
            <w:shd w:val="clear" w:color="000000" w:fill="FFFFFF"/>
            <w:noWrap/>
            <w:vAlign w:val="bottom"/>
            <w:hideMark/>
          </w:tcPr>
          <w:p w14:paraId="2EAEAD8F" w14:textId="77777777" w:rsidR="00211B74" w:rsidRPr="00822AB9" w:rsidRDefault="00211B74" w:rsidP="00634742">
            <w:pPr>
              <w:spacing w:after="0" w:line="240" w:lineRule="auto"/>
              <w:jc w:val="right"/>
              <w:rPr>
                <w:rFonts w:ascii="Times New Roman" w:eastAsia="Times New Roman" w:hAnsi="Times New Roman" w:cs="Times New Roman"/>
                <w:color w:val="000000"/>
              </w:rPr>
            </w:pPr>
            <w:r w:rsidRPr="00822AB9">
              <w:rPr>
                <w:rFonts w:ascii="Times New Roman" w:eastAsia="Times New Roman" w:hAnsi="Times New Roman" w:cs="Times New Roman"/>
                <w:color w:val="000000"/>
              </w:rPr>
              <w:t>Did not think it would be approved</w:t>
            </w:r>
          </w:p>
        </w:tc>
        <w:tc>
          <w:tcPr>
            <w:tcW w:w="960" w:type="dxa"/>
            <w:tcBorders>
              <w:top w:val="nil"/>
              <w:left w:val="nil"/>
              <w:bottom w:val="nil"/>
              <w:right w:val="nil"/>
            </w:tcBorders>
            <w:shd w:val="clear" w:color="000000" w:fill="FFFFFF"/>
            <w:noWrap/>
            <w:vAlign w:val="bottom"/>
            <w:hideMark/>
          </w:tcPr>
          <w:p w14:paraId="7E451638"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2%</w:t>
            </w:r>
          </w:p>
        </w:tc>
        <w:tc>
          <w:tcPr>
            <w:tcW w:w="960" w:type="dxa"/>
            <w:tcBorders>
              <w:top w:val="nil"/>
              <w:left w:val="single" w:sz="4" w:space="0" w:color="auto"/>
              <w:bottom w:val="nil"/>
              <w:right w:val="nil"/>
            </w:tcBorders>
            <w:shd w:val="clear" w:color="000000" w:fill="FFFFFF"/>
            <w:noWrap/>
            <w:vAlign w:val="bottom"/>
            <w:hideMark/>
          </w:tcPr>
          <w:p w14:paraId="3B72694A"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2%</w:t>
            </w:r>
          </w:p>
        </w:tc>
        <w:tc>
          <w:tcPr>
            <w:tcW w:w="960" w:type="dxa"/>
            <w:tcBorders>
              <w:top w:val="nil"/>
              <w:left w:val="nil"/>
              <w:bottom w:val="nil"/>
              <w:right w:val="nil"/>
            </w:tcBorders>
            <w:shd w:val="clear" w:color="000000" w:fill="FFFFFF"/>
            <w:noWrap/>
            <w:vAlign w:val="bottom"/>
            <w:hideMark/>
          </w:tcPr>
          <w:p w14:paraId="2F3E1AF8"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0%</w:t>
            </w:r>
          </w:p>
        </w:tc>
        <w:tc>
          <w:tcPr>
            <w:tcW w:w="960" w:type="dxa"/>
            <w:tcBorders>
              <w:top w:val="nil"/>
              <w:left w:val="nil"/>
              <w:bottom w:val="nil"/>
              <w:right w:val="nil"/>
            </w:tcBorders>
            <w:shd w:val="clear" w:color="000000" w:fill="FFFFFF"/>
            <w:noWrap/>
            <w:vAlign w:val="bottom"/>
            <w:hideMark/>
          </w:tcPr>
          <w:p w14:paraId="7C9D62D3"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0%</w:t>
            </w:r>
          </w:p>
        </w:tc>
      </w:tr>
      <w:tr w:rsidR="00211B74" w:rsidRPr="00822AB9" w14:paraId="6C889E86" w14:textId="77777777" w:rsidTr="00DC3690">
        <w:trPr>
          <w:trHeight w:val="300"/>
          <w:jc w:val="center"/>
        </w:trPr>
        <w:tc>
          <w:tcPr>
            <w:tcW w:w="3400" w:type="dxa"/>
            <w:tcBorders>
              <w:top w:val="nil"/>
              <w:left w:val="nil"/>
              <w:bottom w:val="single" w:sz="4" w:space="0" w:color="auto"/>
              <w:right w:val="nil"/>
            </w:tcBorders>
            <w:shd w:val="clear" w:color="000000" w:fill="FFFFFF"/>
            <w:noWrap/>
            <w:vAlign w:val="bottom"/>
            <w:hideMark/>
          </w:tcPr>
          <w:p w14:paraId="3DB51E7C" w14:textId="77777777" w:rsidR="00211B74" w:rsidRPr="00822AB9" w:rsidRDefault="00211B74" w:rsidP="00634742">
            <w:pPr>
              <w:spacing w:after="0" w:line="240" w:lineRule="auto"/>
              <w:jc w:val="right"/>
              <w:rPr>
                <w:rFonts w:ascii="Times New Roman" w:eastAsia="Times New Roman" w:hAnsi="Times New Roman" w:cs="Times New Roman"/>
                <w:color w:val="000000"/>
              </w:rPr>
            </w:pPr>
            <w:r w:rsidRPr="00822AB9">
              <w:rPr>
                <w:rFonts w:ascii="Times New Roman" w:eastAsia="Times New Roman" w:hAnsi="Times New Roman" w:cs="Times New Roman"/>
                <w:color w:val="000000"/>
              </w:rPr>
              <w:t>Other</w:t>
            </w:r>
          </w:p>
        </w:tc>
        <w:tc>
          <w:tcPr>
            <w:tcW w:w="960" w:type="dxa"/>
            <w:tcBorders>
              <w:top w:val="nil"/>
              <w:left w:val="nil"/>
              <w:bottom w:val="single" w:sz="4" w:space="0" w:color="auto"/>
              <w:right w:val="nil"/>
            </w:tcBorders>
            <w:shd w:val="clear" w:color="000000" w:fill="FFFFFF"/>
            <w:noWrap/>
            <w:vAlign w:val="bottom"/>
            <w:hideMark/>
          </w:tcPr>
          <w:p w14:paraId="685F3D6E"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6%</w:t>
            </w:r>
          </w:p>
        </w:tc>
        <w:tc>
          <w:tcPr>
            <w:tcW w:w="960" w:type="dxa"/>
            <w:tcBorders>
              <w:top w:val="nil"/>
              <w:left w:val="single" w:sz="4" w:space="0" w:color="auto"/>
              <w:bottom w:val="single" w:sz="4" w:space="0" w:color="auto"/>
              <w:right w:val="nil"/>
            </w:tcBorders>
            <w:shd w:val="clear" w:color="000000" w:fill="FFFFFF"/>
            <w:noWrap/>
            <w:vAlign w:val="bottom"/>
            <w:hideMark/>
          </w:tcPr>
          <w:p w14:paraId="28C4A29E"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7%</w:t>
            </w:r>
          </w:p>
        </w:tc>
        <w:tc>
          <w:tcPr>
            <w:tcW w:w="960" w:type="dxa"/>
            <w:tcBorders>
              <w:top w:val="nil"/>
              <w:left w:val="nil"/>
              <w:bottom w:val="single" w:sz="4" w:space="0" w:color="auto"/>
              <w:right w:val="nil"/>
            </w:tcBorders>
            <w:shd w:val="clear" w:color="000000" w:fill="FFFFFF"/>
            <w:noWrap/>
            <w:vAlign w:val="bottom"/>
            <w:hideMark/>
          </w:tcPr>
          <w:p w14:paraId="1A9F5254"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1%</w:t>
            </w:r>
          </w:p>
        </w:tc>
        <w:tc>
          <w:tcPr>
            <w:tcW w:w="960" w:type="dxa"/>
            <w:tcBorders>
              <w:top w:val="nil"/>
              <w:left w:val="nil"/>
              <w:bottom w:val="single" w:sz="4" w:space="0" w:color="auto"/>
              <w:right w:val="nil"/>
            </w:tcBorders>
            <w:shd w:val="clear" w:color="000000" w:fill="FFFFFF"/>
            <w:noWrap/>
            <w:vAlign w:val="bottom"/>
            <w:hideMark/>
          </w:tcPr>
          <w:p w14:paraId="6D262C91" w14:textId="77777777" w:rsidR="00211B74" w:rsidRPr="00822AB9" w:rsidRDefault="00211B74" w:rsidP="00634742">
            <w:pPr>
              <w:spacing w:after="0" w:line="240" w:lineRule="auto"/>
              <w:jc w:val="center"/>
              <w:rPr>
                <w:rFonts w:ascii="Times New Roman" w:eastAsia="Times New Roman" w:hAnsi="Times New Roman" w:cs="Times New Roman"/>
                <w:color w:val="000000"/>
              </w:rPr>
            </w:pPr>
            <w:r w:rsidRPr="00822AB9">
              <w:rPr>
                <w:rFonts w:ascii="Times New Roman" w:eastAsia="Times New Roman" w:hAnsi="Times New Roman" w:cs="Times New Roman"/>
                <w:color w:val="000000"/>
              </w:rPr>
              <w:t>1%</w:t>
            </w:r>
          </w:p>
        </w:tc>
      </w:tr>
    </w:tbl>
    <w:p w14:paraId="50367197" w14:textId="77777777" w:rsidR="00211B74" w:rsidRPr="00822AB9" w:rsidRDefault="00211B74" w:rsidP="00634742">
      <w:pPr>
        <w:pStyle w:val="ListParagraph"/>
        <w:tabs>
          <w:tab w:val="left" w:pos="360"/>
        </w:tabs>
        <w:ind w:left="0"/>
        <w:contextualSpacing w:val="0"/>
        <w:jc w:val="both"/>
        <w:rPr>
          <w:rFonts w:ascii="Times New Roman" w:hAnsi="Times New Roman" w:cs="Times New Roman"/>
          <w:b/>
          <w:bCs/>
          <w:sz w:val="22"/>
          <w:szCs w:val="22"/>
        </w:rPr>
      </w:pPr>
      <w:r w:rsidRPr="00822AB9">
        <w:rPr>
          <w:rFonts w:ascii="Times New Roman" w:hAnsi="Times New Roman" w:cs="Times New Roman"/>
          <w:bCs/>
          <w:sz w:val="22"/>
          <w:szCs w:val="22"/>
        </w:rPr>
        <w:t xml:space="preserve">   </w:t>
      </w:r>
    </w:p>
    <w:p w14:paraId="07EF788E" w14:textId="52466325" w:rsidR="00484B25" w:rsidRPr="00822AB9" w:rsidRDefault="00177700" w:rsidP="00F023C9">
      <w:pPr>
        <w:pStyle w:val="ListParagraph"/>
        <w:ind w:left="0"/>
        <w:jc w:val="both"/>
        <w:rPr>
          <w:rFonts w:ascii="Times New Roman" w:hAnsi="Times New Roman" w:cs="Times New Roman"/>
          <w:sz w:val="22"/>
          <w:szCs w:val="22"/>
        </w:rPr>
      </w:pPr>
      <w:r w:rsidRPr="00822AB9">
        <w:rPr>
          <w:rFonts w:ascii="Times New Roman" w:hAnsi="Times New Roman" w:cs="Times New Roman"/>
          <w:b/>
          <w:sz w:val="22"/>
          <w:szCs w:val="22"/>
        </w:rPr>
        <w:t xml:space="preserve">Weaknesses in the ICR are also constraining access to credit </w:t>
      </w:r>
      <w:r w:rsidR="003E4D5B" w:rsidRPr="00822AB9">
        <w:rPr>
          <w:rFonts w:ascii="Times New Roman" w:hAnsi="Times New Roman" w:cs="Times New Roman"/>
          <w:b/>
          <w:sz w:val="22"/>
          <w:szCs w:val="22"/>
        </w:rPr>
        <w:t xml:space="preserve">for enterprises and individuals </w:t>
      </w:r>
      <w:r w:rsidRPr="00822AB9">
        <w:rPr>
          <w:rFonts w:ascii="Times New Roman" w:hAnsi="Times New Roman" w:cs="Times New Roman"/>
          <w:b/>
          <w:sz w:val="22"/>
          <w:szCs w:val="22"/>
        </w:rPr>
        <w:t>(ICR ROSC).</w:t>
      </w:r>
      <w:r w:rsidRPr="00822AB9">
        <w:rPr>
          <w:rFonts w:ascii="Times New Roman" w:hAnsi="Times New Roman" w:cs="Times New Roman"/>
          <w:sz w:val="22"/>
          <w:szCs w:val="22"/>
        </w:rPr>
        <w:t xml:space="preserve"> </w:t>
      </w:r>
      <w:r w:rsidR="00EF1153" w:rsidRPr="00822AB9">
        <w:rPr>
          <w:rFonts w:ascii="Times New Roman" w:hAnsi="Times New Roman" w:cs="Times New Roman"/>
          <w:sz w:val="22"/>
          <w:szCs w:val="22"/>
        </w:rPr>
        <w:t xml:space="preserve">The </w:t>
      </w:r>
      <w:r w:rsidR="003E4D5B" w:rsidRPr="00822AB9">
        <w:rPr>
          <w:rFonts w:ascii="Times New Roman" w:hAnsi="Times New Roman" w:cs="Times New Roman"/>
          <w:sz w:val="22"/>
          <w:szCs w:val="22"/>
        </w:rPr>
        <w:t xml:space="preserve">Namibian </w:t>
      </w:r>
      <w:r w:rsidR="00EF1153" w:rsidRPr="00822AB9">
        <w:rPr>
          <w:rFonts w:ascii="Times New Roman" w:hAnsi="Times New Roman" w:cs="Times New Roman"/>
          <w:sz w:val="22"/>
          <w:szCs w:val="22"/>
        </w:rPr>
        <w:t xml:space="preserve">legal system is based on the Roman-Dutch law inherited from South Africa. There have been important changes to the legal system since independence, but these changes have been marginal in the area of insolvency and creditor/debtor regimes. </w:t>
      </w:r>
      <w:r w:rsidR="00484B25" w:rsidRPr="00822AB9">
        <w:rPr>
          <w:rFonts w:ascii="Times New Roman" w:hAnsi="Times New Roman" w:cs="Times New Roman"/>
          <w:sz w:val="22"/>
          <w:szCs w:val="22"/>
        </w:rPr>
        <w:t>The 2014 Namibia ICR ROS</w:t>
      </w:r>
      <w:r w:rsidR="009C5FAA" w:rsidRPr="00822AB9">
        <w:rPr>
          <w:rFonts w:ascii="Times New Roman" w:hAnsi="Times New Roman" w:cs="Times New Roman"/>
          <w:sz w:val="22"/>
          <w:szCs w:val="22"/>
        </w:rPr>
        <w:t>C</w:t>
      </w:r>
      <w:r w:rsidR="00484B25" w:rsidRPr="00822AB9">
        <w:rPr>
          <w:rFonts w:ascii="Times New Roman" w:hAnsi="Times New Roman" w:cs="Times New Roman"/>
          <w:sz w:val="22"/>
          <w:szCs w:val="22"/>
        </w:rPr>
        <w:t xml:space="preserve"> identifies the following issues</w:t>
      </w:r>
      <w:r w:rsidR="00003038" w:rsidRPr="00822AB9">
        <w:rPr>
          <w:rFonts w:ascii="Times New Roman" w:hAnsi="Times New Roman" w:cs="Times New Roman"/>
          <w:sz w:val="22"/>
          <w:szCs w:val="22"/>
        </w:rPr>
        <w:t xml:space="preserve"> related with financial inclusion</w:t>
      </w:r>
      <w:r w:rsidR="00484B25" w:rsidRPr="00822AB9">
        <w:rPr>
          <w:rFonts w:ascii="Times New Roman" w:hAnsi="Times New Roman" w:cs="Times New Roman"/>
          <w:sz w:val="22"/>
          <w:szCs w:val="22"/>
        </w:rPr>
        <w:t>:</w:t>
      </w:r>
      <w:r w:rsidR="005B2425" w:rsidRPr="00822AB9">
        <w:rPr>
          <w:rStyle w:val="FootnoteReference"/>
          <w:rFonts w:ascii="Times New Roman" w:hAnsi="Times New Roman"/>
          <w:sz w:val="22"/>
          <w:szCs w:val="22"/>
        </w:rPr>
        <w:footnoteReference w:id="4"/>
      </w:r>
    </w:p>
    <w:p w14:paraId="71566831" w14:textId="77777777" w:rsidR="00FD6EAD" w:rsidRPr="00822AB9" w:rsidRDefault="00FD6EAD" w:rsidP="00177700">
      <w:pPr>
        <w:spacing w:after="0" w:line="240" w:lineRule="auto"/>
        <w:jc w:val="both"/>
        <w:rPr>
          <w:rFonts w:ascii="Times New Roman" w:hAnsi="Times New Roman" w:cs="Times New Roman"/>
        </w:rPr>
      </w:pPr>
    </w:p>
    <w:p w14:paraId="4F66BDCD" w14:textId="28439933" w:rsidR="00484B25" w:rsidRPr="00822AB9" w:rsidRDefault="00484B25" w:rsidP="003E4D5B">
      <w:pPr>
        <w:pStyle w:val="ListParagraph"/>
        <w:numPr>
          <w:ilvl w:val="2"/>
          <w:numId w:val="17"/>
        </w:numPr>
        <w:tabs>
          <w:tab w:val="clear" w:pos="2160"/>
          <w:tab w:val="left" w:pos="720"/>
        </w:tabs>
        <w:ind w:left="360" w:firstLine="0"/>
        <w:jc w:val="both"/>
        <w:rPr>
          <w:rFonts w:ascii="Times New Roman" w:hAnsi="Times New Roman" w:cs="Times New Roman"/>
          <w:sz w:val="22"/>
          <w:szCs w:val="22"/>
        </w:rPr>
      </w:pPr>
      <w:r w:rsidRPr="00822AB9">
        <w:rPr>
          <w:rFonts w:ascii="Times New Roman" w:hAnsi="Times New Roman" w:cs="Times New Roman"/>
          <w:b/>
          <w:i/>
          <w:sz w:val="22"/>
          <w:szCs w:val="22"/>
        </w:rPr>
        <w:t>Access to credit and the protection of creditor rights.</w:t>
      </w:r>
      <w:r w:rsidR="007E1D27" w:rsidRPr="00822AB9">
        <w:rPr>
          <w:rFonts w:ascii="Times New Roman" w:hAnsi="Times New Roman" w:cs="Times New Roman"/>
          <w:sz w:val="22"/>
          <w:szCs w:val="22"/>
        </w:rPr>
        <w:t xml:space="preserve">  </w:t>
      </w:r>
      <w:r w:rsidRPr="00822AB9">
        <w:rPr>
          <w:rFonts w:ascii="Times New Roman" w:hAnsi="Times New Roman" w:cs="Times New Roman"/>
          <w:sz w:val="22"/>
          <w:szCs w:val="22"/>
        </w:rPr>
        <w:t>The regime for securities over movables (especially the regime for notarial bonds) is not sufficiently effective. The regime is not trusted and there are difficulties to use securities over a general category of assets (raw materials, receivables, etc.).  Additionally, there are deficiencies in the registration regime and in the enforcement process of such securities.</w:t>
      </w:r>
      <w:r w:rsidR="00EF1153" w:rsidRPr="00822AB9">
        <w:rPr>
          <w:rFonts w:ascii="Times New Roman" w:hAnsi="Times New Roman" w:cs="Times New Roman"/>
          <w:sz w:val="22"/>
          <w:szCs w:val="22"/>
        </w:rPr>
        <w:t xml:space="preserve"> </w:t>
      </w:r>
      <w:r w:rsidR="003E4D5B" w:rsidRPr="00822AB9">
        <w:rPr>
          <w:rFonts w:ascii="Times New Roman" w:hAnsi="Times New Roman" w:cs="Times New Roman"/>
          <w:sz w:val="22"/>
          <w:szCs w:val="22"/>
        </w:rPr>
        <w:t>T</w:t>
      </w:r>
      <w:r w:rsidR="00EF1153" w:rsidRPr="00822AB9">
        <w:rPr>
          <w:rFonts w:ascii="Times New Roman" w:hAnsi="Times New Roman" w:cs="Times New Roman"/>
          <w:sz w:val="22"/>
          <w:szCs w:val="22"/>
        </w:rPr>
        <w:t xml:space="preserve">he regulation of security interests over movable assets could be significantly improved by means of substantive changes in the law and the introduction of a new system for registration. The </w:t>
      </w:r>
      <w:r w:rsidR="00EF1153" w:rsidRPr="00822AB9">
        <w:rPr>
          <w:rFonts w:ascii="Times New Roman" w:hAnsi="Times New Roman" w:cs="Times New Roman"/>
          <w:sz w:val="22"/>
          <w:szCs w:val="22"/>
        </w:rPr>
        <w:lastRenderedPageBreak/>
        <w:t>enforcement system is regarded as being efficient, although there are symptoms of overload in the High Court.</w:t>
      </w:r>
    </w:p>
    <w:p w14:paraId="4458FA1E" w14:textId="77777777" w:rsidR="00FD6EAD" w:rsidRPr="00822AB9" w:rsidRDefault="00FD6EAD" w:rsidP="00FD6EAD">
      <w:pPr>
        <w:pStyle w:val="ListParagraph"/>
        <w:ind w:left="360"/>
        <w:jc w:val="both"/>
        <w:rPr>
          <w:rFonts w:ascii="Times New Roman" w:hAnsi="Times New Roman" w:cs="Times New Roman"/>
          <w:sz w:val="22"/>
          <w:szCs w:val="22"/>
        </w:rPr>
      </w:pPr>
    </w:p>
    <w:p w14:paraId="6CBB233F" w14:textId="77777777" w:rsidR="003E4D5B" w:rsidRPr="00822AB9" w:rsidRDefault="00484B25" w:rsidP="00626C56">
      <w:pPr>
        <w:pStyle w:val="ListParagraph"/>
        <w:numPr>
          <w:ilvl w:val="2"/>
          <w:numId w:val="17"/>
        </w:numPr>
        <w:tabs>
          <w:tab w:val="clear" w:pos="2160"/>
          <w:tab w:val="left" w:pos="720"/>
        </w:tabs>
        <w:ind w:left="360" w:firstLine="0"/>
        <w:jc w:val="both"/>
        <w:rPr>
          <w:rFonts w:ascii="Times New Roman" w:hAnsi="Times New Roman" w:cs="Times New Roman"/>
          <w:sz w:val="22"/>
          <w:szCs w:val="22"/>
        </w:rPr>
      </w:pPr>
      <w:r w:rsidRPr="00822AB9">
        <w:rPr>
          <w:rFonts w:ascii="Times New Roman" w:hAnsi="Times New Roman" w:cs="Times New Roman"/>
          <w:b/>
          <w:i/>
          <w:sz w:val="22"/>
          <w:szCs w:val="22"/>
        </w:rPr>
        <w:t>Risk management and restructuring.</w:t>
      </w:r>
      <w:r w:rsidRPr="00822AB9">
        <w:rPr>
          <w:rFonts w:ascii="Times New Roman" w:hAnsi="Times New Roman" w:cs="Times New Roman"/>
          <w:sz w:val="22"/>
          <w:szCs w:val="22"/>
        </w:rPr>
        <w:t xml:space="preserve">  </w:t>
      </w:r>
      <w:r w:rsidR="00EF1153" w:rsidRPr="00822AB9">
        <w:rPr>
          <w:rFonts w:ascii="Times New Roman" w:hAnsi="Times New Roman" w:cs="Times New Roman"/>
          <w:sz w:val="22"/>
          <w:szCs w:val="22"/>
        </w:rPr>
        <w:t xml:space="preserve">Credit information systems in Namibia follow the South African model and their coverage of the Namibian population is good, but the industry is unregulated and there are no rules providing for consumer protection. </w:t>
      </w:r>
      <w:r w:rsidR="003E4D5B" w:rsidRPr="00822AB9">
        <w:rPr>
          <w:rFonts w:ascii="Times New Roman" w:hAnsi="Times New Roman" w:cs="Times New Roman"/>
          <w:sz w:val="22"/>
          <w:szCs w:val="22"/>
        </w:rPr>
        <w:t>Additionally, t</w:t>
      </w:r>
      <w:r w:rsidRPr="00822AB9">
        <w:rPr>
          <w:rFonts w:ascii="Times New Roman" w:hAnsi="Times New Roman" w:cs="Times New Roman"/>
          <w:sz w:val="22"/>
          <w:szCs w:val="22"/>
        </w:rPr>
        <w:t>he credit information system covers negative information only</w:t>
      </w:r>
      <w:r w:rsidR="003E4D5B" w:rsidRPr="00822AB9">
        <w:rPr>
          <w:rFonts w:ascii="Times New Roman" w:hAnsi="Times New Roman" w:cs="Times New Roman"/>
          <w:sz w:val="22"/>
          <w:szCs w:val="22"/>
        </w:rPr>
        <w:t xml:space="preserve"> and </w:t>
      </w:r>
      <w:r w:rsidRPr="00822AB9">
        <w:rPr>
          <w:rFonts w:ascii="Times New Roman" w:hAnsi="Times New Roman" w:cs="Times New Roman"/>
          <w:sz w:val="22"/>
          <w:szCs w:val="22"/>
        </w:rPr>
        <w:t>some information is not reliable</w:t>
      </w:r>
      <w:r w:rsidR="00003038" w:rsidRPr="00822AB9">
        <w:rPr>
          <w:rFonts w:ascii="Times New Roman" w:hAnsi="Times New Roman" w:cs="Times New Roman"/>
          <w:sz w:val="22"/>
          <w:szCs w:val="22"/>
        </w:rPr>
        <w:t>.  While risk management practices are healthy, there are constraints on access to credit by SMEs.  In terms of restructuring activities, there is limited use of informal restructurings (especially in SME cases), marginal use of multi-creditor workouts, marginal use of compromises and schemes of arrangement as well as limitations and disincentives</w:t>
      </w:r>
      <w:r w:rsidR="005B2425" w:rsidRPr="00822AB9">
        <w:rPr>
          <w:rFonts w:ascii="Times New Roman" w:hAnsi="Times New Roman" w:cs="Times New Roman"/>
          <w:sz w:val="22"/>
          <w:szCs w:val="22"/>
        </w:rPr>
        <w:t xml:space="preserve"> (including unfavorable tax treatment)</w:t>
      </w:r>
      <w:r w:rsidR="00003038" w:rsidRPr="00822AB9">
        <w:rPr>
          <w:rFonts w:ascii="Times New Roman" w:hAnsi="Times New Roman" w:cs="Times New Roman"/>
          <w:sz w:val="22"/>
          <w:szCs w:val="22"/>
        </w:rPr>
        <w:t>.</w:t>
      </w:r>
      <w:r w:rsidR="003E4D5B" w:rsidRPr="00822AB9">
        <w:rPr>
          <w:rFonts w:ascii="Times New Roman" w:hAnsi="Times New Roman" w:cs="Times New Roman"/>
          <w:sz w:val="22"/>
          <w:szCs w:val="22"/>
        </w:rPr>
        <w:t xml:space="preserve"> Restructuring of debts is considered as the best approach to the problems of distressed enterprises, but there are no guidelines for the negotiation of workouts, and the main instrument for restructuring debt, the scheme of arrangement, has important shortcomings that could be addressed.  </w:t>
      </w:r>
    </w:p>
    <w:p w14:paraId="53D8C5A0" w14:textId="77777777" w:rsidR="00FD6EAD" w:rsidRPr="00822AB9" w:rsidRDefault="00FD6EAD" w:rsidP="00626C56">
      <w:pPr>
        <w:pStyle w:val="ListParagraph"/>
        <w:ind w:left="360"/>
        <w:jc w:val="both"/>
        <w:rPr>
          <w:rFonts w:ascii="Times New Roman" w:hAnsi="Times New Roman" w:cs="Times New Roman"/>
          <w:sz w:val="22"/>
          <w:szCs w:val="22"/>
        </w:rPr>
      </w:pPr>
    </w:p>
    <w:p w14:paraId="1FD23B06" w14:textId="2DBD9F9F" w:rsidR="003133AC" w:rsidRPr="00822AB9" w:rsidRDefault="003E4D5B" w:rsidP="00626C56">
      <w:pPr>
        <w:pStyle w:val="ListParagraph"/>
        <w:numPr>
          <w:ilvl w:val="2"/>
          <w:numId w:val="17"/>
        </w:numPr>
        <w:tabs>
          <w:tab w:val="clear" w:pos="2160"/>
          <w:tab w:val="left" w:pos="720"/>
        </w:tabs>
        <w:ind w:left="360" w:firstLine="0"/>
        <w:jc w:val="both"/>
        <w:rPr>
          <w:rFonts w:ascii="Times New Roman" w:hAnsi="Times New Roman" w:cs="Times New Roman"/>
          <w:sz w:val="22"/>
          <w:szCs w:val="22"/>
        </w:rPr>
      </w:pPr>
      <w:r w:rsidRPr="00822AB9">
        <w:rPr>
          <w:rFonts w:ascii="Times New Roman" w:hAnsi="Times New Roman" w:cs="Times New Roman"/>
          <w:sz w:val="22"/>
          <w:szCs w:val="22"/>
        </w:rPr>
        <w:t xml:space="preserve">  </w:t>
      </w:r>
      <w:r w:rsidR="00003038" w:rsidRPr="00822AB9">
        <w:rPr>
          <w:rFonts w:ascii="Times New Roman" w:hAnsi="Times New Roman" w:cs="Times New Roman"/>
          <w:b/>
          <w:i/>
          <w:sz w:val="22"/>
          <w:szCs w:val="22"/>
        </w:rPr>
        <w:t>The insolvency framework.</w:t>
      </w:r>
      <w:r w:rsidR="00003038" w:rsidRPr="00822AB9">
        <w:rPr>
          <w:rFonts w:ascii="Times New Roman" w:hAnsi="Times New Roman" w:cs="Times New Roman"/>
          <w:sz w:val="22"/>
          <w:szCs w:val="22"/>
        </w:rPr>
        <w:t xml:space="preserve">  </w:t>
      </w:r>
      <w:r w:rsidR="00EF1153" w:rsidRPr="00822AB9">
        <w:rPr>
          <w:rFonts w:ascii="Times New Roman" w:hAnsi="Times New Roman" w:cs="Times New Roman"/>
          <w:sz w:val="22"/>
          <w:szCs w:val="22"/>
        </w:rPr>
        <w:t>The insolvency regime in Namibia suffers the complexities that characterize the original South African model. The provisions applicable to insolvency proceedings are dispersed across different statutes belonging to very different periods. The system is geared towards liquidation, and the</w:t>
      </w:r>
      <w:r w:rsidRPr="00822AB9">
        <w:rPr>
          <w:rFonts w:ascii="Times New Roman" w:hAnsi="Times New Roman" w:cs="Times New Roman"/>
          <w:sz w:val="22"/>
          <w:szCs w:val="22"/>
        </w:rPr>
        <w:t xml:space="preserve"> </w:t>
      </w:r>
      <w:r w:rsidR="00EF1153" w:rsidRPr="00822AB9">
        <w:rPr>
          <w:rFonts w:ascii="Times New Roman" w:hAnsi="Times New Roman" w:cs="Times New Roman"/>
          <w:sz w:val="22"/>
          <w:szCs w:val="22"/>
        </w:rPr>
        <w:t xml:space="preserve">only alternative to liquidation, the judicial management process, is considered very costly, not very effective and almost entirely untested in practice. There are several issues that would deserve attention in a reevaluation of the insolvency process, such as the criteria for access to insolvency, the treatment of executory contracts, and the classification of creditors.  </w:t>
      </w:r>
      <w:r w:rsidR="00B4003D" w:rsidRPr="00822AB9">
        <w:rPr>
          <w:rFonts w:ascii="Times New Roman" w:hAnsi="Times New Roman" w:cs="Times New Roman"/>
          <w:sz w:val="22"/>
          <w:szCs w:val="22"/>
        </w:rPr>
        <w:t xml:space="preserve">Additionally, there are issues with the administration of the process (such as delays and difficulties in selling assets as a going concern) and the priority regime (such as a complex ranking of claims and unequal treatment of creditors). </w:t>
      </w:r>
      <w:r w:rsidR="00EF1153" w:rsidRPr="00822AB9">
        <w:rPr>
          <w:rFonts w:ascii="Times New Roman" w:hAnsi="Times New Roman" w:cs="Times New Roman"/>
          <w:sz w:val="22"/>
          <w:szCs w:val="22"/>
        </w:rPr>
        <w:t xml:space="preserve">The insolvency system is particularly deficient in some of the most advanced areas, such as the treatment of cross-border insolvencies and of the insolvency of enterprise groups. </w:t>
      </w:r>
    </w:p>
    <w:p w14:paraId="5EA15327" w14:textId="77777777" w:rsidR="00FD6EAD" w:rsidRPr="00822AB9" w:rsidRDefault="00FD6EAD" w:rsidP="00626C56">
      <w:pPr>
        <w:pStyle w:val="ListParagraph"/>
        <w:ind w:left="360"/>
        <w:jc w:val="both"/>
        <w:rPr>
          <w:rFonts w:ascii="Times New Roman" w:hAnsi="Times New Roman" w:cs="Times New Roman"/>
          <w:b/>
          <w:sz w:val="22"/>
          <w:szCs w:val="22"/>
        </w:rPr>
      </w:pPr>
    </w:p>
    <w:p w14:paraId="65D2CF36" w14:textId="6607A489" w:rsidR="006933AC" w:rsidRPr="00822AB9" w:rsidRDefault="003133AC" w:rsidP="00626C56">
      <w:pPr>
        <w:pStyle w:val="ListParagraph"/>
        <w:numPr>
          <w:ilvl w:val="2"/>
          <w:numId w:val="17"/>
        </w:numPr>
        <w:tabs>
          <w:tab w:val="clear" w:pos="2160"/>
          <w:tab w:val="left" w:pos="1080"/>
        </w:tabs>
        <w:ind w:left="360" w:firstLine="0"/>
        <w:jc w:val="both"/>
        <w:rPr>
          <w:rFonts w:ascii="Times New Roman" w:hAnsi="Times New Roman" w:cs="Times New Roman"/>
          <w:sz w:val="22"/>
          <w:szCs w:val="22"/>
        </w:rPr>
      </w:pPr>
      <w:r w:rsidRPr="00822AB9">
        <w:rPr>
          <w:rFonts w:ascii="Times New Roman" w:hAnsi="Times New Roman" w:cs="Times New Roman"/>
          <w:b/>
          <w:i/>
          <w:sz w:val="22"/>
          <w:szCs w:val="22"/>
        </w:rPr>
        <w:t>The institutional framework.</w:t>
      </w:r>
      <w:r w:rsidRPr="00822AB9">
        <w:rPr>
          <w:rFonts w:ascii="Times New Roman" w:hAnsi="Times New Roman" w:cs="Times New Roman"/>
          <w:sz w:val="22"/>
          <w:szCs w:val="22"/>
        </w:rPr>
        <w:t xml:space="preserve">  </w:t>
      </w:r>
      <w:r w:rsidR="00EF1153" w:rsidRPr="00822AB9">
        <w:rPr>
          <w:rFonts w:ascii="Times New Roman" w:hAnsi="Times New Roman" w:cs="Times New Roman"/>
          <w:sz w:val="22"/>
          <w:szCs w:val="22"/>
        </w:rPr>
        <w:t xml:space="preserve">The institutional framework of the insolvency and creditor/debtor regime needs to be reinforced. Although </w:t>
      </w:r>
      <w:r w:rsidR="00E23FE5" w:rsidRPr="00822AB9">
        <w:rPr>
          <w:rFonts w:ascii="Times New Roman" w:hAnsi="Times New Roman" w:cs="Times New Roman"/>
          <w:sz w:val="22"/>
          <w:szCs w:val="22"/>
        </w:rPr>
        <w:t xml:space="preserve">the </w:t>
      </w:r>
      <w:r w:rsidR="00EF1153" w:rsidRPr="00822AB9">
        <w:rPr>
          <w:rFonts w:ascii="Times New Roman" w:hAnsi="Times New Roman" w:cs="Times New Roman"/>
          <w:sz w:val="22"/>
          <w:szCs w:val="22"/>
        </w:rPr>
        <w:t xml:space="preserve">insolvency practice has remained at low levels for a long time, it is foreseeable that a larger economy, when faced with economic difficulties, will require higher institutional capacity to deal with insolvency and debt enforcement issues. </w:t>
      </w:r>
      <w:r w:rsidR="00E23FE5" w:rsidRPr="00822AB9">
        <w:rPr>
          <w:rFonts w:ascii="Times New Roman" w:hAnsi="Times New Roman" w:cs="Times New Roman"/>
          <w:sz w:val="22"/>
          <w:szCs w:val="22"/>
        </w:rPr>
        <w:t xml:space="preserve">While the judiciary has a strong reputation, the courts struggle due to heavy workload and lack of specialization in commercial matters.  Lack of resources impacts the ability of the Master of the High Court to supervise insolvency proceedings and liquidator’s conduct. </w:t>
      </w:r>
      <w:r w:rsidR="00EF1153" w:rsidRPr="00822AB9">
        <w:rPr>
          <w:rFonts w:ascii="Times New Roman" w:hAnsi="Times New Roman" w:cs="Times New Roman"/>
          <w:sz w:val="22"/>
          <w:szCs w:val="22"/>
        </w:rPr>
        <w:t>In this regard, the courts would need to be reinforced, but it is even more important that the Master of the High Court, which performs critical functions in the insolvency system, receives adequate resources. Finally, the regulatory framework for insolvency representatives is an important part of the architecture of the system and deserves special consideration. There is a great need for the development of a regime for insolvency practitioners, with adequate qualifications, and proper supervision and enforcement</w:t>
      </w:r>
      <w:r w:rsidR="00E23FE5" w:rsidRPr="00822AB9">
        <w:rPr>
          <w:rFonts w:ascii="Times New Roman" w:hAnsi="Times New Roman" w:cs="Times New Roman"/>
          <w:sz w:val="22"/>
          <w:szCs w:val="22"/>
        </w:rPr>
        <w:t xml:space="preserve">.  </w:t>
      </w:r>
      <w:r w:rsidR="006933AC" w:rsidRPr="00822AB9">
        <w:rPr>
          <w:rFonts w:ascii="Times New Roman" w:hAnsi="Times New Roman" w:cs="Times New Roman"/>
          <w:sz w:val="22"/>
          <w:szCs w:val="22"/>
        </w:rPr>
        <w:t>In terms of the regulator, there are difficulties in communications with other branches of the system.</w:t>
      </w:r>
      <w:r w:rsidR="005B2425" w:rsidRPr="00822AB9">
        <w:rPr>
          <w:rFonts w:ascii="Times New Roman" w:hAnsi="Times New Roman" w:cs="Times New Roman"/>
          <w:sz w:val="22"/>
          <w:szCs w:val="22"/>
        </w:rPr>
        <w:t xml:space="preserve">  </w:t>
      </w:r>
      <w:r w:rsidRPr="00822AB9">
        <w:rPr>
          <w:rFonts w:ascii="Times New Roman" w:hAnsi="Times New Roman" w:cs="Times New Roman"/>
          <w:sz w:val="22"/>
          <w:szCs w:val="22"/>
        </w:rPr>
        <w:t xml:space="preserve">  </w:t>
      </w:r>
    </w:p>
    <w:p w14:paraId="21D62D49" w14:textId="77777777" w:rsidR="00F023C9" w:rsidRDefault="00F023C9" w:rsidP="00626C56">
      <w:pPr>
        <w:pStyle w:val="ListParagraph"/>
        <w:tabs>
          <w:tab w:val="left" w:pos="1080"/>
        </w:tabs>
        <w:ind w:left="0"/>
        <w:jc w:val="both"/>
        <w:rPr>
          <w:rFonts w:ascii="Times New Roman" w:eastAsiaTheme="minorHAnsi" w:hAnsi="Times New Roman" w:cs="Times New Roman"/>
          <w:color w:val="auto"/>
          <w:sz w:val="22"/>
          <w:szCs w:val="22"/>
          <w:lang w:eastAsia="en-US"/>
        </w:rPr>
      </w:pPr>
    </w:p>
    <w:p w14:paraId="5F66434F" w14:textId="69515D2B" w:rsidR="0071042C" w:rsidRDefault="0071042C" w:rsidP="00626C56">
      <w:pPr>
        <w:pStyle w:val="ListParagraph"/>
        <w:tabs>
          <w:tab w:val="left" w:pos="1080"/>
        </w:tabs>
        <w:ind w:left="0"/>
        <w:jc w:val="both"/>
        <w:rPr>
          <w:rFonts w:ascii="Times New Roman" w:hAnsi="Times New Roman" w:cs="Times New Roman"/>
          <w:b/>
          <w:sz w:val="22"/>
          <w:szCs w:val="22"/>
        </w:rPr>
      </w:pPr>
      <w:r w:rsidRPr="00822AB9">
        <w:rPr>
          <w:rFonts w:ascii="Times New Roman" w:hAnsi="Times New Roman" w:cs="Times New Roman"/>
          <w:b/>
          <w:sz w:val="22"/>
          <w:szCs w:val="22"/>
        </w:rPr>
        <w:t>Key recommendations to strengt</w:t>
      </w:r>
      <w:r w:rsidR="00E67103" w:rsidRPr="00822AB9">
        <w:rPr>
          <w:rFonts w:ascii="Times New Roman" w:hAnsi="Times New Roman" w:cs="Times New Roman"/>
          <w:b/>
          <w:sz w:val="22"/>
          <w:szCs w:val="22"/>
        </w:rPr>
        <w:t>hen the ICR are:</w:t>
      </w:r>
      <w:r w:rsidRPr="00822AB9">
        <w:rPr>
          <w:rFonts w:ascii="Times New Roman" w:hAnsi="Times New Roman" w:cs="Times New Roman"/>
          <w:b/>
          <w:sz w:val="22"/>
          <w:szCs w:val="22"/>
        </w:rPr>
        <w:t xml:space="preserve"> </w:t>
      </w:r>
    </w:p>
    <w:p w14:paraId="42224773" w14:textId="77777777" w:rsidR="00626C56" w:rsidRPr="00822AB9" w:rsidRDefault="00626C56" w:rsidP="00626C56">
      <w:pPr>
        <w:pStyle w:val="ListParagraph"/>
        <w:tabs>
          <w:tab w:val="left" w:pos="1080"/>
        </w:tabs>
        <w:ind w:left="0"/>
        <w:jc w:val="both"/>
        <w:rPr>
          <w:rFonts w:ascii="Times New Roman" w:hAnsi="Times New Roman" w:cs="Times New Roman"/>
          <w:b/>
          <w:sz w:val="22"/>
          <w:szCs w:val="22"/>
        </w:rPr>
      </w:pPr>
    </w:p>
    <w:p w14:paraId="06A0E633" w14:textId="3183C590" w:rsidR="0071042C" w:rsidRPr="00822AB9" w:rsidRDefault="00E67103" w:rsidP="00626C56">
      <w:pPr>
        <w:numPr>
          <w:ilvl w:val="2"/>
          <w:numId w:val="17"/>
        </w:numPr>
        <w:tabs>
          <w:tab w:val="clear" w:pos="2160"/>
          <w:tab w:val="left" w:pos="360"/>
        </w:tabs>
        <w:spacing w:after="0" w:line="240" w:lineRule="auto"/>
        <w:ind w:left="0" w:firstLine="0"/>
        <w:jc w:val="both"/>
        <w:rPr>
          <w:rFonts w:ascii="Times New Roman" w:hAnsi="Times New Roman" w:cs="Times New Roman"/>
          <w:bCs/>
          <w:color w:val="262626" w:themeColor="text1" w:themeTint="D9"/>
        </w:rPr>
      </w:pPr>
      <w:r w:rsidRPr="00822AB9">
        <w:rPr>
          <w:rFonts w:ascii="Times New Roman" w:hAnsi="Times New Roman" w:cs="Times New Roman"/>
          <w:b/>
          <w:bCs/>
          <w:i/>
          <w:color w:val="262626" w:themeColor="text1" w:themeTint="D9"/>
        </w:rPr>
        <w:t>A</w:t>
      </w:r>
      <w:r w:rsidR="0071042C" w:rsidRPr="00822AB9">
        <w:rPr>
          <w:rFonts w:ascii="Times New Roman" w:hAnsi="Times New Roman" w:cs="Times New Roman"/>
          <w:b/>
          <w:i/>
        </w:rPr>
        <w:t>ccess to credit and the protection of creditor rights</w:t>
      </w:r>
      <w:r w:rsidRPr="00822AB9">
        <w:rPr>
          <w:rFonts w:ascii="Times New Roman" w:hAnsi="Times New Roman" w:cs="Times New Roman"/>
          <w:b/>
          <w:i/>
        </w:rPr>
        <w:t>.</w:t>
      </w:r>
      <w:r w:rsidRPr="00822AB9">
        <w:rPr>
          <w:rFonts w:ascii="Times New Roman" w:hAnsi="Times New Roman" w:cs="Times New Roman"/>
          <w:i/>
        </w:rPr>
        <w:t xml:space="preserve">  </w:t>
      </w:r>
      <w:r w:rsidR="0071042C" w:rsidRPr="00822AB9">
        <w:rPr>
          <w:rFonts w:ascii="Times New Roman" w:hAnsi="Times New Roman" w:cs="Times New Roman"/>
        </w:rPr>
        <w:t xml:space="preserve">Namibia could benefit from the creation of a modern secured transactions regime, which could improve access to credit for small and medium enterprises. A substantive law on secured transactions over movable assets should allow the creation of security interests over all types of movable assets used in entrepreneurial activities, in the most flexible way, and without high costs or complex formalities. The security interests would be perfected by registration in a notice-based registry, organized nationally, according to the criterion of the name of the grantor, and easily accessible through the Internet.  Some enforcement procedures should be streamlined. </w:t>
      </w:r>
    </w:p>
    <w:p w14:paraId="4E7700FB" w14:textId="77777777" w:rsidR="00E67103" w:rsidRPr="00822AB9" w:rsidRDefault="00E67103" w:rsidP="00E67103">
      <w:pPr>
        <w:tabs>
          <w:tab w:val="left" w:pos="1080"/>
        </w:tabs>
        <w:spacing w:after="0" w:line="240" w:lineRule="auto"/>
        <w:jc w:val="both"/>
        <w:rPr>
          <w:rFonts w:ascii="Times New Roman" w:hAnsi="Times New Roman" w:cs="Times New Roman"/>
        </w:rPr>
      </w:pPr>
    </w:p>
    <w:p w14:paraId="6B641D1F" w14:textId="305820EE" w:rsidR="0071042C" w:rsidRDefault="00E67103" w:rsidP="00626C56">
      <w:pPr>
        <w:tabs>
          <w:tab w:val="left" w:pos="1080"/>
        </w:tabs>
        <w:spacing w:after="0" w:line="240" w:lineRule="auto"/>
        <w:jc w:val="both"/>
        <w:rPr>
          <w:rFonts w:ascii="Times New Roman" w:hAnsi="Times New Roman" w:cs="Times New Roman"/>
        </w:rPr>
      </w:pPr>
      <w:r w:rsidRPr="00822AB9">
        <w:rPr>
          <w:rFonts w:ascii="Times New Roman" w:hAnsi="Times New Roman" w:cs="Times New Roman"/>
          <w:i/>
        </w:rPr>
        <w:lastRenderedPageBreak/>
        <w:t xml:space="preserve">- </w:t>
      </w:r>
      <w:r w:rsidR="0071042C" w:rsidRPr="00822AB9">
        <w:rPr>
          <w:rFonts w:ascii="Times New Roman" w:hAnsi="Times New Roman" w:cs="Times New Roman"/>
          <w:b/>
          <w:i/>
        </w:rPr>
        <w:t>Ris</w:t>
      </w:r>
      <w:r w:rsidR="00013624" w:rsidRPr="00822AB9">
        <w:rPr>
          <w:rFonts w:ascii="Times New Roman" w:hAnsi="Times New Roman" w:cs="Times New Roman"/>
          <w:b/>
          <w:i/>
        </w:rPr>
        <w:t>k management and restructuring.</w:t>
      </w:r>
      <w:r w:rsidR="00013624" w:rsidRPr="00822AB9">
        <w:rPr>
          <w:rFonts w:ascii="Times New Roman" w:hAnsi="Times New Roman" w:cs="Times New Roman"/>
          <w:i/>
        </w:rPr>
        <w:t xml:space="preserve"> </w:t>
      </w:r>
      <w:r w:rsidR="0071042C" w:rsidRPr="00822AB9">
        <w:rPr>
          <w:rFonts w:ascii="Times New Roman" w:hAnsi="Times New Roman" w:cs="Times New Roman"/>
        </w:rPr>
        <w:t xml:space="preserve">Credit information systems should be adequately regulated. The draft regulations prepared by the bank of Namibia address </w:t>
      </w:r>
      <w:r w:rsidR="00013624" w:rsidRPr="00822AB9">
        <w:rPr>
          <w:rFonts w:ascii="Times New Roman" w:hAnsi="Times New Roman" w:cs="Times New Roman"/>
        </w:rPr>
        <w:t xml:space="preserve">current </w:t>
      </w:r>
      <w:r w:rsidR="0071042C" w:rsidRPr="00822AB9">
        <w:rPr>
          <w:rFonts w:ascii="Times New Roman" w:hAnsi="Times New Roman" w:cs="Times New Roman"/>
        </w:rPr>
        <w:t>issues and should be adopted.</w:t>
      </w:r>
      <w:r w:rsidR="00260872" w:rsidRPr="00822AB9">
        <w:rPr>
          <w:rFonts w:ascii="Times New Roman" w:hAnsi="Times New Roman" w:cs="Times New Roman"/>
        </w:rPr>
        <w:t xml:space="preserve">  Also, i</w:t>
      </w:r>
      <w:r w:rsidR="0071042C" w:rsidRPr="00822AB9">
        <w:rPr>
          <w:rFonts w:ascii="Times New Roman" w:hAnsi="Times New Roman" w:cs="Times New Roman"/>
        </w:rPr>
        <w:t>nformal restructuring can increase its importance in the system if certain reforms are adopted. In this regard, modifications in the tax treatment of debt forgiveness and debt restructuring would promote the uptake of corporate workouts.</w:t>
      </w:r>
      <w:r w:rsidR="00013624" w:rsidRPr="00822AB9">
        <w:rPr>
          <w:rFonts w:ascii="Times New Roman" w:hAnsi="Times New Roman" w:cs="Times New Roman"/>
        </w:rPr>
        <w:t xml:space="preserve">  </w:t>
      </w:r>
      <w:r w:rsidR="0071042C" w:rsidRPr="00822AB9">
        <w:rPr>
          <w:rFonts w:ascii="Times New Roman" w:hAnsi="Times New Roman" w:cs="Times New Roman"/>
        </w:rPr>
        <w:t>The restructuring regime can be reinforced through the reform of the scheme of arrangement</w:t>
      </w:r>
      <w:r w:rsidR="00F12B6C" w:rsidRPr="00822AB9">
        <w:rPr>
          <w:rFonts w:ascii="Times New Roman" w:hAnsi="Times New Roman" w:cs="Times New Roman"/>
        </w:rPr>
        <w:t xml:space="preserve"> (</w:t>
      </w:r>
      <w:r w:rsidR="0071042C" w:rsidRPr="00822AB9">
        <w:rPr>
          <w:rFonts w:ascii="Times New Roman" w:hAnsi="Times New Roman" w:cs="Times New Roman"/>
        </w:rPr>
        <w:t>especially with the addition of a stay of creditors’ actions</w:t>
      </w:r>
      <w:r w:rsidR="00F12B6C" w:rsidRPr="00822AB9">
        <w:rPr>
          <w:rFonts w:ascii="Times New Roman" w:hAnsi="Times New Roman" w:cs="Times New Roman"/>
        </w:rPr>
        <w:t>)</w:t>
      </w:r>
      <w:r w:rsidR="0071042C" w:rsidRPr="00822AB9">
        <w:rPr>
          <w:rFonts w:ascii="Times New Roman" w:hAnsi="Times New Roman" w:cs="Times New Roman"/>
        </w:rPr>
        <w:t xml:space="preserve">. </w:t>
      </w:r>
    </w:p>
    <w:p w14:paraId="12FF2945" w14:textId="77777777" w:rsidR="00626C56" w:rsidRPr="00822AB9" w:rsidRDefault="00626C56" w:rsidP="00626C56">
      <w:pPr>
        <w:tabs>
          <w:tab w:val="left" w:pos="1080"/>
        </w:tabs>
        <w:spacing w:after="0" w:line="240" w:lineRule="auto"/>
        <w:jc w:val="both"/>
        <w:rPr>
          <w:rFonts w:ascii="Times New Roman" w:hAnsi="Times New Roman" w:cs="Times New Roman"/>
        </w:rPr>
      </w:pPr>
    </w:p>
    <w:p w14:paraId="425EC82B" w14:textId="34B2385D" w:rsidR="00260872" w:rsidRDefault="00013624" w:rsidP="00626C56">
      <w:pPr>
        <w:tabs>
          <w:tab w:val="left" w:pos="1080"/>
        </w:tabs>
        <w:spacing w:after="0" w:line="240" w:lineRule="auto"/>
        <w:jc w:val="both"/>
        <w:rPr>
          <w:rFonts w:ascii="Times New Roman" w:hAnsi="Times New Roman" w:cs="Times New Roman"/>
        </w:rPr>
      </w:pPr>
      <w:r w:rsidRPr="00822AB9">
        <w:rPr>
          <w:rFonts w:ascii="Times New Roman" w:hAnsi="Times New Roman" w:cs="Times New Roman"/>
          <w:i/>
        </w:rPr>
        <w:t xml:space="preserve">- </w:t>
      </w:r>
      <w:r w:rsidR="0071042C" w:rsidRPr="00822AB9">
        <w:rPr>
          <w:rFonts w:ascii="Times New Roman" w:hAnsi="Times New Roman" w:cs="Times New Roman"/>
          <w:b/>
          <w:i/>
        </w:rPr>
        <w:t>The insolvency framework</w:t>
      </w:r>
      <w:r w:rsidRPr="00822AB9">
        <w:rPr>
          <w:rFonts w:ascii="Times New Roman" w:hAnsi="Times New Roman" w:cs="Times New Roman"/>
          <w:b/>
          <w:i/>
        </w:rPr>
        <w:t>.</w:t>
      </w:r>
      <w:r w:rsidRPr="00822AB9">
        <w:rPr>
          <w:rFonts w:ascii="Times New Roman" w:hAnsi="Times New Roman" w:cs="Times New Roman"/>
          <w:i/>
        </w:rPr>
        <w:t xml:space="preserve"> </w:t>
      </w:r>
      <w:r w:rsidR="0071042C" w:rsidRPr="00822AB9">
        <w:rPr>
          <w:rFonts w:ascii="Times New Roman" w:hAnsi="Times New Roman" w:cs="Times New Roman"/>
        </w:rPr>
        <w:t>The insolvency regulation can be modernized and better coordinated to meet the needs of a modern and developing economy. A new regime could provide for the regulation of insolvency of different types of persons and debt-scenarios/procedures, i.e. liquidation and reorganization or debt restructuring. This will likely provide considerable coherence</w:t>
      </w:r>
      <w:r w:rsidR="00FD6EAD" w:rsidRPr="00822AB9">
        <w:rPr>
          <w:rFonts w:ascii="Times New Roman" w:hAnsi="Times New Roman" w:cs="Times New Roman"/>
        </w:rPr>
        <w:t xml:space="preserve"> a</w:t>
      </w:r>
      <w:r w:rsidR="0071042C" w:rsidRPr="00822AB9">
        <w:rPr>
          <w:rFonts w:ascii="Times New Roman" w:hAnsi="Times New Roman" w:cs="Times New Roman"/>
        </w:rPr>
        <w:t>nd internal unity to an otherwise fairly fragmented framework and will allow for proper and timely treatment of indebtedness in the corporate context as well as for natural persons.</w:t>
      </w:r>
      <w:r w:rsidR="00D208D4" w:rsidRPr="00822AB9">
        <w:rPr>
          <w:rStyle w:val="FootnoteReference"/>
          <w:rFonts w:ascii="Times New Roman" w:hAnsi="Times New Roman"/>
        </w:rPr>
        <w:footnoteReference w:id="5"/>
      </w:r>
      <w:r w:rsidR="00D208D4" w:rsidRPr="00822AB9">
        <w:rPr>
          <w:rFonts w:ascii="Times New Roman" w:hAnsi="Times New Roman" w:cs="Times New Roman"/>
        </w:rPr>
        <w:t xml:space="preserve"> </w:t>
      </w:r>
      <w:r w:rsidR="00260872" w:rsidRPr="00822AB9">
        <w:rPr>
          <w:rFonts w:ascii="Times New Roman" w:hAnsi="Times New Roman" w:cs="Times New Roman"/>
        </w:rPr>
        <w:t>On the other hand, t</w:t>
      </w:r>
      <w:r w:rsidR="0071042C" w:rsidRPr="00822AB9">
        <w:rPr>
          <w:rFonts w:ascii="Times New Roman" w:hAnsi="Times New Roman" w:cs="Times New Roman"/>
        </w:rPr>
        <w:t>he introduction of an effective reorganization process would require substantive reforms.</w:t>
      </w:r>
      <w:r w:rsidR="00D208D4" w:rsidRPr="00822AB9">
        <w:rPr>
          <w:rFonts w:ascii="Times New Roman" w:hAnsi="Times New Roman" w:cs="Times New Roman"/>
        </w:rPr>
        <w:t xml:space="preserve"> </w:t>
      </w:r>
      <w:r w:rsidR="0071042C" w:rsidRPr="00822AB9">
        <w:rPr>
          <w:rFonts w:ascii="Times New Roman" w:hAnsi="Times New Roman" w:cs="Times New Roman"/>
        </w:rPr>
        <w:t xml:space="preserve">The system should consider the incorporation of regimes for cross-border insolvency and the insolvency of enterprise groups. </w:t>
      </w:r>
    </w:p>
    <w:p w14:paraId="61DEF9CE" w14:textId="77777777" w:rsidR="00626C56" w:rsidRPr="00822AB9" w:rsidRDefault="00626C56" w:rsidP="00626C56">
      <w:pPr>
        <w:tabs>
          <w:tab w:val="left" w:pos="1080"/>
        </w:tabs>
        <w:spacing w:after="0" w:line="240" w:lineRule="auto"/>
        <w:jc w:val="both"/>
        <w:rPr>
          <w:rFonts w:ascii="Times New Roman" w:hAnsi="Times New Roman" w:cs="Times New Roman"/>
        </w:rPr>
      </w:pPr>
    </w:p>
    <w:p w14:paraId="41FC196B" w14:textId="03BE384F" w:rsidR="0071042C" w:rsidRPr="00822AB9" w:rsidRDefault="00260872" w:rsidP="00626C56">
      <w:pPr>
        <w:tabs>
          <w:tab w:val="left" w:pos="1080"/>
        </w:tabs>
        <w:spacing w:after="0" w:line="240" w:lineRule="auto"/>
        <w:jc w:val="both"/>
        <w:rPr>
          <w:rFonts w:ascii="Times New Roman" w:hAnsi="Times New Roman" w:cs="Times New Roman"/>
        </w:rPr>
      </w:pPr>
      <w:r w:rsidRPr="00822AB9">
        <w:rPr>
          <w:rFonts w:ascii="Times New Roman" w:hAnsi="Times New Roman" w:cs="Times New Roman"/>
          <w:b/>
          <w:i/>
        </w:rPr>
        <w:t xml:space="preserve">- </w:t>
      </w:r>
      <w:r w:rsidR="0071042C" w:rsidRPr="00822AB9">
        <w:rPr>
          <w:rFonts w:ascii="Times New Roman" w:hAnsi="Times New Roman" w:cs="Times New Roman"/>
          <w:b/>
          <w:i/>
        </w:rPr>
        <w:t>Institutions</w:t>
      </w:r>
      <w:r w:rsidRPr="00822AB9">
        <w:rPr>
          <w:rFonts w:ascii="Times New Roman" w:hAnsi="Times New Roman" w:cs="Times New Roman"/>
          <w:b/>
          <w:i/>
        </w:rPr>
        <w:t>.</w:t>
      </w:r>
      <w:r w:rsidRPr="00822AB9">
        <w:rPr>
          <w:rFonts w:ascii="Times New Roman" w:hAnsi="Times New Roman" w:cs="Times New Roman"/>
          <w:i/>
        </w:rPr>
        <w:t xml:space="preserve"> </w:t>
      </w:r>
      <w:r w:rsidRPr="00822AB9">
        <w:rPr>
          <w:rFonts w:ascii="Times New Roman" w:hAnsi="Times New Roman" w:cs="Times New Roman"/>
        </w:rPr>
        <w:t>The qualities of the institutional framework can be reinforced with several targeted reforms such as i</w:t>
      </w:r>
      <w:r w:rsidR="0071042C" w:rsidRPr="00822AB9">
        <w:rPr>
          <w:rFonts w:ascii="Times New Roman" w:hAnsi="Times New Roman" w:cs="Times New Roman"/>
        </w:rPr>
        <w:t>ncreas</w:t>
      </w:r>
      <w:r w:rsidRPr="00822AB9">
        <w:rPr>
          <w:rFonts w:ascii="Times New Roman" w:hAnsi="Times New Roman" w:cs="Times New Roman"/>
        </w:rPr>
        <w:t xml:space="preserve">ing </w:t>
      </w:r>
      <w:r w:rsidR="0071042C" w:rsidRPr="00822AB9">
        <w:rPr>
          <w:rFonts w:ascii="Times New Roman" w:hAnsi="Times New Roman" w:cs="Times New Roman"/>
        </w:rPr>
        <w:t>judicial capacity, enhanc</w:t>
      </w:r>
      <w:r w:rsidRPr="00822AB9">
        <w:rPr>
          <w:rFonts w:ascii="Times New Roman" w:hAnsi="Times New Roman" w:cs="Times New Roman"/>
        </w:rPr>
        <w:t xml:space="preserve">ing </w:t>
      </w:r>
      <w:r w:rsidR="0071042C" w:rsidRPr="00822AB9">
        <w:rPr>
          <w:rFonts w:ascii="Times New Roman" w:hAnsi="Times New Roman" w:cs="Times New Roman"/>
        </w:rPr>
        <w:t>communication between authorities and introduc</w:t>
      </w:r>
      <w:r w:rsidRPr="00822AB9">
        <w:rPr>
          <w:rFonts w:ascii="Times New Roman" w:hAnsi="Times New Roman" w:cs="Times New Roman"/>
        </w:rPr>
        <w:t>ing</w:t>
      </w:r>
      <w:r w:rsidR="0071042C" w:rsidRPr="00822AB9">
        <w:rPr>
          <w:rFonts w:ascii="Times New Roman" w:hAnsi="Times New Roman" w:cs="Times New Roman"/>
        </w:rPr>
        <w:t xml:space="preserve"> a regime for insolvency professionals.  More resources need to be assigned to the courts, especially the Magistrates Courts. The Master’s office needs to be sufficiently staffed and resourced to fulfill the important functions assigned to it in the insolvency system.</w:t>
      </w:r>
      <w:r w:rsidRPr="00822AB9">
        <w:rPr>
          <w:rFonts w:ascii="Times New Roman" w:hAnsi="Times New Roman" w:cs="Times New Roman"/>
        </w:rPr>
        <w:t xml:space="preserve"> </w:t>
      </w:r>
      <w:r w:rsidR="0071042C" w:rsidRPr="00822AB9">
        <w:rPr>
          <w:rFonts w:ascii="Times New Roman" w:hAnsi="Times New Roman" w:cs="Times New Roman"/>
        </w:rPr>
        <w:t xml:space="preserve">It is </w:t>
      </w:r>
      <w:r w:rsidRPr="00822AB9">
        <w:rPr>
          <w:rFonts w:ascii="Times New Roman" w:hAnsi="Times New Roman" w:cs="Times New Roman"/>
        </w:rPr>
        <w:t xml:space="preserve">also </w:t>
      </w:r>
      <w:r w:rsidR="0071042C" w:rsidRPr="00822AB9">
        <w:rPr>
          <w:rFonts w:ascii="Times New Roman" w:hAnsi="Times New Roman" w:cs="Times New Roman"/>
        </w:rPr>
        <w:t xml:space="preserve">crucial to introduce a new regime for the qualification of insolvency representatives. </w:t>
      </w:r>
    </w:p>
    <w:p w14:paraId="0BAA8332" w14:textId="7F67EA72" w:rsidR="0071042C" w:rsidRPr="00822AB9" w:rsidRDefault="0071042C" w:rsidP="00E67103">
      <w:pPr>
        <w:spacing w:after="0" w:line="240" w:lineRule="auto"/>
        <w:jc w:val="both"/>
        <w:rPr>
          <w:rFonts w:ascii="Times New Roman" w:eastAsiaTheme="minorEastAsia" w:hAnsi="Times New Roman" w:cs="Times New Roman"/>
          <w:b/>
          <w:color w:val="000000"/>
          <w:lang w:eastAsia="ko-KR"/>
        </w:rPr>
      </w:pPr>
      <w:r w:rsidRPr="00822AB9">
        <w:rPr>
          <w:rFonts w:ascii="Times New Roman" w:hAnsi="Times New Roman" w:cs="Times New Roman"/>
        </w:rPr>
        <w:t xml:space="preserve">       </w:t>
      </w:r>
      <w:r w:rsidRPr="00822AB9">
        <w:rPr>
          <w:rFonts w:ascii="Times New Roman" w:hAnsi="Times New Roman" w:cs="Times New Roman"/>
          <w:b/>
        </w:rPr>
        <w:br w:type="page"/>
      </w:r>
    </w:p>
    <w:p w14:paraId="3168A881" w14:textId="082EEF99" w:rsidR="00CC6B95" w:rsidRPr="00822AB9" w:rsidRDefault="00DE6F01" w:rsidP="00634742">
      <w:pPr>
        <w:pStyle w:val="ListParagraph"/>
        <w:tabs>
          <w:tab w:val="left" w:pos="360"/>
        </w:tabs>
        <w:ind w:left="0"/>
        <w:contextualSpacing w:val="0"/>
        <w:jc w:val="center"/>
        <w:rPr>
          <w:rFonts w:ascii="Times New Roman" w:hAnsi="Times New Roman" w:cs="Times New Roman"/>
          <w:b/>
          <w:sz w:val="22"/>
          <w:szCs w:val="22"/>
        </w:rPr>
      </w:pPr>
      <w:r w:rsidRPr="00822AB9">
        <w:rPr>
          <w:rFonts w:ascii="Times New Roman" w:hAnsi="Times New Roman" w:cs="Times New Roman"/>
          <w:b/>
          <w:sz w:val="22"/>
          <w:szCs w:val="22"/>
        </w:rPr>
        <w:lastRenderedPageBreak/>
        <w:t>BIBLIOGRAPHY</w:t>
      </w:r>
    </w:p>
    <w:p w14:paraId="74866CFE" w14:textId="6D6BC799" w:rsidR="00DE6F01" w:rsidRPr="00822AB9" w:rsidRDefault="00DE6F01" w:rsidP="00634742">
      <w:pPr>
        <w:pStyle w:val="ListParagraph"/>
        <w:tabs>
          <w:tab w:val="left" w:pos="360"/>
        </w:tabs>
        <w:ind w:left="0"/>
        <w:contextualSpacing w:val="0"/>
        <w:jc w:val="center"/>
        <w:rPr>
          <w:rFonts w:ascii="Times New Roman" w:hAnsi="Times New Roman" w:cs="Times New Roman"/>
          <w:b/>
          <w:sz w:val="22"/>
          <w:szCs w:val="22"/>
        </w:rPr>
      </w:pPr>
    </w:p>
    <w:p w14:paraId="7BA04D6C" w14:textId="77777777" w:rsidR="00DE6F01" w:rsidRPr="00822AB9" w:rsidRDefault="00DE6F01" w:rsidP="00634742">
      <w:pPr>
        <w:pStyle w:val="Default"/>
        <w:rPr>
          <w:rFonts w:eastAsiaTheme="minorHAnsi"/>
          <w:sz w:val="22"/>
          <w:szCs w:val="22"/>
          <w:lang w:eastAsia="en-US"/>
        </w:rPr>
      </w:pPr>
      <w:r w:rsidRPr="00822AB9">
        <w:rPr>
          <w:sz w:val="22"/>
          <w:szCs w:val="22"/>
        </w:rPr>
        <w:t xml:space="preserve">Financial Literacy Initiative (FLI), Deutsche Gesellschaft für Internationale Zusammenarbeit (GIZ) and </w:t>
      </w:r>
    </w:p>
    <w:p w14:paraId="4FC716FA" w14:textId="34C552FC" w:rsidR="00DE6F01" w:rsidRPr="00822AB9" w:rsidRDefault="00DE6F01" w:rsidP="00634742">
      <w:pPr>
        <w:pStyle w:val="Default"/>
        <w:rPr>
          <w:sz w:val="22"/>
          <w:szCs w:val="22"/>
        </w:rPr>
      </w:pPr>
      <w:r w:rsidRPr="00822AB9">
        <w:rPr>
          <w:rFonts w:eastAsiaTheme="minorHAnsi"/>
          <w:color w:val="auto"/>
          <w:sz w:val="22"/>
          <w:szCs w:val="22"/>
          <w:lang w:eastAsia="en-US"/>
        </w:rPr>
        <w:t xml:space="preserve">Survey Warehouse </w:t>
      </w:r>
      <w:r w:rsidRPr="00822AB9">
        <w:rPr>
          <w:sz w:val="22"/>
          <w:szCs w:val="22"/>
        </w:rPr>
        <w:t>(2013); “Financial Literacy Baseline Survey 2013 for Namibia”</w:t>
      </w:r>
      <w:r w:rsidR="00FD6EAD" w:rsidRPr="00822AB9">
        <w:rPr>
          <w:sz w:val="22"/>
          <w:szCs w:val="22"/>
        </w:rPr>
        <w:t>.</w:t>
      </w:r>
    </w:p>
    <w:p w14:paraId="5AD537E2" w14:textId="77777777" w:rsidR="00DE6F01" w:rsidRPr="00822AB9" w:rsidRDefault="00DE6F01" w:rsidP="00634742">
      <w:pPr>
        <w:pStyle w:val="ListParagraph"/>
        <w:tabs>
          <w:tab w:val="left" w:pos="360"/>
        </w:tabs>
        <w:ind w:left="0"/>
        <w:contextualSpacing w:val="0"/>
        <w:jc w:val="center"/>
        <w:rPr>
          <w:rFonts w:ascii="Times New Roman" w:hAnsi="Times New Roman" w:cs="Times New Roman"/>
          <w:b/>
          <w:sz w:val="22"/>
          <w:szCs w:val="22"/>
        </w:rPr>
      </w:pPr>
    </w:p>
    <w:p w14:paraId="0DB97C9E" w14:textId="1B9E66C8" w:rsidR="00EA4C3C" w:rsidRPr="00822AB9" w:rsidRDefault="00EA4C3C" w:rsidP="00634742">
      <w:pPr>
        <w:spacing w:after="0" w:line="240" w:lineRule="auto"/>
        <w:jc w:val="both"/>
        <w:rPr>
          <w:rFonts w:ascii="Times New Roman" w:hAnsi="Times New Roman" w:cs="Times New Roman"/>
        </w:rPr>
      </w:pPr>
      <w:r w:rsidRPr="00822AB9">
        <w:rPr>
          <w:rFonts w:ascii="Times New Roman" w:hAnsi="Times New Roman" w:cs="Times New Roman"/>
        </w:rPr>
        <w:t>Feasibility (2010); “Fees and Charges for Financial Services in Namibia and their Effect on the Access of the Poor and MSME to These Services”; Feasibility (Pty) Ltd.</w:t>
      </w:r>
    </w:p>
    <w:p w14:paraId="405024F3" w14:textId="77777777" w:rsidR="0077709E" w:rsidRPr="00822AB9" w:rsidRDefault="0077709E" w:rsidP="00634742">
      <w:pPr>
        <w:spacing w:after="0" w:line="240" w:lineRule="auto"/>
        <w:jc w:val="both"/>
        <w:rPr>
          <w:rFonts w:ascii="Times New Roman" w:hAnsi="Times New Roman" w:cs="Times New Roman"/>
        </w:rPr>
      </w:pPr>
    </w:p>
    <w:p w14:paraId="588AD245" w14:textId="04792F26" w:rsidR="00EA4C3C" w:rsidRPr="00822AB9" w:rsidRDefault="00C55635" w:rsidP="00634742">
      <w:pPr>
        <w:spacing w:after="0" w:line="240" w:lineRule="auto"/>
        <w:jc w:val="both"/>
        <w:rPr>
          <w:rFonts w:ascii="Times New Roman" w:hAnsi="Times New Roman" w:cs="Times New Roman"/>
        </w:rPr>
      </w:pPr>
      <w:r w:rsidRPr="00822AB9">
        <w:rPr>
          <w:rFonts w:ascii="Times New Roman" w:hAnsi="Times New Roman" w:cs="Times New Roman"/>
        </w:rPr>
        <w:t>FinMark Trust (2011b); “</w:t>
      </w:r>
      <w:r w:rsidR="00EA4C3C" w:rsidRPr="00822AB9">
        <w:rPr>
          <w:rFonts w:ascii="Times New Roman" w:hAnsi="Times New Roman" w:cs="Times New Roman"/>
        </w:rPr>
        <w:t>FinScope Consumer Survey Namibia 2011”</w:t>
      </w:r>
    </w:p>
    <w:p w14:paraId="3C820CBD" w14:textId="77777777" w:rsidR="00FD6EAD" w:rsidRPr="00822AB9" w:rsidRDefault="00FD6EAD" w:rsidP="00634742">
      <w:pPr>
        <w:pStyle w:val="ListParagraph"/>
        <w:tabs>
          <w:tab w:val="left" w:pos="360"/>
        </w:tabs>
        <w:ind w:left="0"/>
        <w:contextualSpacing w:val="0"/>
        <w:jc w:val="both"/>
        <w:rPr>
          <w:rFonts w:ascii="Times New Roman" w:hAnsi="Times New Roman" w:cs="Times New Roman"/>
          <w:bCs/>
          <w:sz w:val="22"/>
          <w:szCs w:val="22"/>
        </w:rPr>
      </w:pPr>
    </w:p>
    <w:p w14:paraId="675DB18E" w14:textId="524D7EE7" w:rsidR="0077709E" w:rsidRPr="00822AB9" w:rsidRDefault="0077709E" w:rsidP="0077709E">
      <w:pPr>
        <w:pStyle w:val="Default"/>
        <w:jc w:val="both"/>
        <w:rPr>
          <w:sz w:val="22"/>
          <w:szCs w:val="22"/>
        </w:rPr>
      </w:pPr>
      <w:r w:rsidRPr="00822AB9">
        <w:rPr>
          <w:sz w:val="22"/>
          <w:szCs w:val="22"/>
        </w:rPr>
        <w:t>Indongo, Nelango, Thula Maharero, Martha Angula (2013); “The Need and Relevance of Procurement Contracts in Namibia”; Commissioned by Namibia Procurement Fund and Deutsche Gesellschaft für Internationale Zusammenarbeit (GIZ).</w:t>
      </w:r>
    </w:p>
    <w:p w14:paraId="2EC7E2AA" w14:textId="77777777" w:rsidR="0077709E" w:rsidRPr="00822AB9" w:rsidRDefault="0077709E" w:rsidP="00634742">
      <w:pPr>
        <w:pStyle w:val="ListParagraph"/>
        <w:tabs>
          <w:tab w:val="left" w:pos="360"/>
        </w:tabs>
        <w:ind w:left="0"/>
        <w:contextualSpacing w:val="0"/>
        <w:jc w:val="both"/>
        <w:rPr>
          <w:rFonts w:ascii="Times New Roman" w:hAnsi="Times New Roman" w:cs="Times New Roman"/>
          <w:b/>
          <w:bCs/>
          <w:sz w:val="22"/>
          <w:szCs w:val="22"/>
        </w:rPr>
      </w:pPr>
    </w:p>
    <w:p w14:paraId="2C8348AD" w14:textId="430F3814" w:rsidR="00177700" w:rsidRPr="00822AB9" w:rsidRDefault="00177700" w:rsidP="00634742">
      <w:pPr>
        <w:pStyle w:val="ListParagraph"/>
        <w:tabs>
          <w:tab w:val="left" w:pos="360"/>
        </w:tabs>
        <w:ind w:left="0"/>
        <w:contextualSpacing w:val="0"/>
        <w:jc w:val="both"/>
        <w:rPr>
          <w:rFonts w:ascii="Times New Roman" w:hAnsi="Times New Roman" w:cs="Times New Roman"/>
          <w:sz w:val="22"/>
          <w:szCs w:val="22"/>
        </w:rPr>
      </w:pPr>
      <w:r w:rsidRPr="00822AB9">
        <w:rPr>
          <w:rFonts w:ascii="Times New Roman" w:hAnsi="Times New Roman" w:cs="Times New Roman"/>
          <w:sz w:val="22"/>
          <w:szCs w:val="22"/>
        </w:rPr>
        <w:t>Nakusera, Florette, Gerson Kadhikwa, Postrick Mushendami (2008); “Enhancing the Role of Factoring and Leasing Companies in Providing Working Capital to Small and Medium Enterprises (SMEs) in Namibia”; BoN Occassional Paper; OP 2-2008.</w:t>
      </w:r>
    </w:p>
    <w:p w14:paraId="790B1599" w14:textId="77777777" w:rsidR="00177700" w:rsidRPr="00822AB9" w:rsidRDefault="00177700" w:rsidP="00634742">
      <w:pPr>
        <w:pStyle w:val="ListParagraph"/>
        <w:tabs>
          <w:tab w:val="left" w:pos="360"/>
        </w:tabs>
        <w:ind w:left="0"/>
        <w:contextualSpacing w:val="0"/>
        <w:jc w:val="both"/>
        <w:rPr>
          <w:rFonts w:ascii="Times New Roman" w:hAnsi="Times New Roman" w:cs="Times New Roman"/>
          <w:sz w:val="22"/>
          <w:szCs w:val="22"/>
        </w:rPr>
      </w:pPr>
    </w:p>
    <w:p w14:paraId="4C1370A7" w14:textId="77777777" w:rsidR="00EC7F66" w:rsidRPr="00822AB9" w:rsidRDefault="00177700" w:rsidP="00634742">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sz w:val="22"/>
          <w:szCs w:val="22"/>
        </w:rPr>
        <w:t>Schade, Klaus (2013); “NamBIC: Namibian Business and Investment Climate Survey 2013”; Namibia Chamber of Commerce and Industry (NCCI), Namibian Manufacturers Association (NMA) and Institute for Policy Research (IPPR).</w:t>
      </w:r>
      <w:r w:rsidR="00984B1C" w:rsidRPr="00822AB9">
        <w:rPr>
          <w:rFonts w:ascii="Times New Roman" w:hAnsi="Times New Roman" w:cs="Times New Roman"/>
          <w:bCs/>
          <w:sz w:val="22"/>
          <w:szCs w:val="22"/>
        </w:rPr>
        <w:t xml:space="preserve">  </w:t>
      </w:r>
    </w:p>
    <w:p w14:paraId="62C5DED2" w14:textId="77777777" w:rsidR="00EC7F66" w:rsidRPr="00822AB9" w:rsidRDefault="00EC7F66" w:rsidP="00634742">
      <w:pPr>
        <w:pStyle w:val="ListParagraph"/>
        <w:tabs>
          <w:tab w:val="left" w:pos="360"/>
        </w:tabs>
        <w:ind w:left="0"/>
        <w:contextualSpacing w:val="0"/>
        <w:jc w:val="both"/>
        <w:rPr>
          <w:rFonts w:ascii="Times New Roman" w:hAnsi="Times New Roman" w:cs="Times New Roman"/>
          <w:bCs/>
          <w:sz w:val="22"/>
          <w:szCs w:val="22"/>
        </w:rPr>
      </w:pPr>
    </w:p>
    <w:p w14:paraId="2CD3C2C3" w14:textId="7D2F10B4" w:rsidR="00984B1C" w:rsidRPr="00822AB9" w:rsidRDefault="00EC7F66" w:rsidP="00634742">
      <w:pPr>
        <w:pStyle w:val="ListParagraph"/>
        <w:tabs>
          <w:tab w:val="left" w:pos="360"/>
        </w:tabs>
        <w:ind w:left="0"/>
        <w:contextualSpacing w:val="0"/>
        <w:jc w:val="both"/>
        <w:rPr>
          <w:rFonts w:ascii="Times New Roman" w:hAnsi="Times New Roman" w:cs="Times New Roman"/>
          <w:bCs/>
          <w:sz w:val="22"/>
          <w:szCs w:val="22"/>
        </w:rPr>
      </w:pPr>
      <w:r w:rsidRPr="00822AB9">
        <w:rPr>
          <w:rFonts w:ascii="Times New Roman" w:hAnsi="Times New Roman" w:cs="Times New Roman"/>
          <w:bCs/>
          <w:sz w:val="22"/>
          <w:szCs w:val="22"/>
        </w:rPr>
        <w:t>World Bank (2014</w:t>
      </w:r>
      <w:r w:rsidR="00C55635" w:rsidRPr="00822AB9">
        <w:rPr>
          <w:rFonts w:ascii="Times New Roman" w:hAnsi="Times New Roman" w:cs="Times New Roman"/>
          <w:bCs/>
          <w:sz w:val="22"/>
          <w:szCs w:val="22"/>
        </w:rPr>
        <w:t>a</w:t>
      </w:r>
      <w:r w:rsidRPr="00822AB9">
        <w:rPr>
          <w:rFonts w:ascii="Times New Roman" w:hAnsi="Times New Roman" w:cs="Times New Roman"/>
          <w:bCs/>
          <w:sz w:val="22"/>
          <w:szCs w:val="22"/>
        </w:rPr>
        <w:t>); “Review of the Market for Remittances in Nam</w:t>
      </w:r>
      <w:r w:rsidR="00FD6EAD" w:rsidRPr="00822AB9">
        <w:rPr>
          <w:rFonts w:ascii="Times New Roman" w:hAnsi="Times New Roman" w:cs="Times New Roman"/>
          <w:bCs/>
          <w:sz w:val="22"/>
          <w:szCs w:val="22"/>
        </w:rPr>
        <w:t>ibia on the Basis of the CPSS-Wo</w:t>
      </w:r>
      <w:r w:rsidRPr="00822AB9">
        <w:rPr>
          <w:rFonts w:ascii="Times New Roman" w:hAnsi="Times New Roman" w:cs="Times New Roman"/>
          <w:bCs/>
          <w:sz w:val="22"/>
          <w:szCs w:val="22"/>
        </w:rPr>
        <w:t>rld Bank General Principles for International Remittances Services”.</w:t>
      </w:r>
      <w:r w:rsidR="00984B1C" w:rsidRPr="00822AB9">
        <w:rPr>
          <w:rFonts w:ascii="Times New Roman" w:hAnsi="Times New Roman" w:cs="Times New Roman"/>
          <w:bCs/>
          <w:sz w:val="22"/>
          <w:szCs w:val="22"/>
        </w:rPr>
        <w:t xml:space="preserve"> </w:t>
      </w:r>
    </w:p>
    <w:p w14:paraId="2ACDC4AB" w14:textId="1305AD9C" w:rsidR="00C55635" w:rsidRPr="00822AB9" w:rsidRDefault="00C55635" w:rsidP="00634742">
      <w:pPr>
        <w:pStyle w:val="ListParagraph"/>
        <w:tabs>
          <w:tab w:val="left" w:pos="360"/>
        </w:tabs>
        <w:ind w:left="0"/>
        <w:contextualSpacing w:val="0"/>
        <w:jc w:val="both"/>
        <w:rPr>
          <w:rFonts w:ascii="Times New Roman" w:hAnsi="Times New Roman" w:cs="Times New Roman"/>
          <w:bCs/>
          <w:sz w:val="22"/>
          <w:szCs w:val="22"/>
        </w:rPr>
      </w:pPr>
    </w:p>
    <w:p w14:paraId="5BE1F1CB" w14:textId="063B6A24" w:rsidR="00C55635" w:rsidRPr="00822AB9" w:rsidRDefault="00C55635" w:rsidP="00634742">
      <w:pPr>
        <w:pStyle w:val="ListParagraph"/>
        <w:tabs>
          <w:tab w:val="left" w:pos="360"/>
        </w:tabs>
        <w:ind w:left="0"/>
        <w:contextualSpacing w:val="0"/>
        <w:jc w:val="both"/>
        <w:rPr>
          <w:rFonts w:ascii="Times New Roman" w:hAnsi="Times New Roman" w:cs="Times New Roman"/>
          <w:b/>
          <w:bCs/>
          <w:sz w:val="22"/>
          <w:szCs w:val="22"/>
        </w:rPr>
      </w:pPr>
      <w:r w:rsidRPr="00822AB9">
        <w:rPr>
          <w:rFonts w:ascii="Times New Roman" w:hAnsi="Times New Roman" w:cs="Times New Roman"/>
          <w:bCs/>
          <w:sz w:val="22"/>
          <w:szCs w:val="22"/>
        </w:rPr>
        <w:t>World Bank (2014b); “</w:t>
      </w:r>
      <w:r w:rsidRPr="00822AB9">
        <w:rPr>
          <w:rStyle w:val="Strong"/>
          <w:rFonts w:ascii="Times New Roman" w:hAnsi="Times New Roman" w:cs="Times New Roman"/>
          <w:b w:val="0"/>
          <w:color w:val="262626" w:themeColor="text1" w:themeTint="D9"/>
          <w:sz w:val="22"/>
          <w:szCs w:val="22"/>
        </w:rPr>
        <w:t>Namibia Insolvency and Creditor/Debtor Regimes Report on Observance of Standards &amp; Codes (ICR ROSC)”</w:t>
      </w:r>
      <w:r w:rsidR="009C5FAA" w:rsidRPr="00822AB9">
        <w:rPr>
          <w:rStyle w:val="Strong"/>
          <w:rFonts w:ascii="Times New Roman" w:hAnsi="Times New Roman" w:cs="Times New Roman"/>
          <w:b w:val="0"/>
          <w:color w:val="262626" w:themeColor="text1" w:themeTint="D9"/>
          <w:sz w:val="22"/>
          <w:szCs w:val="22"/>
        </w:rPr>
        <w:t>.</w:t>
      </w:r>
    </w:p>
    <w:p w14:paraId="52E38DA7" w14:textId="77777777" w:rsidR="00984B1C" w:rsidRPr="00822AB9" w:rsidRDefault="00984B1C" w:rsidP="00634742">
      <w:pPr>
        <w:pStyle w:val="ListParagraph"/>
        <w:tabs>
          <w:tab w:val="left" w:pos="360"/>
        </w:tabs>
        <w:ind w:left="0"/>
        <w:contextualSpacing w:val="0"/>
        <w:jc w:val="both"/>
        <w:rPr>
          <w:rFonts w:ascii="Times New Roman" w:hAnsi="Times New Roman" w:cs="Times New Roman"/>
          <w:b/>
          <w:bCs/>
          <w:sz w:val="22"/>
          <w:szCs w:val="22"/>
        </w:rPr>
      </w:pPr>
    </w:p>
    <w:p w14:paraId="7EBE1F33" w14:textId="77777777" w:rsidR="00E33F85" w:rsidRPr="00822AB9" w:rsidRDefault="00E33F85" w:rsidP="00634742">
      <w:pPr>
        <w:pStyle w:val="ListParagraph"/>
        <w:contextualSpacing w:val="0"/>
        <w:rPr>
          <w:rFonts w:ascii="Times New Roman" w:hAnsi="Times New Roman" w:cs="Times New Roman"/>
          <w:b/>
          <w:bCs/>
          <w:sz w:val="22"/>
          <w:szCs w:val="22"/>
        </w:rPr>
      </w:pPr>
    </w:p>
    <w:p w14:paraId="5EBFD811" w14:textId="77777777" w:rsidR="00E33F85" w:rsidRPr="00822AB9" w:rsidRDefault="00E33F85" w:rsidP="00634742">
      <w:pPr>
        <w:pStyle w:val="ListParagraph"/>
        <w:contextualSpacing w:val="0"/>
        <w:rPr>
          <w:rFonts w:ascii="Times New Roman" w:hAnsi="Times New Roman" w:cs="Times New Roman"/>
          <w:b/>
          <w:bCs/>
          <w:sz w:val="22"/>
          <w:szCs w:val="22"/>
        </w:rPr>
      </w:pPr>
    </w:p>
    <w:p w14:paraId="00D0FDCA" w14:textId="77777777" w:rsidR="00E33F85" w:rsidRPr="00822AB9" w:rsidRDefault="00E33F85" w:rsidP="00634742">
      <w:pPr>
        <w:spacing w:after="0" w:line="240" w:lineRule="auto"/>
        <w:rPr>
          <w:rFonts w:ascii="Times New Roman" w:hAnsi="Times New Roman" w:cs="Times New Roman"/>
          <w:b/>
          <w:bCs/>
        </w:rPr>
      </w:pPr>
    </w:p>
    <w:p w14:paraId="6CA4DA4A" w14:textId="77777777" w:rsidR="00E33F85" w:rsidRPr="00822AB9" w:rsidRDefault="00E33F85" w:rsidP="00634742">
      <w:pPr>
        <w:spacing w:after="0" w:line="240" w:lineRule="auto"/>
        <w:rPr>
          <w:rFonts w:ascii="Times New Roman" w:hAnsi="Times New Roman" w:cs="Times New Roman"/>
          <w:b/>
          <w:bCs/>
        </w:rPr>
      </w:pPr>
    </w:p>
    <w:p w14:paraId="0B5733A9" w14:textId="77777777" w:rsidR="00E33F85" w:rsidRPr="00822AB9" w:rsidRDefault="00E33F85" w:rsidP="00634742">
      <w:pPr>
        <w:spacing w:after="0" w:line="240" w:lineRule="auto"/>
        <w:rPr>
          <w:rFonts w:ascii="Times New Roman" w:hAnsi="Times New Roman" w:cs="Times New Roman"/>
          <w:b/>
          <w:bCs/>
        </w:rPr>
      </w:pPr>
    </w:p>
    <w:p w14:paraId="2B659344" w14:textId="77777777" w:rsidR="00E33F85" w:rsidRPr="00822AB9" w:rsidRDefault="00E33F85" w:rsidP="00634742">
      <w:pPr>
        <w:spacing w:after="0" w:line="240" w:lineRule="auto"/>
        <w:rPr>
          <w:rFonts w:ascii="Times New Roman" w:hAnsi="Times New Roman" w:cs="Times New Roman"/>
          <w:b/>
          <w:bCs/>
        </w:rPr>
      </w:pPr>
    </w:p>
    <w:p w14:paraId="72CF6C5F" w14:textId="77777777" w:rsidR="00E33F85" w:rsidRPr="00822AB9" w:rsidRDefault="00E33F85" w:rsidP="00634742">
      <w:pPr>
        <w:spacing w:after="0" w:line="240" w:lineRule="auto"/>
        <w:rPr>
          <w:rFonts w:ascii="Times New Roman" w:hAnsi="Times New Roman" w:cs="Times New Roman"/>
          <w:b/>
          <w:bCs/>
        </w:rPr>
      </w:pPr>
    </w:p>
    <w:p w14:paraId="1A7D5C18" w14:textId="77777777" w:rsidR="00E33F85" w:rsidRPr="00822AB9" w:rsidRDefault="00E33F85" w:rsidP="00634742">
      <w:pPr>
        <w:spacing w:after="0" w:line="240" w:lineRule="auto"/>
        <w:rPr>
          <w:rFonts w:ascii="Times New Roman" w:hAnsi="Times New Roman" w:cs="Times New Roman"/>
          <w:b/>
          <w:bCs/>
        </w:rPr>
      </w:pPr>
    </w:p>
    <w:p w14:paraId="5642C7A1" w14:textId="77777777" w:rsidR="000E55E4" w:rsidRPr="00822AB9" w:rsidRDefault="000E55E4" w:rsidP="00634742">
      <w:pPr>
        <w:pStyle w:val="ListParagraph"/>
        <w:tabs>
          <w:tab w:val="left" w:pos="360"/>
        </w:tabs>
        <w:contextualSpacing w:val="0"/>
        <w:jc w:val="both"/>
        <w:rPr>
          <w:rFonts w:ascii="Times New Roman" w:hAnsi="Times New Roman" w:cs="Times New Roman"/>
          <w:bCs/>
          <w:sz w:val="22"/>
          <w:szCs w:val="22"/>
        </w:rPr>
      </w:pPr>
      <w:r w:rsidRPr="00822AB9">
        <w:rPr>
          <w:rFonts w:ascii="Times New Roman" w:eastAsiaTheme="minorHAnsi" w:hAnsi="Times New Roman" w:cs="Times New Roman"/>
          <w:sz w:val="22"/>
          <w:szCs w:val="22"/>
          <w:lang w:eastAsia="en-US"/>
        </w:rPr>
        <w:t xml:space="preserve">     </w:t>
      </w:r>
    </w:p>
    <w:p w14:paraId="5AF14D32" w14:textId="77777777" w:rsidR="000E55E4" w:rsidRPr="00822AB9" w:rsidRDefault="000E55E4" w:rsidP="00634742">
      <w:pPr>
        <w:pStyle w:val="ListParagraph"/>
        <w:tabs>
          <w:tab w:val="left" w:pos="360"/>
        </w:tabs>
        <w:ind w:left="0"/>
        <w:contextualSpacing w:val="0"/>
        <w:jc w:val="both"/>
        <w:rPr>
          <w:rFonts w:ascii="Times New Roman" w:hAnsi="Times New Roman" w:cs="Times New Roman"/>
          <w:bCs/>
          <w:sz w:val="22"/>
          <w:szCs w:val="22"/>
        </w:rPr>
      </w:pPr>
    </w:p>
    <w:p w14:paraId="762B4B9B" w14:textId="77777777" w:rsidR="00183573" w:rsidRPr="00822AB9" w:rsidRDefault="00183573" w:rsidP="00634742">
      <w:pPr>
        <w:spacing w:after="0" w:line="240" w:lineRule="auto"/>
        <w:rPr>
          <w:rFonts w:ascii="Times New Roman" w:hAnsi="Times New Roman" w:cs="Times New Roman"/>
        </w:rPr>
      </w:pPr>
    </w:p>
    <w:p w14:paraId="76006E58" w14:textId="77777777" w:rsidR="00E33F85" w:rsidRPr="00822AB9" w:rsidRDefault="00E33F85" w:rsidP="00634742">
      <w:pPr>
        <w:spacing w:after="0" w:line="240" w:lineRule="auto"/>
        <w:rPr>
          <w:rFonts w:ascii="Times New Roman" w:hAnsi="Times New Roman" w:cs="Times New Roman"/>
        </w:rPr>
      </w:pPr>
    </w:p>
    <w:sectPr w:rsidR="00E33F85" w:rsidRPr="00822AB9" w:rsidSect="00C507EE">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5934C" w14:textId="77777777" w:rsidR="00FC6B6D" w:rsidRDefault="00FC6B6D" w:rsidP="000E55E4">
      <w:pPr>
        <w:spacing w:after="0" w:line="240" w:lineRule="auto"/>
      </w:pPr>
      <w:r>
        <w:separator/>
      </w:r>
    </w:p>
  </w:endnote>
  <w:endnote w:type="continuationSeparator" w:id="0">
    <w:p w14:paraId="2B2156BC" w14:textId="77777777" w:rsidR="00FC6B6D" w:rsidRDefault="00FC6B6D" w:rsidP="000E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13849"/>
      <w:docPartObj>
        <w:docPartGallery w:val="Page Numbers (Bottom of Page)"/>
        <w:docPartUnique/>
      </w:docPartObj>
    </w:sdtPr>
    <w:sdtEndPr>
      <w:rPr>
        <w:rFonts w:ascii="Times New Roman" w:hAnsi="Times New Roman" w:cs="Times New Roman"/>
      </w:rPr>
    </w:sdtEndPr>
    <w:sdtContent>
      <w:p w14:paraId="3E4BB687" w14:textId="552970BB" w:rsidR="00DC3690" w:rsidRPr="001D7E04" w:rsidRDefault="00DC3690">
        <w:pPr>
          <w:pStyle w:val="Footer"/>
          <w:jc w:val="center"/>
          <w:rPr>
            <w:rFonts w:ascii="Times New Roman" w:hAnsi="Times New Roman" w:cs="Times New Roman"/>
          </w:rPr>
        </w:pPr>
        <w:r w:rsidRPr="001D7E04">
          <w:rPr>
            <w:rFonts w:ascii="Times New Roman" w:hAnsi="Times New Roman" w:cs="Times New Roman"/>
          </w:rPr>
          <w:fldChar w:fldCharType="begin"/>
        </w:r>
        <w:r w:rsidRPr="001D7E04">
          <w:rPr>
            <w:rFonts w:ascii="Times New Roman" w:hAnsi="Times New Roman" w:cs="Times New Roman"/>
          </w:rPr>
          <w:instrText xml:space="preserve"> PAGE   \* MERGEFORMAT </w:instrText>
        </w:r>
        <w:r w:rsidRPr="001D7E04">
          <w:rPr>
            <w:rFonts w:ascii="Times New Roman" w:hAnsi="Times New Roman" w:cs="Times New Roman"/>
          </w:rPr>
          <w:fldChar w:fldCharType="separate"/>
        </w:r>
        <w:r w:rsidR="00DE5020">
          <w:rPr>
            <w:rFonts w:ascii="Times New Roman" w:hAnsi="Times New Roman" w:cs="Times New Roman"/>
            <w:noProof/>
          </w:rPr>
          <w:t>3</w:t>
        </w:r>
        <w:r w:rsidRPr="001D7E04">
          <w:rPr>
            <w:rFonts w:ascii="Times New Roman" w:hAnsi="Times New Roman" w:cs="Times New Roman"/>
            <w:noProof/>
          </w:rPr>
          <w:fldChar w:fldCharType="end"/>
        </w:r>
      </w:p>
    </w:sdtContent>
  </w:sdt>
  <w:p w14:paraId="79A63713" w14:textId="77777777" w:rsidR="00DC3690" w:rsidRDefault="00DC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1364" w14:textId="77777777" w:rsidR="00FC6B6D" w:rsidRDefault="00FC6B6D" w:rsidP="000E55E4">
      <w:pPr>
        <w:spacing w:after="0" w:line="240" w:lineRule="auto"/>
      </w:pPr>
      <w:r>
        <w:separator/>
      </w:r>
    </w:p>
  </w:footnote>
  <w:footnote w:type="continuationSeparator" w:id="0">
    <w:p w14:paraId="60FE9559" w14:textId="77777777" w:rsidR="00FC6B6D" w:rsidRDefault="00FC6B6D" w:rsidP="000E55E4">
      <w:pPr>
        <w:spacing w:after="0" w:line="240" w:lineRule="auto"/>
      </w:pPr>
      <w:r>
        <w:continuationSeparator/>
      </w:r>
    </w:p>
  </w:footnote>
  <w:footnote w:id="1">
    <w:p w14:paraId="4F2A152F" w14:textId="12A6875D" w:rsidR="00DC3690" w:rsidRPr="007A4E8F" w:rsidRDefault="00DC3690" w:rsidP="001510A5">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Please note that part of the difference in percentages is explained by the use of different variables by FinScope and Global Findex.  FinScope measures possession/use of any bank product or service and Global Findex measures accounts at financial institutions (banks and other types of financial institutions such as credit unions and microfinance institutions). </w:t>
      </w:r>
    </w:p>
  </w:footnote>
  <w:footnote w:id="2">
    <w:p w14:paraId="4C70B54A" w14:textId="08927344" w:rsidR="00DC3690" w:rsidRPr="001531B6" w:rsidRDefault="00DC3690" w:rsidP="00E611DE">
      <w:pPr>
        <w:pStyle w:val="FootnoteText"/>
        <w:jc w:val="both"/>
        <w:rPr>
          <w:rFonts w:ascii="Times New Roman" w:hAnsi="Times New Roman" w:cs="Times New Roman"/>
        </w:rPr>
      </w:pPr>
      <w:r w:rsidRPr="001531B6">
        <w:rPr>
          <w:rStyle w:val="FootnoteReference"/>
          <w:rFonts w:ascii="Times New Roman" w:hAnsi="Times New Roman"/>
        </w:rPr>
        <w:footnoteRef/>
      </w:r>
      <w:r w:rsidRPr="001531B6">
        <w:rPr>
          <w:rFonts w:ascii="Times New Roman" w:hAnsi="Times New Roman" w:cs="Times New Roman"/>
        </w:rPr>
        <w:t xml:space="preserve"> The Namibian Business and Investment Climate Survey </w:t>
      </w:r>
      <w:r>
        <w:rPr>
          <w:rFonts w:ascii="Times New Roman" w:hAnsi="Times New Roman" w:cs="Times New Roman"/>
        </w:rPr>
        <w:t>is conducted by</w:t>
      </w:r>
      <w:r w:rsidRPr="001531B6">
        <w:rPr>
          <w:rFonts w:ascii="Times New Roman" w:hAnsi="Times New Roman" w:cs="Times New Roman"/>
        </w:rPr>
        <w:t xml:space="preserve"> the Namibia Chamber of Commerce and Industry (NCCI), Institute for Public Policy Research and the Namibian Manufacturers Association (NMA)</w:t>
      </w:r>
      <w:r>
        <w:rPr>
          <w:rFonts w:ascii="Times New Roman" w:hAnsi="Times New Roman" w:cs="Times New Roman"/>
        </w:rPr>
        <w:t>.  It t</w:t>
      </w:r>
      <w:r w:rsidRPr="001531B6">
        <w:rPr>
          <w:rFonts w:ascii="Times New Roman" w:hAnsi="Times New Roman" w:cs="Times New Roman"/>
        </w:rPr>
        <w:t>argets enterprises from formal and informal enterprises across the country</w:t>
      </w:r>
      <w:r>
        <w:rPr>
          <w:rFonts w:ascii="Times New Roman" w:hAnsi="Times New Roman" w:cs="Times New Roman"/>
        </w:rPr>
        <w:t xml:space="preserve"> (13 regions)</w:t>
      </w:r>
      <w:r w:rsidRPr="001531B6">
        <w:rPr>
          <w:rFonts w:ascii="Times New Roman" w:hAnsi="Times New Roman" w:cs="Times New Roman"/>
        </w:rPr>
        <w:t xml:space="preserve">.  </w:t>
      </w:r>
      <w:r>
        <w:rPr>
          <w:rFonts w:ascii="Times New Roman" w:hAnsi="Times New Roman" w:cs="Times New Roman"/>
        </w:rPr>
        <w:t>The sample included 601 enterprises reflecting the contribution of economic sectors to the economy.</w:t>
      </w:r>
    </w:p>
  </w:footnote>
  <w:footnote w:id="3">
    <w:p w14:paraId="442148D2" w14:textId="77777777" w:rsidR="00DC3690" w:rsidRPr="00F32C05" w:rsidRDefault="00DC3690" w:rsidP="008F60C9">
      <w:pPr>
        <w:pStyle w:val="FootnoteText"/>
        <w:jc w:val="both"/>
        <w:rPr>
          <w:rFonts w:ascii="Times New Roman" w:hAnsi="Times New Roman" w:cs="Times New Roman"/>
        </w:rPr>
      </w:pPr>
      <w:r w:rsidRPr="00F32C05">
        <w:rPr>
          <w:rStyle w:val="FootnoteReference"/>
          <w:rFonts w:ascii="Times New Roman" w:hAnsi="Times New Roman"/>
        </w:rPr>
        <w:footnoteRef/>
      </w:r>
      <w:r w:rsidRPr="00F32C05">
        <w:rPr>
          <w:rFonts w:ascii="Times New Roman" w:hAnsi="Times New Roman" w:cs="Times New Roman"/>
        </w:rPr>
        <w:t xml:space="preserve"> Given the existence of three fully active private equity funds and a further two or three less active funds which plan to start operating at some stage in the not-too-distant future, any new fund would have to assess its chances of success in an increasingly competitive but probably rather small market.</w:t>
      </w:r>
    </w:p>
  </w:footnote>
  <w:footnote w:id="4">
    <w:p w14:paraId="360FFEBE" w14:textId="5901D45A" w:rsidR="005B2425" w:rsidRPr="005B2425" w:rsidRDefault="005B2425">
      <w:pPr>
        <w:pStyle w:val="FootnoteText"/>
        <w:rPr>
          <w:rFonts w:ascii="Times New Roman" w:hAnsi="Times New Roman" w:cs="Times New Roman"/>
        </w:rPr>
      </w:pPr>
      <w:r w:rsidRPr="005B2425">
        <w:rPr>
          <w:rStyle w:val="FootnoteReference"/>
          <w:rFonts w:ascii="Times New Roman" w:hAnsi="Times New Roman"/>
        </w:rPr>
        <w:footnoteRef/>
      </w:r>
      <w:r w:rsidRPr="005B2425">
        <w:rPr>
          <w:rFonts w:ascii="Times New Roman" w:hAnsi="Times New Roman" w:cs="Times New Roman"/>
        </w:rPr>
        <w:t xml:space="preserve"> For a complete list of weaknesses please see 2014 ICR ROSC. </w:t>
      </w:r>
    </w:p>
  </w:footnote>
  <w:footnote w:id="5">
    <w:p w14:paraId="2D26C838" w14:textId="7803EFF9" w:rsidR="00D208D4" w:rsidRPr="00D208D4" w:rsidRDefault="00D208D4" w:rsidP="008E2090">
      <w:pPr>
        <w:pStyle w:val="FootnoteText"/>
        <w:jc w:val="both"/>
        <w:rPr>
          <w:rFonts w:ascii="Times New Roman" w:hAnsi="Times New Roman" w:cs="Times New Roman"/>
        </w:rPr>
      </w:pPr>
      <w:r w:rsidRPr="00D208D4">
        <w:rPr>
          <w:rStyle w:val="FootnoteReference"/>
          <w:rFonts w:ascii="Times New Roman" w:hAnsi="Times New Roman"/>
        </w:rPr>
        <w:footnoteRef/>
      </w:r>
      <w:r w:rsidRPr="00D208D4">
        <w:rPr>
          <w:rFonts w:ascii="Times New Roman" w:hAnsi="Times New Roman" w:cs="Times New Roman"/>
        </w:rPr>
        <w:t xml:space="preserve"> Various sections of the Insolvency Act 24 of 1936 as well as sections from the Close Corporations Act 26 of 1988 and Companies Act 28 of 2004 relating to insolvency should be revised in order to ensure that they reflect and are in line with modern practices.  These include the introduction of effective communications among authorities, the modification of the rules for the sale of assets to increase the possibilities of selling the business as a going concern and the modification of the priority regime.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0C5"/>
    <w:multiLevelType w:val="hybridMultilevel"/>
    <w:tmpl w:val="07C697FC"/>
    <w:lvl w:ilvl="0" w:tplc="189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3F12"/>
    <w:multiLevelType w:val="hybridMultilevel"/>
    <w:tmpl w:val="A4DAE4F4"/>
    <w:lvl w:ilvl="0" w:tplc="FCE6C7EE">
      <w:start w:val="1"/>
      <w:numFmt w:val="bullet"/>
      <w:lvlText w:val=""/>
      <w:lvlJc w:val="left"/>
      <w:pPr>
        <w:tabs>
          <w:tab w:val="num" w:pos="720"/>
        </w:tabs>
        <w:ind w:left="720" w:hanging="360"/>
      </w:pPr>
      <w:rPr>
        <w:rFonts w:ascii="Wingdings 3" w:hAnsi="Wingdings 3" w:hint="default"/>
      </w:rPr>
    </w:lvl>
    <w:lvl w:ilvl="1" w:tplc="9F3409E2">
      <w:start w:val="23"/>
      <w:numFmt w:val="bullet"/>
      <w:lvlText w:val=""/>
      <w:lvlJc w:val="left"/>
      <w:pPr>
        <w:tabs>
          <w:tab w:val="num" w:pos="1440"/>
        </w:tabs>
        <w:ind w:left="1440" w:hanging="360"/>
      </w:pPr>
      <w:rPr>
        <w:rFonts w:ascii="Wingdings 3" w:hAnsi="Wingdings 3" w:hint="default"/>
      </w:rPr>
    </w:lvl>
    <w:lvl w:ilvl="2" w:tplc="74A8EFEE">
      <w:start w:val="23"/>
      <w:numFmt w:val="bullet"/>
      <w:lvlText w:val=""/>
      <w:lvlJc w:val="left"/>
      <w:pPr>
        <w:tabs>
          <w:tab w:val="num" w:pos="2160"/>
        </w:tabs>
        <w:ind w:left="2160" w:hanging="360"/>
      </w:pPr>
      <w:rPr>
        <w:rFonts w:ascii="Wingdings 3" w:hAnsi="Wingdings 3" w:hint="default"/>
      </w:rPr>
    </w:lvl>
    <w:lvl w:ilvl="3" w:tplc="1BBA1608" w:tentative="1">
      <w:start w:val="1"/>
      <w:numFmt w:val="bullet"/>
      <w:lvlText w:val=""/>
      <w:lvlJc w:val="left"/>
      <w:pPr>
        <w:tabs>
          <w:tab w:val="num" w:pos="2880"/>
        </w:tabs>
        <w:ind w:left="2880" w:hanging="360"/>
      </w:pPr>
      <w:rPr>
        <w:rFonts w:ascii="Wingdings 3" w:hAnsi="Wingdings 3" w:hint="default"/>
      </w:rPr>
    </w:lvl>
    <w:lvl w:ilvl="4" w:tplc="A4EEB82E" w:tentative="1">
      <w:start w:val="1"/>
      <w:numFmt w:val="bullet"/>
      <w:lvlText w:val=""/>
      <w:lvlJc w:val="left"/>
      <w:pPr>
        <w:tabs>
          <w:tab w:val="num" w:pos="3600"/>
        </w:tabs>
        <w:ind w:left="3600" w:hanging="360"/>
      </w:pPr>
      <w:rPr>
        <w:rFonts w:ascii="Wingdings 3" w:hAnsi="Wingdings 3" w:hint="default"/>
      </w:rPr>
    </w:lvl>
    <w:lvl w:ilvl="5" w:tplc="3DD458BA" w:tentative="1">
      <w:start w:val="1"/>
      <w:numFmt w:val="bullet"/>
      <w:lvlText w:val=""/>
      <w:lvlJc w:val="left"/>
      <w:pPr>
        <w:tabs>
          <w:tab w:val="num" w:pos="4320"/>
        </w:tabs>
        <w:ind w:left="4320" w:hanging="360"/>
      </w:pPr>
      <w:rPr>
        <w:rFonts w:ascii="Wingdings 3" w:hAnsi="Wingdings 3" w:hint="default"/>
      </w:rPr>
    </w:lvl>
    <w:lvl w:ilvl="6" w:tplc="7132E944" w:tentative="1">
      <w:start w:val="1"/>
      <w:numFmt w:val="bullet"/>
      <w:lvlText w:val=""/>
      <w:lvlJc w:val="left"/>
      <w:pPr>
        <w:tabs>
          <w:tab w:val="num" w:pos="5040"/>
        </w:tabs>
        <w:ind w:left="5040" w:hanging="360"/>
      </w:pPr>
      <w:rPr>
        <w:rFonts w:ascii="Wingdings 3" w:hAnsi="Wingdings 3" w:hint="default"/>
      </w:rPr>
    </w:lvl>
    <w:lvl w:ilvl="7" w:tplc="9C4EE064" w:tentative="1">
      <w:start w:val="1"/>
      <w:numFmt w:val="bullet"/>
      <w:lvlText w:val=""/>
      <w:lvlJc w:val="left"/>
      <w:pPr>
        <w:tabs>
          <w:tab w:val="num" w:pos="5760"/>
        </w:tabs>
        <w:ind w:left="5760" w:hanging="360"/>
      </w:pPr>
      <w:rPr>
        <w:rFonts w:ascii="Wingdings 3" w:hAnsi="Wingdings 3" w:hint="default"/>
      </w:rPr>
    </w:lvl>
    <w:lvl w:ilvl="8" w:tplc="F064B08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C042E30"/>
    <w:multiLevelType w:val="hybridMultilevel"/>
    <w:tmpl w:val="4D8661E2"/>
    <w:lvl w:ilvl="0" w:tplc="AC3ABCD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D071D"/>
    <w:multiLevelType w:val="hybridMultilevel"/>
    <w:tmpl w:val="E3D04734"/>
    <w:lvl w:ilvl="0" w:tplc="EFB801BE">
      <w:start w:val="1"/>
      <w:numFmt w:val="lowerRoman"/>
      <w:lvlText w:val="%1."/>
      <w:lvlJc w:val="right"/>
      <w:pPr>
        <w:tabs>
          <w:tab w:val="num" w:pos="360"/>
        </w:tabs>
        <w:ind w:left="360" w:hanging="360"/>
      </w:pPr>
      <w:rPr>
        <w:rFonts w:hint="default"/>
        <w:b/>
        <w:i w:val="0"/>
        <w:color w:val="auto"/>
        <w:sz w:val="24"/>
        <w:szCs w:val="24"/>
      </w:rPr>
    </w:lvl>
    <w:lvl w:ilvl="1" w:tplc="FC26D282">
      <w:start w:val="1"/>
      <w:numFmt w:val="lowerRoman"/>
      <w:lvlText w:val="%2."/>
      <w:lvlJc w:val="right"/>
      <w:pPr>
        <w:tabs>
          <w:tab w:val="num" w:pos="960"/>
        </w:tabs>
        <w:ind w:left="960" w:hanging="360"/>
      </w:pPr>
      <w:rPr>
        <w:rFonts w:hint="default"/>
        <w:i w:val="0"/>
      </w:rPr>
    </w:lvl>
    <w:lvl w:ilvl="2" w:tplc="0C0A001B">
      <w:start w:val="1"/>
      <w:numFmt w:val="lowerRoman"/>
      <w:lvlText w:val="%3."/>
      <w:lvlJc w:val="right"/>
      <w:pPr>
        <w:tabs>
          <w:tab w:val="num" w:pos="1680"/>
        </w:tabs>
        <w:ind w:left="1680" w:hanging="180"/>
      </w:pPr>
    </w:lvl>
    <w:lvl w:ilvl="3" w:tplc="8F82D28E">
      <w:start w:val="1"/>
      <w:numFmt w:val="lowerLetter"/>
      <w:lvlText w:val="%4)"/>
      <w:lvlJc w:val="left"/>
      <w:pPr>
        <w:tabs>
          <w:tab w:val="num" w:pos="2400"/>
        </w:tabs>
        <w:ind w:left="2400" w:hanging="360"/>
      </w:pPr>
      <w:rPr>
        <w:rFonts w:hint="default"/>
        <w:b w:val="0"/>
        <w:i w:val="0"/>
        <w:color w:val="0070C0"/>
        <w:sz w:val="24"/>
        <w:szCs w:val="24"/>
      </w:rPr>
    </w:lvl>
    <w:lvl w:ilvl="4" w:tplc="0C0A0019" w:tentative="1">
      <w:start w:val="1"/>
      <w:numFmt w:val="lowerLetter"/>
      <w:lvlText w:val="%5."/>
      <w:lvlJc w:val="left"/>
      <w:pPr>
        <w:tabs>
          <w:tab w:val="num" w:pos="3120"/>
        </w:tabs>
        <w:ind w:left="3120" w:hanging="360"/>
      </w:pPr>
    </w:lvl>
    <w:lvl w:ilvl="5" w:tplc="0C0A001B" w:tentative="1">
      <w:start w:val="1"/>
      <w:numFmt w:val="lowerRoman"/>
      <w:lvlText w:val="%6."/>
      <w:lvlJc w:val="right"/>
      <w:pPr>
        <w:tabs>
          <w:tab w:val="num" w:pos="3840"/>
        </w:tabs>
        <w:ind w:left="3840" w:hanging="180"/>
      </w:pPr>
    </w:lvl>
    <w:lvl w:ilvl="6" w:tplc="0C0A000F" w:tentative="1">
      <w:start w:val="1"/>
      <w:numFmt w:val="decimal"/>
      <w:lvlText w:val="%7."/>
      <w:lvlJc w:val="left"/>
      <w:pPr>
        <w:tabs>
          <w:tab w:val="num" w:pos="4560"/>
        </w:tabs>
        <w:ind w:left="4560" w:hanging="360"/>
      </w:pPr>
    </w:lvl>
    <w:lvl w:ilvl="7" w:tplc="0C0A0019" w:tentative="1">
      <w:start w:val="1"/>
      <w:numFmt w:val="lowerLetter"/>
      <w:lvlText w:val="%8."/>
      <w:lvlJc w:val="left"/>
      <w:pPr>
        <w:tabs>
          <w:tab w:val="num" w:pos="5280"/>
        </w:tabs>
        <w:ind w:left="5280" w:hanging="360"/>
      </w:pPr>
    </w:lvl>
    <w:lvl w:ilvl="8" w:tplc="0C0A001B" w:tentative="1">
      <w:start w:val="1"/>
      <w:numFmt w:val="lowerRoman"/>
      <w:lvlText w:val="%9."/>
      <w:lvlJc w:val="right"/>
      <w:pPr>
        <w:tabs>
          <w:tab w:val="num" w:pos="6000"/>
        </w:tabs>
        <w:ind w:left="6000" w:hanging="180"/>
      </w:pPr>
    </w:lvl>
  </w:abstractNum>
  <w:abstractNum w:abstractNumId="4" w15:restartNumberingAfterBreak="0">
    <w:nsid w:val="12550D5D"/>
    <w:multiLevelType w:val="hybridMultilevel"/>
    <w:tmpl w:val="C57CBEBE"/>
    <w:lvl w:ilvl="0" w:tplc="F68A9E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018CA"/>
    <w:multiLevelType w:val="hybridMultilevel"/>
    <w:tmpl w:val="80B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78A"/>
    <w:multiLevelType w:val="hybridMultilevel"/>
    <w:tmpl w:val="A1A232FC"/>
    <w:lvl w:ilvl="0" w:tplc="4E78D5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4059A"/>
    <w:multiLevelType w:val="hybridMultilevel"/>
    <w:tmpl w:val="34D8C806"/>
    <w:lvl w:ilvl="0" w:tplc="FCE6C7EE">
      <w:start w:val="1"/>
      <w:numFmt w:val="bullet"/>
      <w:lvlText w:val=""/>
      <w:lvlJc w:val="left"/>
      <w:pPr>
        <w:tabs>
          <w:tab w:val="num" w:pos="720"/>
        </w:tabs>
        <w:ind w:left="720" w:hanging="360"/>
      </w:pPr>
      <w:rPr>
        <w:rFonts w:ascii="Wingdings 3" w:hAnsi="Wingdings 3" w:hint="default"/>
      </w:rPr>
    </w:lvl>
    <w:lvl w:ilvl="1" w:tplc="9F3409E2">
      <w:start w:val="23"/>
      <w:numFmt w:val="bullet"/>
      <w:lvlText w:val=""/>
      <w:lvlJc w:val="left"/>
      <w:pPr>
        <w:tabs>
          <w:tab w:val="num" w:pos="1440"/>
        </w:tabs>
        <w:ind w:left="1440" w:hanging="360"/>
      </w:pPr>
      <w:rPr>
        <w:rFonts w:ascii="Wingdings 3" w:hAnsi="Wingdings 3" w:hint="default"/>
      </w:rPr>
    </w:lvl>
    <w:lvl w:ilvl="2" w:tplc="AC3ABCDE">
      <w:numFmt w:val="bullet"/>
      <w:lvlText w:val="-"/>
      <w:lvlJc w:val="left"/>
      <w:pPr>
        <w:tabs>
          <w:tab w:val="num" w:pos="2160"/>
        </w:tabs>
        <w:ind w:left="2160" w:hanging="360"/>
      </w:pPr>
      <w:rPr>
        <w:rFonts w:ascii="Times New Roman" w:eastAsiaTheme="minorHAnsi" w:hAnsi="Times New Roman" w:cs="Times New Roman" w:hint="default"/>
        <w:b w:val="0"/>
      </w:rPr>
    </w:lvl>
    <w:lvl w:ilvl="3" w:tplc="1BBA1608" w:tentative="1">
      <w:start w:val="1"/>
      <w:numFmt w:val="bullet"/>
      <w:lvlText w:val=""/>
      <w:lvlJc w:val="left"/>
      <w:pPr>
        <w:tabs>
          <w:tab w:val="num" w:pos="2880"/>
        </w:tabs>
        <w:ind w:left="2880" w:hanging="360"/>
      </w:pPr>
      <w:rPr>
        <w:rFonts w:ascii="Wingdings 3" w:hAnsi="Wingdings 3" w:hint="default"/>
      </w:rPr>
    </w:lvl>
    <w:lvl w:ilvl="4" w:tplc="A4EEB82E" w:tentative="1">
      <w:start w:val="1"/>
      <w:numFmt w:val="bullet"/>
      <w:lvlText w:val=""/>
      <w:lvlJc w:val="left"/>
      <w:pPr>
        <w:tabs>
          <w:tab w:val="num" w:pos="3600"/>
        </w:tabs>
        <w:ind w:left="3600" w:hanging="360"/>
      </w:pPr>
      <w:rPr>
        <w:rFonts w:ascii="Wingdings 3" w:hAnsi="Wingdings 3" w:hint="default"/>
      </w:rPr>
    </w:lvl>
    <w:lvl w:ilvl="5" w:tplc="3DD458BA" w:tentative="1">
      <w:start w:val="1"/>
      <w:numFmt w:val="bullet"/>
      <w:lvlText w:val=""/>
      <w:lvlJc w:val="left"/>
      <w:pPr>
        <w:tabs>
          <w:tab w:val="num" w:pos="4320"/>
        </w:tabs>
        <w:ind w:left="4320" w:hanging="360"/>
      </w:pPr>
      <w:rPr>
        <w:rFonts w:ascii="Wingdings 3" w:hAnsi="Wingdings 3" w:hint="default"/>
      </w:rPr>
    </w:lvl>
    <w:lvl w:ilvl="6" w:tplc="7132E944" w:tentative="1">
      <w:start w:val="1"/>
      <w:numFmt w:val="bullet"/>
      <w:lvlText w:val=""/>
      <w:lvlJc w:val="left"/>
      <w:pPr>
        <w:tabs>
          <w:tab w:val="num" w:pos="5040"/>
        </w:tabs>
        <w:ind w:left="5040" w:hanging="360"/>
      </w:pPr>
      <w:rPr>
        <w:rFonts w:ascii="Wingdings 3" w:hAnsi="Wingdings 3" w:hint="default"/>
      </w:rPr>
    </w:lvl>
    <w:lvl w:ilvl="7" w:tplc="9C4EE064" w:tentative="1">
      <w:start w:val="1"/>
      <w:numFmt w:val="bullet"/>
      <w:lvlText w:val=""/>
      <w:lvlJc w:val="left"/>
      <w:pPr>
        <w:tabs>
          <w:tab w:val="num" w:pos="5760"/>
        </w:tabs>
        <w:ind w:left="5760" w:hanging="360"/>
      </w:pPr>
      <w:rPr>
        <w:rFonts w:ascii="Wingdings 3" w:hAnsi="Wingdings 3" w:hint="default"/>
      </w:rPr>
    </w:lvl>
    <w:lvl w:ilvl="8" w:tplc="F064B08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49F125B"/>
    <w:multiLevelType w:val="hybridMultilevel"/>
    <w:tmpl w:val="C720C6D2"/>
    <w:lvl w:ilvl="0" w:tplc="223811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0AE"/>
    <w:multiLevelType w:val="hybridMultilevel"/>
    <w:tmpl w:val="8632BC86"/>
    <w:lvl w:ilvl="0" w:tplc="D030795C">
      <w:start w:val="1"/>
      <w:numFmt w:val="bullet"/>
      <w:lvlText w:val=""/>
      <w:lvlJc w:val="left"/>
      <w:pPr>
        <w:tabs>
          <w:tab w:val="num" w:pos="720"/>
        </w:tabs>
        <w:ind w:left="720" w:hanging="360"/>
      </w:pPr>
      <w:rPr>
        <w:rFonts w:ascii="Wingdings 3" w:hAnsi="Wingdings 3" w:hint="default"/>
      </w:rPr>
    </w:lvl>
    <w:lvl w:ilvl="1" w:tplc="5A76FD08">
      <w:start w:val="1"/>
      <w:numFmt w:val="bullet"/>
      <w:lvlText w:val=""/>
      <w:lvlJc w:val="left"/>
      <w:pPr>
        <w:tabs>
          <w:tab w:val="num" w:pos="1440"/>
        </w:tabs>
        <w:ind w:left="1440" w:hanging="360"/>
      </w:pPr>
      <w:rPr>
        <w:rFonts w:ascii="Wingdings 3" w:hAnsi="Wingdings 3" w:hint="default"/>
      </w:rPr>
    </w:lvl>
    <w:lvl w:ilvl="2" w:tplc="C7603FA2">
      <w:start w:val="1251"/>
      <w:numFmt w:val="bullet"/>
      <w:lvlText w:val=""/>
      <w:lvlJc w:val="left"/>
      <w:pPr>
        <w:tabs>
          <w:tab w:val="num" w:pos="2160"/>
        </w:tabs>
        <w:ind w:left="2160" w:hanging="360"/>
      </w:pPr>
      <w:rPr>
        <w:rFonts w:ascii="Wingdings 3" w:hAnsi="Wingdings 3" w:hint="default"/>
      </w:rPr>
    </w:lvl>
    <w:lvl w:ilvl="3" w:tplc="93A0FCBE" w:tentative="1">
      <w:start w:val="1"/>
      <w:numFmt w:val="bullet"/>
      <w:lvlText w:val=""/>
      <w:lvlJc w:val="left"/>
      <w:pPr>
        <w:tabs>
          <w:tab w:val="num" w:pos="2880"/>
        </w:tabs>
        <w:ind w:left="2880" w:hanging="360"/>
      </w:pPr>
      <w:rPr>
        <w:rFonts w:ascii="Wingdings 3" w:hAnsi="Wingdings 3" w:hint="default"/>
      </w:rPr>
    </w:lvl>
    <w:lvl w:ilvl="4" w:tplc="ABFA3E4E" w:tentative="1">
      <w:start w:val="1"/>
      <w:numFmt w:val="bullet"/>
      <w:lvlText w:val=""/>
      <w:lvlJc w:val="left"/>
      <w:pPr>
        <w:tabs>
          <w:tab w:val="num" w:pos="3600"/>
        </w:tabs>
        <w:ind w:left="3600" w:hanging="360"/>
      </w:pPr>
      <w:rPr>
        <w:rFonts w:ascii="Wingdings 3" w:hAnsi="Wingdings 3" w:hint="default"/>
      </w:rPr>
    </w:lvl>
    <w:lvl w:ilvl="5" w:tplc="9F4C9034" w:tentative="1">
      <w:start w:val="1"/>
      <w:numFmt w:val="bullet"/>
      <w:lvlText w:val=""/>
      <w:lvlJc w:val="left"/>
      <w:pPr>
        <w:tabs>
          <w:tab w:val="num" w:pos="4320"/>
        </w:tabs>
        <w:ind w:left="4320" w:hanging="360"/>
      </w:pPr>
      <w:rPr>
        <w:rFonts w:ascii="Wingdings 3" w:hAnsi="Wingdings 3" w:hint="default"/>
      </w:rPr>
    </w:lvl>
    <w:lvl w:ilvl="6" w:tplc="B88C7BE4" w:tentative="1">
      <w:start w:val="1"/>
      <w:numFmt w:val="bullet"/>
      <w:lvlText w:val=""/>
      <w:lvlJc w:val="left"/>
      <w:pPr>
        <w:tabs>
          <w:tab w:val="num" w:pos="5040"/>
        </w:tabs>
        <w:ind w:left="5040" w:hanging="360"/>
      </w:pPr>
      <w:rPr>
        <w:rFonts w:ascii="Wingdings 3" w:hAnsi="Wingdings 3" w:hint="default"/>
      </w:rPr>
    </w:lvl>
    <w:lvl w:ilvl="7" w:tplc="4FF27E00" w:tentative="1">
      <w:start w:val="1"/>
      <w:numFmt w:val="bullet"/>
      <w:lvlText w:val=""/>
      <w:lvlJc w:val="left"/>
      <w:pPr>
        <w:tabs>
          <w:tab w:val="num" w:pos="5760"/>
        </w:tabs>
        <w:ind w:left="5760" w:hanging="360"/>
      </w:pPr>
      <w:rPr>
        <w:rFonts w:ascii="Wingdings 3" w:hAnsi="Wingdings 3" w:hint="default"/>
      </w:rPr>
    </w:lvl>
    <w:lvl w:ilvl="8" w:tplc="2AEE53C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B687A55"/>
    <w:multiLevelType w:val="hybridMultilevel"/>
    <w:tmpl w:val="D0D29C30"/>
    <w:lvl w:ilvl="0" w:tplc="FCE6C7EE">
      <w:start w:val="1"/>
      <w:numFmt w:val="bullet"/>
      <w:lvlText w:val=""/>
      <w:lvlJc w:val="left"/>
      <w:pPr>
        <w:tabs>
          <w:tab w:val="num" w:pos="720"/>
        </w:tabs>
        <w:ind w:left="720" w:hanging="360"/>
      </w:pPr>
      <w:rPr>
        <w:rFonts w:ascii="Wingdings 3" w:hAnsi="Wingdings 3" w:hint="default"/>
      </w:rPr>
    </w:lvl>
    <w:lvl w:ilvl="1" w:tplc="9F3409E2">
      <w:start w:val="23"/>
      <w:numFmt w:val="bullet"/>
      <w:lvlText w:val=""/>
      <w:lvlJc w:val="left"/>
      <w:pPr>
        <w:tabs>
          <w:tab w:val="num" w:pos="1440"/>
        </w:tabs>
        <w:ind w:left="1440" w:hanging="360"/>
      </w:pPr>
      <w:rPr>
        <w:rFonts w:ascii="Wingdings 3" w:hAnsi="Wingdings 3" w:hint="default"/>
      </w:rPr>
    </w:lvl>
    <w:lvl w:ilvl="2" w:tplc="AC3ABCDE">
      <w:numFmt w:val="bullet"/>
      <w:lvlText w:val="-"/>
      <w:lvlJc w:val="left"/>
      <w:pPr>
        <w:tabs>
          <w:tab w:val="num" w:pos="2160"/>
        </w:tabs>
        <w:ind w:left="2160" w:hanging="360"/>
      </w:pPr>
      <w:rPr>
        <w:rFonts w:ascii="Times New Roman" w:eastAsiaTheme="minorHAnsi" w:hAnsi="Times New Roman" w:cs="Times New Roman" w:hint="default"/>
        <w:b w:val="0"/>
      </w:rPr>
    </w:lvl>
    <w:lvl w:ilvl="3" w:tplc="1BBA1608" w:tentative="1">
      <w:start w:val="1"/>
      <w:numFmt w:val="bullet"/>
      <w:lvlText w:val=""/>
      <w:lvlJc w:val="left"/>
      <w:pPr>
        <w:tabs>
          <w:tab w:val="num" w:pos="2880"/>
        </w:tabs>
        <w:ind w:left="2880" w:hanging="360"/>
      </w:pPr>
      <w:rPr>
        <w:rFonts w:ascii="Wingdings 3" w:hAnsi="Wingdings 3" w:hint="default"/>
      </w:rPr>
    </w:lvl>
    <w:lvl w:ilvl="4" w:tplc="A4EEB82E" w:tentative="1">
      <w:start w:val="1"/>
      <w:numFmt w:val="bullet"/>
      <w:lvlText w:val=""/>
      <w:lvlJc w:val="left"/>
      <w:pPr>
        <w:tabs>
          <w:tab w:val="num" w:pos="3600"/>
        </w:tabs>
        <w:ind w:left="3600" w:hanging="360"/>
      </w:pPr>
      <w:rPr>
        <w:rFonts w:ascii="Wingdings 3" w:hAnsi="Wingdings 3" w:hint="default"/>
      </w:rPr>
    </w:lvl>
    <w:lvl w:ilvl="5" w:tplc="3DD458BA" w:tentative="1">
      <w:start w:val="1"/>
      <w:numFmt w:val="bullet"/>
      <w:lvlText w:val=""/>
      <w:lvlJc w:val="left"/>
      <w:pPr>
        <w:tabs>
          <w:tab w:val="num" w:pos="4320"/>
        </w:tabs>
        <w:ind w:left="4320" w:hanging="360"/>
      </w:pPr>
      <w:rPr>
        <w:rFonts w:ascii="Wingdings 3" w:hAnsi="Wingdings 3" w:hint="default"/>
      </w:rPr>
    </w:lvl>
    <w:lvl w:ilvl="6" w:tplc="7132E944" w:tentative="1">
      <w:start w:val="1"/>
      <w:numFmt w:val="bullet"/>
      <w:lvlText w:val=""/>
      <w:lvlJc w:val="left"/>
      <w:pPr>
        <w:tabs>
          <w:tab w:val="num" w:pos="5040"/>
        </w:tabs>
        <w:ind w:left="5040" w:hanging="360"/>
      </w:pPr>
      <w:rPr>
        <w:rFonts w:ascii="Wingdings 3" w:hAnsi="Wingdings 3" w:hint="default"/>
      </w:rPr>
    </w:lvl>
    <w:lvl w:ilvl="7" w:tplc="9C4EE064" w:tentative="1">
      <w:start w:val="1"/>
      <w:numFmt w:val="bullet"/>
      <w:lvlText w:val=""/>
      <w:lvlJc w:val="left"/>
      <w:pPr>
        <w:tabs>
          <w:tab w:val="num" w:pos="5760"/>
        </w:tabs>
        <w:ind w:left="5760" w:hanging="360"/>
      </w:pPr>
      <w:rPr>
        <w:rFonts w:ascii="Wingdings 3" w:hAnsi="Wingdings 3" w:hint="default"/>
      </w:rPr>
    </w:lvl>
    <w:lvl w:ilvl="8" w:tplc="F064B08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193111B"/>
    <w:multiLevelType w:val="hybridMultilevel"/>
    <w:tmpl w:val="DC6E05D0"/>
    <w:lvl w:ilvl="0" w:tplc="5824C728">
      <w:start w:val="1"/>
      <w:numFmt w:val="bullet"/>
      <w:lvlText w:val=""/>
      <w:lvlJc w:val="left"/>
      <w:pPr>
        <w:tabs>
          <w:tab w:val="num" w:pos="720"/>
        </w:tabs>
        <w:ind w:left="720" w:hanging="360"/>
      </w:pPr>
      <w:rPr>
        <w:rFonts w:ascii="Wingdings 3" w:hAnsi="Wingdings 3" w:hint="default"/>
      </w:rPr>
    </w:lvl>
    <w:lvl w:ilvl="1" w:tplc="C062E4EE">
      <w:start w:val="1"/>
      <w:numFmt w:val="bullet"/>
      <w:lvlText w:val=""/>
      <w:lvlJc w:val="left"/>
      <w:pPr>
        <w:tabs>
          <w:tab w:val="num" w:pos="1440"/>
        </w:tabs>
        <w:ind w:left="1440" w:hanging="360"/>
      </w:pPr>
      <w:rPr>
        <w:rFonts w:ascii="Wingdings 3" w:hAnsi="Wingdings 3" w:hint="default"/>
      </w:rPr>
    </w:lvl>
    <w:lvl w:ilvl="2" w:tplc="28E2EA24">
      <w:start w:val="1047"/>
      <w:numFmt w:val="bullet"/>
      <w:lvlText w:val=""/>
      <w:lvlJc w:val="left"/>
      <w:pPr>
        <w:tabs>
          <w:tab w:val="num" w:pos="2160"/>
        </w:tabs>
        <w:ind w:left="2160" w:hanging="360"/>
      </w:pPr>
      <w:rPr>
        <w:rFonts w:ascii="Wingdings 3" w:hAnsi="Wingdings 3" w:hint="default"/>
      </w:rPr>
    </w:lvl>
    <w:lvl w:ilvl="3" w:tplc="1B107E3A" w:tentative="1">
      <w:start w:val="1"/>
      <w:numFmt w:val="bullet"/>
      <w:lvlText w:val=""/>
      <w:lvlJc w:val="left"/>
      <w:pPr>
        <w:tabs>
          <w:tab w:val="num" w:pos="2880"/>
        </w:tabs>
        <w:ind w:left="2880" w:hanging="360"/>
      </w:pPr>
      <w:rPr>
        <w:rFonts w:ascii="Wingdings 3" w:hAnsi="Wingdings 3" w:hint="default"/>
      </w:rPr>
    </w:lvl>
    <w:lvl w:ilvl="4" w:tplc="EDB82EB0" w:tentative="1">
      <w:start w:val="1"/>
      <w:numFmt w:val="bullet"/>
      <w:lvlText w:val=""/>
      <w:lvlJc w:val="left"/>
      <w:pPr>
        <w:tabs>
          <w:tab w:val="num" w:pos="3600"/>
        </w:tabs>
        <w:ind w:left="3600" w:hanging="360"/>
      </w:pPr>
      <w:rPr>
        <w:rFonts w:ascii="Wingdings 3" w:hAnsi="Wingdings 3" w:hint="default"/>
      </w:rPr>
    </w:lvl>
    <w:lvl w:ilvl="5" w:tplc="8C563F5A" w:tentative="1">
      <w:start w:val="1"/>
      <w:numFmt w:val="bullet"/>
      <w:lvlText w:val=""/>
      <w:lvlJc w:val="left"/>
      <w:pPr>
        <w:tabs>
          <w:tab w:val="num" w:pos="4320"/>
        </w:tabs>
        <w:ind w:left="4320" w:hanging="360"/>
      </w:pPr>
      <w:rPr>
        <w:rFonts w:ascii="Wingdings 3" w:hAnsi="Wingdings 3" w:hint="default"/>
      </w:rPr>
    </w:lvl>
    <w:lvl w:ilvl="6" w:tplc="CFD4940C" w:tentative="1">
      <w:start w:val="1"/>
      <w:numFmt w:val="bullet"/>
      <w:lvlText w:val=""/>
      <w:lvlJc w:val="left"/>
      <w:pPr>
        <w:tabs>
          <w:tab w:val="num" w:pos="5040"/>
        </w:tabs>
        <w:ind w:left="5040" w:hanging="360"/>
      </w:pPr>
      <w:rPr>
        <w:rFonts w:ascii="Wingdings 3" w:hAnsi="Wingdings 3" w:hint="default"/>
      </w:rPr>
    </w:lvl>
    <w:lvl w:ilvl="7" w:tplc="1CE4C522" w:tentative="1">
      <w:start w:val="1"/>
      <w:numFmt w:val="bullet"/>
      <w:lvlText w:val=""/>
      <w:lvlJc w:val="left"/>
      <w:pPr>
        <w:tabs>
          <w:tab w:val="num" w:pos="5760"/>
        </w:tabs>
        <w:ind w:left="5760" w:hanging="360"/>
      </w:pPr>
      <w:rPr>
        <w:rFonts w:ascii="Wingdings 3" w:hAnsi="Wingdings 3" w:hint="default"/>
      </w:rPr>
    </w:lvl>
    <w:lvl w:ilvl="8" w:tplc="2570C46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A01676E"/>
    <w:multiLevelType w:val="hybridMultilevel"/>
    <w:tmpl w:val="55366176"/>
    <w:lvl w:ilvl="0" w:tplc="6928BD1E">
      <w:start w:val="1"/>
      <w:numFmt w:val="decimal"/>
      <w:lvlText w:val="%1."/>
      <w:lvlJc w:val="left"/>
      <w:pPr>
        <w:tabs>
          <w:tab w:val="num" w:pos="720"/>
        </w:tabs>
        <w:ind w:left="720" w:hanging="360"/>
      </w:pPr>
    </w:lvl>
    <w:lvl w:ilvl="1" w:tplc="9FA274A8" w:tentative="1">
      <w:start w:val="1"/>
      <w:numFmt w:val="decimal"/>
      <w:lvlText w:val="%2."/>
      <w:lvlJc w:val="left"/>
      <w:pPr>
        <w:tabs>
          <w:tab w:val="num" w:pos="1440"/>
        </w:tabs>
        <w:ind w:left="1440" w:hanging="360"/>
      </w:pPr>
    </w:lvl>
    <w:lvl w:ilvl="2" w:tplc="C79C65F2" w:tentative="1">
      <w:start w:val="1"/>
      <w:numFmt w:val="decimal"/>
      <w:lvlText w:val="%3."/>
      <w:lvlJc w:val="left"/>
      <w:pPr>
        <w:tabs>
          <w:tab w:val="num" w:pos="2160"/>
        </w:tabs>
        <w:ind w:left="2160" w:hanging="360"/>
      </w:pPr>
    </w:lvl>
    <w:lvl w:ilvl="3" w:tplc="8AECFE10" w:tentative="1">
      <w:start w:val="1"/>
      <w:numFmt w:val="decimal"/>
      <w:lvlText w:val="%4."/>
      <w:lvlJc w:val="left"/>
      <w:pPr>
        <w:tabs>
          <w:tab w:val="num" w:pos="2880"/>
        </w:tabs>
        <w:ind w:left="2880" w:hanging="360"/>
      </w:pPr>
    </w:lvl>
    <w:lvl w:ilvl="4" w:tplc="61FEAC06" w:tentative="1">
      <w:start w:val="1"/>
      <w:numFmt w:val="decimal"/>
      <w:lvlText w:val="%5."/>
      <w:lvlJc w:val="left"/>
      <w:pPr>
        <w:tabs>
          <w:tab w:val="num" w:pos="3600"/>
        </w:tabs>
        <w:ind w:left="3600" w:hanging="360"/>
      </w:pPr>
    </w:lvl>
    <w:lvl w:ilvl="5" w:tplc="09EE6EA4" w:tentative="1">
      <w:start w:val="1"/>
      <w:numFmt w:val="decimal"/>
      <w:lvlText w:val="%6."/>
      <w:lvlJc w:val="left"/>
      <w:pPr>
        <w:tabs>
          <w:tab w:val="num" w:pos="4320"/>
        </w:tabs>
        <w:ind w:left="4320" w:hanging="360"/>
      </w:pPr>
    </w:lvl>
    <w:lvl w:ilvl="6" w:tplc="FC48EF2A" w:tentative="1">
      <w:start w:val="1"/>
      <w:numFmt w:val="decimal"/>
      <w:lvlText w:val="%7."/>
      <w:lvlJc w:val="left"/>
      <w:pPr>
        <w:tabs>
          <w:tab w:val="num" w:pos="5040"/>
        </w:tabs>
        <w:ind w:left="5040" w:hanging="360"/>
      </w:pPr>
    </w:lvl>
    <w:lvl w:ilvl="7" w:tplc="C4E8B324" w:tentative="1">
      <w:start w:val="1"/>
      <w:numFmt w:val="decimal"/>
      <w:lvlText w:val="%8."/>
      <w:lvlJc w:val="left"/>
      <w:pPr>
        <w:tabs>
          <w:tab w:val="num" w:pos="5760"/>
        </w:tabs>
        <w:ind w:left="5760" w:hanging="360"/>
      </w:pPr>
    </w:lvl>
    <w:lvl w:ilvl="8" w:tplc="FD52D9FA" w:tentative="1">
      <w:start w:val="1"/>
      <w:numFmt w:val="decimal"/>
      <w:lvlText w:val="%9."/>
      <w:lvlJc w:val="left"/>
      <w:pPr>
        <w:tabs>
          <w:tab w:val="num" w:pos="6480"/>
        </w:tabs>
        <w:ind w:left="6480" w:hanging="360"/>
      </w:pPr>
    </w:lvl>
  </w:abstractNum>
  <w:abstractNum w:abstractNumId="13" w15:restartNumberingAfterBreak="0">
    <w:nsid w:val="3B420C81"/>
    <w:multiLevelType w:val="hybridMultilevel"/>
    <w:tmpl w:val="E26A99C0"/>
    <w:lvl w:ilvl="0" w:tplc="56D8269A">
      <w:start w:val="1"/>
      <w:numFmt w:val="bullet"/>
      <w:lvlText w:val=""/>
      <w:lvlJc w:val="left"/>
      <w:pPr>
        <w:ind w:left="720" w:hanging="360"/>
      </w:pPr>
      <w:rPr>
        <w:rFonts w:ascii="Symbol" w:hAnsi="Symbol" w:hint="default"/>
      </w:rPr>
    </w:lvl>
    <w:lvl w:ilvl="1" w:tplc="591AD7A0" w:tentative="1">
      <w:start w:val="1"/>
      <w:numFmt w:val="bullet"/>
      <w:lvlText w:val="o"/>
      <w:lvlJc w:val="left"/>
      <w:pPr>
        <w:ind w:left="1440" w:hanging="360"/>
      </w:pPr>
      <w:rPr>
        <w:rFonts w:ascii="Courier New" w:hAnsi="Courier New" w:cs="Courier New" w:hint="default"/>
      </w:rPr>
    </w:lvl>
    <w:lvl w:ilvl="2" w:tplc="C298BC02" w:tentative="1">
      <w:start w:val="1"/>
      <w:numFmt w:val="bullet"/>
      <w:lvlText w:val=""/>
      <w:lvlJc w:val="left"/>
      <w:pPr>
        <w:ind w:left="2160" w:hanging="360"/>
      </w:pPr>
      <w:rPr>
        <w:rFonts w:ascii="Wingdings" w:hAnsi="Wingdings" w:hint="default"/>
      </w:rPr>
    </w:lvl>
    <w:lvl w:ilvl="3" w:tplc="187EF69A" w:tentative="1">
      <w:start w:val="1"/>
      <w:numFmt w:val="bullet"/>
      <w:lvlText w:val=""/>
      <w:lvlJc w:val="left"/>
      <w:pPr>
        <w:ind w:left="2880" w:hanging="360"/>
      </w:pPr>
      <w:rPr>
        <w:rFonts w:ascii="Symbol" w:hAnsi="Symbol" w:hint="default"/>
      </w:rPr>
    </w:lvl>
    <w:lvl w:ilvl="4" w:tplc="17CE9D32" w:tentative="1">
      <w:start w:val="1"/>
      <w:numFmt w:val="bullet"/>
      <w:lvlText w:val="o"/>
      <w:lvlJc w:val="left"/>
      <w:pPr>
        <w:ind w:left="3600" w:hanging="360"/>
      </w:pPr>
      <w:rPr>
        <w:rFonts w:ascii="Courier New" w:hAnsi="Courier New" w:cs="Courier New" w:hint="default"/>
      </w:rPr>
    </w:lvl>
    <w:lvl w:ilvl="5" w:tplc="122A5900" w:tentative="1">
      <w:start w:val="1"/>
      <w:numFmt w:val="bullet"/>
      <w:lvlText w:val=""/>
      <w:lvlJc w:val="left"/>
      <w:pPr>
        <w:ind w:left="4320" w:hanging="360"/>
      </w:pPr>
      <w:rPr>
        <w:rFonts w:ascii="Wingdings" w:hAnsi="Wingdings" w:hint="default"/>
      </w:rPr>
    </w:lvl>
    <w:lvl w:ilvl="6" w:tplc="DF7E8FB4" w:tentative="1">
      <w:start w:val="1"/>
      <w:numFmt w:val="bullet"/>
      <w:lvlText w:val=""/>
      <w:lvlJc w:val="left"/>
      <w:pPr>
        <w:ind w:left="5040" w:hanging="360"/>
      </w:pPr>
      <w:rPr>
        <w:rFonts w:ascii="Symbol" w:hAnsi="Symbol" w:hint="default"/>
      </w:rPr>
    </w:lvl>
    <w:lvl w:ilvl="7" w:tplc="7B5A8E4E" w:tentative="1">
      <w:start w:val="1"/>
      <w:numFmt w:val="bullet"/>
      <w:lvlText w:val="o"/>
      <w:lvlJc w:val="left"/>
      <w:pPr>
        <w:ind w:left="5760" w:hanging="360"/>
      </w:pPr>
      <w:rPr>
        <w:rFonts w:ascii="Courier New" w:hAnsi="Courier New" w:cs="Courier New" w:hint="default"/>
      </w:rPr>
    </w:lvl>
    <w:lvl w:ilvl="8" w:tplc="D3F4CF74" w:tentative="1">
      <w:start w:val="1"/>
      <w:numFmt w:val="bullet"/>
      <w:lvlText w:val=""/>
      <w:lvlJc w:val="left"/>
      <w:pPr>
        <w:ind w:left="6480" w:hanging="360"/>
      </w:pPr>
      <w:rPr>
        <w:rFonts w:ascii="Wingdings" w:hAnsi="Wingdings" w:hint="default"/>
      </w:rPr>
    </w:lvl>
  </w:abstractNum>
  <w:abstractNum w:abstractNumId="14" w15:restartNumberingAfterBreak="0">
    <w:nsid w:val="41482534"/>
    <w:multiLevelType w:val="hybridMultilevel"/>
    <w:tmpl w:val="E16A3F3A"/>
    <w:lvl w:ilvl="0" w:tplc="14B236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10CA9"/>
    <w:multiLevelType w:val="hybridMultilevel"/>
    <w:tmpl w:val="D8DAC658"/>
    <w:lvl w:ilvl="0" w:tplc="FCE6C7EE">
      <w:start w:val="1"/>
      <w:numFmt w:val="bullet"/>
      <w:lvlText w:val=""/>
      <w:lvlJc w:val="left"/>
      <w:pPr>
        <w:tabs>
          <w:tab w:val="num" w:pos="1080"/>
        </w:tabs>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58011F"/>
    <w:multiLevelType w:val="hybridMultilevel"/>
    <w:tmpl w:val="6B668446"/>
    <w:lvl w:ilvl="0" w:tplc="35240D04">
      <w:start w:val="1"/>
      <w:numFmt w:val="bullet"/>
      <w:lvlText w:val=""/>
      <w:lvlJc w:val="left"/>
      <w:pPr>
        <w:ind w:left="720" w:hanging="360"/>
      </w:pPr>
      <w:rPr>
        <w:rFonts w:ascii="Symbol" w:hAnsi="Symbol" w:hint="default"/>
      </w:rPr>
    </w:lvl>
    <w:lvl w:ilvl="1" w:tplc="AE8A7EDA" w:tentative="1">
      <w:start w:val="1"/>
      <w:numFmt w:val="bullet"/>
      <w:lvlText w:val="o"/>
      <w:lvlJc w:val="left"/>
      <w:pPr>
        <w:ind w:left="1440" w:hanging="360"/>
      </w:pPr>
      <w:rPr>
        <w:rFonts w:ascii="Courier New" w:hAnsi="Courier New" w:cs="Courier New" w:hint="default"/>
      </w:rPr>
    </w:lvl>
    <w:lvl w:ilvl="2" w:tplc="EF08A7D2" w:tentative="1">
      <w:start w:val="1"/>
      <w:numFmt w:val="bullet"/>
      <w:lvlText w:val=""/>
      <w:lvlJc w:val="left"/>
      <w:pPr>
        <w:ind w:left="2160" w:hanging="360"/>
      </w:pPr>
      <w:rPr>
        <w:rFonts w:ascii="Wingdings" w:hAnsi="Wingdings" w:hint="default"/>
      </w:rPr>
    </w:lvl>
    <w:lvl w:ilvl="3" w:tplc="B7409650" w:tentative="1">
      <w:start w:val="1"/>
      <w:numFmt w:val="bullet"/>
      <w:lvlText w:val=""/>
      <w:lvlJc w:val="left"/>
      <w:pPr>
        <w:ind w:left="2880" w:hanging="360"/>
      </w:pPr>
      <w:rPr>
        <w:rFonts w:ascii="Symbol" w:hAnsi="Symbol" w:hint="default"/>
      </w:rPr>
    </w:lvl>
    <w:lvl w:ilvl="4" w:tplc="24566240" w:tentative="1">
      <w:start w:val="1"/>
      <w:numFmt w:val="bullet"/>
      <w:lvlText w:val="o"/>
      <w:lvlJc w:val="left"/>
      <w:pPr>
        <w:ind w:left="3600" w:hanging="360"/>
      </w:pPr>
      <w:rPr>
        <w:rFonts w:ascii="Courier New" w:hAnsi="Courier New" w:cs="Courier New" w:hint="default"/>
      </w:rPr>
    </w:lvl>
    <w:lvl w:ilvl="5" w:tplc="CB0E5F18" w:tentative="1">
      <w:start w:val="1"/>
      <w:numFmt w:val="bullet"/>
      <w:lvlText w:val=""/>
      <w:lvlJc w:val="left"/>
      <w:pPr>
        <w:ind w:left="4320" w:hanging="360"/>
      </w:pPr>
      <w:rPr>
        <w:rFonts w:ascii="Wingdings" w:hAnsi="Wingdings" w:hint="default"/>
      </w:rPr>
    </w:lvl>
    <w:lvl w:ilvl="6" w:tplc="962242DE" w:tentative="1">
      <w:start w:val="1"/>
      <w:numFmt w:val="bullet"/>
      <w:lvlText w:val=""/>
      <w:lvlJc w:val="left"/>
      <w:pPr>
        <w:ind w:left="5040" w:hanging="360"/>
      </w:pPr>
      <w:rPr>
        <w:rFonts w:ascii="Symbol" w:hAnsi="Symbol" w:hint="default"/>
      </w:rPr>
    </w:lvl>
    <w:lvl w:ilvl="7" w:tplc="B5A619E8" w:tentative="1">
      <w:start w:val="1"/>
      <w:numFmt w:val="bullet"/>
      <w:lvlText w:val="o"/>
      <w:lvlJc w:val="left"/>
      <w:pPr>
        <w:ind w:left="5760" w:hanging="360"/>
      </w:pPr>
      <w:rPr>
        <w:rFonts w:ascii="Courier New" w:hAnsi="Courier New" w:cs="Courier New" w:hint="default"/>
      </w:rPr>
    </w:lvl>
    <w:lvl w:ilvl="8" w:tplc="5DEC86F2" w:tentative="1">
      <w:start w:val="1"/>
      <w:numFmt w:val="bullet"/>
      <w:lvlText w:val=""/>
      <w:lvlJc w:val="left"/>
      <w:pPr>
        <w:ind w:left="6480" w:hanging="360"/>
      </w:pPr>
      <w:rPr>
        <w:rFonts w:ascii="Wingdings" w:hAnsi="Wingdings" w:hint="default"/>
      </w:rPr>
    </w:lvl>
  </w:abstractNum>
  <w:abstractNum w:abstractNumId="17" w15:restartNumberingAfterBreak="0">
    <w:nsid w:val="4FBB103E"/>
    <w:multiLevelType w:val="hybridMultilevel"/>
    <w:tmpl w:val="15C6ADD4"/>
    <w:lvl w:ilvl="0" w:tplc="AC3ABCD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F05EC"/>
    <w:multiLevelType w:val="hybridMultilevel"/>
    <w:tmpl w:val="A3C42E3C"/>
    <w:lvl w:ilvl="0" w:tplc="84EA8D0A">
      <w:start w:val="1"/>
      <w:numFmt w:val="bullet"/>
      <w:lvlText w:val=""/>
      <w:lvlJc w:val="left"/>
      <w:pPr>
        <w:ind w:left="827" w:hanging="360"/>
      </w:pPr>
      <w:rPr>
        <w:rFonts w:ascii="Symbol" w:hAnsi="Symbol" w:hint="default"/>
      </w:rPr>
    </w:lvl>
    <w:lvl w:ilvl="1" w:tplc="5280703E" w:tentative="1">
      <w:start w:val="1"/>
      <w:numFmt w:val="bullet"/>
      <w:lvlText w:val="o"/>
      <w:lvlJc w:val="left"/>
      <w:pPr>
        <w:ind w:left="1547" w:hanging="360"/>
      </w:pPr>
      <w:rPr>
        <w:rFonts w:ascii="Courier New" w:hAnsi="Courier New" w:cs="Courier New" w:hint="default"/>
      </w:rPr>
    </w:lvl>
    <w:lvl w:ilvl="2" w:tplc="6E12383C" w:tentative="1">
      <w:start w:val="1"/>
      <w:numFmt w:val="bullet"/>
      <w:lvlText w:val=""/>
      <w:lvlJc w:val="left"/>
      <w:pPr>
        <w:ind w:left="2267" w:hanging="360"/>
      </w:pPr>
      <w:rPr>
        <w:rFonts w:ascii="Wingdings" w:hAnsi="Wingdings" w:hint="default"/>
      </w:rPr>
    </w:lvl>
    <w:lvl w:ilvl="3" w:tplc="DA14E528" w:tentative="1">
      <w:start w:val="1"/>
      <w:numFmt w:val="bullet"/>
      <w:lvlText w:val=""/>
      <w:lvlJc w:val="left"/>
      <w:pPr>
        <w:ind w:left="2987" w:hanging="360"/>
      </w:pPr>
      <w:rPr>
        <w:rFonts w:ascii="Symbol" w:hAnsi="Symbol" w:hint="default"/>
      </w:rPr>
    </w:lvl>
    <w:lvl w:ilvl="4" w:tplc="F5509E0E" w:tentative="1">
      <w:start w:val="1"/>
      <w:numFmt w:val="bullet"/>
      <w:lvlText w:val="o"/>
      <w:lvlJc w:val="left"/>
      <w:pPr>
        <w:ind w:left="3707" w:hanging="360"/>
      </w:pPr>
      <w:rPr>
        <w:rFonts w:ascii="Courier New" w:hAnsi="Courier New" w:cs="Courier New" w:hint="default"/>
      </w:rPr>
    </w:lvl>
    <w:lvl w:ilvl="5" w:tplc="1156782E" w:tentative="1">
      <w:start w:val="1"/>
      <w:numFmt w:val="bullet"/>
      <w:lvlText w:val=""/>
      <w:lvlJc w:val="left"/>
      <w:pPr>
        <w:ind w:left="4427" w:hanging="360"/>
      </w:pPr>
      <w:rPr>
        <w:rFonts w:ascii="Wingdings" w:hAnsi="Wingdings" w:hint="default"/>
      </w:rPr>
    </w:lvl>
    <w:lvl w:ilvl="6" w:tplc="0944F24A" w:tentative="1">
      <w:start w:val="1"/>
      <w:numFmt w:val="bullet"/>
      <w:lvlText w:val=""/>
      <w:lvlJc w:val="left"/>
      <w:pPr>
        <w:ind w:left="5147" w:hanging="360"/>
      </w:pPr>
      <w:rPr>
        <w:rFonts w:ascii="Symbol" w:hAnsi="Symbol" w:hint="default"/>
      </w:rPr>
    </w:lvl>
    <w:lvl w:ilvl="7" w:tplc="B6903062" w:tentative="1">
      <w:start w:val="1"/>
      <w:numFmt w:val="bullet"/>
      <w:lvlText w:val="o"/>
      <w:lvlJc w:val="left"/>
      <w:pPr>
        <w:ind w:left="5867" w:hanging="360"/>
      </w:pPr>
      <w:rPr>
        <w:rFonts w:ascii="Courier New" w:hAnsi="Courier New" w:cs="Courier New" w:hint="default"/>
      </w:rPr>
    </w:lvl>
    <w:lvl w:ilvl="8" w:tplc="8E84F154" w:tentative="1">
      <w:start w:val="1"/>
      <w:numFmt w:val="bullet"/>
      <w:lvlText w:val=""/>
      <w:lvlJc w:val="left"/>
      <w:pPr>
        <w:ind w:left="6587" w:hanging="360"/>
      </w:pPr>
      <w:rPr>
        <w:rFonts w:ascii="Wingdings" w:hAnsi="Wingdings" w:hint="default"/>
      </w:rPr>
    </w:lvl>
  </w:abstractNum>
  <w:abstractNum w:abstractNumId="19" w15:restartNumberingAfterBreak="0">
    <w:nsid w:val="54C70F45"/>
    <w:multiLevelType w:val="hybridMultilevel"/>
    <w:tmpl w:val="711E1326"/>
    <w:lvl w:ilvl="0" w:tplc="25848D0A">
      <w:start w:val="1"/>
      <w:numFmt w:val="decimal"/>
      <w:lvlText w:val="%1."/>
      <w:lvlJc w:val="left"/>
      <w:pPr>
        <w:ind w:left="720" w:hanging="360"/>
      </w:pPr>
    </w:lvl>
    <w:lvl w:ilvl="1" w:tplc="2938B364">
      <w:start w:val="1"/>
      <w:numFmt w:val="lowerLetter"/>
      <w:lvlText w:val="%2."/>
      <w:lvlJc w:val="left"/>
      <w:pPr>
        <w:ind w:left="1440" w:hanging="360"/>
      </w:pPr>
    </w:lvl>
    <w:lvl w:ilvl="2" w:tplc="878C98FC" w:tentative="1">
      <w:start w:val="1"/>
      <w:numFmt w:val="lowerRoman"/>
      <w:lvlText w:val="%3."/>
      <w:lvlJc w:val="right"/>
      <w:pPr>
        <w:ind w:left="2160" w:hanging="180"/>
      </w:pPr>
    </w:lvl>
    <w:lvl w:ilvl="3" w:tplc="9E6E63F8" w:tentative="1">
      <w:start w:val="1"/>
      <w:numFmt w:val="decimal"/>
      <w:lvlText w:val="%4."/>
      <w:lvlJc w:val="left"/>
      <w:pPr>
        <w:ind w:left="2880" w:hanging="360"/>
      </w:pPr>
    </w:lvl>
    <w:lvl w:ilvl="4" w:tplc="A58EC180" w:tentative="1">
      <w:start w:val="1"/>
      <w:numFmt w:val="lowerLetter"/>
      <w:lvlText w:val="%5."/>
      <w:lvlJc w:val="left"/>
      <w:pPr>
        <w:ind w:left="3600" w:hanging="360"/>
      </w:pPr>
    </w:lvl>
    <w:lvl w:ilvl="5" w:tplc="FF8C6BCC" w:tentative="1">
      <w:start w:val="1"/>
      <w:numFmt w:val="lowerRoman"/>
      <w:lvlText w:val="%6."/>
      <w:lvlJc w:val="right"/>
      <w:pPr>
        <w:ind w:left="4320" w:hanging="180"/>
      </w:pPr>
    </w:lvl>
    <w:lvl w:ilvl="6" w:tplc="E4B69DC0" w:tentative="1">
      <w:start w:val="1"/>
      <w:numFmt w:val="decimal"/>
      <w:lvlText w:val="%7."/>
      <w:lvlJc w:val="left"/>
      <w:pPr>
        <w:ind w:left="5040" w:hanging="360"/>
      </w:pPr>
    </w:lvl>
    <w:lvl w:ilvl="7" w:tplc="44CCCAA4" w:tentative="1">
      <w:start w:val="1"/>
      <w:numFmt w:val="lowerLetter"/>
      <w:lvlText w:val="%8."/>
      <w:lvlJc w:val="left"/>
      <w:pPr>
        <w:ind w:left="5760" w:hanging="360"/>
      </w:pPr>
    </w:lvl>
    <w:lvl w:ilvl="8" w:tplc="7E4A41F8" w:tentative="1">
      <w:start w:val="1"/>
      <w:numFmt w:val="lowerRoman"/>
      <w:lvlText w:val="%9."/>
      <w:lvlJc w:val="right"/>
      <w:pPr>
        <w:ind w:left="6480" w:hanging="180"/>
      </w:pPr>
    </w:lvl>
  </w:abstractNum>
  <w:abstractNum w:abstractNumId="20" w15:restartNumberingAfterBreak="0">
    <w:nsid w:val="54E066BE"/>
    <w:multiLevelType w:val="hybridMultilevel"/>
    <w:tmpl w:val="ADA4E7B4"/>
    <w:lvl w:ilvl="0" w:tplc="9C8C2182">
      <w:start w:val="1"/>
      <w:numFmt w:val="bullet"/>
      <w:lvlText w:val=""/>
      <w:lvlJc w:val="left"/>
      <w:pPr>
        <w:tabs>
          <w:tab w:val="num" w:pos="720"/>
        </w:tabs>
        <w:ind w:left="720" w:hanging="360"/>
      </w:pPr>
      <w:rPr>
        <w:rFonts w:ascii="Wingdings 3" w:hAnsi="Wingdings 3" w:hint="default"/>
      </w:rPr>
    </w:lvl>
    <w:lvl w:ilvl="1" w:tplc="F572A334" w:tentative="1">
      <w:start w:val="1"/>
      <w:numFmt w:val="bullet"/>
      <w:lvlText w:val=""/>
      <w:lvlJc w:val="left"/>
      <w:pPr>
        <w:tabs>
          <w:tab w:val="num" w:pos="1440"/>
        </w:tabs>
        <w:ind w:left="1440" w:hanging="360"/>
      </w:pPr>
      <w:rPr>
        <w:rFonts w:ascii="Wingdings 3" w:hAnsi="Wingdings 3" w:hint="default"/>
      </w:rPr>
    </w:lvl>
    <w:lvl w:ilvl="2" w:tplc="AF14182A">
      <w:start w:val="1"/>
      <w:numFmt w:val="bullet"/>
      <w:lvlText w:val=""/>
      <w:lvlJc w:val="left"/>
      <w:pPr>
        <w:tabs>
          <w:tab w:val="num" w:pos="2160"/>
        </w:tabs>
        <w:ind w:left="2160" w:hanging="360"/>
      </w:pPr>
      <w:rPr>
        <w:rFonts w:ascii="Wingdings 3" w:hAnsi="Wingdings 3" w:hint="default"/>
      </w:rPr>
    </w:lvl>
    <w:lvl w:ilvl="3" w:tplc="70AE4070" w:tentative="1">
      <w:start w:val="1"/>
      <w:numFmt w:val="bullet"/>
      <w:lvlText w:val=""/>
      <w:lvlJc w:val="left"/>
      <w:pPr>
        <w:tabs>
          <w:tab w:val="num" w:pos="2880"/>
        </w:tabs>
        <w:ind w:left="2880" w:hanging="360"/>
      </w:pPr>
      <w:rPr>
        <w:rFonts w:ascii="Wingdings 3" w:hAnsi="Wingdings 3" w:hint="default"/>
      </w:rPr>
    </w:lvl>
    <w:lvl w:ilvl="4" w:tplc="9DEA80F2" w:tentative="1">
      <w:start w:val="1"/>
      <w:numFmt w:val="bullet"/>
      <w:lvlText w:val=""/>
      <w:lvlJc w:val="left"/>
      <w:pPr>
        <w:tabs>
          <w:tab w:val="num" w:pos="3600"/>
        </w:tabs>
        <w:ind w:left="3600" w:hanging="360"/>
      </w:pPr>
      <w:rPr>
        <w:rFonts w:ascii="Wingdings 3" w:hAnsi="Wingdings 3" w:hint="default"/>
      </w:rPr>
    </w:lvl>
    <w:lvl w:ilvl="5" w:tplc="23D88CCA" w:tentative="1">
      <w:start w:val="1"/>
      <w:numFmt w:val="bullet"/>
      <w:lvlText w:val=""/>
      <w:lvlJc w:val="left"/>
      <w:pPr>
        <w:tabs>
          <w:tab w:val="num" w:pos="4320"/>
        </w:tabs>
        <w:ind w:left="4320" w:hanging="360"/>
      </w:pPr>
      <w:rPr>
        <w:rFonts w:ascii="Wingdings 3" w:hAnsi="Wingdings 3" w:hint="default"/>
      </w:rPr>
    </w:lvl>
    <w:lvl w:ilvl="6" w:tplc="8AA2EA00" w:tentative="1">
      <w:start w:val="1"/>
      <w:numFmt w:val="bullet"/>
      <w:lvlText w:val=""/>
      <w:lvlJc w:val="left"/>
      <w:pPr>
        <w:tabs>
          <w:tab w:val="num" w:pos="5040"/>
        </w:tabs>
        <w:ind w:left="5040" w:hanging="360"/>
      </w:pPr>
      <w:rPr>
        <w:rFonts w:ascii="Wingdings 3" w:hAnsi="Wingdings 3" w:hint="default"/>
      </w:rPr>
    </w:lvl>
    <w:lvl w:ilvl="7" w:tplc="8B34B642" w:tentative="1">
      <w:start w:val="1"/>
      <w:numFmt w:val="bullet"/>
      <w:lvlText w:val=""/>
      <w:lvlJc w:val="left"/>
      <w:pPr>
        <w:tabs>
          <w:tab w:val="num" w:pos="5760"/>
        </w:tabs>
        <w:ind w:left="5760" w:hanging="360"/>
      </w:pPr>
      <w:rPr>
        <w:rFonts w:ascii="Wingdings 3" w:hAnsi="Wingdings 3" w:hint="default"/>
      </w:rPr>
    </w:lvl>
    <w:lvl w:ilvl="8" w:tplc="83467CF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85E67E8"/>
    <w:multiLevelType w:val="hybridMultilevel"/>
    <w:tmpl w:val="6B807C4E"/>
    <w:lvl w:ilvl="0" w:tplc="F6E08CA4">
      <w:start w:val="1"/>
      <w:numFmt w:val="upperRoman"/>
      <w:lvlText w:val="%1."/>
      <w:lvlJc w:val="left"/>
      <w:pPr>
        <w:ind w:left="1080" w:hanging="720"/>
      </w:pPr>
      <w:rPr>
        <w:rFonts w:hint="default"/>
        <w:b/>
        <w:bCs/>
      </w:rPr>
    </w:lvl>
    <w:lvl w:ilvl="1" w:tplc="52F02A8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D1482"/>
    <w:multiLevelType w:val="hybridMultilevel"/>
    <w:tmpl w:val="FB4063CE"/>
    <w:lvl w:ilvl="0" w:tplc="628CF3FC">
      <w:start w:val="1"/>
      <w:numFmt w:val="bullet"/>
      <w:lvlText w:val=""/>
      <w:lvlJc w:val="left"/>
      <w:pPr>
        <w:tabs>
          <w:tab w:val="num" w:pos="720"/>
        </w:tabs>
        <w:ind w:left="720" w:hanging="360"/>
      </w:pPr>
      <w:rPr>
        <w:rFonts w:ascii="Wingdings 3" w:hAnsi="Wingdings 3" w:hint="default"/>
      </w:rPr>
    </w:lvl>
    <w:lvl w:ilvl="1" w:tplc="A4D4CB2A">
      <w:start w:val="23"/>
      <w:numFmt w:val="bullet"/>
      <w:lvlText w:val=""/>
      <w:lvlJc w:val="left"/>
      <w:pPr>
        <w:tabs>
          <w:tab w:val="num" w:pos="1440"/>
        </w:tabs>
        <w:ind w:left="1440" w:hanging="360"/>
      </w:pPr>
      <w:rPr>
        <w:rFonts w:ascii="Wingdings 3" w:hAnsi="Wingdings 3" w:hint="default"/>
      </w:rPr>
    </w:lvl>
    <w:lvl w:ilvl="2" w:tplc="B922DB5C">
      <w:start w:val="23"/>
      <w:numFmt w:val="bullet"/>
      <w:lvlText w:val=""/>
      <w:lvlJc w:val="left"/>
      <w:pPr>
        <w:tabs>
          <w:tab w:val="num" w:pos="2160"/>
        </w:tabs>
        <w:ind w:left="2160" w:hanging="360"/>
      </w:pPr>
      <w:rPr>
        <w:rFonts w:ascii="Wingdings 3" w:hAnsi="Wingdings 3" w:hint="default"/>
      </w:rPr>
    </w:lvl>
    <w:lvl w:ilvl="3" w:tplc="F5FC64FC" w:tentative="1">
      <w:start w:val="1"/>
      <w:numFmt w:val="bullet"/>
      <w:lvlText w:val=""/>
      <w:lvlJc w:val="left"/>
      <w:pPr>
        <w:tabs>
          <w:tab w:val="num" w:pos="2880"/>
        </w:tabs>
        <w:ind w:left="2880" w:hanging="360"/>
      </w:pPr>
      <w:rPr>
        <w:rFonts w:ascii="Wingdings 3" w:hAnsi="Wingdings 3" w:hint="default"/>
      </w:rPr>
    </w:lvl>
    <w:lvl w:ilvl="4" w:tplc="734466EE" w:tentative="1">
      <w:start w:val="1"/>
      <w:numFmt w:val="bullet"/>
      <w:lvlText w:val=""/>
      <w:lvlJc w:val="left"/>
      <w:pPr>
        <w:tabs>
          <w:tab w:val="num" w:pos="3600"/>
        </w:tabs>
        <w:ind w:left="3600" w:hanging="360"/>
      </w:pPr>
      <w:rPr>
        <w:rFonts w:ascii="Wingdings 3" w:hAnsi="Wingdings 3" w:hint="default"/>
      </w:rPr>
    </w:lvl>
    <w:lvl w:ilvl="5" w:tplc="2138C70C" w:tentative="1">
      <w:start w:val="1"/>
      <w:numFmt w:val="bullet"/>
      <w:lvlText w:val=""/>
      <w:lvlJc w:val="left"/>
      <w:pPr>
        <w:tabs>
          <w:tab w:val="num" w:pos="4320"/>
        </w:tabs>
        <w:ind w:left="4320" w:hanging="360"/>
      </w:pPr>
      <w:rPr>
        <w:rFonts w:ascii="Wingdings 3" w:hAnsi="Wingdings 3" w:hint="default"/>
      </w:rPr>
    </w:lvl>
    <w:lvl w:ilvl="6" w:tplc="9572AFF2" w:tentative="1">
      <w:start w:val="1"/>
      <w:numFmt w:val="bullet"/>
      <w:lvlText w:val=""/>
      <w:lvlJc w:val="left"/>
      <w:pPr>
        <w:tabs>
          <w:tab w:val="num" w:pos="5040"/>
        </w:tabs>
        <w:ind w:left="5040" w:hanging="360"/>
      </w:pPr>
      <w:rPr>
        <w:rFonts w:ascii="Wingdings 3" w:hAnsi="Wingdings 3" w:hint="default"/>
      </w:rPr>
    </w:lvl>
    <w:lvl w:ilvl="7" w:tplc="6ED66208" w:tentative="1">
      <w:start w:val="1"/>
      <w:numFmt w:val="bullet"/>
      <w:lvlText w:val=""/>
      <w:lvlJc w:val="left"/>
      <w:pPr>
        <w:tabs>
          <w:tab w:val="num" w:pos="5760"/>
        </w:tabs>
        <w:ind w:left="5760" w:hanging="360"/>
      </w:pPr>
      <w:rPr>
        <w:rFonts w:ascii="Wingdings 3" w:hAnsi="Wingdings 3" w:hint="default"/>
      </w:rPr>
    </w:lvl>
    <w:lvl w:ilvl="8" w:tplc="4516EE7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49A3156"/>
    <w:multiLevelType w:val="hybridMultilevel"/>
    <w:tmpl w:val="91FC149C"/>
    <w:lvl w:ilvl="0" w:tplc="20965CBC">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60598"/>
    <w:multiLevelType w:val="hybridMultilevel"/>
    <w:tmpl w:val="080AC5AE"/>
    <w:lvl w:ilvl="0" w:tplc="0409000F">
      <w:start w:val="1"/>
      <w:numFmt w:val="decimal"/>
      <w:lvlText w:val="%1."/>
      <w:lvlJc w:val="left"/>
      <w:pPr>
        <w:tabs>
          <w:tab w:val="num" w:pos="360"/>
        </w:tabs>
        <w:ind w:left="360" w:hanging="360"/>
      </w:pPr>
      <w:rPr>
        <w:rFonts w:hint="default"/>
        <w:b w:val="0"/>
        <w:i w:val="0"/>
        <w:color w:val="auto"/>
        <w:sz w:val="24"/>
        <w:szCs w:val="24"/>
      </w:rPr>
    </w:lvl>
    <w:lvl w:ilvl="1" w:tplc="FC26D282">
      <w:start w:val="1"/>
      <w:numFmt w:val="lowerRoman"/>
      <w:lvlText w:val="%2."/>
      <w:lvlJc w:val="right"/>
      <w:pPr>
        <w:tabs>
          <w:tab w:val="num" w:pos="960"/>
        </w:tabs>
        <w:ind w:left="960" w:hanging="360"/>
      </w:pPr>
      <w:rPr>
        <w:rFonts w:hint="default"/>
        <w:i w:val="0"/>
      </w:rPr>
    </w:lvl>
    <w:lvl w:ilvl="2" w:tplc="0C0A001B">
      <w:start w:val="1"/>
      <w:numFmt w:val="lowerRoman"/>
      <w:lvlText w:val="%3."/>
      <w:lvlJc w:val="right"/>
      <w:pPr>
        <w:tabs>
          <w:tab w:val="num" w:pos="1680"/>
        </w:tabs>
        <w:ind w:left="1680" w:hanging="180"/>
      </w:pPr>
    </w:lvl>
    <w:lvl w:ilvl="3" w:tplc="8F82D28E">
      <w:start w:val="1"/>
      <w:numFmt w:val="lowerLetter"/>
      <w:lvlText w:val="%4)"/>
      <w:lvlJc w:val="left"/>
      <w:pPr>
        <w:tabs>
          <w:tab w:val="num" w:pos="2400"/>
        </w:tabs>
        <w:ind w:left="2400" w:hanging="360"/>
      </w:pPr>
      <w:rPr>
        <w:rFonts w:hint="default"/>
        <w:b w:val="0"/>
        <w:i w:val="0"/>
        <w:color w:val="0070C0"/>
        <w:sz w:val="24"/>
        <w:szCs w:val="24"/>
      </w:rPr>
    </w:lvl>
    <w:lvl w:ilvl="4" w:tplc="0C0A0019" w:tentative="1">
      <w:start w:val="1"/>
      <w:numFmt w:val="lowerLetter"/>
      <w:lvlText w:val="%5."/>
      <w:lvlJc w:val="left"/>
      <w:pPr>
        <w:tabs>
          <w:tab w:val="num" w:pos="3120"/>
        </w:tabs>
        <w:ind w:left="3120" w:hanging="360"/>
      </w:pPr>
    </w:lvl>
    <w:lvl w:ilvl="5" w:tplc="0C0A001B" w:tentative="1">
      <w:start w:val="1"/>
      <w:numFmt w:val="lowerRoman"/>
      <w:lvlText w:val="%6."/>
      <w:lvlJc w:val="right"/>
      <w:pPr>
        <w:tabs>
          <w:tab w:val="num" w:pos="3840"/>
        </w:tabs>
        <w:ind w:left="3840" w:hanging="180"/>
      </w:pPr>
    </w:lvl>
    <w:lvl w:ilvl="6" w:tplc="0C0A000F" w:tentative="1">
      <w:start w:val="1"/>
      <w:numFmt w:val="decimal"/>
      <w:lvlText w:val="%7."/>
      <w:lvlJc w:val="left"/>
      <w:pPr>
        <w:tabs>
          <w:tab w:val="num" w:pos="4560"/>
        </w:tabs>
        <w:ind w:left="4560" w:hanging="360"/>
      </w:pPr>
    </w:lvl>
    <w:lvl w:ilvl="7" w:tplc="0C0A0019" w:tentative="1">
      <w:start w:val="1"/>
      <w:numFmt w:val="lowerLetter"/>
      <w:lvlText w:val="%8."/>
      <w:lvlJc w:val="left"/>
      <w:pPr>
        <w:tabs>
          <w:tab w:val="num" w:pos="5280"/>
        </w:tabs>
        <w:ind w:left="5280" w:hanging="360"/>
      </w:pPr>
    </w:lvl>
    <w:lvl w:ilvl="8" w:tplc="0C0A001B" w:tentative="1">
      <w:start w:val="1"/>
      <w:numFmt w:val="lowerRoman"/>
      <w:lvlText w:val="%9."/>
      <w:lvlJc w:val="right"/>
      <w:pPr>
        <w:tabs>
          <w:tab w:val="num" w:pos="6000"/>
        </w:tabs>
        <w:ind w:left="6000" w:hanging="180"/>
      </w:pPr>
    </w:lvl>
  </w:abstractNum>
  <w:abstractNum w:abstractNumId="25" w15:restartNumberingAfterBreak="0">
    <w:nsid w:val="79D07CDC"/>
    <w:multiLevelType w:val="hybridMultilevel"/>
    <w:tmpl w:val="D95C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6"/>
  </w:num>
  <w:num w:numId="4">
    <w:abstractNumId w:val="18"/>
  </w:num>
  <w:num w:numId="5">
    <w:abstractNumId w:val="25"/>
  </w:num>
  <w:num w:numId="6">
    <w:abstractNumId w:val="11"/>
  </w:num>
  <w:num w:numId="7">
    <w:abstractNumId w:val="5"/>
  </w:num>
  <w:num w:numId="8">
    <w:abstractNumId w:val="9"/>
  </w:num>
  <w:num w:numId="9">
    <w:abstractNumId w:val="20"/>
  </w:num>
  <w:num w:numId="10">
    <w:abstractNumId w:val="21"/>
  </w:num>
  <w:num w:numId="11">
    <w:abstractNumId w:val="23"/>
  </w:num>
  <w:num w:numId="12">
    <w:abstractNumId w:val="17"/>
  </w:num>
  <w:num w:numId="13">
    <w:abstractNumId w:val="22"/>
  </w:num>
  <w:num w:numId="14">
    <w:abstractNumId w:val="2"/>
  </w:num>
  <w:num w:numId="15">
    <w:abstractNumId w:val="1"/>
  </w:num>
  <w:num w:numId="16">
    <w:abstractNumId w:val="10"/>
  </w:num>
  <w:num w:numId="17">
    <w:abstractNumId w:val="7"/>
  </w:num>
  <w:num w:numId="18">
    <w:abstractNumId w:val="15"/>
  </w:num>
  <w:num w:numId="19">
    <w:abstractNumId w:val="12"/>
  </w:num>
  <w:num w:numId="20">
    <w:abstractNumId w:val="3"/>
  </w:num>
  <w:num w:numId="21">
    <w:abstractNumId w:val="24"/>
  </w:num>
  <w:num w:numId="22">
    <w:abstractNumId w:val="0"/>
  </w:num>
  <w:num w:numId="23">
    <w:abstractNumId w:val="14"/>
  </w:num>
  <w:num w:numId="24">
    <w:abstractNumId w:val="6"/>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E4"/>
    <w:rsid w:val="00001D29"/>
    <w:rsid w:val="00003038"/>
    <w:rsid w:val="00012460"/>
    <w:rsid w:val="00013624"/>
    <w:rsid w:val="0001490B"/>
    <w:rsid w:val="00014B77"/>
    <w:rsid w:val="000152BA"/>
    <w:rsid w:val="00024014"/>
    <w:rsid w:val="00044158"/>
    <w:rsid w:val="000553B9"/>
    <w:rsid w:val="000734CB"/>
    <w:rsid w:val="000871BE"/>
    <w:rsid w:val="0009643B"/>
    <w:rsid w:val="000C2FDD"/>
    <w:rsid w:val="000D5AF6"/>
    <w:rsid w:val="000E55E4"/>
    <w:rsid w:val="00111A82"/>
    <w:rsid w:val="00133841"/>
    <w:rsid w:val="00136C22"/>
    <w:rsid w:val="001432D4"/>
    <w:rsid w:val="001510A5"/>
    <w:rsid w:val="001513F9"/>
    <w:rsid w:val="00152212"/>
    <w:rsid w:val="00154775"/>
    <w:rsid w:val="00155028"/>
    <w:rsid w:val="00163EA8"/>
    <w:rsid w:val="00165B62"/>
    <w:rsid w:val="0017192F"/>
    <w:rsid w:val="00172330"/>
    <w:rsid w:val="00177700"/>
    <w:rsid w:val="00183573"/>
    <w:rsid w:val="00183BF2"/>
    <w:rsid w:val="001864D9"/>
    <w:rsid w:val="001B0BC4"/>
    <w:rsid w:val="001B2715"/>
    <w:rsid w:val="001C2206"/>
    <w:rsid w:val="001C3CA3"/>
    <w:rsid w:val="001C7337"/>
    <w:rsid w:val="001D7E04"/>
    <w:rsid w:val="002001E0"/>
    <w:rsid w:val="00200D56"/>
    <w:rsid w:val="00203474"/>
    <w:rsid w:val="00211B74"/>
    <w:rsid w:val="00216961"/>
    <w:rsid w:val="00217A42"/>
    <w:rsid w:val="00225CE2"/>
    <w:rsid w:val="00230625"/>
    <w:rsid w:val="002323F5"/>
    <w:rsid w:val="002558AC"/>
    <w:rsid w:val="00260872"/>
    <w:rsid w:val="002715A9"/>
    <w:rsid w:val="00296A2E"/>
    <w:rsid w:val="002C656E"/>
    <w:rsid w:val="002E6583"/>
    <w:rsid w:val="002F31D3"/>
    <w:rsid w:val="002F3EB5"/>
    <w:rsid w:val="002F5C63"/>
    <w:rsid w:val="00304B4C"/>
    <w:rsid w:val="003133AC"/>
    <w:rsid w:val="00314394"/>
    <w:rsid w:val="0032297E"/>
    <w:rsid w:val="003312F5"/>
    <w:rsid w:val="003317EB"/>
    <w:rsid w:val="003506BB"/>
    <w:rsid w:val="00353A26"/>
    <w:rsid w:val="00376E5B"/>
    <w:rsid w:val="003951EB"/>
    <w:rsid w:val="003B307D"/>
    <w:rsid w:val="003C4F65"/>
    <w:rsid w:val="003E4D5B"/>
    <w:rsid w:val="003F2382"/>
    <w:rsid w:val="00415F88"/>
    <w:rsid w:val="00427920"/>
    <w:rsid w:val="0043191E"/>
    <w:rsid w:val="00454926"/>
    <w:rsid w:val="004775B1"/>
    <w:rsid w:val="00482E71"/>
    <w:rsid w:val="00484B25"/>
    <w:rsid w:val="004929E0"/>
    <w:rsid w:val="004A174D"/>
    <w:rsid w:val="004C47AF"/>
    <w:rsid w:val="004D2FB5"/>
    <w:rsid w:val="004E2D48"/>
    <w:rsid w:val="00502727"/>
    <w:rsid w:val="005155B9"/>
    <w:rsid w:val="00544C63"/>
    <w:rsid w:val="0055072F"/>
    <w:rsid w:val="00560C62"/>
    <w:rsid w:val="00562A8B"/>
    <w:rsid w:val="005805CF"/>
    <w:rsid w:val="005B2425"/>
    <w:rsid w:val="005C062D"/>
    <w:rsid w:val="005C0796"/>
    <w:rsid w:val="005D58E1"/>
    <w:rsid w:val="005F09F6"/>
    <w:rsid w:val="005F4717"/>
    <w:rsid w:val="00604394"/>
    <w:rsid w:val="00610D67"/>
    <w:rsid w:val="0062359A"/>
    <w:rsid w:val="00626C56"/>
    <w:rsid w:val="00634742"/>
    <w:rsid w:val="00646B36"/>
    <w:rsid w:val="00662C78"/>
    <w:rsid w:val="00666D0F"/>
    <w:rsid w:val="00673A70"/>
    <w:rsid w:val="006766D2"/>
    <w:rsid w:val="00682587"/>
    <w:rsid w:val="006859ED"/>
    <w:rsid w:val="006933AC"/>
    <w:rsid w:val="0069583E"/>
    <w:rsid w:val="006B3F3D"/>
    <w:rsid w:val="006C3250"/>
    <w:rsid w:val="006D2C86"/>
    <w:rsid w:val="00704798"/>
    <w:rsid w:val="00705FE3"/>
    <w:rsid w:val="0071042C"/>
    <w:rsid w:val="00723A96"/>
    <w:rsid w:val="007328D5"/>
    <w:rsid w:val="00733442"/>
    <w:rsid w:val="007378CE"/>
    <w:rsid w:val="00737EBC"/>
    <w:rsid w:val="0077709E"/>
    <w:rsid w:val="007A1979"/>
    <w:rsid w:val="007A4E8F"/>
    <w:rsid w:val="007B289D"/>
    <w:rsid w:val="007C7E50"/>
    <w:rsid w:val="007E1D27"/>
    <w:rsid w:val="007E5B3D"/>
    <w:rsid w:val="00822AB9"/>
    <w:rsid w:val="00831D51"/>
    <w:rsid w:val="0083722E"/>
    <w:rsid w:val="00874812"/>
    <w:rsid w:val="008760F9"/>
    <w:rsid w:val="0089445E"/>
    <w:rsid w:val="008A2613"/>
    <w:rsid w:val="008A2BB1"/>
    <w:rsid w:val="008B784F"/>
    <w:rsid w:val="008B7F2D"/>
    <w:rsid w:val="008C2785"/>
    <w:rsid w:val="008C6A07"/>
    <w:rsid w:val="008E2090"/>
    <w:rsid w:val="008F3B8A"/>
    <w:rsid w:val="008F60C9"/>
    <w:rsid w:val="009202C1"/>
    <w:rsid w:val="00920AD4"/>
    <w:rsid w:val="00946D45"/>
    <w:rsid w:val="00950456"/>
    <w:rsid w:val="00972829"/>
    <w:rsid w:val="00975F10"/>
    <w:rsid w:val="00984B1C"/>
    <w:rsid w:val="00993BCC"/>
    <w:rsid w:val="009C0B8F"/>
    <w:rsid w:val="009C5FAA"/>
    <w:rsid w:val="009D3A97"/>
    <w:rsid w:val="009D5A66"/>
    <w:rsid w:val="009E5DD4"/>
    <w:rsid w:val="00A10FC6"/>
    <w:rsid w:val="00A469AE"/>
    <w:rsid w:val="00A64094"/>
    <w:rsid w:val="00AA4443"/>
    <w:rsid w:val="00AA5FEE"/>
    <w:rsid w:val="00AA7C77"/>
    <w:rsid w:val="00AB0A24"/>
    <w:rsid w:val="00AC38A7"/>
    <w:rsid w:val="00B001B6"/>
    <w:rsid w:val="00B10C9A"/>
    <w:rsid w:val="00B123D0"/>
    <w:rsid w:val="00B131F4"/>
    <w:rsid w:val="00B4003D"/>
    <w:rsid w:val="00B664D0"/>
    <w:rsid w:val="00B73A76"/>
    <w:rsid w:val="00B83F14"/>
    <w:rsid w:val="00B92AD6"/>
    <w:rsid w:val="00BA4686"/>
    <w:rsid w:val="00BC5874"/>
    <w:rsid w:val="00BD2F3F"/>
    <w:rsid w:val="00BD3EA5"/>
    <w:rsid w:val="00BE2869"/>
    <w:rsid w:val="00BE4BBD"/>
    <w:rsid w:val="00BE5818"/>
    <w:rsid w:val="00BF5526"/>
    <w:rsid w:val="00C003A0"/>
    <w:rsid w:val="00C05826"/>
    <w:rsid w:val="00C17471"/>
    <w:rsid w:val="00C422D9"/>
    <w:rsid w:val="00C507EE"/>
    <w:rsid w:val="00C5551A"/>
    <w:rsid w:val="00C55635"/>
    <w:rsid w:val="00C73619"/>
    <w:rsid w:val="00C91470"/>
    <w:rsid w:val="00C91BF4"/>
    <w:rsid w:val="00CA3675"/>
    <w:rsid w:val="00CC695F"/>
    <w:rsid w:val="00CC6B95"/>
    <w:rsid w:val="00CE445C"/>
    <w:rsid w:val="00D021C4"/>
    <w:rsid w:val="00D208D4"/>
    <w:rsid w:val="00D2196B"/>
    <w:rsid w:val="00D22663"/>
    <w:rsid w:val="00D24581"/>
    <w:rsid w:val="00D33560"/>
    <w:rsid w:val="00D35E00"/>
    <w:rsid w:val="00D463A1"/>
    <w:rsid w:val="00D656D5"/>
    <w:rsid w:val="00D66AEF"/>
    <w:rsid w:val="00DA5373"/>
    <w:rsid w:val="00DB38CE"/>
    <w:rsid w:val="00DC1EF2"/>
    <w:rsid w:val="00DC3690"/>
    <w:rsid w:val="00DC6D89"/>
    <w:rsid w:val="00DD5933"/>
    <w:rsid w:val="00DE5020"/>
    <w:rsid w:val="00DE66D2"/>
    <w:rsid w:val="00DE6F01"/>
    <w:rsid w:val="00DF6251"/>
    <w:rsid w:val="00DF6B3A"/>
    <w:rsid w:val="00E23FE5"/>
    <w:rsid w:val="00E33F85"/>
    <w:rsid w:val="00E378D4"/>
    <w:rsid w:val="00E502C0"/>
    <w:rsid w:val="00E5471E"/>
    <w:rsid w:val="00E54D58"/>
    <w:rsid w:val="00E611DE"/>
    <w:rsid w:val="00E67103"/>
    <w:rsid w:val="00E70759"/>
    <w:rsid w:val="00E81420"/>
    <w:rsid w:val="00EA4C3C"/>
    <w:rsid w:val="00EC39E2"/>
    <w:rsid w:val="00EC6799"/>
    <w:rsid w:val="00EC7F66"/>
    <w:rsid w:val="00ED4CAC"/>
    <w:rsid w:val="00ED673C"/>
    <w:rsid w:val="00EF1153"/>
    <w:rsid w:val="00EF5290"/>
    <w:rsid w:val="00F00E0C"/>
    <w:rsid w:val="00F023C9"/>
    <w:rsid w:val="00F12B6C"/>
    <w:rsid w:val="00F26F60"/>
    <w:rsid w:val="00F27B1B"/>
    <w:rsid w:val="00F43CB0"/>
    <w:rsid w:val="00F66CFC"/>
    <w:rsid w:val="00F87A9F"/>
    <w:rsid w:val="00F9213C"/>
    <w:rsid w:val="00FA32ED"/>
    <w:rsid w:val="00FB37C5"/>
    <w:rsid w:val="00FC6B6D"/>
    <w:rsid w:val="00FC6FA7"/>
    <w:rsid w:val="00FD6EAD"/>
    <w:rsid w:val="00FF170D"/>
    <w:rsid w:val="00F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2540"/>
  <w15:docId w15:val="{58C18486-9191-48FB-88D4-F36D007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E4"/>
  </w:style>
  <w:style w:type="paragraph" w:styleId="Heading2">
    <w:name w:val="heading 2"/>
    <w:basedOn w:val="Normal"/>
    <w:next w:val="Normal"/>
    <w:link w:val="Heading2Char"/>
    <w:uiPriority w:val="9"/>
    <w:unhideWhenUsed/>
    <w:qFormat/>
    <w:rsid w:val="00E33F8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G Footnote Text,single space,FOOTNOTES,fn,Footnote Text 1,Footnote Text Char1,Footnote Text Char Char,Footnote Text Char Char Char,Char Char Char Char Char,ALTS FOOTNOTE,Note de bas de page2,footnote,footnote text,ft,texto de nota al pie"/>
    <w:basedOn w:val="Normal"/>
    <w:link w:val="FootnoteTextChar"/>
    <w:unhideWhenUsed/>
    <w:qFormat/>
    <w:rsid w:val="000E55E4"/>
    <w:pPr>
      <w:widowControl w:val="0"/>
      <w:autoSpaceDE w:val="0"/>
      <w:autoSpaceDN w:val="0"/>
      <w:adjustRightInd w:val="0"/>
      <w:spacing w:after="0" w:line="240" w:lineRule="auto"/>
    </w:pPr>
    <w:rPr>
      <w:rFonts w:ascii="Arial" w:eastAsiaTheme="minorEastAsia" w:hAnsi="Arial" w:cs="Arial"/>
      <w:color w:val="000000"/>
      <w:sz w:val="20"/>
      <w:szCs w:val="20"/>
      <w:lang w:eastAsia="ko-KR"/>
    </w:rPr>
  </w:style>
  <w:style w:type="character" w:customStyle="1" w:styleId="FootnoteTextChar">
    <w:name w:val="Footnote Text Char"/>
    <w:aliases w:val="RG Footnote Text Char,single space Char,FOOTNOTES Char,fn Char,Footnote Text 1 Char,Footnote Text Char1 Char,Footnote Text Char Char Char1,Footnote Text Char Char Char Char,Char Char Char Char Char Char,ALTS FOOTNOTE Char,ft Char"/>
    <w:basedOn w:val="DefaultParagraphFont"/>
    <w:link w:val="FootnoteText"/>
    <w:rsid w:val="000E55E4"/>
    <w:rPr>
      <w:rFonts w:ascii="Arial" w:eastAsiaTheme="minorEastAsia" w:hAnsi="Arial" w:cs="Arial"/>
      <w:color w:val="000000"/>
      <w:sz w:val="20"/>
      <w:szCs w:val="20"/>
      <w:lang w:eastAsia="ko-KR"/>
    </w:rPr>
  </w:style>
  <w:style w:type="character" w:styleId="FootnoteReference">
    <w:name w:val="footnote reference"/>
    <w:aliases w:val="referencia nota al pie,Footnote Reference1,Error-Fußnotenzeichen5,Error-Fußnotenzeichen6,Error-Fußnotenzeichen3,ftref,Footnote Reference Number,Знак сноски-FN,Char Char Char Char Car Char,Ref,de nota al pie,16 Point, BVI fnr,note TESI"/>
    <w:basedOn w:val="DefaultParagraphFont"/>
    <w:link w:val="FNRefeCharChar"/>
    <w:uiPriority w:val="99"/>
    <w:unhideWhenUsed/>
    <w:rsid w:val="000E55E4"/>
    <w:rPr>
      <w:rFonts w:cs="Times New Roman"/>
      <w:vertAlign w:val="superscript"/>
    </w:rPr>
  </w:style>
  <w:style w:type="paragraph" w:styleId="ListParagraph">
    <w:name w:val="List Paragraph"/>
    <w:aliases w:val="References,Bullets,List Paragraph (numbered (a)),Use Case List Paragraph,Numbered Paragraph,Main numbered paragraph,Numbered List Paragraph,123 List Paragraph,List Paragraph nowy,Liste 1,List_Paragraph,Multilevel para_II,List Paragraph1"/>
    <w:basedOn w:val="Normal"/>
    <w:link w:val="ListParagraphChar"/>
    <w:uiPriority w:val="34"/>
    <w:qFormat/>
    <w:rsid w:val="000E55E4"/>
    <w:pPr>
      <w:widowControl w:val="0"/>
      <w:autoSpaceDE w:val="0"/>
      <w:autoSpaceDN w:val="0"/>
      <w:adjustRightInd w:val="0"/>
      <w:spacing w:after="0" w:line="240" w:lineRule="auto"/>
      <w:ind w:left="720"/>
      <w:contextualSpacing/>
    </w:pPr>
    <w:rPr>
      <w:rFonts w:ascii="Arial" w:eastAsiaTheme="minorEastAsia" w:hAnsi="Arial" w:cs="Arial"/>
      <w:color w:val="000000"/>
      <w:sz w:val="24"/>
      <w:szCs w:val="24"/>
      <w:lang w:eastAsia="ko-KR"/>
    </w:rPr>
  </w:style>
  <w:style w:type="character" w:customStyle="1" w:styleId="ListParagraphChar">
    <w:name w:val="List Paragraph Char"/>
    <w:aliases w:val="References Char,Bullets Char,List Paragraph (numbered (a)) Char,Use Case List Paragraph Char,Numbered Paragraph Char,Main numbered paragraph Char,Numbered List Paragraph Char,123 List Paragraph Char,List Paragraph nowy Char"/>
    <w:link w:val="ListParagraph"/>
    <w:uiPriority w:val="34"/>
    <w:locked/>
    <w:rsid w:val="000E55E4"/>
    <w:rPr>
      <w:rFonts w:ascii="Arial" w:eastAsiaTheme="minorEastAsia" w:hAnsi="Arial" w:cs="Arial"/>
      <w:color w:val="000000"/>
      <w:sz w:val="24"/>
      <w:szCs w:val="24"/>
      <w:lang w:eastAsia="ko-KR"/>
    </w:rPr>
  </w:style>
  <w:style w:type="paragraph" w:styleId="NoSpacing">
    <w:name w:val="No Spacing"/>
    <w:uiPriority w:val="1"/>
    <w:qFormat/>
    <w:rsid w:val="000E55E4"/>
    <w:pPr>
      <w:spacing w:after="0" w:line="240" w:lineRule="auto"/>
    </w:pPr>
    <w:rPr>
      <w:rFonts w:eastAsiaTheme="minorEastAsia"/>
    </w:rPr>
  </w:style>
  <w:style w:type="paragraph" w:customStyle="1" w:styleId="Default">
    <w:name w:val="Default"/>
    <w:rsid w:val="000E55E4"/>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character" w:styleId="CommentReference">
    <w:name w:val="annotation reference"/>
    <w:basedOn w:val="DefaultParagraphFont"/>
    <w:unhideWhenUsed/>
    <w:rsid w:val="000E55E4"/>
    <w:rPr>
      <w:sz w:val="16"/>
      <w:szCs w:val="16"/>
    </w:rPr>
  </w:style>
  <w:style w:type="paragraph" w:styleId="CommentText">
    <w:name w:val="annotation text"/>
    <w:aliases w:val=" Char1,Char1"/>
    <w:basedOn w:val="Normal"/>
    <w:link w:val="CommentTextChar"/>
    <w:unhideWhenUsed/>
    <w:rsid w:val="000E55E4"/>
    <w:pPr>
      <w:spacing w:line="240" w:lineRule="auto"/>
    </w:pPr>
    <w:rPr>
      <w:sz w:val="20"/>
      <w:szCs w:val="20"/>
    </w:rPr>
  </w:style>
  <w:style w:type="character" w:customStyle="1" w:styleId="CommentTextChar">
    <w:name w:val="Comment Text Char"/>
    <w:aliases w:val=" Char1 Char,Char1 Char"/>
    <w:basedOn w:val="DefaultParagraphFont"/>
    <w:link w:val="CommentText"/>
    <w:rsid w:val="000E55E4"/>
    <w:rPr>
      <w:sz w:val="20"/>
      <w:szCs w:val="20"/>
    </w:rPr>
  </w:style>
  <w:style w:type="character" w:styleId="Strong">
    <w:name w:val="Strong"/>
    <w:uiPriority w:val="22"/>
    <w:qFormat/>
    <w:rsid w:val="000E55E4"/>
    <w:rPr>
      <w:b/>
      <w:bCs/>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0E55E4"/>
    <w:pPr>
      <w:spacing w:after="160" w:line="240" w:lineRule="exact"/>
    </w:pPr>
    <w:rPr>
      <w:rFonts w:cs="Times New Roman"/>
      <w:vertAlign w:val="superscript"/>
    </w:rPr>
  </w:style>
  <w:style w:type="character" w:customStyle="1" w:styleId="A6">
    <w:name w:val="A6"/>
    <w:uiPriority w:val="99"/>
    <w:rsid w:val="000E55E4"/>
    <w:rPr>
      <w:rFonts w:cs="HelveticaNeueLT Pro 45 Lt"/>
      <w:color w:val="000000"/>
      <w:sz w:val="20"/>
      <w:szCs w:val="20"/>
    </w:rPr>
  </w:style>
  <w:style w:type="paragraph" w:styleId="BalloonText">
    <w:name w:val="Balloon Text"/>
    <w:basedOn w:val="Normal"/>
    <w:link w:val="BalloonTextChar"/>
    <w:uiPriority w:val="99"/>
    <w:semiHidden/>
    <w:unhideWhenUsed/>
    <w:rsid w:val="000E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E4"/>
    <w:rPr>
      <w:rFonts w:ascii="Tahoma" w:hAnsi="Tahoma" w:cs="Tahoma"/>
      <w:sz w:val="16"/>
      <w:szCs w:val="16"/>
    </w:rPr>
  </w:style>
  <w:style w:type="paragraph" w:styleId="Header">
    <w:name w:val="header"/>
    <w:basedOn w:val="Normal"/>
    <w:link w:val="HeaderChar"/>
    <w:uiPriority w:val="99"/>
    <w:unhideWhenUsed/>
    <w:rsid w:val="00F2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60"/>
  </w:style>
  <w:style w:type="paragraph" w:styleId="Footer">
    <w:name w:val="footer"/>
    <w:basedOn w:val="Normal"/>
    <w:link w:val="FooterChar"/>
    <w:uiPriority w:val="99"/>
    <w:unhideWhenUsed/>
    <w:rsid w:val="00F2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60"/>
  </w:style>
  <w:style w:type="character" w:customStyle="1" w:styleId="Heading2Char">
    <w:name w:val="Heading 2 Char"/>
    <w:basedOn w:val="DefaultParagraphFont"/>
    <w:link w:val="Heading2"/>
    <w:uiPriority w:val="9"/>
    <w:rsid w:val="00E33F85"/>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E33F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F85"/>
    <w:rPr>
      <w:sz w:val="20"/>
      <w:szCs w:val="20"/>
    </w:rPr>
  </w:style>
  <w:style w:type="character" w:styleId="EndnoteReference">
    <w:name w:val="endnote reference"/>
    <w:basedOn w:val="DefaultParagraphFont"/>
    <w:uiPriority w:val="99"/>
    <w:semiHidden/>
    <w:unhideWhenUsed/>
    <w:rsid w:val="00E33F85"/>
    <w:rPr>
      <w:vertAlign w:val="superscript"/>
    </w:rPr>
  </w:style>
  <w:style w:type="character" w:styleId="Hyperlink">
    <w:name w:val="Hyperlink"/>
    <w:basedOn w:val="DefaultParagraphFont"/>
    <w:uiPriority w:val="99"/>
    <w:unhideWhenUsed/>
    <w:rsid w:val="00E33F8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23A96"/>
    <w:rPr>
      <w:b/>
      <w:bCs/>
    </w:rPr>
  </w:style>
  <w:style w:type="character" w:customStyle="1" w:styleId="CommentSubjectChar">
    <w:name w:val="Comment Subject Char"/>
    <w:basedOn w:val="CommentTextChar"/>
    <w:link w:val="CommentSubject"/>
    <w:uiPriority w:val="99"/>
    <w:semiHidden/>
    <w:rsid w:val="00723A96"/>
    <w:rPr>
      <w:b/>
      <w:bCs/>
      <w:sz w:val="20"/>
      <w:szCs w:val="20"/>
    </w:rPr>
  </w:style>
  <w:style w:type="paragraph" w:styleId="NormalWeb">
    <w:name w:val="Normal (Web)"/>
    <w:basedOn w:val="Normal"/>
    <w:uiPriority w:val="99"/>
    <w:unhideWhenUsed/>
    <w:rsid w:val="0063474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basedOn w:val="BodyTextIndent"/>
    <w:link w:val="BodyChar"/>
    <w:rsid w:val="001864D9"/>
    <w:pPr>
      <w:widowControl w:val="0"/>
      <w:suppressAutoHyphens/>
      <w:spacing w:after="0" w:line="240" w:lineRule="auto"/>
      <w:ind w:left="0" w:firstLine="720"/>
      <w:jc w:val="both"/>
    </w:pPr>
    <w:rPr>
      <w:rFonts w:ascii="Times New Roman" w:eastAsia="Times New Roman" w:hAnsi="Times New Roman" w:cs="Times New Roman"/>
      <w:spacing w:val="-3"/>
      <w:sz w:val="24"/>
      <w:szCs w:val="20"/>
      <w:lang w:val="es-ES" w:eastAsia="es-ES"/>
    </w:rPr>
  </w:style>
  <w:style w:type="character" w:customStyle="1" w:styleId="BodyChar">
    <w:name w:val="Body Char"/>
    <w:basedOn w:val="DefaultParagraphFont"/>
    <w:link w:val="Body"/>
    <w:locked/>
    <w:rsid w:val="001864D9"/>
    <w:rPr>
      <w:rFonts w:ascii="Times New Roman" w:eastAsia="Times New Roman" w:hAnsi="Times New Roman" w:cs="Times New Roman"/>
      <w:spacing w:val="-3"/>
      <w:sz w:val="24"/>
      <w:szCs w:val="20"/>
      <w:lang w:val="es-ES" w:eastAsia="es-ES"/>
    </w:rPr>
  </w:style>
  <w:style w:type="paragraph" w:styleId="BodyTextIndent">
    <w:name w:val="Body Text Indent"/>
    <w:basedOn w:val="Normal"/>
    <w:link w:val="BodyTextIndentChar"/>
    <w:uiPriority w:val="99"/>
    <w:semiHidden/>
    <w:unhideWhenUsed/>
    <w:rsid w:val="001864D9"/>
    <w:pPr>
      <w:spacing w:after="120"/>
      <w:ind w:left="360"/>
    </w:pPr>
  </w:style>
  <w:style w:type="character" w:customStyle="1" w:styleId="BodyTextIndentChar">
    <w:name w:val="Body Text Indent Char"/>
    <w:basedOn w:val="DefaultParagraphFont"/>
    <w:link w:val="BodyTextIndent"/>
    <w:uiPriority w:val="99"/>
    <w:semiHidden/>
    <w:rsid w:val="001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0827">
      <w:bodyDiv w:val="1"/>
      <w:marLeft w:val="0"/>
      <w:marRight w:val="0"/>
      <w:marTop w:val="0"/>
      <w:marBottom w:val="0"/>
      <w:divBdr>
        <w:top w:val="none" w:sz="0" w:space="0" w:color="auto"/>
        <w:left w:val="none" w:sz="0" w:space="0" w:color="auto"/>
        <w:bottom w:val="none" w:sz="0" w:space="0" w:color="auto"/>
        <w:right w:val="none" w:sz="0" w:space="0" w:color="auto"/>
      </w:divBdr>
      <w:divsChild>
        <w:div w:id="864368766">
          <w:marLeft w:val="806"/>
          <w:marRight w:val="0"/>
          <w:marTop w:val="106"/>
          <w:marBottom w:val="0"/>
          <w:divBdr>
            <w:top w:val="none" w:sz="0" w:space="0" w:color="auto"/>
            <w:left w:val="none" w:sz="0" w:space="0" w:color="auto"/>
            <w:bottom w:val="none" w:sz="0" w:space="0" w:color="auto"/>
            <w:right w:val="none" w:sz="0" w:space="0" w:color="auto"/>
          </w:divBdr>
        </w:div>
        <w:div w:id="1197816956">
          <w:marLeft w:val="806"/>
          <w:marRight w:val="0"/>
          <w:marTop w:val="106"/>
          <w:marBottom w:val="0"/>
          <w:divBdr>
            <w:top w:val="none" w:sz="0" w:space="0" w:color="auto"/>
            <w:left w:val="none" w:sz="0" w:space="0" w:color="auto"/>
            <w:bottom w:val="none" w:sz="0" w:space="0" w:color="auto"/>
            <w:right w:val="none" w:sz="0" w:space="0" w:color="auto"/>
          </w:divBdr>
        </w:div>
        <w:div w:id="851408309">
          <w:marLeft w:val="806"/>
          <w:marRight w:val="0"/>
          <w:marTop w:val="106"/>
          <w:marBottom w:val="0"/>
          <w:divBdr>
            <w:top w:val="none" w:sz="0" w:space="0" w:color="auto"/>
            <w:left w:val="none" w:sz="0" w:space="0" w:color="auto"/>
            <w:bottom w:val="none" w:sz="0" w:space="0" w:color="auto"/>
            <w:right w:val="none" w:sz="0" w:space="0" w:color="auto"/>
          </w:divBdr>
        </w:div>
        <w:div w:id="984774781">
          <w:marLeft w:val="806"/>
          <w:marRight w:val="0"/>
          <w:marTop w:val="106"/>
          <w:marBottom w:val="0"/>
          <w:divBdr>
            <w:top w:val="none" w:sz="0" w:space="0" w:color="auto"/>
            <w:left w:val="none" w:sz="0" w:space="0" w:color="auto"/>
            <w:bottom w:val="none" w:sz="0" w:space="0" w:color="auto"/>
            <w:right w:val="none" w:sz="0" w:space="0" w:color="auto"/>
          </w:divBdr>
        </w:div>
      </w:divsChild>
    </w:div>
    <w:div w:id="418061801">
      <w:bodyDiv w:val="1"/>
      <w:marLeft w:val="0"/>
      <w:marRight w:val="0"/>
      <w:marTop w:val="0"/>
      <w:marBottom w:val="0"/>
      <w:divBdr>
        <w:top w:val="none" w:sz="0" w:space="0" w:color="auto"/>
        <w:left w:val="none" w:sz="0" w:space="0" w:color="auto"/>
        <w:bottom w:val="none" w:sz="0" w:space="0" w:color="auto"/>
        <w:right w:val="none" w:sz="0" w:space="0" w:color="auto"/>
      </w:divBdr>
      <w:divsChild>
        <w:div w:id="194196256">
          <w:marLeft w:val="547"/>
          <w:marRight w:val="0"/>
          <w:marTop w:val="200"/>
          <w:marBottom w:val="0"/>
          <w:divBdr>
            <w:top w:val="none" w:sz="0" w:space="0" w:color="auto"/>
            <w:left w:val="none" w:sz="0" w:space="0" w:color="auto"/>
            <w:bottom w:val="none" w:sz="0" w:space="0" w:color="auto"/>
            <w:right w:val="none" w:sz="0" w:space="0" w:color="auto"/>
          </w:divBdr>
        </w:div>
        <w:div w:id="292249157">
          <w:marLeft w:val="1166"/>
          <w:marRight w:val="0"/>
          <w:marTop w:val="200"/>
          <w:marBottom w:val="0"/>
          <w:divBdr>
            <w:top w:val="none" w:sz="0" w:space="0" w:color="auto"/>
            <w:left w:val="none" w:sz="0" w:space="0" w:color="auto"/>
            <w:bottom w:val="none" w:sz="0" w:space="0" w:color="auto"/>
            <w:right w:val="none" w:sz="0" w:space="0" w:color="auto"/>
          </w:divBdr>
        </w:div>
        <w:div w:id="56245260">
          <w:marLeft w:val="1800"/>
          <w:marRight w:val="0"/>
          <w:marTop w:val="200"/>
          <w:marBottom w:val="0"/>
          <w:divBdr>
            <w:top w:val="none" w:sz="0" w:space="0" w:color="auto"/>
            <w:left w:val="none" w:sz="0" w:space="0" w:color="auto"/>
            <w:bottom w:val="none" w:sz="0" w:space="0" w:color="auto"/>
            <w:right w:val="none" w:sz="0" w:space="0" w:color="auto"/>
          </w:divBdr>
        </w:div>
        <w:div w:id="2012945375">
          <w:marLeft w:val="1800"/>
          <w:marRight w:val="0"/>
          <w:marTop w:val="200"/>
          <w:marBottom w:val="0"/>
          <w:divBdr>
            <w:top w:val="none" w:sz="0" w:space="0" w:color="auto"/>
            <w:left w:val="none" w:sz="0" w:space="0" w:color="auto"/>
            <w:bottom w:val="none" w:sz="0" w:space="0" w:color="auto"/>
            <w:right w:val="none" w:sz="0" w:space="0" w:color="auto"/>
          </w:divBdr>
        </w:div>
        <w:div w:id="27221924">
          <w:marLeft w:val="1800"/>
          <w:marRight w:val="0"/>
          <w:marTop w:val="200"/>
          <w:marBottom w:val="0"/>
          <w:divBdr>
            <w:top w:val="none" w:sz="0" w:space="0" w:color="auto"/>
            <w:left w:val="none" w:sz="0" w:space="0" w:color="auto"/>
            <w:bottom w:val="none" w:sz="0" w:space="0" w:color="auto"/>
            <w:right w:val="none" w:sz="0" w:space="0" w:color="auto"/>
          </w:divBdr>
        </w:div>
        <w:div w:id="421799405">
          <w:marLeft w:val="1800"/>
          <w:marRight w:val="0"/>
          <w:marTop w:val="200"/>
          <w:marBottom w:val="0"/>
          <w:divBdr>
            <w:top w:val="none" w:sz="0" w:space="0" w:color="auto"/>
            <w:left w:val="none" w:sz="0" w:space="0" w:color="auto"/>
            <w:bottom w:val="none" w:sz="0" w:space="0" w:color="auto"/>
            <w:right w:val="none" w:sz="0" w:space="0" w:color="auto"/>
          </w:divBdr>
        </w:div>
        <w:div w:id="287662341">
          <w:marLeft w:val="1800"/>
          <w:marRight w:val="0"/>
          <w:marTop w:val="200"/>
          <w:marBottom w:val="0"/>
          <w:divBdr>
            <w:top w:val="none" w:sz="0" w:space="0" w:color="auto"/>
            <w:left w:val="none" w:sz="0" w:space="0" w:color="auto"/>
            <w:bottom w:val="none" w:sz="0" w:space="0" w:color="auto"/>
            <w:right w:val="none" w:sz="0" w:space="0" w:color="auto"/>
          </w:divBdr>
        </w:div>
        <w:div w:id="1377318454">
          <w:marLeft w:val="1166"/>
          <w:marRight w:val="0"/>
          <w:marTop w:val="200"/>
          <w:marBottom w:val="0"/>
          <w:divBdr>
            <w:top w:val="none" w:sz="0" w:space="0" w:color="auto"/>
            <w:left w:val="none" w:sz="0" w:space="0" w:color="auto"/>
            <w:bottom w:val="none" w:sz="0" w:space="0" w:color="auto"/>
            <w:right w:val="none" w:sz="0" w:space="0" w:color="auto"/>
          </w:divBdr>
        </w:div>
        <w:div w:id="2059937334">
          <w:marLeft w:val="1800"/>
          <w:marRight w:val="0"/>
          <w:marTop w:val="200"/>
          <w:marBottom w:val="0"/>
          <w:divBdr>
            <w:top w:val="none" w:sz="0" w:space="0" w:color="auto"/>
            <w:left w:val="none" w:sz="0" w:space="0" w:color="auto"/>
            <w:bottom w:val="none" w:sz="0" w:space="0" w:color="auto"/>
            <w:right w:val="none" w:sz="0" w:space="0" w:color="auto"/>
          </w:divBdr>
        </w:div>
        <w:div w:id="806165360">
          <w:marLeft w:val="1800"/>
          <w:marRight w:val="0"/>
          <w:marTop w:val="200"/>
          <w:marBottom w:val="0"/>
          <w:divBdr>
            <w:top w:val="none" w:sz="0" w:space="0" w:color="auto"/>
            <w:left w:val="none" w:sz="0" w:space="0" w:color="auto"/>
            <w:bottom w:val="none" w:sz="0" w:space="0" w:color="auto"/>
            <w:right w:val="none" w:sz="0" w:space="0" w:color="auto"/>
          </w:divBdr>
        </w:div>
        <w:div w:id="200170753">
          <w:marLeft w:val="1800"/>
          <w:marRight w:val="0"/>
          <w:marTop w:val="200"/>
          <w:marBottom w:val="0"/>
          <w:divBdr>
            <w:top w:val="none" w:sz="0" w:space="0" w:color="auto"/>
            <w:left w:val="none" w:sz="0" w:space="0" w:color="auto"/>
            <w:bottom w:val="none" w:sz="0" w:space="0" w:color="auto"/>
            <w:right w:val="none" w:sz="0" w:space="0" w:color="auto"/>
          </w:divBdr>
        </w:div>
        <w:div w:id="906719139">
          <w:marLeft w:val="1800"/>
          <w:marRight w:val="0"/>
          <w:marTop w:val="200"/>
          <w:marBottom w:val="0"/>
          <w:divBdr>
            <w:top w:val="none" w:sz="0" w:space="0" w:color="auto"/>
            <w:left w:val="none" w:sz="0" w:space="0" w:color="auto"/>
            <w:bottom w:val="none" w:sz="0" w:space="0" w:color="auto"/>
            <w:right w:val="none" w:sz="0" w:space="0" w:color="auto"/>
          </w:divBdr>
        </w:div>
        <w:div w:id="447547356">
          <w:marLeft w:val="1800"/>
          <w:marRight w:val="0"/>
          <w:marTop w:val="200"/>
          <w:marBottom w:val="0"/>
          <w:divBdr>
            <w:top w:val="none" w:sz="0" w:space="0" w:color="auto"/>
            <w:left w:val="none" w:sz="0" w:space="0" w:color="auto"/>
            <w:bottom w:val="none" w:sz="0" w:space="0" w:color="auto"/>
            <w:right w:val="none" w:sz="0" w:space="0" w:color="auto"/>
          </w:divBdr>
        </w:div>
      </w:divsChild>
    </w:div>
    <w:div w:id="477378683">
      <w:bodyDiv w:val="1"/>
      <w:marLeft w:val="0"/>
      <w:marRight w:val="0"/>
      <w:marTop w:val="0"/>
      <w:marBottom w:val="0"/>
      <w:divBdr>
        <w:top w:val="none" w:sz="0" w:space="0" w:color="auto"/>
        <w:left w:val="none" w:sz="0" w:space="0" w:color="auto"/>
        <w:bottom w:val="none" w:sz="0" w:space="0" w:color="auto"/>
        <w:right w:val="none" w:sz="0" w:space="0" w:color="auto"/>
      </w:divBdr>
      <w:divsChild>
        <w:div w:id="677388835">
          <w:marLeft w:val="1886"/>
          <w:marRight w:val="0"/>
          <w:marTop w:val="200"/>
          <w:marBottom w:val="0"/>
          <w:divBdr>
            <w:top w:val="none" w:sz="0" w:space="0" w:color="auto"/>
            <w:left w:val="none" w:sz="0" w:space="0" w:color="auto"/>
            <w:bottom w:val="none" w:sz="0" w:space="0" w:color="auto"/>
            <w:right w:val="none" w:sz="0" w:space="0" w:color="auto"/>
          </w:divBdr>
        </w:div>
      </w:divsChild>
    </w:div>
    <w:div w:id="771896850">
      <w:bodyDiv w:val="1"/>
      <w:marLeft w:val="0"/>
      <w:marRight w:val="0"/>
      <w:marTop w:val="0"/>
      <w:marBottom w:val="0"/>
      <w:divBdr>
        <w:top w:val="none" w:sz="0" w:space="0" w:color="auto"/>
        <w:left w:val="none" w:sz="0" w:space="0" w:color="auto"/>
        <w:bottom w:val="none" w:sz="0" w:space="0" w:color="auto"/>
        <w:right w:val="none" w:sz="0" w:space="0" w:color="auto"/>
      </w:divBdr>
      <w:divsChild>
        <w:div w:id="1149445037">
          <w:marLeft w:val="806"/>
          <w:marRight w:val="0"/>
          <w:marTop w:val="106"/>
          <w:marBottom w:val="0"/>
          <w:divBdr>
            <w:top w:val="none" w:sz="0" w:space="0" w:color="auto"/>
            <w:left w:val="none" w:sz="0" w:space="0" w:color="auto"/>
            <w:bottom w:val="none" w:sz="0" w:space="0" w:color="auto"/>
            <w:right w:val="none" w:sz="0" w:space="0" w:color="auto"/>
          </w:divBdr>
        </w:div>
        <w:div w:id="450442595">
          <w:marLeft w:val="806"/>
          <w:marRight w:val="0"/>
          <w:marTop w:val="106"/>
          <w:marBottom w:val="0"/>
          <w:divBdr>
            <w:top w:val="none" w:sz="0" w:space="0" w:color="auto"/>
            <w:left w:val="none" w:sz="0" w:space="0" w:color="auto"/>
            <w:bottom w:val="none" w:sz="0" w:space="0" w:color="auto"/>
            <w:right w:val="none" w:sz="0" w:space="0" w:color="auto"/>
          </w:divBdr>
        </w:div>
        <w:div w:id="278797864">
          <w:marLeft w:val="806"/>
          <w:marRight w:val="0"/>
          <w:marTop w:val="106"/>
          <w:marBottom w:val="0"/>
          <w:divBdr>
            <w:top w:val="none" w:sz="0" w:space="0" w:color="auto"/>
            <w:left w:val="none" w:sz="0" w:space="0" w:color="auto"/>
            <w:bottom w:val="none" w:sz="0" w:space="0" w:color="auto"/>
            <w:right w:val="none" w:sz="0" w:space="0" w:color="auto"/>
          </w:divBdr>
        </w:div>
        <w:div w:id="75397423">
          <w:marLeft w:val="806"/>
          <w:marRight w:val="0"/>
          <w:marTop w:val="106"/>
          <w:marBottom w:val="0"/>
          <w:divBdr>
            <w:top w:val="none" w:sz="0" w:space="0" w:color="auto"/>
            <w:left w:val="none" w:sz="0" w:space="0" w:color="auto"/>
            <w:bottom w:val="none" w:sz="0" w:space="0" w:color="auto"/>
            <w:right w:val="none" w:sz="0" w:space="0" w:color="auto"/>
          </w:divBdr>
        </w:div>
      </w:divsChild>
    </w:div>
    <w:div w:id="819493746">
      <w:bodyDiv w:val="1"/>
      <w:marLeft w:val="0"/>
      <w:marRight w:val="0"/>
      <w:marTop w:val="0"/>
      <w:marBottom w:val="0"/>
      <w:divBdr>
        <w:top w:val="none" w:sz="0" w:space="0" w:color="auto"/>
        <w:left w:val="none" w:sz="0" w:space="0" w:color="auto"/>
        <w:bottom w:val="none" w:sz="0" w:space="0" w:color="auto"/>
        <w:right w:val="none" w:sz="0" w:space="0" w:color="auto"/>
      </w:divBdr>
      <w:divsChild>
        <w:div w:id="1442605627">
          <w:marLeft w:val="1166"/>
          <w:marRight w:val="0"/>
          <w:marTop w:val="200"/>
          <w:marBottom w:val="0"/>
          <w:divBdr>
            <w:top w:val="none" w:sz="0" w:space="0" w:color="auto"/>
            <w:left w:val="none" w:sz="0" w:space="0" w:color="auto"/>
            <w:bottom w:val="none" w:sz="0" w:space="0" w:color="auto"/>
            <w:right w:val="none" w:sz="0" w:space="0" w:color="auto"/>
          </w:divBdr>
        </w:div>
        <w:div w:id="1919440638">
          <w:marLeft w:val="1166"/>
          <w:marRight w:val="0"/>
          <w:marTop w:val="200"/>
          <w:marBottom w:val="0"/>
          <w:divBdr>
            <w:top w:val="none" w:sz="0" w:space="0" w:color="auto"/>
            <w:left w:val="none" w:sz="0" w:space="0" w:color="auto"/>
            <w:bottom w:val="none" w:sz="0" w:space="0" w:color="auto"/>
            <w:right w:val="none" w:sz="0" w:space="0" w:color="auto"/>
          </w:divBdr>
        </w:div>
        <w:div w:id="28651096">
          <w:marLeft w:val="1166"/>
          <w:marRight w:val="0"/>
          <w:marTop w:val="200"/>
          <w:marBottom w:val="0"/>
          <w:divBdr>
            <w:top w:val="none" w:sz="0" w:space="0" w:color="auto"/>
            <w:left w:val="none" w:sz="0" w:space="0" w:color="auto"/>
            <w:bottom w:val="none" w:sz="0" w:space="0" w:color="auto"/>
            <w:right w:val="none" w:sz="0" w:space="0" w:color="auto"/>
          </w:divBdr>
        </w:div>
        <w:div w:id="2123376987">
          <w:marLeft w:val="1166"/>
          <w:marRight w:val="0"/>
          <w:marTop w:val="200"/>
          <w:marBottom w:val="0"/>
          <w:divBdr>
            <w:top w:val="none" w:sz="0" w:space="0" w:color="auto"/>
            <w:left w:val="none" w:sz="0" w:space="0" w:color="auto"/>
            <w:bottom w:val="none" w:sz="0" w:space="0" w:color="auto"/>
            <w:right w:val="none" w:sz="0" w:space="0" w:color="auto"/>
          </w:divBdr>
        </w:div>
        <w:div w:id="437531523">
          <w:marLeft w:val="1166"/>
          <w:marRight w:val="0"/>
          <w:marTop w:val="200"/>
          <w:marBottom w:val="0"/>
          <w:divBdr>
            <w:top w:val="none" w:sz="0" w:space="0" w:color="auto"/>
            <w:left w:val="none" w:sz="0" w:space="0" w:color="auto"/>
            <w:bottom w:val="none" w:sz="0" w:space="0" w:color="auto"/>
            <w:right w:val="none" w:sz="0" w:space="0" w:color="auto"/>
          </w:divBdr>
        </w:div>
        <w:div w:id="1038630004">
          <w:marLeft w:val="1166"/>
          <w:marRight w:val="0"/>
          <w:marTop w:val="200"/>
          <w:marBottom w:val="0"/>
          <w:divBdr>
            <w:top w:val="none" w:sz="0" w:space="0" w:color="auto"/>
            <w:left w:val="none" w:sz="0" w:space="0" w:color="auto"/>
            <w:bottom w:val="none" w:sz="0" w:space="0" w:color="auto"/>
            <w:right w:val="none" w:sz="0" w:space="0" w:color="auto"/>
          </w:divBdr>
        </w:div>
        <w:div w:id="1407456562">
          <w:marLeft w:val="1800"/>
          <w:marRight w:val="0"/>
          <w:marTop w:val="200"/>
          <w:marBottom w:val="0"/>
          <w:divBdr>
            <w:top w:val="none" w:sz="0" w:space="0" w:color="auto"/>
            <w:left w:val="none" w:sz="0" w:space="0" w:color="auto"/>
            <w:bottom w:val="none" w:sz="0" w:space="0" w:color="auto"/>
            <w:right w:val="none" w:sz="0" w:space="0" w:color="auto"/>
          </w:divBdr>
        </w:div>
        <w:div w:id="524827019">
          <w:marLeft w:val="1166"/>
          <w:marRight w:val="0"/>
          <w:marTop w:val="200"/>
          <w:marBottom w:val="0"/>
          <w:divBdr>
            <w:top w:val="none" w:sz="0" w:space="0" w:color="auto"/>
            <w:left w:val="none" w:sz="0" w:space="0" w:color="auto"/>
            <w:bottom w:val="none" w:sz="0" w:space="0" w:color="auto"/>
            <w:right w:val="none" w:sz="0" w:space="0" w:color="auto"/>
          </w:divBdr>
        </w:div>
      </w:divsChild>
    </w:div>
    <w:div w:id="1095707249">
      <w:bodyDiv w:val="1"/>
      <w:marLeft w:val="0"/>
      <w:marRight w:val="0"/>
      <w:marTop w:val="0"/>
      <w:marBottom w:val="0"/>
      <w:divBdr>
        <w:top w:val="none" w:sz="0" w:space="0" w:color="auto"/>
        <w:left w:val="none" w:sz="0" w:space="0" w:color="auto"/>
        <w:bottom w:val="none" w:sz="0" w:space="0" w:color="auto"/>
        <w:right w:val="none" w:sz="0" w:space="0" w:color="auto"/>
      </w:divBdr>
      <w:divsChild>
        <w:div w:id="998769667">
          <w:marLeft w:val="547"/>
          <w:marRight w:val="0"/>
          <w:marTop w:val="200"/>
          <w:marBottom w:val="0"/>
          <w:divBdr>
            <w:top w:val="none" w:sz="0" w:space="0" w:color="auto"/>
            <w:left w:val="none" w:sz="0" w:space="0" w:color="auto"/>
            <w:bottom w:val="none" w:sz="0" w:space="0" w:color="auto"/>
            <w:right w:val="none" w:sz="0" w:space="0" w:color="auto"/>
          </w:divBdr>
        </w:div>
        <w:div w:id="828517414">
          <w:marLeft w:val="1166"/>
          <w:marRight w:val="0"/>
          <w:marTop w:val="200"/>
          <w:marBottom w:val="0"/>
          <w:divBdr>
            <w:top w:val="none" w:sz="0" w:space="0" w:color="auto"/>
            <w:left w:val="none" w:sz="0" w:space="0" w:color="auto"/>
            <w:bottom w:val="none" w:sz="0" w:space="0" w:color="auto"/>
            <w:right w:val="none" w:sz="0" w:space="0" w:color="auto"/>
          </w:divBdr>
        </w:div>
        <w:div w:id="1075779967">
          <w:marLeft w:val="1800"/>
          <w:marRight w:val="0"/>
          <w:marTop w:val="200"/>
          <w:marBottom w:val="0"/>
          <w:divBdr>
            <w:top w:val="none" w:sz="0" w:space="0" w:color="auto"/>
            <w:left w:val="none" w:sz="0" w:space="0" w:color="auto"/>
            <w:bottom w:val="none" w:sz="0" w:space="0" w:color="auto"/>
            <w:right w:val="none" w:sz="0" w:space="0" w:color="auto"/>
          </w:divBdr>
        </w:div>
        <w:div w:id="584455617">
          <w:marLeft w:val="1800"/>
          <w:marRight w:val="0"/>
          <w:marTop w:val="200"/>
          <w:marBottom w:val="0"/>
          <w:divBdr>
            <w:top w:val="none" w:sz="0" w:space="0" w:color="auto"/>
            <w:left w:val="none" w:sz="0" w:space="0" w:color="auto"/>
            <w:bottom w:val="none" w:sz="0" w:space="0" w:color="auto"/>
            <w:right w:val="none" w:sz="0" w:space="0" w:color="auto"/>
          </w:divBdr>
        </w:div>
        <w:div w:id="1111122764">
          <w:marLeft w:val="1800"/>
          <w:marRight w:val="0"/>
          <w:marTop w:val="200"/>
          <w:marBottom w:val="0"/>
          <w:divBdr>
            <w:top w:val="none" w:sz="0" w:space="0" w:color="auto"/>
            <w:left w:val="none" w:sz="0" w:space="0" w:color="auto"/>
            <w:bottom w:val="none" w:sz="0" w:space="0" w:color="auto"/>
            <w:right w:val="none" w:sz="0" w:space="0" w:color="auto"/>
          </w:divBdr>
        </w:div>
        <w:div w:id="524906493">
          <w:marLeft w:val="1800"/>
          <w:marRight w:val="0"/>
          <w:marTop w:val="200"/>
          <w:marBottom w:val="0"/>
          <w:divBdr>
            <w:top w:val="none" w:sz="0" w:space="0" w:color="auto"/>
            <w:left w:val="none" w:sz="0" w:space="0" w:color="auto"/>
            <w:bottom w:val="none" w:sz="0" w:space="0" w:color="auto"/>
            <w:right w:val="none" w:sz="0" w:space="0" w:color="auto"/>
          </w:divBdr>
        </w:div>
        <w:div w:id="972907557">
          <w:marLeft w:val="1800"/>
          <w:marRight w:val="0"/>
          <w:marTop w:val="200"/>
          <w:marBottom w:val="0"/>
          <w:divBdr>
            <w:top w:val="none" w:sz="0" w:space="0" w:color="auto"/>
            <w:left w:val="none" w:sz="0" w:space="0" w:color="auto"/>
            <w:bottom w:val="none" w:sz="0" w:space="0" w:color="auto"/>
            <w:right w:val="none" w:sz="0" w:space="0" w:color="auto"/>
          </w:divBdr>
        </w:div>
        <w:div w:id="1172646086">
          <w:marLeft w:val="1166"/>
          <w:marRight w:val="0"/>
          <w:marTop w:val="200"/>
          <w:marBottom w:val="0"/>
          <w:divBdr>
            <w:top w:val="none" w:sz="0" w:space="0" w:color="auto"/>
            <w:left w:val="none" w:sz="0" w:space="0" w:color="auto"/>
            <w:bottom w:val="none" w:sz="0" w:space="0" w:color="auto"/>
            <w:right w:val="none" w:sz="0" w:space="0" w:color="auto"/>
          </w:divBdr>
        </w:div>
        <w:div w:id="557668264">
          <w:marLeft w:val="1800"/>
          <w:marRight w:val="0"/>
          <w:marTop w:val="200"/>
          <w:marBottom w:val="0"/>
          <w:divBdr>
            <w:top w:val="none" w:sz="0" w:space="0" w:color="auto"/>
            <w:left w:val="none" w:sz="0" w:space="0" w:color="auto"/>
            <w:bottom w:val="none" w:sz="0" w:space="0" w:color="auto"/>
            <w:right w:val="none" w:sz="0" w:space="0" w:color="auto"/>
          </w:divBdr>
        </w:div>
        <w:div w:id="83036257">
          <w:marLeft w:val="1800"/>
          <w:marRight w:val="0"/>
          <w:marTop w:val="200"/>
          <w:marBottom w:val="0"/>
          <w:divBdr>
            <w:top w:val="none" w:sz="0" w:space="0" w:color="auto"/>
            <w:left w:val="none" w:sz="0" w:space="0" w:color="auto"/>
            <w:bottom w:val="none" w:sz="0" w:space="0" w:color="auto"/>
            <w:right w:val="none" w:sz="0" w:space="0" w:color="auto"/>
          </w:divBdr>
        </w:div>
        <w:div w:id="1289972799">
          <w:marLeft w:val="1800"/>
          <w:marRight w:val="0"/>
          <w:marTop w:val="200"/>
          <w:marBottom w:val="0"/>
          <w:divBdr>
            <w:top w:val="none" w:sz="0" w:space="0" w:color="auto"/>
            <w:left w:val="none" w:sz="0" w:space="0" w:color="auto"/>
            <w:bottom w:val="none" w:sz="0" w:space="0" w:color="auto"/>
            <w:right w:val="none" w:sz="0" w:space="0" w:color="auto"/>
          </w:divBdr>
        </w:div>
        <w:div w:id="533736741">
          <w:marLeft w:val="1800"/>
          <w:marRight w:val="0"/>
          <w:marTop w:val="200"/>
          <w:marBottom w:val="0"/>
          <w:divBdr>
            <w:top w:val="none" w:sz="0" w:space="0" w:color="auto"/>
            <w:left w:val="none" w:sz="0" w:space="0" w:color="auto"/>
            <w:bottom w:val="none" w:sz="0" w:space="0" w:color="auto"/>
            <w:right w:val="none" w:sz="0" w:space="0" w:color="auto"/>
          </w:divBdr>
        </w:div>
        <w:div w:id="520242509">
          <w:marLeft w:val="1800"/>
          <w:marRight w:val="0"/>
          <w:marTop w:val="200"/>
          <w:marBottom w:val="0"/>
          <w:divBdr>
            <w:top w:val="none" w:sz="0" w:space="0" w:color="auto"/>
            <w:left w:val="none" w:sz="0" w:space="0" w:color="auto"/>
            <w:bottom w:val="none" w:sz="0" w:space="0" w:color="auto"/>
            <w:right w:val="none" w:sz="0" w:space="0" w:color="auto"/>
          </w:divBdr>
        </w:div>
      </w:divsChild>
    </w:div>
    <w:div w:id="1456220481">
      <w:bodyDiv w:val="1"/>
      <w:marLeft w:val="0"/>
      <w:marRight w:val="0"/>
      <w:marTop w:val="0"/>
      <w:marBottom w:val="0"/>
      <w:divBdr>
        <w:top w:val="none" w:sz="0" w:space="0" w:color="auto"/>
        <w:left w:val="none" w:sz="0" w:space="0" w:color="auto"/>
        <w:bottom w:val="none" w:sz="0" w:space="0" w:color="auto"/>
        <w:right w:val="none" w:sz="0" w:space="0" w:color="auto"/>
      </w:divBdr>
      <w:divsChild>
        <w:div w:id="1316298562">
          <w:marLeft w:val="1166"/>
          <w:marRight w:val="0"/>
          <w:marTop w:val="200"/>
          <w:marBottom w:val="0"/>
          <w:divBdr>
            <w:top w:val="none" w:sz="0" w:space="0" w:color="auto"/>
            <w:left w:val="none" w:sz="0" w:space="0" w:color="auto"/>
            <w:bottom w:val="none" w:sz="0" w:space="0" w:color="auto"/>
            <w:right w:val="none" w:sz="0" w:space="0" w:color="auto"/>
          </w:divBdr>
        </w:div>
        <w:div w:id="632638374">
          <w:marLeft w:val="1886"/>
          <w:marRight w:val="0"/>
          <w:marTop w:val="200"/>
          <w:marBottom w:val="0"/>
          <w:divBdr>
            <w:top w:val="none" w:sz="0" w:space="0" w:color="auto"/>
            <w:left w:val="none" w:sz="0" w:space="0" w:color="auto"/>
            <w:bottom w:val="none" w:sz="0" w:space="0" w:color="auto"/>
            <w:right w:val="none" w:sz="0" w:space="0" w:color="auto"/>
          </w:divBdr>
        </w:div>
        <w:div w:id="1314412214">
          <w:marLeft w:val="1886"/>
          <w:marRight w:val="0"/>
          <w:marTop w:val="200"/>
          <w:marBottom w:val="0"/>
          <w:divBdr>
            <w:top w:val="none" w:sz="0" w:space="0" w:color="auto"/>
            <w:left w:val="none" w:sz="0" w:space="0" w:color="auto"/>
            <w:bottom w:val="none" w:sz="0" w:space="0" w:color="auto"/>
            <w:right w:val="none" w:sz="0" w:space="0" w:color="auto"/>
          </w:divBdr>
        </w:div>
        <w:div w:id="461268875">
          <w:marLeft w:val="1886"/>
          <w:marRight w:val="0"/>
          <w:marTop w:val="200"/>
          <w:marBottom w:val="0"/>
          <w:divBdr>
            <w:top w:val="none" w:sz="0" w:space="0" w:color="auto"/>
            <w:left w:val="none" w:sz="0" w:space="0" w:color="auto"/>
            <w:bottom w:val="none" w:sz="0" w:space="0" w:color="auto"/>
            <w:right w:val="none" w:sz="0" w:space="0" w:color="auto"/>
          </w:divBdr>
        </w:div>
      </w:divsChild>
    </w:div>
    <w:div w:id="1644308309">
      <w:bodyDiv w:val="1"/>
      <w:marLeft w:val="0"/>
      <w:marRight w:val="0"/>
      <w:marTop w:val="0"/>
      <w:marBottom w:val="0"/>
      <w:divBdr>
        <w:top w:val="none" w:sz="0" w:space="0" w:color="auto"/>
        <w:left w:val="none" w:sz="0" w:space="0" w:color="auto"/>
        <w:bottom w:val="none" w:sz="0" w:space="0" w:color="auto"/>
        <w:right w:val="none" w:sz="0" w:space="0" w:color="auto"/>
      </w:divBdr>
    </w:div>
    <w:div w:id="1712726034">
      <w:bodyDiv w:val="1"/>
      <w:marLeft w:val="0"/>
      <w:marRight w:val="0"/>
      <w:marTop w:val="0"/>
      <w:marBottom w:val="0"/>
      <w:divBdr>
        <w:top w:val="none" w:sz="0" w:space="0" w:color="auto"/>
        <w:left w:val="none" w:sz="0" w:space="0" w:color="auto"/>
        <w:bottom w:val="none" w:sz="0" w:space="0" w:color="auto"/>
        <w:right w:val="none" w:sz="0" w:space="0" w:color="auto"/>
      </w:divBdr>
      <w:divsChild>
        <w:div w:id="1268734051">
          <w:marLeft w:val="188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ola%20Granata\Desktop\Paola\World%20Bank%20Documents\Financial%20Inclusion%20in%20Southern%20Africa\Southern%20Africa\Financial%20inclusion%20in%20Southern%20Africa%20-%20Finscope%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ola%20Granata\Desktop\Paola\World%20Bank%20Documents\Financial%20Inclusion%20in%20Southern%20Africa\Stocktaking%20Report\Financial%20inclusion%20in%20Southern%20Africa%20-%20Finscope%20data%20Upd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ola%20Granata\Desktop\Paola\World%20Bank%20Documents\Financial%20Inclusion%20in%20Southern%20Africa\Southern%20Africa\Financial%20inclusion%20in%20Southern%20Africa%20-%20Finscope%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ola%20Granata\Desktop\Paola\World%20Bank%20Documents\Financial%20Inclusion%20in%20Southern%20Africa\Southern%20Africa\Financial%20inclusion%20in%20Southern%20Africa%20-%20Finscope%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371044\Downloads\ExportedResults%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B.AD.WORLDBANK.ORG\und$\wb371044\O\FPDEA\Francis\_Namibia_a2f\_out\Output_formatted-with%20graph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'Access strand'!$B$19</c:f>
              <c:strCache>
                <c:ptCount val="1"/>
                <c:pt idx="0">
                  <c:v>2007</c:v>
                </c:pt>
              </c:strCache>
            </c:strRef>
          </c:tx>
          <c:invertIfNegative val="0"/>
          <c:cat>
            <c:strRef>
              <c:f>'Access strand'!$A$20:$A$23</c:f>
              <c:strCache>
                <c:ptCount val="4"/>
                <c:pt idx="0">
                  <c:v>Banked</c:v>
                </c:pt>
                <c:pt idx="1">
                  <c:v>Formal other </c:v>
                </c:pt>
                <c:pt idx="2">
                  <c:v>Informally served</c:v>
                </c:pt>
                <c:pt idx="3">
                  <c:v>Not served (financially exluded)</c:v>
                </c:pt>
              </c:strCache>
            </c:strRef>
          </c:cat>
          <c:val>
            <c:numRef>
              <c:f>'Access strand'!$B$20:$B$23</c:f>
              <c:numCache>
                <c:formatCode>General</c:formatCode>
                <c:ptCount val="4"/>
                <c:pt idx="0">
                  <c:v>45</c:v>
                </c:pt>
                <c:pt idx="1">
                  <c:v>19</c:v>
                </c:pt>
                <c:pt idx="2">
                  <c:v>6</c:v>
                </c:pt>
                <c:pt idx="3">
                  <c:v>51</c:v>
                </c:pt>
              </c:numCache>
            </c:numRef>
          </c:val>
          <c:extLst xmlns:c16r2="http://schemas.microsoft.com/office/drawing/2015/06/chart">
            <c:ext xmlns:c16="http://schemas.microsoft.com/office/drawing/2014/chart" uri="{C3380CC4-5D6E-409C-BE32-E72D297353CC}">
              <c16:uniqueId val="{00000000-962F-4B70-AE96-19C1A6B55C3A}"/>
            </c:ext>
          </c:extLst>
        </c:ser>
        <c:ser>
          <c:idx val="1"/>
          <c:order val="1"/>
          <c:tx>
            <c:strRef>
              <c:f>'Access strand'!$C$19</c:f>
              <c:strCache>
                <c:ptCount val="1"/>
                <c:pt idx="0">
                  <c:v>2011</c:v>
                </c:pt>
              </c:strCache>
            </c:strRef>
          </c:tx>
          <c:invertIfNegative val="0"/>
          <c:cat>
            <c:strRef>
              <c:f>'Access strand'!$A$20:$A$23</c:f>
              <c:strCache>
                <c:ptCount val="4"/>
                <c:pt idx="0">
                  <c:v>Banked</c:v>
                </c:pt>
                <c:pt idx="1">
                  <c:v>Formal other </c:v>
                </c:pt>
                <c:pt idx="2">
                  <c:v>Informally served</c:v>
                </c:pt>
                <c:pt idx="3">
                  <c:v>Not served (financially exluded)</c:v>
                </c:pt>
              </c:strCache>
            </c:strRef>
          </c:cat>
          <c:val>
            <c:numRef>
              <c:f>'Access strand'!$C$20:$C$23</c:f>
              <c:numCache>
                <c:formatCode>General</c:formatCode>
                <c:ptCount val="4"/>
                <c:pt idx="0">
                  <c:v>62</c:v>
                </c:pt>
                <c:pt idx="1">
                  <c:v>46</c:v>
                </c:pt>
                <c:pt idx="2">
                  <c:v>13</c:v>
                </c:pt>
                <c:pt idx="3">
                  <c:v>31</c:v>
                </c:pt>
              </c:numCache>
            </c:numRef>
          </c:val>
          <c:extLst xmlns:c16r2="http://schemas.microsoft.com/office/drawing/2015/06/chart">
            <c:ext xmlns:c16="http://schemas.microsoft.com/office/drawing/2014/chart" uri="{C3380CC4-5D6E-409C-BE32-E72D297353CC}">
              <c16:uniqueId val="{00000001-962F-4B70-AE96-19C1A6B55C3A}"/>
            </c:ext>
          </c:extLst>
        </c:ser>
        <c:dLbls>
          <c:showLegendKey val="0"/>
          <c:showVal val="0"/>
          <c:showCatName val="0"/>
          <c:showSerName val="0"/>
          <c:showPercent val="0"/>
          <c:showBubbleSize val="0"/>
        </c:dLbls>
        <c:gapWidth val="150"/>
        <c:axId val="753294896"/>
        <c:axId val="753295288"/>
      </c:barChart>
      <c:catAx>
        <c:axId val="753294896"/>
        <c:scaling>
          <c:orientation val="minMax"/>
        </c:scaling>
        <c:delete val="0"/>
        <c:axPos val="b"/>
        <c:numFmt formatCode="General" sourceLinked="0"/>
        <c:majorTickMark val="out"/>
        <c:minorTickMark val="none"/>
        <c:tickLblPos val="nextTo"/>
        <c:crossAx val="753295288"/>
        <c:crosses val="autoZero"/>
        <c:auto val="1"/>
        <c:lblAlgn val="ctr"/>
        <c:lblOffset val="100"/>
        <c:noMultiLvlLbl val="0"/>
      </c:catAx>
      <c:valAx>
        <c:axId val="753295288"/>
        <c:scaling>
          <c:orientation val="minMax"/>
        </c:scaling>
        <c:delete val="0"/>
        <c:axPos val="l"/>
        <c:majorGridlines/>
        <c:numFmt formatCode="General" sourceLinked="1"/>
        <c:majorTickMark val="out"/>
        <c:minorTickMark val="none"/>
        <c:tickLblPos val="nextTo"/>
        <c:crossAx val="75329489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Percent of firms with a bank Loan/line of credit</a:t>
            </a:r>
          </a:p>
        </c:rich>
      </c:tx>
      <c:layout>
        <c:manualLayout>
          <c:xMode val="edge"/>
          <c:yMode val="edge"/>
          <c:x val="0.28178547333324788"/>
          <c:y val="0"/>
        </c:manualLayout>
      </c:layout>
      <c:overlay val="0"/>
      <c:spPr>
        <a:noFill/>
        <a:ln>
          <a:noFill/>
        </a:ln>
        <a:effectLst/>
      </c:spPr>
    </c:title>
    <c:autoTitleDeleted val="0"/>
    <c:plotArea>
      <c:layout>
        <c:manualLayout>
          <c:layoutTarget val="inner"/>
          <c:xMode val="edge"/>
          <c:yMode val="edge"/>
          <c:x val="6.6580927384076991E-2"/>
          <c:y val="0.11490740740740735"/>
          <c:w val="0.90286351706036749"/>
          <c:h val="0.64952974628171678"/>
        </c:manualLayout>
      </c:layout>
      <c:barChart>
        <c:barDir val="col"/>
        <c:grouping val="clustered"/>
        <c:varyColors val="0"/>
        <c:ser>
          <c:idx val="0"/>
          <c:order val="0"/>
          <c:tx>
            <c:strRef>
              <c:f>Sheet1!$E$128</c:f>
              <c:strCache>
                <c:ptCount val="1"/>
                <c:pt idx="0">
                  <c:v>Percent of firms with a bank Loan/line of credit</c:v>
                </c:pt>
              </c:strCache>
            </c:strRef>
          </c:tx>
          <c:spPr>
            <a:solidFill>
              <a:schemeClr val="accent1"/>
            </a:solidFill>
            <a:ln>
              <a:noFill/>
            </a:ln>
            <a:effectLst/>
          </c:spPr>
          <c:invertIfNegative val="0"/>
          <c:dPt>
            <c:idx val="3"/>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0-8170-4559-AD01-24C59D2F4AE0}"/>
              </c:ext>
            </c:extLst>
          </c:dPt>
          <c:dPt>
            <c:idx val="4"/>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1-8170-4559-AD01-24C59D2F4AE0}"/>
              </c:ext>
            </c:extLst>
          </c:dPt>
          <c:dPt>
            <c:idx val="5"/>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2-8170-4559-AD01-24C59D2F4AE0}"/>
              </c:ext>
            </c:extLst>
          </c:dPt>
          <c:dPt>
            <c:idx val="6"/>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3-8170-4559-AD01-24C59D2F4AE0}"/>
              </c:ext>
            </c:extLst>
          </c:dPt>
          <c:dPt>
            <c:idx val="7"/>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4-8170-4559-AD01-24C59D2F4AE0}"/>
              </c:ext>
            </c:extLst>
          </c:dPt>
          <c:dPt>
            <c:idx val="8"/>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5-8170-4559-AD01-24C59D2F4AE0}"/>
              </c:ext>
            </c:extLst>
          </c:dPt>
          <c:dPt>
            <c:idx val="9"/>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6-8170-4559-AD01-24C59D2F4AE0}"/>
              </c:ext>
            </c:extLst>
          </c:dPt>
          <c:dPt>
            <c:idx val="10"/>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7-8170-4559-AD01-24C59D2F4AE0}"/>
              </c:ext>
            </c:extLst>
          </c:dPt>
          <c:dPt>
            <c:idx val="11"/>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8-8170-4559-AD01-24C59D2F4AE0}"/>
              </c:ext>
            </c:extLst>
          </c:dPt>
          <c:dPt>
            <c:idx val="12"/>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9-8170-4559-AD01-24C59D2F4AE0}"/>
              </c:ext>
            </c:extLst>
          </c:dPt>
          <c:dPt>
            <c:idx val="13"/>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A-8170-4559-AD01-24C59D2F4AE0}"/>
              </c:ext>
            </c:extLst>
          </c:dPt>
          <c:dPt>
            <c:idx val="14"/>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B-8170-4559-AD01-24C59D2F4A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Sheet1!$A$129:$B$143</c:f>
              <c:multiLvlStrCache>
                <c:ptCount val="15"/>
                <c:lvl>
                  <c:pt idx="0">
                    <c:v>Sm. </c:v>
                  </c:pt>
                  <c:pt idx="1">
                    <c:v>Med.</c:v>
                  </c:pt>
                  <c:pt idx="2">
                    <c:v>Lg.</c:v>
                  </c:pt>
                  <c:pt idx="3">
                    <c:v>Sm. </c:v>
                  </c:pt>
                  <c:pt idx="4">
                    <c:v>Med.</c:v>
                  </c:pt>
                  <c:pt idx="5">
                    <c:v>Lg.</c:v>
                  </c:pt>
                  <c:pt idx="6">
                    <c:v>Sm. </c:v>
                  </c:pt>
                  <c:pt idx="7">
                    <c:v>Med.</c:v>
                  </c:pt>
                  <c:pt idx="8">
                    <c:v>Lg.</c:v>
                  </c:pt>
                  <c:pt idx="9">
                    <c:v>Sm. </c:v>
                  </c:pt>
                  <c:pt idx="10">
                    <c:v>Med.</c:v>
                  </c:pt>
                  <c:pt idx="11">
                    <c:v>Lg.</c:v>
                  </c:pt>
                  <c:pt idx="12">
                    <c:v>Sm. </c:v>
                  </c:pt>
                  <c:pt idx="13">
                    <c:v>Med.</c:v>
                  </c:pt>
                  <c:pt idx="14">
                    <c:v>Lg.</c:v>
                  </c:pt>
                </c:lvl>
                <c:lvl>
                  <c:pt idx="0">
                    <c:v>Namibia2014</c:v>
                  </c:pt>
                  <c:pt idx="3">
                    <c:v>AFR37</c:v>
                  </c:pt>
                  <c:pt idx="6">
                    <c:v>Southern Africa</c:v>
                  </c:pt>
                  <c:pt idx="9">
                    <c:v>Upper middle income</c:v>
                  </c:pt>
                  <c:pt idx="12">
                    <c:v>LAC</c:v>
                  </c:pt>
                </c:lvl>
              </c:multiLvlStrCache>
            </c:multiLvlStrRef>
          </c:cat>
          <c:val>
            <c:numRef>
              <c:f>Sheet1!$E$129:$E$143</c:f>
              <c:numCache>
                <c:formatCode>0</c:formatCode>
                <c:ptCount val="15"/>
                <c:pt idx="0">
                  <c:v>19.015937999999988</c:v>
                </c:pt>
                <c:pt idx="1">
                  <c:v>30.941548999999924</c:v>
                </c:pt>
                <c:pt idx="2">
                  <c:v>13.469742000000032</c:v>
                </c:pt>
                <c:pt idx="3">
                  <c:v>17.991869000000001</c:v>
                </c:pt>
                <c:pt idx="4">
                  <c:v>31.004211000000005</c:v>
                </c:pt>
                <c:pt idx="5">
                  <c:v>40.717506</c:v>
                </c:pt>
                <c:pt idx="6">
                  <c:v>13.811821</c:v>
                </c:pt>
                <c:pt idx="7">
                  <c:v>25.230521999999986</c:v>
                </c:pt>
                <c:pt idx="8">
                  <c:v>37.561207000000003</c:v>
                </c:pt>
                <c:pt idx="9">
                  <c:v>33.663082000000003</c:v>
                </c:pt>
                <c:pt idx="10">
                  <c:v>49.608612000000115</c:v>
                </c:pt>
                <c:pt idx="11">
                  <c:v>59.170124000000001</c:v>
                </c:pt>
                <c:pt idx="12">
                  <c:v>37.486507000000003</c:v>
                </c:pt>
                <c:pt idx="13">
                  <c:v>55.429264000000003</c:v>
                </c:pt>
                <c:pt idx="14">
                  <c:v>68.414192000000227</c:v>
                </c:pt>
              </c:numCache>
            </c:numRef>
          </c:val>
          <c:extLst xmlns:c16r2="http://schemas.microsoft.com/office/drawing/2015/06/chart">
            <c:ext xmlns:c16="http://schemas.microsoft.com/office/drawing/2014/chart" uri="{C3380CC4-5D6E-409C-BE32-E72D297353CC}">
              <c16:uniqueId val="{0000000C-8170-4559-AD01-24C59D2F4AE0}"/>
            </c:ext>
          </c:extLst>
        </c:ser>
        <c:dLbls>
          <c:showLegendKey val="0"/>
          <c:showVal val="0"/>
          <c:showCatName val="0"/>
          <c:showSerName val="0"/>
          <c:showPercent val="0"/>
          <c:showBubbleSize val="0"/>
        </c:dLbls>
        <c:gapWidth val="50"/>
        <c:axId val="753010512"/>
        <c:axId val="753010904"/>
      </c:barChart>
      <c:catAx>
        <c:axId val="75301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53010904"/>
        <c:crosses val="autoZero"/>
        <c:auto val="1"/>
        <c:lblAlgn val="ctr"/>
        <c:lblOffset val="100"/>
        <c:noMultiLvlLbl val="0"/>
      </c:catAx>
      <c:valAx>
        <c:axId val="753010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01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378516734995078"/>
          <c:y val="0"/>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11490740740740735"/>
          <c:w val="0.90286351706036749"/>
          <c:h val="0.64952974628171678"/>
        </c:manualLayout>
      </c:layout>
      <c:barChart>
        <c:barDir val="col"/>
        <c:grouping val="clustered"/>
        <c:varyColors val="0"/>
        <c:ser>
          <c:idx val="0"/>
          <c:order val="0"/>
          <c:tx>
            <c:strRef>
              <c:f>Sheet1!$C$128</c:f>
              <c:strCache>
                <c:ptCount val="1"/>
                <c:pt idx="0">
                  <c:v>Percent of firms using banks to finance investments</c:v>
                </c:pt>
              </c:strCache>
            </c:strRef>
          </c:tx>
          <c:spPr>
            <a:solidFill>
              <a:schemeClr val="accent1"/>
            </a:solidFill>
            <a:ln>
              <a:noFill/>
            </a:ln>
            <a:effectLst/>
          </c:spPr>
          <c:invertIfNegative val="0"/>
          <c:dPt>
            <c:idx val="3"/>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0-E99B-4AFF-B0AD-0E044326439D}"/>
              </c:ext>
            </c:extLst>
          </c:dPt>
          <c:dPt>
            <c:idx val="4"/>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1-E99B-4AFF-B0AD-0E044326439D}"/>
              </c:ext>
            </c:extLst>
          </c:dPt>
          <c:dPt>
            <c:idx val="5"/>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2-E99B-4AFF-B0AD-0E044326439D}"/>
              </c:ext>
            </c:extLst>
          </c:dPt>
          <c:dPt>
            <c:idx val="6"/>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3-E99B-4AFF-B0AD-0E044326439D}"/>
              </c:ext>
            </c:extLst>
          </c:dPt>
          <c:dPt>
            <c:idx val="7"/>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4-E99B-4AFF-B0AD-0E044326439D}"/>
              </c:ext>
            </c:extLst>
          </c:dPt>
          <c:dPt>
            <c:idx val="8"/>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5-E99B-4AFF-B0AD-0E044326439D}"/>
              </c:ext>
            </c:extLst>
          </c:dPt>
          <c:dPt>
            <c:idx val="9"/>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6-E99B-4AFF-B0AD-0E044326439D}"/>
              </c:ext>
            </c:extLst>
          </c:dPt>
          <c:dPt>
            <c:idx val="10"/>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7-E99B-4AFF-B0AD-0E044326439D}"/>
              </c:ext>
            </c:extLst>
          </c:dPt>
          <c:dPt>
            <c:idx val="11"/>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8-E99B-4AFF-B0AD-0E044326439D}"/>
              </c:ext>
            </c:extLst>
          </c:dPt>
          <c:dPt>
            <c:idx val="12"/>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9-E99B-4AFF-B0AD-0E044326439D}"/>
              </c:ext>
            </c:extLst>
          </c:dPt>
          <c:dPt>
            <c:idx val="13"/>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A-E99B-4AFF-B0AD-0E044326439D}"/>
              </c:ext>
            </c:extLst>
          </c:dPt>
          <c:dPt>
            <c:idx val="14"/>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B-E99B-4AFF-B0AD-0E044326439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Sheet1!$A$129:$B$143</c:f>
              <c:multiLvlStrCache>
                <c:ptCount val="15"/>
                <c:lvl>
                  <c:pt idx="0">
                    <c:v>Sm. </c:v>
                  </c:pt>
                  <c:pt idx="1">
                    <c:v>Med.</c:v>
                  </c:pt>
                  <c:pt idx="2">
                    <c:v>Lg.</c:v>
                  </c:pt>
                  <c:pt idx="3">
                    <c:v>Sm. </c:v>
                  </c:pt>
                  <c:pt idx="4">
                    <c:v>Med.</c:v>
                  </c:pt>
                  <c:pt idx="5">
                    <c:v>Lg.</c:v>
                  </c:pt>
                  <c:pt idx="6">
                    <c:v>Sm. </c:v>
                  </c:pt>
                  <c:pt idx="7">
                    <c:v>Med.</c:v>
                  </c:pt>
                  <c:pt idx="8">
                    <c:v>Lg.</c:v>
                  </c:pt>
                  <c:pt idx="9">
                    <c:v>Sm. </c:v>
                  </c:pt>
                  <c:pt idx="10">
                    <c:v>Med.</c:v>
                  </c:pt>
                  <c:pt idx="11">
                    <c:v>Lg.</c:v>
                  </c:pt>
                  <c:pt idx="12">
                    <c:v>Sm. </c:v>
                  </c:pt>
                  <c:pt idx="13">
                    <c:v>Med.</c:v>
                  </c:pt>
                  <c:pt idx="14">
                    <c:v>Lg.</c:v>
                  </c:pt>
                </c:lvl>
                <c:lvl>
                  <c:pt idx="0">
                    <c:v>Namibia2014</c:v>
                  </c:pt>
                  <c:pt idx="3">
                    <c:v>AFR37</c:v>
                  </c:pt>
                  <c:pt idx="6">
                    <c:v>Southern Africa</c:v>
                  </c:pt>
                  <c:pt idx="9">
                    <c:v>Upper middle income</c:v>
                  </c:pt>
                  <c:pt idx="12">
                    <c:v>LAC</c:v>
                  </c:pt>
                </c:lvl>
              </c:multiLvlStrCache>
            </c:multiLvlStrRef>
          </c:cat>
          <c:val>
            <c:numRef>
              <c:f>Sheet1!$C$129:$C$143</c:f>
              <c:numCache>
                <c:formatCode>0</c:formatCode>
                <c:ptCount val="15"/>
                <c:pt idx="0">
                  <c:v>35.260105000000159</c:v>
                </c:pt>
                <c:pt idx="1">
                  <c:v>33.495209000000003</c:v>
                </c:pt>
                <c:pt idx="2">
                  <c:v>23.548762999999916</c:v>
                </c:pt>
                <c:pt idx="3">
                  <c:v>14.024887</c:v>
                </c:pt>
                <c:pt idx="4">
                  <c:v>20.572709999999915</c:v>
                </c:pt>
                <c:pt idx="5">
                  <c:v>25.84318</c:v>
                </c:pt>
                <c:pt idx="6">
                  <c:v>12.264332</c:v>
                </c:pt>
                <c:pt idx="7">
                  <c:v>23.680461999999999</c:v>
                </c:pt>
                <c:pt idx="8">
                  <c:v>31.786068</c:v>
                </c:pt>
                <c:pt idx="9">
                  <c:v>26.265250999999989</c:v>
                </c:pt>
                <c:pt idx="10">
                  <c:v>33.147945</c:v>
                </c:pt>
                <c:pt idx="11">
                  <c:v>38.856029999999997</c:v>
                </c:pt>
                <c:pt idx="12">
                  <c:v>27.825066</c:v>
                </c:pt>
                <c:pt idx="13">
                  <c:v>32.293892000000113</c:v>
                </c:pt>
                <c:pt idx="14">
                  <c:v>41.870747000000001</c:v>
                </c:pt>
              </c:numCache>
            </c:numRef>
          </c:val>
          <c:extLst xmlns:c16r2="http://schemas.microsoft.com/office/drawing/2015/06/chart">
            <c:ext xmlns:c16="http://schemas.microsoft.com/office/drawing/2014/chart" uri="{C3380CC4-5D6E-409C-BE32-E72D297353CC}">
              <c16:uniqueId val="{0000000C-E99B-4AFF-B0AD-0E044326439D}"/>
            </c:ext>
          </c:extLst>
        </c:ser>
        <c:dLbls>
          <c:showLegendKey val="0"/>
          <c:showVal val="0"/>
          <c:showCatName val="0"/>
          <c:showSerName val="0"/>
          <c:showPercent val="0"/>
          <c:showBubbleSize val="0"/>
        </c:dLbls>
        <c:gapWidth val="50"/>
        <c:axId val="751137544"/>
        <c:axId val="751137936"/>
      </c:barChart>
      <c:catAx>
        <c:axId val="751137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137936"/>
        <c:crosses val="autoZero"/>
        <c:auto val="1"/>
        <c:lblAlgn val="ctr"/>
        <c:lblOffset val="100"/>
        <c:noMultiLvlLbl val="0"/>
      </c:catAx>
      <c:valAx>
        <c:axId val="751137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137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673875765529377"/>
          <c:y val="0"/>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11490740740740735"/>
          <c:w val="0.90286351706036749"/>
          <c:h val="0.64952974628171678"/>
        </c:manualLayout>
      </c:layout>
      <c:barChart>
        <c:barDir val="col"/>
        <c:grouping val="clustered"/>
        <c:varyColors val="0"/>
        <c:ser>
          <c:idx val="0"/>
          <c:order val="0"/>
          <c:tx>
            <c:strRef>
              <c:f>Sheet1!$D$128</c:f>
              <c:strCache>
                <c:ptCount val="1"/>
                <c:pt idx="0">
                  <c:v>Percent of firms using banks to finance working capital</c:v>
                </c:pt>
              </c:strCache>
            </c:strRef>
          </c:tx>
          <c:spPr>
            <a:solidFill>
              <a:schemeClr val="accent1"/>
            </a:solidFill>
            <a:ln>
              <a:noFill/>
            </a:ln>
            <a:effectLst/>
          </c:spPr>
          <c:invertIfNegative val="0"/>
          <c:dPt>
            <c:idx val="3"/>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0-7DAB-4374-99F0-64755B0B035A}"/>
              </c:ext>
            </c:extLst>
          </c:dPt>
          <c:dPt>
            <c:idx val="4"/>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1-7DAB-4374-99F0-64755B0B035A}"/>
              </c:ext>
            </c:extLst>
          </c:dPt>
          <c:dPt>
            <c:idx val="5"/>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2-7DAB-4374-99F0-64755B0B035A}"/>
              </c:ext>
            </c:extLst>
          </c:dPt>
          <c:dPt>
            <c:idx val="6"/>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3-7DAB-4374-99F0-64755B0B035A}"/>
              </c:ext>
            </c:extLst>
          </c:dPt>
          <c:dPt>
            <c:idx val="7"/>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4-7DAB-4374-99F0-64755B0B035A}"/>
              </c:ext>
            </c:extLst>
          </c:dPt>
          <c:dPt>
            <c:idx val="8"/>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5-7DAB-4374-99F0-64755B0B035A}"/>
              </c:ext>
            </c:extLst>
          </c:dPt>
          <c:dPt>
            <c:idx val="9"/>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6-7DAB-4374-99F0-64755B0B035A}"/>
              </c:ext>
            </c:extLst>
          </c:dPt>
          <c:dPt>
            <c:idx val="10"/>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7-7DAB-4374-99F0-64755B0B035A}"/>
              </c:ext>
            </c:extLst>
          </c:dPt>
          <c:dPt>
            <c:idx val="11"/>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8-7DAB-4374-99F0-64755B0B035A}"/>
              </c:ext>
            </c:extLst>
          </c:dPt>
          <c:dPt>
            <c:idx val="12"/>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9-7DAB-4374-99F0-64755B0B035A}"/>
              </c:ext>
            </c:extLst>
          </c:dPt>
          <c:dPt>
            <c:idx val="13"/>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A-7DAB-4374-99F0-64755B0B035A}"/>
              </c:ext>
            </c:extLst>
          </c:dPt>
          <c:dPt>
            <c:idx val="14"/>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B-7DAB-4374-99F0-64755B0B035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Sheet1!$A$129:$B$143</c:f>
              <c:multiLvlStrCache>
                <c:ptCount val="15"/>
                <c:lvl>
                  <c:pt idx="0">
                    <c:v>Sm. </c:v>
                  </c:pt>
                  <c:pt idx="1">
                    <c:v>Med.</c:v>
                  </c:pt>
                  <c:pt idx="2">
                    <c:v>Lg.</c:v>
                  </c:pt>
                  <c:pt idx="3">
                    <c:v>Sm. </c:v>
                  </c:pt>
                  <c:pt idx="4">
                    <c:v>Med.</c:v>
                  </c:pt>
                  <c:pt idx="5">
                    <c:v>Lg.</c:v>
                  </c:pt>
                  <c:pt idx="6">
                    <c:v>Sm. </c:v>
                  </c:pt>
                  <c:pt idx="7">
                    <c:v>Med.</c:v>
                  </c:pt>
                  <c:pt idx="8">
                    <c:v>Lg.</c:v>
                  </c:pt>
                  <c:pt idx="9">
                    <c:v>Sm. </c:v>
                  </c:pt>
                  <c:pt idx="10">
                    <c:v>Med.</c:v>
                  </c:pt>
                  <c:pt idx="11">
                    <c:v>Lg.</c:v>
                  </c:pt>
                  <c:pt idx="12">
                    <c:v>Sm. </c:v>
                  </c:pt>
                  <c:pt idx="13">
                    <c:v>Med.</c:v>
                  </c:pt>
                  <c:pt idx="14">
                    <c:v>Lg.</c:v>
                  </c:pt>
                </c:lvl>
                <c:lvl>
                  <c:pt idx="0">
                    <c:v>Namibia2014</c:v>
                  </c:pt>
                  <c:pt idx="3">
                    <c:v>AFR37</c:v>
                  </c:pt>
                  <c:pt idx="6">
                    <c:v>Southern Africa</c:v>
                  </c:pt>
                  <c:pt idx="9">
                    <c:v>Upper middle income</c:v>
                  </c:pt>
                  <c:pt idx="12">
                    <c:v>LAC</c:v>
                  </c:pt>
                </c:lvl>
              </c:multiLvlStrCache>
            </c:multiLvlStrRef>
          </c:cat>
          <c:val>
            <c:numRef>
              <c:f>Sheet1!$D$129:$D$143</c:f>
              <c:numCache>
                <c:formatCode>0</c:formatCode>
                <c:ptCount val="15"/>
                <c:pt idx="0">
                  <c:v>13.532601</c:v>
                </c:pt>
                <c:pt idx="1">
                  <c:v>5.7719773999999999</c:v>
                </c:pt>
                <c:pt idx="2">
                  <c:v>3.6548828999999987</c:v>
                </c:pt>
                <c:pt idx="3">
                  <c:v>18.628623999999931</c:v>
                </c:pt>
                <c:pt idx="4">
                  <c:v>33.174072000000002</c:v>
                </c:pt>
                <c:pt idx="5">
                  <c:v>36.188488</c:v>
                </c:pt>
                <c:pt idx="6">
                  <c:v>12.536287</c:v>
                </c:pt>
                <c:pt idx="7">
                  <c:v>24.450993</c:v>
                </c:pt>
                <c:pt idx="8">
                  <c:v>28.961402999999915</c:v>
                </c:pt>
                <c:pt idx="9">
                  <c:v>31.262446999999877</c:v>
                </c:pt>
                <c:pt idx="10">
                  <c:v>42.641684999999995</c:v>
                </c:pt>
                <c:pt idx="11">
                  <c:v>49.027592000000013</c:v>
                </c:pt>
                <c:pt idx="12">
                  <c:v>36.300797000000003</c:v>
                </c:pt>
                <c:pt idx="13">
                  <c:v>46.973106000000001</c:v>
                </c:pt>
                <c:pt idx="14">
                  <c:v>56.814704999999996</c:v>
                </c:pt>
              </c:numCache>
            </c:numRef>
          </c:val>
          <c:extLst xmlns:c16r2="http://schemas.microsoft.com/office/drawing/2015/06/chart">
            <c:ext xmlns:c16="http://schemas.microsoft.com/office/drawing/2014/chart" uri="{C3380CC4-5D6E-409C-BE32-E72D297353CC}">
              <c16:uniqueId val="{0000000C-7DAB-4374-99F0-64755B0B035A}"/>
            </c:ext>
          </c:extLst>
        </c:ser>
        <c:dLbls>
          <c:showLegendKey val="0"/>
          <c:showVal val="0"/>
          <c:showCatName val="0"/>
          <c:showSerName val="0"/>
          <c:showPercent val="0"/>
          <c:showBubbleSize val="0"/>
        </c:dLbls>
        <c:gapWidth val="50"/>
        <c:axId val="751138720"/>
        <c:axId val="751139112"/>
      </c:barChart>
      <c:catAx>
        <c:axId val="75113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139112"/>
        <c:crosses val="autoZero"/>
        <c:auto val="1"/>
        <c:lblAlgn val="ctr"/>
        <c:lblOffset val="100"/>
        <c:noMultiLvlLbl val="0"/>
      </c:catAx>
      <c:valAx>
        <c:axId val="751139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13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Sheet1!$A$2</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Investment</c:v>
                </c:pt>
                <c:pt idx="1">
                  <c:v>Working Capital</c:v>
                </c:pt>
              </c:strCache>
            </c:strRef>
          </c:cat>
          <c:val>
            <c:numRef>
              <c:f>Sheet1!$B$2:$C$2</c:f>
              <c:numCache>
                <c:formatCode>0</c:formatCode>
                <c:ptCount val="2"/>
                <c:pt idx="0">
                  <c:v>67.615218999999982</c:v>
                </c:pt>
                <c:pt idx="1">
                  <c:v>85.223910000000004</c:v>
                </c:pt>
              </c:numCache>
            </c:numRef>
          </c:val>
          <c:extLst xmlns:c16r2="http://schemas.microsoft.com/office/drawing/2015/06/chart">
            <c:ext xmlns:c16="http://schemas.microsoft.com/office/drawing/2014/chart" uri="{C3380CC4-5D6E-409C-BE32-E72D297353CC}">
              <c16:uniqueId val="{00000000-6A56-4D25-A0A4-E522DCF551E9}"/>
            </c:ext>
          </c:extLst>
        </c:ser>
        <c:ser>
          <c:idx val="1"/>
          <c:order val="1"/>
          <c:tx>
            <c:strRef>
              <c:f>Sheet1!$A$3</c:f>
              <c:strCache>
                <c:ptCount val="1"/>
                <c:pt idx="0">
                  <c:v>Bank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Investment</c:v>
                </c:pt>
                <c:pt idx="1">
                  <c:v>Working Capital</c:v>
                </c:pt>
              </c:strCache>
            </c:strRef>
          </c:cat>
          <c:val>
            <c:numRef>
              <c:f>Sheet1!$B$3:$C$3</c:f>
              <c:numCache>
                <c:formatCode>0</c:formatCode>
                <c:ptCount val="2"/>
                <c:pt idx="0">
                  <c:v>25.572659999999942</c:v>
                </c:pt>
                <c:pt idx="1">
                  <c:v>6.4696617000000192</c:v>
                </c:pt>
              </c:numCache>
            </c:numRef>
          </c:val>
          <c:extLst xmlns:c16r2="http://schemas.microsoft.com/office/drawing/2015/06/chart">
            <c:ext xmlns:c16="http://schemas.microsoft.com/office/drawing/2014/chart" uri="{C3380CC4-5D6E-409C-BE32-E72D297353CC}">
              <c16:uniqueId val="{00000001-6A56-4D25-A0A4-E522DCF551E9}"/>
            </c:ext>
          </c:extLst>
        </c:ser>
        <c:ser>
          <c:idx val="2"/>
          <c:order val="2"/>
          <c:tx>
            <c:strRef>
              <c:f>Sheet1!$A$4</c:f>
              <c:strCache>
                <c:ptCount val="1"/>
                <c:pt idx="0">
                  <c:v>Suppliers</c:v>
                </c:pt>
              </c:strCache>
            </c:strRef>
          </c:tx>
          <c:spPr>
            <a:solidFill>
              <a:schemeClr val="accent3"/>
            </a:solidFill>
            <a:ln>
              <a:noFill/>
            </a:ln>
            <a:effectLst/>
          </c:spPr>
          <c:invertIfNegative val="0"/>
          <c:dLbls>
            <c:dLbl>
              <c:idx val="0"/>
              <c:layout>
                <c:manualLayout>
                  <c:x val="-8.543361240780388E-3"/>
                  <c:y val="-0.1426356589147286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A56-4D25-A0A4-E522DCF551E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Investment</c:v>
                </c:pt>
                <c:pt idx="1">
                  <c:v>Working Capital</c:v>
                </c:pt>
              </c:strCache>
            </c:strRef>
          </c:cat>
          <c:val>
            <c:numRef>
              <c:f>Sheet1!$B$4:$C$4</c:f>
              <c:numCache>
                <c:formatCode>0</c:formatCode>
                <c:ptCount val="2"/>
                <c:pt idx="0" formatCode="0.0">
                  <c:v>0.27571131000000004</c:v>
                </c:pt>
                <c:pt idx="1">
                  <c:v>3.6005321000000001</c:v>
                </c:pt>
              </c:numCache>
            </c:numRef>
          </c:val>
          <c:extLst xmlns:c16r2="http://schemas.microsoft.com/office/drawing/2015/06/chart">
            <c:ext xmlns:c16="http://schemas.microsoft.com/office/drawing/2014/chart" uri="{C3380CC4-5D6E-409C-BE32-E72D297353CC}">
              <c16:uniqueId val="{00000003-6A56-4D25-A0A4-E522DCF551E9}"/>
            </c:ext>
          </c:extLst>
        </c:ser>
        <c:ser>
          <c:idx val="3"/>
          <c:order val="3"/>
          <c:tx>
            <c:strRef>
              <c:f>Sheet1!$A$5</c:f>
              <c:strCache>
                <c:ptCount val="1"/>
                <c:pt idx="0">
                  <c:v>Equity sales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Investment</c:v>
                </c:pt>
                <c:pt idx="1">
                  <c:v>Working Capital</c:v>
                </c:pt>
              </c:strCache>
            </c:strRef>
          </c:cat>
          <c:val>
            <c:numRef>
              <c:f>Sheet1!$B$5:$C$5</c:f>
              <c:numCache>
                <c:formatCode>General</c:formatCode>
                <c:ptCount val="2"/>
                <c:pt idx="0" formatCode="0">
                  <c:v>1.3973593</c:v>
                </c:pt>
              </c:numCache>
            </c:numRef>
          </c:val>
          <c:extLst xmlns:c16r2="http://schemas.microsoft.com/office/drawing/2015/06/chart">
            <c:ext xmlns:c16="http://schemas.microsoft.com/office/drawing/2014/chart" uri="{C3380CC4-5D6E-409C-BE32-E72D297353CC}">
              <c16:uniqueId val="{00000004-6A56-4D25-A0A4-E522DCF551E9}"/>
            </c:ext>
          </c:extLst>
        </c:ser>
        <c:ser>
          <c:idx val="4"/>
          <c:order val="4"/>
          <c:tx>
            <c:strRef>
              <c:f>Sheet1!$A$6</c:f>
              <c:strCache>
                <c:ptCount val="1"/>
                <c:pt idx="0">
                  <c:v>Other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Investment</c:v>
                </c:pt>
                <c:pt idx="1">
                  <c:v>Working Capital</c:v>
                </c:pt>
              </c:strCache>
            </c:strRef>
          </c:cat>
          <c:val>
            <c:numRef>
              <c:f>Sheet1!$B$6:$C$6</c:f>
              <c:numCache>
                <c:formatCode>0</c:formatCode>
                <c:ptCount val="2"/>
                <c:pt idx="0">
                  <c:v>5.1390507000000003</c:v>
                </c:pt>
                <c:pt idx="1">
                  <c:v>4.7058957999999995</c:v>
                </c:pt>
              </c:numCache>
            </c:numRef>
          </c:val>
          <c:extLst xmlns:c16r2="http://schemas.microsoft.com/office/drawing/2015/06/chart">
            <c:ext xmlns:c16="http://schemas.microsoft.com/office/drawing/2014/chart" uri="{C3380CC4-5D6E-409C-BE32-E72D297353CC}">
              <c16:uniqueId val="{00000005-6A56-4D25-A0A4-E522DCF551E9}"/>
            </c:ext>
          </c:extLst>
        </c:ser>
        <c:dLbls>
          <c:showLegendKey val="0"/>
          <c:showVal val="0"/>
          <c:showCatName val="0"/>
          <c:showSerName val="0"/>
          <c:showPercent val="0"/>
          <c:showBubbleSize val="0"/>
        </c:dLbls>
        <c:gapWidth val="50"/>
        <c:overlap val="100"/>
        <c:axId val="602221728"/>
        <c:axId val="602222120"/>
      </c:barChart>
      <c:catAx>
        <c:axId val="602221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02222120"/>
        <c:crosses val="autoZero"/>
        <c:auto val="1"/>
        <c:lblAlgn val="ctr"/>
        <c:lblOffset val="100"/>
        <c:noMultiLvlLbl val="0"/>
      </c:catAx>
      <c:valAx>
        <c:axId val="6022221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0222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Sheet1!$C$67</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Sheet1!$B$68:$B$70</c:f>
              <c:strCache>
                <c:ptCount val="3"/>
                <c:pt idx="0">
                  <c:v>Small</c:v>
                </c:pt>
                <c:pt idx="1">
                  <c:v>Medium</c:v>
                </c:pt>
                <c:pt idx="2">
                  <c:v>Large</c:v>
                </c:pt>
              </c:strCache>
            </c:strRef>
          </c:cat>
          <c:val>
            <c:numRef>
              <c:f>Sheet1!$C$68:$C$70</c:f>
              <c:numCache>
                <c:formatCode>0</c:formatCode>
                <c:ptCount val="3"/>
                <c:pt idx="0">
                  <c:v>58.081332000000003</c:v>
                </c:pt>
                <c:pt idx="1">
                  <c:v>82.669809999999998</c:v>
                </c:pt>
                <c:pt idx="2">
                  <c:v>86.380376999999655</c:v>
                </c:pt>
              </c:numCache>
            </c:numRef>
          </c:val>
          <c:extLst xmlns:c16r2="http://schemas.microsoft.com/office/drawing/2015/06/chart">
            <c:ext xmlns:c16="http://schemas.microsoft.com/office/drawing/2014/chart" uri="{C3380CC4-5D6E-409C-BE32-E72D297353CC}">
              <c16:uniqueId val="{00000000-FF48-4EFD-937D-38F36136E761}"/>
            </c:ext>
          </c:extLst>
        </c:ser>
        <c:ser>
          <c:idx val="1"/>
          <c:order val="1"/>
          <c:tx>
            <c:strRef>
              <c:f>Sheet1!$D$67</c:f>
              <c:strCache>
                <c:ptCount val="1"/>
                <c:pt idx="0">
                  <c:v>Bank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Sheet1!$B$68:$B$70</c:f>
              <c:strCache>
                <c:ptCount val="3"/>
                <c:pt idx="0">
                  <c:v>Small</c:v>
                </c:pt>
                <c:pt idx="1">
                  <c:v>Medium</c:v>
                </c:pt>
                <c:pt idx="2">
                  <c:v>Large</c:v>
                </c:pt>
              </c:strCache>
            </c:strRef>
          </c:cat>
          <c:val>
            <c:numRef>
              <c:f>Sheet1!$D$68:$D$70</c:f>
              <c:numCache>
                <c:formatCode>0</c:formatCode>
                <c:ptCount val="3"/>
                <c:pt idx="0">
                  <c:v>31.322547999999923</c:v>
                </c:pt>
                <c:pt idx="1">
                  <c:v>16.935504000000002</c:v>
                </c:pt>
                <c:pt idx="2">
                  <c:v>13.207267999999999</c:v>
                </c:pt>
              </c:numCache>
            </c:numRef>
          </c:val>
          <c:extLst xmlns:c16r2="http://schemas.microsoft.com/office/drawing/2015/06/chart">
            <c:ext xmlns:c16="http://schemas.microsoft.com/office/drawing/2014/chart" uri="{C3380CC4-5D6E-409C-BE32-E72D297353CC}">
              <c16:uniqueId val="{00000001-FF48-4EFD-937D-38F36136E761}"/>
            </c:ext>
          </c:extLst>
        </c:ser>
        <c:ser>
          <c:idx val="2"/>
          <c:order val="2"/>
          <c:tx>
            <c:strRef>
              <c:f>Sheet1!$E$67</c:f>
              <c:strCache>
                <c:ptCount val="1"/>
                <c:pt idx="0">
                  <c:v>Supplier</c:v>
                </c:pt>
              </c:strCache>
            </c:strRef>
          </c:tx>
          <c:spPr>
            <a:solidFill>
              <a:schemeClr val="accent3"/>
            </a:solidFill>
            <a:ln>
              <a:noFill/>
            </a:ln>
            <a:effectLst/>
          </c:spPr>
          <c:invertIfNegative val="0"/>
          <c:cat>
            <c:strRef>
              <c:f>Sheet1!$B$68:$B$70</c:f>
              <c:strCache>
                <c:ptCount val="3"/>
                <c:pt idx="0">
                  <c:v>Small</c:v>
                </c:pt>
                <c:pt idx="1">
                  <c:v>Medium</c:v>
                </c:pt>
                <c:pt idx="2">
                  <c:v>Large</c:v>
                </c:pt>
              </c:strCache>
            </c:strRef>
          </c:cat>
          <c:val>
            <c:numRef>
              <c:f>Sheet1!$E$68:$E$70</c:f>
              <c:numCache>
                <c:formatCode>0</c:formatCode>
                <c:ptCount val="3"/>
                <c:pt idx="0">
                  <c:v>0.43841562000000101</c:v>
                </c:pt>
                <c:pt idx="1">
                  <c:v>0</c:v>
                </c:pt>
                <c:pt idx="2">
                  <c:v>0</c:v>
                </c:pt>
              </c:numCache>
            </c:numRef>
          </c:val>
          <c:extLst xmlns:c16r2="http://schemas.microsoft.com/office/drawing/2015/06/chart">
            <c:ext xmlns:c16="http://schemas.microsoft.com/office/drawing/2014/chart" uri="{C3380CC4-5D6E-409C-BE32-E72D297353CC}">
              <c16:uniqueId val="{00000002-FF48-4EFD-937D-38F36136E761}"/>
            </c:ext>
          </c:extLst>
        </c:ser>
        <c:ser>
          <c:idx val="3"/>
          <c:order val="3"/>
          <c:tx>
            <c:strRef>
              <c:f>Sheet1!$F$67</c:f>
              <c:strCache>
                <c:ptCount val="1"/>
                <c:pt idx="0">
                  <c:v>Equity</c:v>
                </c:pt>
              </c:strCache>
            </c:strRef>
          </c:tx>
          <c:spPr>
            <a:solidFill>
              <a:schemeClr val="accent4"/>
            </a:solidFill>
            <a:ln>
              <a:noFill/>
            </a:ln>
            <a:effectLst/>
          </c:spPr>
          <c:invertIfNegative val="0"/>
          <c:cat>
            <c:strRef>
              <c:f>Sheet1!$B$68:$B$70</c:f>
              <c:strCache>
                <c:ptCount val="3"/>
                <c:pt idx="0">
                  <c:v>Small</c:v>
                </c:pt>
                <c:pt idx="1">
                  <c:v>Medium</c:v>
                </c:pt>
                <c:pt idx="2">
                  <c:v>Large</c:v>
                </c:pt>
              </c:strCache>
            </c:strRef>
          </c:cat>
          <c:val>
            <c:numRef>
              <c:f>Sheet1!$F$68:$F$70</c:f>
              <c:numCache>
                <c:formatCode>0</c:formatCode>
                <c:ptCount val="3"/>
                <c:pt idx="0">
                  <c:v>2.0775551999999977</c:v>
                </c:pt>
                <c:pt idx="1">
                  <c:v>0.17399871000000044</c:v>
                </c:pt>
                <c:pt idx="2">
                  <c:v>0.41235485000000038</c:v>
                </c:pt>
              </c:numCache>
            </c:numRef>
          </c:val>
          <c:extLst xmlns:c16r2="http://schemas.microsoft.com/office/drawing/2015/06/chart">
            <c:ext xmlns:c16="http://schemas.microsoft.com/office/drawing/2014/chart" uri="{C3380CC4-5D6E-409C-BE32-E72D297353CC}">
              <c16:uniqueId val="{00000003-FF48-4EFD-937D-38F36136E761}"/>
            </c:ext>
          </c:extLst>
        </c:ser>
        <c:ser>
          <c:idx val="4"/>
          <c:order val="4"/>
          <c:tx>
            <c:strRef>
              <c:f>Sheet1!$G$67</c:f>
              <c:strCache>
                <c:ptCount val="1"/>
                <c:pt idx="0">
                  <c:v>Other</c:v>
                </c:pt>
              </c:strCache>
            </c:strRef>
          </c:tx>
          <c:spPr>
            <a:solidFill>
              <a:schemeClr val="accent5"/>
            </a:solidFill>
            <a:ln>
              <a:noFill/>
            </a:ln>
            <a:effectLst/>
          </c:spPr>
          <c:invertIfNegative val="0"/>
          <c:cat>
            <c:strRef>
              <c:f>Sheet1!$B$68:$B$70</c:f>
              <c:strCache>
                <c:ptCount val="3"/>
                <c:pt idx="0">
                  <c:v>Small</c:v>
                </c:pt>
                <c:pt idx="1">
                  <c:v>Medium</c:v>
                </c:pt>
                <c:pt idx="2">
                  <c:v>Large</c:v>
                </c:pt>
              </c:strCache>
            </c:strRef>
          </c:cat>
          <c:val>
            <c:numRef>
              <c:f>Sheet1!$G$68:$G$70</c:f>
              <c:numCache>
                <c:formatCode>0</c:formatCode>
                <c:ptCount val="3"/>
                <c:pt idx="0">
                  <c:v>8.0801493000000004</c:v>
                </c:pt>
                <c:pt idx="1">
                  <c:v>0.22068734000000001</c:v>
                </c:pt>
                <c:pt idx="2">
                  <c:v>0</c:v>
                </c:pt>
              </c:numCache>
            </c:numRef>
          </c:val>
          <c:extLst xmlns:c16r2="http://schemas.microsoft.com/office/drawing/2015/06/chart">
            <c:ext xmlns:c16="http://schemas.microsoft.com/office/drawing/2014/chart" uri="{C3380CC4-5D6E-409C-BE32-E72D297353CC}">
              <c16:uniqueId val="{00000004-FF48-4EFD-937D-38F36136E761}"/>
            </c:ext>
          </c:extLst>
        </c:ser>
        <c:dLbls>
          <c:showLegendKey val="0"/>
          <c:showVal val="0"/>
          <c:showCatName val="0"/>
          <c:showSerName val="0"/>
          <c:showPercent val="0"/>
          <c:showBubbleSize val="0"/>
        </c:dLbls>
        <c:gapWidth val="50"/>
        <c:overlap val="100"/>
        <c:axId val="749216664"/>
        <c:axId val="749217056"/>
      </c:barChart>
      <c:catAx>
        <c:axId val="749216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49217056"/>
        <c:crosses val="autoZero"/>
        <c:auto val="1"/>
        <c:lblAlgn val="ctr"/>
        <c:lblOffset val="100"/>
        <c:noMultiLvlLbl val="0"/>
      </c:catAx>
      <c:valAx>
        <c:axId val="749217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49216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29193683476287"/>
          <c:y val="0"/>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8.4547209376605703E-2"/>
          <c:y val="0.10101851851851851"/>
          <c:w val="0.87665208515602211"/>
          <c:h val="0.79158209390492629"/>
        </c:manualLayout>
      </c:layout>
      <c:barChart>
        <c:barDir val="col"/>
        <c:grouping val="clustered"/>
        <c:varyColors val="0"/>
        <c:ser>
          <c:idx val="0"/>
          <c:order val="0"/>
          <c:tx>
            <c:strRef>
              <c:f>Sheet1!$B$48</c:f>
              <c:strCache>
                <c:ptCount val="1"/>
                <c:pt idx="0">
                  <c:v>Percent of firms buying fixed assets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Sheet1!$A$49:$A$51</c:f>
              <c:strCache>
                <c:ptCount val="3"/>
                <c:pt idx="0">
                  <c:v>Small</c:v>
                </c:pt>
                <c:pt idx="1">
                  <c:v>Medium</c:v>
                </c:pt>
                <c:pt idx="2">
                  <c:v>Large</c:v>
                </c:pt>
              </c:strCache>
            </c:strRef>
          </c:cat>
          <c:val>
            <c:numRef>
              <c:f>Sheet1!$B$49:$B$51</c:f>
              <c:numCache>
                <c:formatCode>0</c:formatCode>
                <c:ptCount val="3"/>
                <c:pt idx="0">
                  <c:v>32.481596000000003</c:v>
                </c:pt>
                <c:pt idx="1">
                  <c:v>69.540459999999996</c:v>
                </c:pt>
                <c:pt idx="2">
                  <c:v>81.516613000000291</c:v>
                </c:pt>
              </c:numCache>
            </c:numRef>
          </c:val>
          <c:extLst xmlns:c16r2="http://schemas.microsoft.com/office/drawing/2015/06/chart">
            <c:ext xmlns:c16="http://schemas.microsoft.com/office/drawing/2014/chart" uri="{C3380CC4-5D6E-409C-BE32-E72D297353CC}">
              <c16:uniqueId val="{00000000-963B-4909-961B-7B5BD9A3277E}"/>
            </c:ext>
          </c:extLst>
        </c:ser>
        <c:dLbls>
          <c:showLegendKey val="0"/>
          <c:showVal val="0"/>
          <c:showCatName val="0"/>
          <c:showSerName val="0"/>
          <c:showPercent val="0"/>
          <c:showBubbleSize val="0"/>
        </c:dLbls>
        <c:gapWidth val="75"/>
        <c:axId val="749217840"/>
        <c:axId val="749218232"/>
      </c:barChart>
      <c:catAx>
        <c:axId val="74921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49218232"/>
        <c:crosses val="autoZero"/>
        <c:auto val="1"/>
        <c:lblAlgn val="ctr"/>
        <c:lblOffset val="100"/>
        <c:noMultiLvlLbl val="0"/>
      </c:catAx>
      <c:valAx>
        <c:axId val="749218232"/>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49217840"/>
        <c:crosses val="autoZero"/>
        <c:crossBetween val="between"/>
        <c:majorUnit val="3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Sheet1!$C$34</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Sheet1!$A$35:$A$37</c:f>
              <c:strCache>
                <c:ptCount val="3"/>
                <c:pt idx="0">
                  <c:v>Small</c:v>
                </c:pt>
                <c:pt idx="1">
                  <c:v>Medium</c:v>
                </c:pt>
                <c:pt idx="2">
                  <c:v>Large</c:v>
                </c:pt>
              </c:strCache>
            </c:strRef>
          </c:cat>
          <c:val>
            <c:numRef>
              <c:f>Sheet1!$C$35:$C$37</c:f>
              <c:numCache>
                <c:formatCode>0</c:formatCode>
                <c:ptCount val="3"/>
                <c:pt idx="0">
                  <c:v>83.232023999999996</c:v>
                </c:pt>
                <c:pt idx="1">
                  <c:v>91.198754999999949</c:v>
                </c:pt>
                <c:pt idx="2">
                  <c:v>97.128164999999981</c:v>
                </c:pt>
              </c:numCache>
            </c:numRef>
          </c:val>
          <c:extLst xmlns:c16r2="http://schemas.microsoft.com/office/drawing/2015/06/chart">
            <c:ext xmlns:c16="http://schemas.microsoft.com/office/drawing/2014/chart" uri="{C3380CC4-5D6E-409C-BE32-E72D297353CC}">
              <c16:uniqueId val="{00000000-D3FC-452E-9B62-333DBC13314E}"/>
            </c:ext>
          </c:extLst>
        </c:ser>
        <c:ser>
          <c:idx val="1"/>
          <c:order val="1"/>
          <c:tx>
            <c:strRef>
              <c:f>Sheet1!$D$34</c:f>
              <c:strCache>
                <c:ptCount val="1"/>
                <c:pt idx="0">
                  <c:v>Bank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Sheet1!$A$35:$A$37</c:f>
              <c:strCache>
                <c:ptCount val="3"/>
                <c:pt idx="0">
                  <c:v>Small</c:v>
                </c:pt>
                <c:pt idx="1">
                  <c:v>Medium</c:v>
                </c:pt>
                <c:pt idx="2">
                  <c:v>Large</c:v>
                </c:pt>
              </c:strCache>
            </c:strRef>
          </c:cat>
          <c:val>
            <c:numRef>
              <c:f>Sheet1!$D$35:$D$37</c:f>
              <c:numCache>
                <c:formatCode>0</c:formatCode>
                <c:ptCount val="3"/>
                <c:pt idx="0">
                  <c:v>7.1585771999999945</c:v>
                </c:pt>
                <c:pt idx="1">
                  <c:v>4.2570961</c:v>
                </c:pt>
                <c:pt idx="2">
                  <c:v>2.8718349999999977</c:v>
                </c:pt>
              </c:numCache>
            </c:numRef>
          </c:val>
          <c:extLst xmlns:c16r2="http://schemas.microsoft.com/office/drawing/2015/06/chart">
            <c:ext xmlns:c16="http://schemas.microsoft.com/office/drawing/2014/chart" uri="{C3380CC4-5D6E-409C-BE32-E72D297353CC}">
              <c16:uniqueId val="{00000001-D3FC-452E-9B62-333DBC13314E}"/>
            </c:ext>
          </c:extLst>
        </c:ser>
        <c:ser>
          <c:idx val="2"/>
          <c:order val="2"/>
          <c:tx>
            <c:strRef>
              <c:f>Sheet1!$E$34</c:f>
              <c:strCache>
                <c:ptCount val="1"/>
                <c:pt idx="0">
                  <c:v>Supplier</c:v>
                </c:pt>
              </c:strCache>
            </c:strRef>
          </c:tx>
          <c:spPr>
            <a:solidFill>
              <a:schemeClr val="accent3"/>
            </a:solidFill>
            <a:ln>
              <a:noFill/>
            </a:ln>
            <a:effectLst/>
          </c:spPr>
          <c:invertIfNegative val="0"/>
          <c:dLbls>
            <c:dLbl>
              <c:idx val="2"/>
              <c:delete val="1"/>
              <c:extLst xmlns:c16r2="http://schemas.microsoft.com/office/drawing/2015/06/chart">
                <c:ext xmlns:c16="http://schemas.microsoft.com/office/drawing/2014/chart" uri="{C3380CC4-5D6E-409C-BE32-E72D297353CC}">
                  <c16:uniqueId val="{00000002-D3FC-452E-9B62-333DBC1331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Sheet1!$A$35:$A$37</c:f>
              <c:strCache>
                <c:ptCount val="3"/>
                <c:pt idx="0">
                  <c:v>Small</c:v>
                </c:pt>
                <c:pt idx="1">
                  <c:v>Medium</c:v>
                </c:pt>
                <c:pt idx="2">
                  <c:v>Large</c:v>
                </c:pt>
              </c:strCache>
            </c:strRef>
          </c:cat>
          <c:val>
            <c:numRef>
              <c:f>Sheet1!$E$35:$E$37</c:f>
              <c:numCache>
                <c:formatCode>0</c:formatCode>
                <c:ptCount val="3"/>
                <c:pt idx="0">
                  <c:v>3.8295987999999999</c:v>
                </c:pt>
                <c:pt idx="1">
                  <c:v>3.5411463999999997</c:v>
                </c:pt>
                <c:pt idx="2">
                  <c:v>0</c:v>
                </c:pt>
              </c:numCache>
            </c:numRef>
          </c:val>
          <c:extLst xmlns:c16r2="http://schemas.microsoft.com/office/drawing/2015/06/chart">
            <c:ext xmlns:c16="http://schemas.microsoft.com/office/drawing/2014/chart" uri="{C3380CC4-5D6E-409C-BE32-E72D297353CC}">
              <c16:uniqueId val="{00000003-D3FC-452E-9B62-333DBC13314E}"/>
            </c:ext>
          </c:extLst>
        </c:ser>
        <c:ser>
          <c:idx val="3"/>
          <c:order val="3"/>
          <c:tx>
            <c:strRef>
              <c:f>Sheet1!$F$34</c:f>
              <c:strCache>
                <c:ptCount val="1"/>
                <c:pt idx="0">
                  <c:v>Other</c:v>
                </c:pt>
              </c:strCache>
            </c:strRef>
          </c:tx>
          <c:spPr>
            <a:solidFill>
              <a:schemeClr val="accent4"/>
            </a:solidFill>
            <a:ln>
              <a:noFill/>
            </a:ln>
            <a:effectLst/>
          </c:spPr>
          <c:invertIfNegative val="0"/>
          <c:dLbls>
            <c:dLbl>
              <c:idx val="1"/>
              <c:layout>
                <c:manualLayout>
                  <c:x val="1.666666666666670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3FC-452E-9B62-333DBC13314E}"/>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D3FC-452E-9B62-333DBC1331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Sheet1!$A$35:$A$37</c:f>
              <c:strCache>
                <c:ptCount val="3"/>
                <c:pt idx="0">
                  <c:v>Small</c:v>
                </c:pt>
                <c:pt idx="1">
                  <c:v>Medium</c:v>
                </c:pt>
                <c:pt idx="2">
                  <c:v>Large</c:v>
                </c:pt>
              </c:strCache>
            </c:strRef>
          </c:cat>
          <c:val>
            <c:numRef>
              <c:f>Sheet1!$F$35:$F$37</c:f>
              <c:numCache>
                <c:formatCode>0</c:formatCode>
                <c:ptCount val="3"/>
                <c:pt idx="0">
                  <c:v>5.7798001000000134</c:v>
                </c:pt>
                <c:pt idx="1">
                  <c:v>1.0030029</c:v>
                </c:pt>
                <c:pt idx="2">
                  <c:v>0</c:v>
                </c:pt>
              </c:numCache>
            </c:numRef>
          </c:val>
          <c:extLst xmlns:c16r2="http://schemas.microsoft.com/office/drawing/2015/06/chart">
            <c:ext xmlns:c16="http://schemas.microsoft.com/office/drawing/2014/chart" uri="{C3380CC4-5D6E-409C-BE32-E72D297353CC}">
              <c16:uniqueId val="{00000006-D3FC-452E-9B62-333DBC13314E}"/>
            </c:ext>
          </c:extLst>
        </c:ser>
        <c:dLbls>
          <c:showLegendKey val="0"/>
          <c:showVal val="0"/>
          <c:showCatName val="0"/>
          <c:showSerName val="0"/>
          <c:showPercent val="0"/>
          <c:showBubbleSize val="0"/>
        </c:dLbls>
        <c:gapWidth val="50"/>
        <c:overlap val="100"/>
        <c:axId val="749174088"/>
        <c:axId val="749174480"/>
      </c:barChart>
      <c:catAx>
        <c:axId val="749174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49174480"/>
        <c:crosses val="autoZero"/>
        <c:auto val="1"/>
        <c:lblAlgn val="ctr"/>
        <c:lblOffset val="100"/>
        <c:noMultiLvlLbl val="0"/>
      </c:catAx>
      <c:valAx>
        <c:axId val="749174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49174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'Access strand'!$B$2</c:f>
              <c:strCache>
                <c:ptCount val="1"/>
                <c:pt idx="0">
                  <c:v>Banked</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'Access strand'!$A$3:$A$18</c:f>
              <c:strCache>
                <c:ptCount val="16"/>
                <c:pt idx="0">
                  <c:v>South Africa (2014)</c:v>
                </c:pt>
                <c:pt idx="1">
                  <c:v>Namibia (2012)</c:v>
                </c:pt>
                <c:pt idx="2">
                  <c:v>Swaziland (2014)</c:v>
                </c:pt>
                <c:pt idx="3">
                  <c:v>Botswana (2009)</c:v>
                </c:pt>
                <c:pt idx="4">
                  <c:v>Lesotho (2011)</c:v>
                </c:pt>
                <c:pt idx="5">
                  <c:v>Mauritius (2014)</c:v>
                </c:pt>
                <c:pt idx="6">
                  <c:v>Tanzania (2013)</c:v>
                </c:pt>
                <c:pt idx="7">
                  <c:v>Ghana (2010)</c:v>
                </c:pt>
                <c:pt idx="8">
                  <c:v>Nigeria (2012)</c:v>
                </c:pt>
                <c:pt idx="9">
                  <c:v>Zimbabwe (2014)</c:v>
                </c:pt>
                <c:pt idx="10">
                  <c:v>Kenya (2013)</c:v>
                </c:pt>
                <c:pt idx="11">
                  <c:v>Uganda (2013)</c:v>
                </c:pt>
                <c:pt idx="12">
                  <c:v>Malawi (2014)</c:v>
                </c:pt>
                <c:pt idx="13">
                  <c:v>Zambia (2009)</c:v>
                </c:pt>
                <c:pt idx="14">
                  <c:v>Rwanda (2012)</c:v>
                </c:pt>
                <c:pt idx="15">
                  <c:v>Mozambique (2009)</c:v>
                </c:pt>
              </c:strCache>
            </c:strRef>
          </c:cat>
          <c:val>
            <c:numRef>
              <c:f>'Access strand'!$B$3:$B$18</c:f>
              <c:numCache>
                <c:formatCode>General</c:formatCode>
                <c:ptCount val="16"/>
                <c:pt idx="0">
                  <c:v>75</c:v>
                </c:pt>
                <c:pt idx="1">
                  <c:v>62</c:v>
                </c:pt>
                <c:pt idx="2">
                  <c:v>54</c:v>
                </c:pt>
                <c:pt idx="3">
                  <c:v>41</c:v>
                </c:pt>
                <c:pt idx="4">
                  <c:v>38</c:v>
                </c:pt>
                <c:pt idx="5">
                  <c:v>85</c:v>
                </c:pt>
                <c:pt idx="6">
                  <c:v>14</c:v>
                </c:pt>
                <c:pt idx="7">
                  <c:v>34</c:v>
                </c:pt>
                <c:pt idx="8">
                  <c:v>33</c:v>
                </c:pt>
                <c:pt idx="9">
                  <c:v>30</c:v>
                </c:pt>
                <c:pt idx="10">
                  <c:v>29</c:v>
                </c:pt>
                <c:pt idx="11">
                  <c:v>20</c:v>
                </c:pt>
                <c:pt idx="12">
                  <c:v>33</c:v>
                </c:pt>
                <c:pt idx="13">
                  <c:v>14</c:v>
                </c:pt>
                <c:pt idx="14">
                  <c:v>23</c:v>
                </c:pt>
                <c:pt idx="15">
                  <c:v>12</c:v>
                </c:pt>
              </c:numCache>
            </c:numRef>
          </c:val>
          <c:extLst xmlns:c16r2="http://schemas.microsoft.com/office/drawing/2015/06/chart">
            <c:ext xmlns:c16="http://schemas.microsoft.com/office/drawing/2014/chart" uri="{C3380CC4-5D6E-409C-BE32-E72D297353CC}">
              <c16:uniqueId val="{00000000-63E7-4BD1-B9C6-B4391EE35C9D}"/>
            </c:ext>
          </c:extLst>
        </c:ser>
        <c:ser>
          <c:idx val="1"/>
          <c:order val="1"/>
          <c:tx>
            <c:strRef>
              <c:f>'Access strand'!$C$2</c:f>
              <c:strCache>
                <c:ptCount val="1"/>
                <c:pt idx="0">
                  <c:v>Formal other (non-banked)</c:v>
                </c:pt>
              </c:strCache>
            </c:strRef>
          </c:tx>
          <c:spPr>
            <a:solidFill>
              <a:schemeClr val="bg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'Access strand'!$A$3:$A$18</c:f>
              <c:strCache>
                <c:ptCount val="16"/>
                <c:pt idx="0">
                  <c:v>South Africa (2014)</c:v>
                </c:pt>
                <c:pt idx="1">
                  <c:v>Namibia (2012)</c:v>
                </c:pt>
                <c:pt idx="2">
                  <c:v>Swaziland (2014)</c:v>
                </c:pt>
                <c:pt idx="3">
                  <c:v>Botswana (2009)</c:v>
                </c:pt>
                <c:pt idx="4">
                  <c:v>Lesotho (2011)</c:v>
                </c:pt>
                <c:pt idx="5">
                  <c:v>Mauritius (2014)</c:v>
                </c:pt>
                <c:pt idx="6">
                  <c:v>Tanzania (2013)</c:v>
                </c:pt>
                <c:pt idx="7">
                  <c:v>Ghana (2010)</c:v>
                </c:pt>
                <c:pt idx="8">
                  <c:v>Nigeria (2012)</c:v>
                </c:pt>
                <c:pt idx="9">
                  <c:v>Zimbabwe (2014)</c:v>
                </c:pt>
                <c:pt idx="10">
                  <c:v>Kenya (2013)</c:v>
                </c:pt>
                <c:pt idx="11">
                  <c:v>Uganda (2013)</c:v>
                </c:pt>
                <c:pt idx="12">
                  <c:v>Malawi (2014)</c:v>
                </c:pt>
                <c:pt idx="13">
                  <c:v>Zambia (2009)</c:v>
                </c:pt>
                <c:pt idx="14">
                  <c:v>Rwanda (2012)</c:v>
                </c:pt>
                <c:pt idx="15">
                  <c:v>Mozambique (2009)</c:v>
                </c:pt>
              </c:strCache>
            </c:strRef>
          </c:cat>
          <c:val>
            <c:numRef>
              <c:f>'Access strand'!$C$3:$C$18</c:f>
              <c:numCache>
                <c:formatCode>General</c:formatCode>
                <c:ptCount val="16"/>
                <c:pt idx="0">
                  <c:v>5</c:v>
                </c:pt>
                <c:pt idx="1">
                  <c:v>3</c:v>
                </c:pt>
                <c:pt idx="2">
                  <c:v>10</c:v>
                </c:pt>
                <c:pt idx="3">
                  <c:v>18</c:v>
                </c:pt>
                <c:pt idx="4">
                  <c:v>20</c:v>
                </c:pt>
                <c:pt idx="5">
                  <c:v>3</c:v>
                </c:pt>
                <c:pt idx="6">
                  <c:v>43</c:v>
                </c:pt>
                <c:pt idx="7">
                  <c:v>7</c:v>
                </c:pt>
                <c:pt idx="8">
                  <c:v>10</c:v>
                </c:pt>
                <c:pt idx="9">
                  <c:v>39</c:v>
                </c:pt>
                <c:pt idx="10">
                  <c:v>38</c:v>
                </c:pt>
                <c:pt idx="11">
                  <c:v>34</c:v>
                </c:pt>
                <c:pt idx="12">
                  <c:v>7</c:v>
                </c:pt>
                <c:pt idx="13">
                  <c:v>9</c:v>
                </c:pt>
                <c:pt idx="14">
                  <c:v>19</c:v>
                </c:pt>
                <c:pt idx="15">
                  <c:v>1</c:v>
                </c:pt>
              </c:numCache>
            </c:numRef>
          </c:val>
          <c:extLst xmlns:c16r2="http://schemas.microsoft.com/office/drawing/2015/06/chart">
            <c:ext xmlns:c16="http://schemas.microsoft.com/office/drawing/2014/chart" uri="{C3380CC4-5D6E-409C-BE32-E72D297353CC}">
              <c16:uniqueId val="{00000001-63E7-4BD1-B9C6-B4391EE35C9D}"/>
            </c:ext>
          </c:extLst>
        </c:ser>
        <c:ser>
          <c:idx val="2"/>
          <c:order val="2"/>
          <c:tx>
            <c:strRef>
              <c:f>'Access strand'!$D$2</c:f>
              <c:strCache>
                <c:ptCount val="1"/>
                <c:pt idx="0">
                  <c:v>Informal served only</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'Access strand'!$A$3:$A$18</c:f>
              <c:strCache>
                <c:ptCount val="16"/>
                <c:pt idx="0">
                  <c:v>South Africa (2014)</c:v>
                </c:pt>
                <c:pt idx="1">
                  <c:v>Namibia (2012)</c:v>
                </c:pt>
                <c:pt idx="2">
                  <c:v>Swaziland (2014)</c:v>
                </c:pt>
                <c:pt idx="3">
                  <c:v>Botswana (2009)</c:v>
                </c:pt>
                <c:pt idx="4">
                  <c:v>Lesotho (2011)</c:v>
                </c:pt>
                <c:pt idx="5">
                  <c:v>Mauritius (2014)</c:v>
                </c:pt>
                <c:pt idx="6">
                  <c:v>Tanzania (2013)</c:v>
                </c:pt>
                <c:pt idx="7">
                  <c:v>Ghana (2010)</c:v>
                </c:pt>
                <c:pt idx="8">
                  <c:v>Nigeria (2012)</c:v>
                </c:pt>
                <c:pt idx="9">
                  <c:v>Zimbabwe (2014)</c:v>
                </c:pt>
                <c:pt idx="10">
                  <c:v>Kenya (2013)</c:v>
                </c:pt>
                <c:pt idx="11">
                  <c:v>Uganda (2013)</c:v>
                </c:pt>
                <c:pt idx="12">
                  <c:v>Malawi (2014)</c:v>
                </c:pt>
                <c:pt idx="13">
                  <c:v>Zambia (2009)</c:v>
                </c:pt>
                <c:pt idx="14">
                  <c:v>Rwanda (2012)</c:v>
                </c:pt>
                <c:pt idx="15">
                  <c:v>Mozambique (2009)</c:v>
                </c:pt>
              </c:strCache>
            </c:strRef>
          </c:cat>
          <c:val>
            <c:numRef>
              <c:f>'Access strand'!$D$3:$D$18</c:f>
              <c:numCache>
                <c:formatCode>General</c:formatCode>
                <c:ptCount val="16"/>
                <c:pt idx="0">
                  <c:v>6</c:v>
                </c:pt>
                <c:pt idx="1">
                  <c:v>4</c:v>
                </c:pt>
                <c:pt idx="2">
                  <c:v>9</c:v>
                </c:pt>
                <c:pt idx="3">
                  <c:v>8</c:v>
                </c:pt>
                <c:pt idx="4">
                  <c:v>23</c:v>
                </c:pt>
                <c:pt idx="5">
                  <c:v>2</c:v>
                </c:pt>
                <c:pt idx="6">
                  <c:v>16</c:v>
                </c:pt>
                <c:pt idx="7">
                  <c:v>15</c:v>
                </c:pt>
                <c:pt idx="8">
                  <c:v>17</c:v>
                </c:pt>
                <c:pt idx="9">
                  <c:v>8</c:v>
                </c:pt>
                <c:pt idx="10">
                  <c:v>8</c:v>
                </c:pt>
                <c:pt idx="11">
                  <c:v>31</c:v>
                </c:pt>
                <c:pt idx="12">
                  <c:v>14</c:v>
                </c:pt>
                <c:pt idx="13">
                  <c:v>14</c:v>
                </c:pt>
                <c:pt idx="14">
                  <c:v>30</c:v>
                </c:pt>
                <c:pt idx="15">
                  <c:v>9</c:v>
                </c:pt>
              </c:numCache>
            </c:numRef>
          </c:val>
          <c:extLst xmlns:c16r2="http://schemas.microsoft.com/office/drawing/2015/06/chart">
            <c:ext xmlns:c16="http://schemas.microsoft.com/office/drawing/2014/chart" uri="{C3380CC4-5D6E-409C-BE32-E72D297353CC}">
              <c16:uniqueId val="{00000002-63E7-4BD1-B9C6-B4391EE35C9D}"/>
            </c:ext>
          </c:extLst>
        </c:ser>
        <c:ser>
          <c:idx val="3"/>
          <c:order val="3"/>
          <c:tx>
            <c:strRef>
              <c:f>'Access strand'!$E$2</c:f>
              <c:strCache>
                <c:ptCount val="1"/>
                <c:pt idx="0">
                  <c:v>Not served</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'Access strand'!$A$3:$A$18</c:f>
              <c:strCache>
                <c:ptCount val="16"/>
                <c:pt idx="0">
                  <c:v>South Africa (2014)</c:v>
                </c:pt>
                <c:pt idx="1">
                  <c:v>Namibia (2012)</c:v>
                </c:pt>
                <c:pt idx="2">
                  <c:v>Swaziland (2014)</c:v>
                </c:pt>
                <c:pt idx="3">
                  <c:v>Botswana (2009)</c:v>
                </c:pt>
                <c:pt idx="4">
                  <c:v>Lesotho (2011)</c:v>
                </c:pt>
                <c:pt idx="5">
                  <c:v>Mauritius (2014)</c:v>
                </c:pt>
                <c:pt idx="6">
                  <c:v>Tanzania (2013)</c:v>
                </c:pt>
                <c:pt idx="7">
                  <c:v>Ghana (2010)</c:v>
                </c:pt>
                <c:pt idx="8">
                  <c:v>Nigeria (2012)</c:v>
                </c:pt>
                <c:pt idx="9">
                  <c:v>Zimbabwe (2014)</c:v>
                </c:pt>
                <c:pt idx="10">
                  <c:v>Kenya (2013)</c:v>
                </c:pt>
                <c:pt idx="11">
                  <c:v>Uganda (2013)</c:v>
                </c:pt>
                <c:pt idx="12">
                  <c:v>Malawi (2014)</c:v>
                </c:pt>
                <c:pt idx="13">
                  <c:v>Zambia (2009)</c:v>
                </c:pt>
                <c:pt idx="14">
                  <c:v>Rwanda (2012)</c:v>
                </c:pt>
                <c:pt idx="15">
                  <c:v>Mozambique (2009)</c:v>
                </c:pt>
              </c:strCache>
            </c:strRef>
          </c:cat>
          <c:val>
            <c:numRef>
              <c:f>'Access strand'!$E$3:$E$18</c:f>
              <c:numCache>
                <c:formatCode>General</c:formatCode>
                <c:ptCount val="16"/>
                <c:pt idx="0">
                  <c:v>14</c:v>
                </c:pt>
                <c:pt idx="1">
                  <c:v>31</c:v>
                </c:pt>
                <c:pt idx="2">
                  <c:v>27</c:v>
                </c:pt>
                <c:pt idx="3">
                  <c:v>33</c:v>
                </c:pt>
                <c:pt idx="4">
                  <c:v>19</c:v>
                </c:pt>
                <c:pt idx="5">
                  <c:v>10</c:v>
                </c:pt>
                <c:pt idx="6">
                  <c:v>27</c:v>
                </c:pt>
                <c:pt idx="7">
                  <c:v>44</c:v>
                </c:pt>
                <c:pt idx="8">
                  <c:v>40</c:v>
                </c:pt>
                <c:pt idx="9">
                  <c:v>23</c:v>
                </c:pt>
                <c:pt idx="10">
                  <c:v>25</c:v>
                </c:pt>
                <c:pt idx="11">
                  <c:v>15</c:v>
                </c:pt>
                <c:pt idx="12">
                  <c:v>46</c:v>
                </c:pt>
                <c:pt idx="13">
                  <c:v>63</c:v>
                </c:pt>
                <c:pt idx="14">
                  <c:v>28</c:v>
                </c:pt>
                <c:pt idx="15">
                  <c:v>78</c:v>
                </c:pt>
              </c:numCache>
            </c:numRef>
          </c:val>
          <c:extLst xmlns:c16r2="http://schemas.microsoft.com/office/drawing/2015/06/chart">
            <c:ext xmlns:c16="http://schemas.microsoft.com/office/drawing/2014/chart" uri="{C3380CC4-5D6E-409C-BE32-E72D297353CC}">
              <c16:uniqueId val="{00000003-63E7-4BD1-B9C6-B4391EE35C9D}"/>
            </c:ext>
          </c:extLst>
        </c:ser>
        <c:dLbls>
          <c:showLegendKey val="0"/>
          <c:showVal val="1"/>
          <c:showCatName val="0"/>
          <c:showSerName val="0"/>
          <c:showPercent val="0"/>
          <c:showBubbleSize val="0"/>
        </c:dLbls>
        <c:gapWidth val="95"/>
        <c:overlap val="100"/>
        <c:axId val="753296072"/>
        <c:axId val="753296464"/>
      </c:barChart>
      <c:catAx>
        <c:axId val="753296072"/>
        <c:scaling>
          <c:orientation val="minMax"/>
        </c:scaling>
        <c:delete val="0"/>
        <c:axPos val="l"/>
        <c:numFmt formatCode="General" sourceLinked="0"/>
        <c:majorTickMark val="none"/>
        <c:minorTickMark val="none"/>
        <c:tickLblPos val="nextTo"/>
        <c:crossAx val="753296464"/>
        <c:crosses val="autoZero"/>
        <c:auto val="1"/>
        <c:lblAlgn val="ctr"/>
        <c:lblOffset val="100"/>
        <c:noMultiLvlLbl val="0"/>
      </c:catAx>
      <c:valAx>
        <c:axId val="753296464"/>
        <c:scaling>
          <c:orientation val="minMax"/>
        </c:scaling>
        <c:delete val="1"/>
        <c:axPos val="b"/>
        <c:numFmt formatCode="General" sourceLinked="1"/>
        <c:majorTickMark val="out"/>
        <c:minorTickMark val="none"/>
        <c:tickLblPos val="none"/>
        <c:crossAx val="753296072"/>
        <c:crosses val="autoZero"/>
        <c:crossBetween val="between"/>
      </c:valAx>
    </c:plotArea>
    <c:legend>
      <c:legendPos val="t"/>
      <c:overlay val="0"/>
    </c:legend>
    <c:plotVisOnly val="1"/>
    <c:dispBlanksAs val="gap"/>
    <c:showDLblsOverMax val="0"/>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radarChart>
        <c:radarStyle val="marker"/>
        <c:varyColors val="0"/>
        <c:ser>
          <c:idx val="0"/>
          <c:order val="0"/>
          <c:tx>
            <c:strRef>
              <c:f>'Use of financial services'!$B$53</c:f>
              <c:strCache>
                <c:ptCount val="1"/>
                <c:pt idx="0">
                  <c:v>2007</c:v>
                </c:pt>
              </c:strCache>
            </c:strRef>
          </c:tx>
          <c:marker>
            <c:symbol val="none"/>
          </c:marker>
          <c:cat>
            <c:strRef>
              <c:f>'Use of financial services'!$A$54:$A$57</c:f>
              <c:strCache>
                <c:ptCount val="4"/>
                <c:pt idx="0">
                  <c:v>Savings</c:v>
                </c:pt>
                <c:pt idx="1">
                  <c:v>Transactional</c:v>
                </c:pt>
                <c:pt idx="2">
                  <c:v>Insurance</c:v>
                </c:pt>
                <c:pt idx="3">
                  <c:v>Credit</c:v>
                </c:pt>
              </c:strCache>
            </c:strRef>
          </c:cat>
          <c:val>
            <c:numRef>
              <c:f>'Use of financial services'!$B$54:$B$57</c:f>
              <c:numCache>
                <c:formatCode>General</c:formatCode>
                <c:ptCount val="4"/>
                <c:pt idx="0">
                  <c:v>24</c:v>
                </c:pt>
                <c:pt idx="1">
                  <c:v>45</c:v>
                </c:pt>
                <c:pt idx="2">
                  <c:v>18</c:v>
                </c:pt>
                <c:pt idx="3">
                  <c:v>15</c:v>
                </c:pt>
              </c:numCache>
            </c:numRef>
          </c:val>
          <c:extLst xmlns:c16r2="http://schemas.microsoft.com/office/drawing/2015/06/chart">
            <c:ext xmlns:c16="http://schemas.microsoft.com/office/drawing/2014/chart" uri="{C3380CC4-5D6E-409C-BE32-E72D297353CC}">
              <c16:uniqueId val="{00000000-6F66-4238-BF2B-22DC646D4172}"/>
            </c:ext>
          </c:extLst>
        </c:ser>
        <c:ser>
          <c:idx val="1"/>
          <c:order val="1"/>
          <c:tx>
            <c:strRef>
              <c:f>'Use of financial services'!$C$53</c:f>
              <c:strCache>
                <c:ptCount val="1"/>
                <c:pt idx="0">
                  <c:v>2011</c:v>
                </c:pt>
              </c:strCache>
            </c:strRef>
          </c:tx>
          <c:spPr>
            <a:ln>
              <a:solidFill>
                <a:srgbClr val="FF0000"/>
              </a:solidFill>
            </a:ln>
          </c:spPr>
          <c:marker>
            <c:symbol val="none"/>
          </c:marker>
          <c:cat>
            <c:strRef>
              <c:f>'Use of financial services'!$A$54:$A$57</c:f>
              <c:strCache>
                <c:ptCount val="4"/>
                <c:pt idx="0">
                  <c:v>Savings</c:v>
                </c:pt>
                <c:pt idx="1">
                  <c:v>Transactional</c:v>
                </c:pt>
                <c:pt idx="2">
                  <c:v>Insurance</c:v>
                </c:pt>
                <c:pt idx="3">
                  <c:v>Credit</c:v>
                </c:pt>
              </c:strCache>
            </c:strRef>
          </c:cat>
          <c:val>
            <c:numRef>
              <c:f>'Use of financial services'!$C$54:$C$57</c:f>
              <c:numCache>
                <c:formatCode>General</c:formatCode>
                <c:ptCount val="4"/>
                <c:pt idx="0">
                  <c:v>64</c:v>
                </c:pt>
                <c:pt idx="1">
                  <c:v>63</c:v>
                </c:pt>
                <c:pt idx="2">
                  <c:v>36</c:v>
                </c:pt>
                <c:pt idx="3">
                  <c:v>20</c:v>
                </c:pt>
              </c:numCache>
            </c:numRef>
          </c:val>
          <c:extLst xmlns:c16r2="http://schemas.microsoft.com/office/drawing/2015/06/chart">
            <c:ext xmlns:c16="http://schemas.microsoft.com/office/drawing/2014/chart" uri="{C3380CC4-5D6E-409C-BE32-E72D297353CC}">
              <c16:uniqueId val="{00000001-6F66-4238-BF2B-22DC646D4172}"/>
            </c:ext>
          </c:extLst>
        </c:ser>
        <c:dLbls>
          <c:showLegendKey val="0"/>
          <c:showVal val="0"/>
          <c:showCatName val="0"/>
          <c:showSerName val="0"/>
          <c:showPercent val="0"/>
          <c:showBubbleSize val="0"/>
        </c:dLbls>
        <c:axId val="754356392"/>
        <c:axId val="754356784"/>
      </c:radarChart>
      <c:catAx>
        <c:axId val="754356392"/>
        <c:scaling>
          <c:orientation val="minMax"/>
        </c:scaling>
        <c:delete val="0"/>
        <c:axPos val="b"/>
        <c:majorGridlines/>
        <c:numFmt formatCode="General" sourceLinked="1"/>
        <c:majorTickMark val="none"/>
        <c:minorTickMark val="none"/>
        <c:tickLblPos val="nextTo"/>
        <c:spPr>
          <a:ln w="9525">
            <a:noFill/>
          </a:ln>
        </c:spPr>
        <c:crossAx val="754356784"/>
        <c:crosses val="autoZero"/>
        <c:auto val="1"/>
        <c:lblAlgn val="ctr"/>
        <c:lblOffset val="100"/>
        <c:noMultiLvlLbl val="0"/>
      </c:catAx>
      <c:valAx>
        <c:axId val="754356784"/>
        <c:scaling>
          <c:orientation val="minMax"/>
        </c:scaling>
        <c:delete val="0"/>
        <c:axPos val="l"/>
        <c:majorGridlines/>
        <c:numFmt formatCode="General" sourceLinked="1"/>
        <c:majorTickMark val="out"/>
        <c:minorTickMark val="none"/>
        <c:tickLblPos val="nextTo"/>
        <c:crossAx val="7543563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'Access strand'!$A$48</c:f>
              <c:strCache>
                <c:ptCount val="1"/>
                <c:pt idx="0">
                  <c:v>Have/use bank product/service</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'Access strand'!$B$47:$C$47</c:f>
              <c:strCache>
                <c:ptCount val="2"/>
                <c:pt idx="0">
                  <c:v>Urban </c:v>
                </c:pt>
                <c:pt idx="1">
                  <c:v>Rural</c:v>
                </c:pt>
              </c:strCache>
            </c:strRef>
          </c:cat>
          <c:val>
            <c:numRef>
              <c:f>'Access strand'!$B$48:$C$48</c:f>
              <c:numCache>
                <c:formatCode>General</c:formatCode>
                <c:ptCount val="2"/>
                <c:pt idx="0">
                  <c:v>76</c:v>
                </c:pt>
                <c:pt idx="1">
                  <c:v>51</c:v>
                </c:pt>
              </c:numCache>
            </c:numRef>
          </c:val>
          <c:extLst xmlns:c16r2="http://schemas.microsoft.com/office/drawing/2015/06/chart">
            <c:ext xmlns:c16="http://schemas.microsoft.com/office/drawing/2014/chart" uri="{C3380CC4-5D6E-409C-BE32-E72D297353CC}">
              <c16:uniqueId val="{00000000-B281-4EC6-912B-CD3EA589F259}"/>
            </c:ext>
          </c:extLst>
        </c:ser>
        <c:ser>
          <c:idx val="1"/>
          <c:order val="1"/>
          <c:tx>
            <c:strRef>
              <c:f>'Access strand'!$A$49</c:f>
              <c:strCache>
                <c:ptCount val="1"/>
                <c:pt idx="0">
                  <c:v>Have/use non-bank formal product/service (no bank products)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'Access strand'!$B$47:$C$47</c:f>
              <c:strCache>
                <c:ptCount val="2"/>
                <c:pt idx="0">
                  <c:v>Urban </c:v>
                </c:pt>
                <c:pt idx="1">
                  <c:v>Rural</c:v>
                </c:pt>
              </c:strCache>
            </c:strRef>
          </c:cat>
          <c:val>
            <c:numRef>
              <c:f>'Access strand'!$B$49:$C$49</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1-B281-4EC6-912B-CD3EA589F259}"/>
            </c:ext>
          </c:extLst>
        </c:ser>
        <c:ser>
          <c:idx val="2"/>
          <c:order val="2"/>
          <c:tx>
            <c:strRef>
              <c:f>'Access strand'!$A$50</c:f>
              <c:strCache>
                <c:ptCount val="1"/>
                <c:pt idx="0">
                  <c:v>Use only informal mechanisms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'Access strand'!$B$47:$C$47</c:f>
              <c:strCache>
                <c:ptCount val="2"/>
                <c:pt idx="0">
                  <c:v>Urban </c:v>
                </c:pt>
                <c:pt idx="1">
                  <c:v>Rural</c:v>
                </c:pt>
              </c:strCache>
            </c:strRef>
          </c:cat>
          <c:val>
            <c:numRef>
              <c:f>'Access strand'!$B$50:$C$50</c:f>
              <c:numCache>
                <c:formatCode>General</c:formatCode>
                <c:ptCount val="2"/>
                <c:pt idx="0">
                  <c:v>2</c:v>
                </c:pt>
                <c:pt idx="1">
                  <c:v>6</c:v>
                </c:pt>
              </c:numCache>
            </c:numRef>
          </c:val>
          <c:extLst xmlns:c16r2="http://schemas.microsoft.com/office/drawing/2015/06/chart">
            <c:ext xmlns:c16="http://schemas.microsoft.com/office/drawing/2014/chart" uri="{C3380CC4-5D6E-409C-BE32-E72D297353CC}">
              <c16:uniqueId val="{00000002-B281-4EC6-912B-CD3EA589F259}"/>
            </c:ext>
          </c:extLst>
        </c:ser>
        <c:ser>
          <c:idx val="3"/>
          <c:order val="3"/>
          <c:tx>
            <c:strRef>
              <c:f>'Access strand'!$A$51</c:f>
              <c:strCache>
                <c:ptCount val="1"/>
                <c:pt idx="0">
                  <c:v>Financially excluded</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'Access strand'!$B$47:$C$47</c:f>
              <c:strCache>
                <c:ptCount val="2"/>
                <c:pt idx="0">
                  <c:v>Urban </c:v>
                </c:pt>
                <c:pt idx="1">
                  <c:v>Rural</c:v>
                </c:pt>
              </c:strCache>
            </c:strRef>
          </c:cat>
          <c:val>
            <c:numRef>
              <c:f>'Access strand'!$B$51:$C$51</c:f>
              <c:numCache>
                <c:formatCode>General</c:formatCode>
                <c:ptCount val="2"/>
                <c:pt idx="0">
                  <c:v>31</c:v>
                </c:pt>
                <c:pt idx="1">
                  <c:v>39</c:v>
                </c:pt>
              </c:numCache>
            </c:numRef>
          </c:val>
          <c:extLst xmlns:c16r2="http://schemas.microsoft.com/office/drawing/2015/06/chart">
            <c:ext xmlns:c16="http://schemas.microsoft.com/office/drawing/2014/chart" uri="{C3380CC4-5D6E-409C-BE32-E72D297353CC}">
              <c16:uniqueId val="{00000003-B281-4EC6-912B-CD3EA589F259}"/>
            </c:ext>
          </c:extLst>
        </c:ser>
        <c:dLbls>
          <c:showLegendKey val="0"/>
          <c:showVal val="1"/>
          <c:showCatName val="0"/>
          <c:showSerName val="0"/>
          <c:showPercent val="0"/>
          <c:showBubbleSize val="0"/>
        </c:dLbls>
        <c:gapWidth val="150"/>
        <c:overlap val="100"/>
        <c:axId val="754357568"/>
        <c:axId val="752989120"/>
      </c:barChart>
      <c:catAx>
        <c:axId val="754357568"/>
        <c:scaling>
          <c:orientation val="minMax"/>
        </c:scaling>
        <c:delete val="0"/>
        <c:axPos val="l"/>
        <c:numFmt formatCode="General" sourceLinked="0"/>
        <c:majorTickMark val="none"/>
        <c:minorTickMark val="none"/>
        <c:tickLblPos val="nextTo"/>
        <c:crossAx val="752989120"/>
        <c:crosses val="autoZero"/>
        <c:auto val="1"/>
        <c:lblAlgn val="ctr"/>
        <c:lblOffset val="100"/>
        <c:noMultiLvlLbl val="0"/>
      </c:catAx>
      <c:valAx>
        <c:axId val="752989120"/>
        <c:scaling>
          <c:orientation val="minMax"/>
        </c:scaling>
        <c:delete val="1"/>
        <c:axPos val="b"/>
        <c:numFmt formatCode="General" sourceLinked="1"/>
        <c:majorTickMark val="out"/>
        <c:minorTickMark val="none"/>
        <c:tickLblPos val="none"/>
        <c:crossAx val="754357568"/>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2467432396675"/>
          <c:y val="0.14027274941147821"/>
          <c:w val="0.86371971393484248"/>
          <c:h val="0.65162648483372565"/>
        </c:manualLayout>
      </c:layout>
      <c:barChart>
        <c:barDir val="col"/>
        <c:grouping val="clustered"/>
        <c:varyColors val="0"/>
        <c:ser>
          <c:idx val="0"/>
          <c:order val="0"/>
          <c:tx>
            <c:strRef>
              <c:f>'[ExportedResults (14).xls]Finance'!$D$16</c:f>
              <c:strCache>
                <c:ptCount val="1"/>
                <c:pt idx="0">
                  <c:v>2006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'[ExportedResults (14).xls]Finance'!$C$17:$C$19</c:f>
              <c:strCache>
                <c:ptCount val="3"/>
                <c:pt idx="0">
                  <c:v>Small (5-19)</c:v>
                </c:pt>
                <c:pt idx="1">
                  <c:v>Medium (20-99)</c:v>
                </c:pt>
                <c:pt idx="2">
                  <c:v>Large (100+)</c:v>
                </c:pt>
              </c:strCache>
            </c:strRef>
          </c:cat>
          <c:val>
            <c:numRef>
              <c:f>'[ExportedResults (14).xls]Finance'!$D$17:$D$19</c:f>
              <c:numCache>
                <c:formatCode>#,##0</c:formatCode>
                <c:ptCount val="3"/>
                <c:pt idx="0">
                  <c:v>20.5</c:v>
                </c:pt>
                <c:pt idx="1">
                  <c:v>9</c:v>
                </c:pt>
                <c:pt idx="2">
                  <c:v>39.4</c:v>
                </c:pt>
              </c:numCache>
            </c:numRef>
          </c:val>
          <c:extLst xmlns:c16r2="http://schemas.microsoft.com/office/drawing/2015/06/chart">
            <c:ext xmlns:c16="http://schemas.microsoft.com/office/drawing/2014/chart" uri="{C3380CC4-5D6E-409C-BE32-E72D297353CC}">
              <c16:uniqueId val="{00000000-5617-49FD-A473-BD5B19EE6BC8}"/>
            </c:ext>
          </c:extLst>
        </c:ser>
        <c:ser>
          <c:idx val="1"/>
          <c:order val="1"/>
          <c:tx>
            <c:strRef>
              <c:f>'[ExportedResults (14).xls]Finance'!$E$16</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'[ExportedResults (14).xls]Finance'!$C$17:$C$19</c:f>
              <c:strCache>
                <c:ptCount val="3"/>
                <c:pt idx="0">
                  <c:v>Small (5-19)</c:v>
                </c:pt>
                <c:pt idx="1">
                  <c:v>Medium (20-99)</c:v>
                </c:pt>
                <c:pt idx="2">
                  <c:v>Large (100+)</c:v>
                </c:pt>
              </c:strCache>
            </c:strRef>
          </c:cat>
          <c:val>
            <c:numRef>
              <c:f>'[ExportedResults (14).xls]Finance'!$E$17:$E$19</c:f>
              <c:numCache>
                <c:formatCode>#,##0</c:formatCode>
                <c:ptCount val="3"/>
                <c:pt idx="0">
                  <c:v>40.9</c:v>
                </c:pt>
                <c:pt idx="1">
                  <c:v>28.6</c:v>
                </c:pt>
                <c:pt idx="2">
                  <c:v>1</c:v>
                </c:pt>
              </c:numCache>
            </c:numRef>
          </c:val>
          <c:extLst xmlns:c16r2="http://schemas.microsoft.com/office/drawing/2015/06/chart">
            <c:ext xmlns:c16="http://schemas.microsoft.com/office/drawing/2014/chart" uri="{C3380CC4-5D6E-409C-BE32-E72D297353CC}">
              <c16:uniqueId val="{00000001-5617-49FD-A473-BD5B19EE6BC8}"/>
            </c:ext>
          </c:extLst>
        </c:ser>
        <c:dLbls>
          <c:showLegendKey val="0"/>
          <c:showVal val="0"/>
          <c:showCatName val="0"/>
          <c:showSerName val="0"/>
          <c:showPercent val="0"/>
          <c:showBubbleSize val="0"/>
        </c:dLbls>
        <c:gapWidth val="219"/>
        <c:axId val="752989904"/>
        <c:axId val="752990296"/>
      </c:barChart>
      <c:catAx>
        <c:axId val="75298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990296"/>
        <c:crosses val="autoZero"/>
        <c:auto val="1"/>
        <c:lblAlgn val="ctr"/>
        <c:lblOffset val="100"/>
        <c:noMultiLvlLbl val="0"/>
      </c:catAx>
      <c:valAx>
        <c:axId val="752990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989904"/>
        <c:crosses val="autoZero"/>
        <c:crossBetween val="between"/>
        <c:majorUnit val="15"/>
      </c:valAx>
      <c:spPr>
        <a:noFill/>
        <a:ln>
          <a:noFill/>
        </a:ln>
        <a:effectLst/>
      </c:spPr>
    </c:plotArea>
    <c:legend>
      <c:legendPos val="b"/>
      <c:layout>
        <c:manualLayout>
          <c:xMode val="edge"/>
          <c:yMode val="edge"/>
          <c:x val="0.41180052493438413"/>
          <c:y val="0.92187445319335282"/>
          <c:w val="0.1875100612423452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16033749614352E-2"/>
          <c:y val="5.5241671438197339E-2"/>
          <c:w val="0.89469816272965852"/>
          <c:h val="0.63218626968503933"/>
        </c:manualLayout>
      </c:layout>
      <c:barChart>
        <c:barDir val="col"/>
        <c:grouping val="clustered"/>
        <c:varyColors val="0"/>
        <c:ser>
          <c:idx val="1"/>
          <c:order val="0"/>
          <c:tx>
            <c:strRef>
              <c:f>Sheet1!$A$119</c:f>
              <c:strCache>
                <c:ptCount val="1"/>
                <c:pt idx="0">
                  <c:v>Namibia2006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Sheet1!$B$117:$F$117</c:f>
              <c:strCache>
                <c:ptCount val="5"/>
                <c:pt idx="0">
                  <c:v>Percent of firms using banks to finance investments</c:v>
                </c:pt>
                <c:pt idx="1">
                  <c:v>Percent of firms using banks to finance working capital</c:v>
                </c:pt>
                <c:pt idx="2">
                  <c:v>Percent of firms with a bank Loan/line of credit</c:v>
                </c:pt>
                <c:pt idx="3">
                  <c:v>Percent of firms not needing a loan</c:v>
                </c:pt>
                <c:pt idx="4">
                  <c:v>Percent Identifying Access to Finance as a Major Constraint</c:v>
                </c:pt>
              </c:strCache>
            </c:strRef>
          </c:cat>
          <c:val>
            <c:numRef>
              <c:f>Sheet1!$B$119:$F$119</c:f>
              <c:numCache>
                <c:formatCode>0</c:formatCode>
                <c:ptCount val="5"/>
                <c:pt idx="0">
                  <c:v>8.0804081000000014</c:v>
                </c:pt>
                <c:pt idx="1">
                  <c:v>19.579134</c:v>
                </c:pt>
                <c:pt idx="2">
                  <c:v>23.995854999999999</c:v>
                </c:pt>
                <c:pt idx="3">
                  <c:v>69.351294999999993</c:v>
                </c:pt>
                <c:pt idx="4">
                  <c:v>18.399999999999999</c:v>
                </c:pt>
              </c:numCache>
            </c:numRef>
          </c:val>
          <c:extLst xmlns:c16r2="http://schemas.microsoft.com/office/drawing/2015/06/chart">
            <c:ext xmlns:c16="http://schemas.microsoft.com/office/drawing/2014/chart" uri="{C3380CC4-5D6E-409C-BE32-E72D297353CC}">
              <c16:uniqueId val="{00000000-34CC-4F86-B36F-33110E8504F2}"/>
            </c:ext>
          </c:extLst>
        </c:ser>
        <c:ser>
          <c:idx val="0"/>
          <c:order val="1"/>
          <c:tx>
            <c:strRef>
              <c:f>Sheet1!$A$118</c:f>
              <c:strCache>
                <c:ptCount val="1"/>
                <c:pt idx="0">
                  <c:v>Namibia2014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Sheet1!$B$117:$F$117</c:f>
              <c:strCache>
                <c:ptCount val="5"/>
                <c:pt idx="0">
                  <c:v>Percent of firms using banks to finance investments</c:v>
                </c:pt>
                <c:pt idx="1">
                  <c:v>Percent of firms using banks to finance working capital</c:v>
                </c:pt>
                <c:pt idx="2">
                  <c:v>Percent of firms with a bank Loan/line of credit</c:v>
                </c:pt>
                <c:pt idx="3">
                  <c:v>Percent of firms not needing a loan</c:v>
                </c:pt>
                <c:pt idx="4">
                  <c:v>Percent Identifying Access to Finance as a Major Constraint</c:v>
                </c:pt>
              </c:strCache>
            </c:strRef>
          </c:cat>
          <c:val>
            <c:numRef>
              <c:f>Sheet1!$B$118:$F$118</c:f>
              <c:numCache>
                <c:formatCode>0</c:formatCode>
                <c:ptCount val="5"/>
                <c:pt idx="0">
                  <c:v>33.510571000000006</c:v>
                </c:pt>
                <c:pt idx="1">
                  <c:v>11.764878</c:v>
                </c:pt>
                <c:pt idx="2">
                  <c:v>21.679456999999999</c:v>
                </c:pt>
                <c:pt idx="3">
                  <c:v>47.841811999999997</c:v>
                </c:pt>
                <c:pt idx="4">
                  <c:v>37.200000000000003</c:v>
                </c:pt>
              </c:numCache>
            </c:numRef>
          </c:val>
          <c:extLst xmlns:c16r2="http://schemas.microsoft.com/office/drawing/2015/06/chart">
            <c:ext xmlns:c16="http://schemas.microsoft.com/office/drawing/2014/chart" uri="{C3380CC4-5D6E-409C-BE32-E72D297353CC}">
              <c16:uniqueId val="{00000001-34CC-4F86-B36F-33110E8504F2}"/>
            </c:ext>
          </c:extLst>
        </c:ser>
        <c:dLbls>
          <c:showLegendKey val="0"/>
          <c:showVal val="0"/>
          <c:showCatName val="0"/>
          <c:showSerName val="0"/>
          <c:showPercent val="0"/>
          <c:showBubbleSize val="0"/>
        </c:dLbls>
        <c:gapWidth val="80"/>
        <c:axId val="754565528"/>
        <c:axId val="754565920"/>
      </c:barChart>
      <c:catAx>
        <c:axId val="75456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565920"/>
        <c:crosses val="autoZero"/>
        <c:auto val="1"/>
        <c:lblAlgn val="ctr"/>
        <c:lblOffset val="100"/>
        <c:noMultiLvlLbl val="0"/>
      </c:catAx>
      <c:valAx>
        <c:axId val="754565920"/>
        <c:scaling>
          <c:orientation val="minMax"/>
          <c:max val="7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565528"/>
        <c:crosses val="autoZero"/>
        <c:crossBetween val="between"/>
        <c:maj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Sheet1!$A$163</c:f>
              <c:strCache>
                <c:ptCount val="1"/>
                <c:pt idx="0">
                  <c:v>Namibia2014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Sheet1!$B$162:$C$162</c:f>
              <c:strCache>
                <c:ptCount val="2"/>
                <c:pt idx="0">
                  <c:v>With a bank account</c:v>
                </c:pt>
                <c:pt idx="1">
                  <c:v>With an overdraft facility</c:v>
                </c:pt>
              </c:strCache>
            </c:strRef>
          </c:cat>
          <c:val>
            <c:numRef>
              <c:f>Sheet1!$B$163:$C$163</c:f>
              <c:numCache>
                <c:formatCode>0</c:formatCode>
                <c:ptCount val="2"/>
                <c:pt idx="0">
                  <c:v>97.041747999999998</c:v>
                </c:pt>
                <c:pt idx="1">
                  <c:v>33.456899999999997</c:v>
                </c:pt>
              </c:numCache>
            </c:numRef>
          </c:val>
          <c:extLst xmlns:c16r2="http://schemas.microsoft.com/office/drawing/2015/06/chart">
            <c:ext xmlns:c16="http://schemas.microsoft.com/office/drawing/2014/chart" uri="{C3380CC4-5D6E-409C-BE32-E72D297353CC}">
              <c16:uniqueId val="{00000000-F453-4E54-AF44-F89ACE8AD556}"/>
            </c:ext>
          </c:extLst>
        </c:ser>
        <c:ser>
          <c:idx val="1"/>
          <c:order val="1"/>
          <c:tx>
            <c:strRef>
              <c:f>Sheet1!$A$164</c:f>
              <c:strCache>
                <c:ptCount val="1"/>
                <c:pt idx="0">
                  <c:v>AFR37</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Sheet1!$B$162:$C$162</c:f>
              <c:strCache>
                <c:ptCount val="2"/>
                <c:pt idx="0">
                  <c:v>With a bank account</c:v>
                </c:pt>
                <c:pt idx="1">
                  <c:v>With an overdraft facility</c:v>
                </c:pt>
              </c:strCache>
            </c:strRef>
          </c:cat>
          <c:val>
            <c:numRef>
              <c:f>Sheet1!$B$164:$C$164</c:f>
              <c:numCache>
                <c:formatCode>0</c:formatCode>
                <c:ptCount val="2"/>
                <c:pt idx="0">
                  <c:v>86.709946000000002</c:v>
                </c:pt>
                <c:pt idx="1">
                  <c:v>36.022300000000115</c:v>
                </c:pt>
              </c:numCache>
            </c:numRef>
          </c:val>
          <c:extLst xmlns:c16r2="http://schemas.microsoft.com/office/drawing/2015/06/chart">
            <c:ext xmlns:c16="http://schemas.microsoft.com/office/drawing/2014/chart" uri="{C3380CC4-5D6E-409C-BE32-E72D297353CC}">
              <c16:uniqueId val="{00000001-F453-4E54-AF44-F89ACE8AD556}"/>
            </c:ext>
          </c:extLst>
        </c:ser>
        <c:ser>
          <c:idx val="2"/>
          <c:order val="2"/>
          <c:tx>
            <c:strRef>
              <c:f>Sheet1!$A$165</c:f>
              <c:strCache>
                <c:ptCount val="1"/>
                <c:pt idx="0">
                  <c:v>Upper middle income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Sheet1!$B$162:$C$162</c:f>
              <c:strCache>
                <c:ptCount val="2"/>
                <c:pt idx="0">
                  <c:v>With a bank account</c:v>
                </c:pt>
                <c:pt idx="1">
                  <c:v>With an overdraft facility</c:v>
                </c:pt>
              </c:strCache>
            </c:strRef>
          </c:cat>
          <c:val>
            <c:numRef>
              <c:f>Sheet1!$B$165:$C$165</c:f>
              <c:numCache>
                <c:formatCode>0</c:formatCode>
                <c:ptCount val="2"/>
                <c:pt idx="0">
                  <c:v>90.30342899999998</c:v>
                </c:pt>
                <c:pt idx="1">
                  <c:v>48.021500000000003</c:v>
                </c:pt>
              </c:numCache>
            </c:numRef>
          </c:val>
          <c:extLst xmlns:c16r2="http://schemas.microsoft.com/office/drawing/2015/06/chart">
            <c:ext xmlns:c16="http://schemas.microsoft.com/office/drawing/2014/chart" uri="{C3380CC4-5D6E-409C-BE32-E72D297353CC}">
              <c16:uniqueId val="{00000002-F453-4E54-AF44-F89ACE8AD556}"/>
            </c:ext>
          </c:extLst>
        </c:ser>
        <c:ser>
          <c:idx val="3"/>
          <c:order val="3"/>
          <c:tx>
            <c:strRef>
              <c:f>Sheet1!$A$166</c:f>
              <c:strCache>
                <c:ptCount val="1"/>
                <c:pt idx="0">
                  <c:v>LAC (2010)</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Sheet1!$B$162:$C$162</c:f>
              <c:strCache>
                <c:ptCount val="2"/>
                <c:pt idx="0">
                  <c:v>With a bank account</c:v>
                </c:pt>
                <c:pt idx="1">
                  <c:v>With an overdraft facility</c:v>
                </c:pt>
              </c:strCache>
            </c:strRef>
          </c:cat>
          <c:val>
            <c:numRef>
              <c:f>Sheet1!$B$166:$C$166</c:f>
              <c:numCache>
                <c:formatCode>0</c:formatCode>
                <c:ptCount val="2"/>
                <c:pt idx="0">
                  <c:v>91.20787799999998</c:v>
                </c:pt>
                <c:pt idx="1">
                  <c:v>56.1905000000001</c:v>
                </c:pt>
              </c:numCache>
            </c:numRef>
          </c:val>
          <c:extLst xmlns:c16r2="http://schemas.microsoft.com/office/drawing/2015/06/chart">
            <c:ext xmlns:c16="http://schemas.microsoft.com/office/drawing/2014/chart" uri="{C3380CC4-5D6E-409C-BE32-E72D297353CC}">
              <c16:uniqueId val="{00000003-F453-4E54-AF44-F89ACE8AD556}"/>
            </c:ext>
          </c:extLst>
        </c:ser>
        <c:ser>
          <c:idx val="4"/>
          <c:order val="4"/>
          <c:tx>
            <c:strRef>
              <c:f>Sheet1!$A$167</c:f>
              <c:strCache>
                <c:ptCount val="1"/>
                <c:pt idx="0">
                  <c:v>Southern African</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Sheet1!$B$162:$C$162</c:f>
              <c:strCache>
                <c:ptCount val="2"/>
                <c:pt idx="0">
                  <c:v>With a bank account</c:v>
                </c:pt>
                <c:pt idx="1">
                  <c:v>With an overdraft facility</c:v>
                </c:pt>
              </c:strCache>
            </c:strRef>
          </c:cat>
          <c:val>
            <c:numRef>
              <c:f>Sheet1!$B$167:$C$167</c:f>
              <c:numCache>
                <c:formatCode>0</c:formatCode>
                <c:ptCount val="2"/>
                <c:pt idx="0">
                  <c:v>82.450439000000003</c:v>
                </c:pt>
                <c:pt idx="1">
                  <c:v>23.616599999999988</c:v>
                </c:pt>
              </c:numCache>
            </c:numRef>
          </c:val>
          <c:extLst xmlns:c16r2="http://schemas.microsoft.com/office/drawing/2015/06/chart">
            <c:ext xmlns:c16="http://schemas.microsoft.com/office/drawing/2014/chart" uri="{C3380CC4-5D6E-409C-BE32-E72D297353CC}">
              <c16:uniqueId val="{00000004-F453-4E54-AF44-F89ACE8AD556}"/>
            </c:ext>
          </c:extLst>
        </c:ser>
        <c:dLbls>
          <c:showLegendKey val="0"/>
          <c:showVal val="0"/>
          <c:showCatName val="0"/>
          <c:showSerName val="0"/>
          <c:showPercent val="0"/>
          <c:showBubbleSize val="0"/>
        </c:dLbls>
        <c:gapWidth val="219"/>
        <c:axId val="754566704"/>
        <c:axId val="754567096"/>
      </c:barChart>
      <c:catAx>
        <c:axId val="75456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54567096"/>
        <c:crosses val="autoZero"/>
        <c:auto val="1"/>
        <c:lblAlgn val="ctr"/>
        <c:lblOffset val="100"/>
        <c:noMultiLvlLbl val="0"/>
      </c:catAx>
      <c:valAx>
        <c:axId val="7545670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56670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556233595800642"/>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9247594050743941E-2"/>
          <c:y val="0.11206036745406799"/>
          <c:w val="0.89019685039370244"/>
          <c:h val="0.65237678623505391"/>
        </c:manualLayout>
      </c:layout>
      <c:barChart>
        <c:barDir val="col"/>
        <c:grouping val="clustered"/>
        <c:varyColors val="0"/>
        <c:ser>
          <c:idx val="0"/>
          <c:order val="0"/>
          <c:tx>
            <c:strRef>
              <c:f>Sheet1!$D$175</c:f>
              <c:strCache>
                <c:ptCount val="1"/>
                <c:pt idx="0">
                  <c:v>With an overdraft facility</c:v>
                </c:pt>
              </c:strCache>
            </c:strRef>
          </c:tx>
          <c:spPr>
            <a:solidFill>
              <a:schemeClr val="accent1"/>
            </a:solidFill>
            <a:ln>
              <a:noFill/>
            </a:ln>
            <a:effectLst/>
          </c:spPr>
          <c:invertIfNegative val="0"/>
          <c:dPt>
            <c:idx val="3"/>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0-A9BC-4FB1-B173-69E31CE23A02}"/>
              </c:ext>
            </c:extLst>
          </c:dPt>
          <c:dPt>
            <c:idx val="4"/>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1-A9BC-4FB1-B173-69E31CE23A02}"/>
              </c:ext>
            </c:extLst>
          </c:dPt>
          <c:dPt>
            <c:idx val="5"/>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2-A9BC-4FB1-B173-69E31CE23A02}"/>
              </c:ext>
            </c:extLst>
          </c:dPt>
          <c:dPt>
            <c:idx val="6"/>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3-A9BC-4FB1-B173-69E31CE23A02}"/>
              </c:ext>
            </c:extLst>
          </c:dPt>
          <c:dPt>
            <c:idx val="7"/>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4-A9BC-4FB1-B173-69E31CE23A02}"/>
              </c:ext>
            </c:extLst>
          </c:dPt>
          <c:dPt>
            <c:idx val="8"/>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5-A9BC-4FB1-B173-69E31CE23A02}"/>
              </c:ext>
            </c:extLst>
          </c:dPt>
          <c:dPt>
            <c:idx val="9"/>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6-A9BC-4FB1-B173-69E31CE23A02}"/>
              </c:ext>
            </c:extLst>
          </c:dPt>
          <c:dPt>
            <c:idx val="10"/>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7-A9BC-4FB1-B173-69E31CE23A02}"/>
              </c:ext>
            </c:extLst>
          </c:dPt>
          <c:dPt>
            <c:idx val="11"/>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8-A9BC-4FB1-B173-69E31CE23A02}"/>
              </c:ext>
            </c:extLst>
          </c:dPt>
          <c:dPt>
            <c:idx val="12"/>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9-A9BC-4FB1-B173-69E31CE23A02}"/>
              </c:ext>
            </c:extLst>
          </c:dPt>
          <c:dPt>
            <c:idx val="13"/>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A-A9BC-4FB1-B173-69E31CE23A02}"/>
              </c:ext>
            </c:extLst>
          </c:dPt>
          <c:dPt>
            <c:idx val="14"/>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B-A9BC-4FB1-B173-69E31CE23A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Sheet1!$A$176:$B$190</c:f>
              <c:multiLvlStrCache>
                <c:ptCount val="15"/>
                <c:lvl>
                  <c:pt idx="0">
                    <c:v>Sm. </c:v>
                  </c:pt>
                  <c:pt idx="1">
                    <c:v>Med.</c:v>
                  </c:pt>
                  <c:pt idx="2">
                    <c:v>Lg.</c:v>
                  </c:pt>
                  <c:pt idx="3">
                    <c:v>Sm. </c:v>
                  </c:pt>
                  <c:pt idx="4">
                    <c:v>Med.</c:v>
                  </c:pt>
                  <c:pt idx="5">
                    <c:v>Lg.</c:v>
                  </c:pt>
                  <c:pt idx="6">
                    <c:v>Sm. </c:v>
                  </c:pt>
                  <c:pt idx="7">
                    <c:v>Med.</c:v>
                  </c:pt>
                  <c:pt idx="8">
                    <c:v>Lg.</c:v>
                  </c:pt>
                  <c:pt idx="9">
                    <c:v>Sm. </c:v>
                  </c:pt>
                  <c:pt idx="10">
                    <c:v>Med.</c:v>
                  </c:pt>
                  <c:pt idx="11">
                    <c:v>Lg.</c:v>
                  </c:pt>
                  <c:pt idx="12">
                    <c:v>Sm. </c:v>
                  </c:pt>
                  <c:pt idx="13">
                    <c:v>Med.</c:v>
                  </c:pt>
                  <c:pt idx="14">
                    <c:v>Lg.</c:v>
                  </c:pt>
                </c:lvl>
                <c:lvl>
                  <c:pt idx="0">
                    <c:v>Namibia2014</c:v>
                  </c:pt>
                  <c:pt idx="3">
                    <c:v>AFR37</c:v>
                  </c:pt>
                  <c:pt idx="6">
                    <c:v>Southern Africa</c:v>
                  </c:pt>
                  <c:pt idx="9">
                    <c:v>Upper middle income</c:v>
                  </c:pt>
                  <c:pt idx="12">
                    <c:v>LAC</c:v>
                  </c:pt>
                </c:lvl>
              </c:multiLvlStrCache>
            </c:multiLvlStrRef>
          </c:cat>
          <c:val>
            <c:numRef>
              <c:f>Sheet1!$D$176:$D$190</c:f>
              <c:numCache>
                <c:formatCode>0</c:formatCode>
                <c:ptCount val="15"/>
                <c:pt idx="0">
                  <c:v>29.496699999999922</c:v>
                </c:pt>
                <c:pt idx="1">
                  <c:v>53.432400000000001</c:v>
                </c:pt>
                <c:pt idx="2">
                  <c:v>31.366800000000001</c:v>
                </c:pt>
                <c:pt idx="3">
                  <c:v>29.425299999999918</c:v>
                </c:pt>
                <c:pt idx="4">
                  <c:v>48.118200000000002</c:v>
                </c:pt>
                <c:pt idx="5">
                  <c:v>59.801000000000002</c:v>
                </c:pt>
                <c:pt idx="6">
                  <c:v>17.721599999999945</c:v>
                </c:pt>
                <c:pt idx="7">
                  <c:v>30.166599999999946</c:v>
                </c:pt>
                <c:pt idx="8">
                  <c:v>44.470100000000002</c:v>
                </c:pt>
                <c:pt idx="9">
                  <c:v>27.9971</c:v>
                </c:pt>
                <c:pt idx="10">
                  <c:v>43.599400000000003</c:v>
                </c:pt>
                <c:pt idx="11">
                  <c:v>57.154000000000003</c:v>
                </c:pt>
                <c:pt idx="12">
                  <c:v>49.446000000000005</c:v>
                </c:pt>
                <c:pt idx="13">
                  <c:v>63.274900000000002</c:v>
                </c:pt>
                <c:pt idx="14">
                  <c:v>73.691100000000006</c:v>
                </c:pt>
              </c:numCache>
            </c:numRef>
          </c:val>
          <c:extLst xmlns:c16r2="http://schemas.microsoft.com/office/drawing/2015/06/chart">
            <c:ext xmlns:c16="http://schemas.microsoft.com/office/drawing/2014/chart" uri="{C3380CC4-5D6E-409C-BE32-E72D297353CC}">
              <c16:uniqueId val="{0000000C-A9BC-4FB1-B173-69E31CE23A02}"/>
            </c:ext>
          </c:extLst>
        </c:ser>
        <c:dLbls>
          <c:showLegendKey val="0"/>
          <c:showVal val="0"/>
          <c:showCatName val="0"/>
          <c:showSerName val="0"/>
          <c:showPercent val="0"/>
          <c:showBubbleSize val="0"/>
        </c:dLbls>
        <c:gapWidth val="75"/>
        <c:overlap val="15"/>
        <c:axId val="753303480"/>
        <c:axId val="753303872"/>
      </c:barChart>
      <c:catAx>
        <c:axId val="75330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303872"/>
        <c:crosses val="autoZero"/>
        <c:auto val="1"/>
        <c:lblAlgn val="ctr"/>
        <c:lblOffset val="100"/>
        <c:noMultiLvlLbl val="0"/>
      </c:catAx>
      <c:valAx>
        <c:axId val="7533038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30348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2023334605615866"/>
          <c:y val="0"/>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11490740740740735"/>
          <c:w val="0.90286351706036749"/>
          <c:h val="0.64952974628171645"/>
        </c:manualLayout>
      </c:layout>
      <c:barChart>
        <c:barDir val="col"/>
        <c:grouping val="clustered"/>
        <c:varyColors val="0"/>
        <c:ser>
          <c:idx val="0"/>
          <c:order val="0"/>
          <c:tx>
            <c:strRef>
              <c:f>Sheet1!$F$128</c:f>
              <c:strCache>
                <c:ptCount val="1"/>
                <c:pt idx="0">
                  <c:v>Percent of firms not needing a loan</c:v>
                </c:pt>
              </c:strCache>
            </c:strRef>
          </c:tx>
          <c:spPr>
            <a:solidFill>
              <a:schemeClr val="accent1"/>
            </a:solidFill>
            <a:ln>
              <a:noFill/>
            </a:ln>
            <a:effectLst/>
          </c:spPr>
          <c:invertIfNegative val="0"/>
          <c:dPt>
            <c:idx val="3"/>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0-C5B0-4824-BEFF-755D8119AB69}"/>
              </c:ext>
            </c:extLst>
          </c:dPt>
          <c:dPt>
            <c:idx val="4"/>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1-C5B0-4824-BEFF-755D8119AB69}"/>
              </c:ext>
            </c:extLst>
          </c:dPt>
          <c:dPt>
            <c:idx val="5"/>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2-C5B0-4824-BEFF-755D8119AB69}"/>
              </c:ext>
            </c:extLst>
          </c:dPt>
          <c:dPt>
            <c:idx val="6"/>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3-C5B0-4824-BEFF-755D8119AB69}"/>
              </c:ext>
            </c:extLst>
          </c:dPt>
          <c:dPt>
            <c:idx val="7"/>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4-C5B0-4824-BEFF-755D8119AB69}"/>
              </c:ext>
            </c:extLst>
          </c:dPt>
          <c:dPt>
            <c:idx val="8"/>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5-C5B0-4824-BEFF-755D8119AB69}"/>
              </c:ext>
            </c:extLst>
          </c:dPt>
          <c:dPt>
            <c:idx val="9"/>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6-C5B0-4824-BEFF-755D8119AB69}"/>
              </c:ext>
            </c:extLst>
          </c:dPt>
          <c:dPt>
            <c:idx val="10"/>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7-C5B0-4824-BEFF-755D8119AB69}"/>
              </c:ext>
            </c:extLst>
          </c:dPt>
          <c:dPt>
            <c:idx val="11"/>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8-C5B0-4824-BEFF-755D8119AB69}"/>
              </c:ext>
            </c:extLst>
          </c:dPt>
          <c:dPt>
            <c:idx val="12"/>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9-C5B0-4824-BEFF-755D8119AB69}"/>
              </c:ext>
            </c:extLst>
          </c:dPt>
          <c:dPt>
            <c:idx val="13"/>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A-C5B0-4824-BEFF-755D8119AB69}"/>
              </c:ext>
            </c:extLst>
          </c:dPt>
          <c:dPt>
            <c:idx val="14"/>
            <c:invertIfNegative val="0"/>
            <c:bubble3D val="0"/>
            <c:spPr>
              <a:solidFill>
                <a:schemeClr val="accent6">
                  <a:lumMod val="20000"/>
                  <a:lumOff val="80000"/>
                </a:schemeClr>
              </a:solidFill>
              <a:ln>
                <a:noFill/>
              </a:ln>
              <a:effectLst/>
            </c:spPr>
            <c:extLst xmlns:c16r2="http://schemas.microsoft.com/office/drawing/2015/06/chart">
              <c:ext xmlns:c16="http://schemas.microsoft.com/office/drawing/2014/chart" uri="{C3380CC4-5D6E-409C-BE32-E72D297353CC}">
                <c16:uniqueId val="{0000000B-C5B0-4824-BEFF-755D8119AB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Sheet1!$A$129:$B$143</c:f>
              <c:multiLvlStrCache>
                <c:ptCount val="15"/>
                <c:lvl>
                  <c:pt idx="0">
                    <c:v>Sm. </c:v>
                  </c:pt>
                  <c:pt idx="1">
                    <c:v>Med.</c:v>
                  </c:pt>
                  <c:pt idx="2">
                    <c:v>Lg.</c:v>
                  </c:pt>
                  <c:pt idx="3">
                    <c:v>Sm. </c:v>
                  </c:pt>
                  <c:pt idx="4">
                    <c:v>Med.</c:v>
                  </c:pt>
                  <c:pt idx="5">
                    <c:v>Lg.</c:v>
                  </c:pt>
                  <c:pt idx="6">
                    <c:v>Sm. </c:v>
                  </c:pt>
                  <c:pt idx="7">
                    <c:v>Med.</c:v>
                  </c:pt>
                  <c:pt idx="8">
                    <c:v>Lg.</c:v>
                  </c:pt>
                  <c:pt idx="9">
                    <c:v>Sm. </c:v>
                  </c:pt>
                  <c:pt idx="10">
                    <c:v>Med.</c:v>
                  </c:pt>
                  <c:pt idx="11">
                    <c:v>Lg.</c:v>
                  </c:pt>
                  <c:pt idx="12">
                    <c:v>Sm. </c:v>
                  </c:pt>
                  <c:pt idx="13">
                    <c:v>Med.</c:v>
                  </c:pt>
                  <c:pt idx="14">
                    <c:v>Lg.</c:v>
                  </c:pt>
                </c:lvl>
                <c:lvl>
                  <c:pt idx="0">
                    <c:v>Namibia2014</c:v>
                  </c:pt>
                  <c:pt idx="3">
                    <c:v>AFR37</c:v>
                  </c:pt>
                  <c:pt idx="6">
                    <c:v>Southern Africa</c:v>
                  </c:pt>
                  <c:pt idx="9">
                    <c:v>Upper middle income</c:v>
                  </c:pt>
                  <c:pt idx="12">
                    <c:v>LAC</c:v>
                  </c:pt>
                </c:lvl>
              </c:multiLvlStrCache>
            </c:multiLvlStrRef>
          </c:cat>
          <c:val>
            <c:numRef>
              <c:f>Sheet1!$F$129:$F$143</c:f>
              <c:numCache>
                <c:formatCode>0</c:formatCode>
                <c:ptCount val="15"/>
                <c:pt idx="0">
                  <c:v>43.986561000000002</c:v>
                </c:pt>
                <c:pt idx="1">
                  <c:v>57.903427000000001</c:v>
                </c:pt>
                <c:pt idx="2">
                  <c:v>79.925583000000003</c:v>
                </c:pt>
                <c:pt idx="3">
                  <c:v>33.760979000000013</c:v>
                </c:pt>
                <c:pt idx="4">
                  <c:v>37.338238000000011</c:v>
                </c:pt>
                <c:pt idx="5">
                  <c:v>45.147404000000002</c:v>
                </c:pt>
                <c:pt idx="6">
                  <c:v>33.965145000000099</c:v>
                </c:pt>
                <c:pt idx="7">
                  <c:v>40.582893000000006</c:v>
                </c:pt>
                <c:pt idx="8">
                  <c:v>50.836646999999999</c:v>
                </c:pt>
                <c:pt idx="9">
                  <c:v>46.524334000000003</c:v>
                </c:pt>
                <c:pt idx="10">
                  <c:v>42.831120000000006</c:v>
                </c:pt>
                <c:pt idx="11">
                  <c:v>43.971057999999999</c:v>
                </c:pt>
                <c:pt idx="12">
                  <c:v>43.299488000000011</c:v>
                </c:pt>
                <c:pt idx="13">
                  <c:v>39.365425000000002</c:v>
                </c:pt>
                <c:pt idx="14">
                  <c:v>42.011391000000003</c:v>
                </c:pt>
              </c:numCache>
            </c:numRef>
          </c:val>
          <c:extLst xmlns:c16r2="http://schemas.microsoft.com/office/drawing/2015/06/chart">
            <c:ext xmlns:c16="http://schemas.microsoft.com/office/drawing/2014/chart" uri="{C3380CC4-5D6E-409C-BE32-E72D297353CC}">
              <c16:uniqueId val="{0000000C-C5B0-4824-BEFF-755D8119AB69}"/>
            </c:ext>
          </c:extLst>
        </c:ser>
        <c:dLbls>
          <c:showLegendKey val="0"/>
          <c:showVal val="0"/>
          <c:showCatName val="0"/>
          <c:showSerName val="0"/>
          <c:showPercent val="0"/>
          <c:showBubbleSize val="0"/>
        </c:dLbls>
        <c:gapWidth val="50"/>
        <c:axId val="753304656"/>
        <c:axId val="753009728"/>
      </c:barChart>
      <c:catAx>
        <c:axId val="75330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53009728"/>
        <c:crosses val="autoZero"/>
        <c:auto val="1"/>
        <c:lblAlgn val="ctr"/>
        <c:lblOffset val="100"/>
        <c:noMultiLvlLbl val="0"/>
      </c:catAx>
      <c:valAx>
        <c:axId val="753009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30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522B9-C1B4-4723-86E3-1AA5EC79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7714</Words>
  <Characters>43976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Granata</dc:creator>
  <cp:lastModifiedBy>Melanie S. Mbuyi</cp:lastModifiedBy>
  <cp:revision>2</cp:revision>
  <dcterms:created xsi:type="dcterms:W3CDTF">2016-11-09T20:08:00Z</dcterms:created>
  <dcterms:modified xsi:type="dcterms:W3CDTF">2016-11-09T20:08:00Z</dcterms:modified>
</cp:coreProperties>
</file>