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D277D" w14:textId="77777777" w:rsidR="00F06C53" w:rsidRDefault="00F06C53" w:rsidP="008300D5">
      <w:pPr>
        <w:autoSpaceDE w:val="0"/>
        <w:autoSpaceDN w:val="0"/>
        <w:adjustRightInd w:val="0"/>
        <w:spacing w:before="120" w:after="120" w:line="360" w:lineRule="auto"/>
        <w:jc w:val="center"/>
        <w:rPr>
          <w:rFonts w:ascii="Times New Roman" w:hAnsi="Times New Roman" w:cs="Times New Roman"/>
          <w:b/>
          <w:bCs/>
        </w:rPr>
      </w:pPr>
    </w:p>
    <w:p w14:paraId="551F99FA" w14:textId="77777777" w:rsidR="00F06C53" w:rsidRDefault="00F06C53" w:rsidP="008300D5">
      <w:pPr>
        <w:autoSpaceDE w:val="0"/>
        <w:autoSpaceDN w:val="0"/>
        <w:adjustRightInd w:val="0"/>
        <w:spacing w:before="120" w:after="120" w:line="360" w:lineRule="auto"/>
        <w:jc w:val="center"/>
        <w:rPr>
          <w:rFonts w:ascii="Times New Roman" w:hAnsi="Times New Roman" w:cs="Times New Roman"/>
          <w:b/>
          <w:bCs/>
        </w:rPr>
      </w:pPr>
    </w:p>
    <w:p w14:paraId="4508B674" w14:textId="77777777" w:rsidR="00F06C53" w:rsidRDefault="00F06C53" w:rsidP="008300D5">
      <w:pPr>
        <w:autoSpaceDE w:val="0"/>
        <w:autoSpaceDN w:val="0"/>
        <w:adjustRightInd w:val="0"/>
        <w:spacing w:before="120" w:after="120" w:line="360" w:lineRule="auto"/>
        <w:jc w:val="center"/>
        <w:rPr>
          <w:rFonts w:ascii="Times New Roman" w:hAnsi="Times New Roman" w:cs="Times New Roman"/>
          <w:b/>
          <w:bCs/>
        </w:rPr>
      </w:pPr>
    </w:p>
    <w:p w14:paraId="5FEDCF4A" w14:textId="62194E20" w:rsidR="00F06C53" w:rsidRDefault="00F06C53" w:rsidP="008300D5">
      <w:pPr>
        <w:autoSpaceDE w:val="0"/>
        <w:autoSpaceDN w:val="0"/>
        <w:adjustRightInd w:val="0"/>
        <w:spacing w:before="120" w:after="120" w:line="360" w:lineRule="auto"/>
        <w:jc w:val="center"/>
        <w:rPr>
          <w:rFonts w:ascii="Times New Roman" w:hAnsi="Times New Roman" w:cs="Times New Roman"/>
          <w:b/>
          <w:bCs/>
        </w:rPr>
      </w:pPr>
      <w:r>
        <w:rPr>
          <w:rFonts w:ascii="Times New Roman" w:hAnsi="Times New Roman" w:cs="Times New Roman"/>
          <w:b/>
          <w:bCs/>
        </w:rPr>
        <w:t>REPUBLIC OF GHANA</w:t>
      </w:r>
    </w:p>
    <w:p w14:paraId="7FD71B28" w14:textId="7A39BF32" w:rsidR="00F06C53" w:rsidRDefault="00F06C53" w:rsidP="008300D5">
      <w:pPr>
        <w:autoSpaceDE w:val="0"/>
        <w:autoSpaceDN w:val="0"/>
        <w:adjustRightInd w:val="0"/>
        <w:spacing w:before="120" w:after="120" w:line="360" w:lineRule="auto"/>
        <w:jc w:val="center"/>
        <w:rPr>
          <w:rFonts w:ascii="Times New Roman" w:hAnsi="Times New Roman" w:cs="Times New Roman"/>
          <w:b/>
          <w:bCs/>
        </w:rPr>
      </w:pPr>
    </w:p>
    <w:p w14:paraId="418F7ADA" w14:textId="3868CD4B" w:rsidR="00F06C53" w:rsidRDefault="00F06C53" w:rsidP="008300D5">
      <w:pPr>
        <w:autoSpaceDE w:val="0"/>
        <w:autoSpaceDN w:val="0"/>
        <w:adjustRightInd w:val="0"/>
        <w:spacing w:before="120" w:after="120" w:line="360" w:lineRule="auto"/>
        <w:jc w:val="center"/>
        <w:rPr>
          <w:rFonts w:ascii="Times New Roman" w:hAnsi="Times New Roman" w:cs="Times New Roman"/>
          <w:b/>
          <w:bCs/>
        </w:rPr>
      </w:pPr>
    </w:p>
    <w:p w14:paraId="279896C1" w14:textId="77777777" w:rsidR="00F06C53" w:rsidRDefault="00F06C53" w:rsidP="008300D5">
      <w:pPr>
        <w:autoSpaceDE w:val="0"/>
        <w:autoSpaceDN w:val="0"/>
        <w:adjustRightInd w:val="0"/>
        <w:spacing w:before="120" w:after="120" w:line="360" w:lineRule="auto"/>
        <w:jc w:val="center"/>
        <w:rPr>
          <w:rFonts w:ascii="Times New Roman" w:hAnsi="Times New Roman" w:cs="Times New Roman"/>
          <w:b/>
          <w:bCs/>
        </w:rPr>
      </w:pPr>
    </w:p>
    <w:p w14:paraId="2A72C615" w14:textId="51830EFC" w:rsidR="00E65846" w:rsidRPr="00F06C53" w:rsidRDefault="00E65846" w:rsidP="008300D5">
      <w:pPr>
        <w:autoSpaceDE w:val="0"/>
        <w:autoSpaceDN w:val="0"/>
        <w:adjustRightInd w:val="0"/>
        <w:spacing w:before="120" w:after="120" w:line="360" w:lineRule="auto"/>
        <w:jc w:val="center"/>
        <w:rPr>
          <w:rFonts w:ascii="Times New Roman" w:hAnsi="Times New Roman" w:cs="Times New Roman"/>
          <w:b/>
          <w:bCs/>
          <w:sz w:val="24"/>
          <w:szCs w:val="24"/>
        </w:rPr>
      </w:pPr>
      <w:r w:rsidRPr="00F06C53">
        <w:rPr>
          <w:rFonts w:ascii="Times New Roman" w:hAnsi="Times New Roman" w:cs="Times New Roman"/>
          <w:b/>
          <w:bCs/>
          <w:sz w:val="24"/>
          <w:szCs w:val="24"/>
        </w:rPr>
        <w:t>E</w:t>
      </w:r>
      <w:r w:rsidR="00F06C53" w:rsidRPr="00F06C53">
        <w:rPr>
          <w:rFonts w:ascii="Times New Roman" w:hAnsi="Times New Roman" w:cs="Times New Roman"/>
          <w:b/>
          <w:bCs/>
          <w:sz w:val="24"/>
          <w:szCs w:val="24"/>
        </w:rPr>
        <w:t xml:space="preserve">NVIRONMENTAL AND SOCIAL </w:t>
      </w:r>
      <w:r w:rsidR="0021086C">
        <w:rPr>
          <w:rFonts w:ascii="Times New Roman" w:hAnsi="Times New Roman" w:cs="Times New Roman"/>
          <w:b/>
          <w:bCs/>
          <w:sz w:val="24"/>
          <w:szCs w:val="24"/>
        </w:rPr>
        <w:t xml:space="preserve">SYSTEMS </w:t>
      </w:r>
      <w:r w:rsidR="00F06C53" w:rsidRPr="00F06C53">
        <w:rPr>
          <w:rFonts w:ascii="Times New Roman" w:hAnsi="Times New Roman" w:cs="Times New Roman"/>
          <w:b/>
          <w:bCs/>
          <w:sz w:val="24"/>
          <w:szCs w:val="24"/>
        </w:rPr>
        <w:t>ASSESSMENT (ESSA)</w:t>
      </w:r>
      <w:r w:rsidRPr="00F06C53">
        <w:rPr>
          <w:rFonts w:ascii="Times New Roman" w:hAnsi="Times New Roman" w:cs="Times New Roman"/>
          <w:b/>
          <w:bCs/>
          <w:sz w:val="24"/>
          <w:szCs w:val="24"/>
        </w:rPr>
        <w:t xml:space="preserve"> </w:t>
      </w:r>
    </w:p>
    <w:p w14:paraId="5C2360A0" w14:textId="51E750E2" w:rsidR="00F06C53" w:rsidRDefault="00F06C53" w:rsidP="008300D5">
      <w:pPr>
        <w:autoSpaceDE w:val="0"/>
        <w:autoSpaceDN w:val="0"/>
        <w:adjustRightInd w:val="0"/>
        <w:spacing w:before="120" w:after="120" w:line="360" w:lineRule="auto"/>
        <w:jc w:val="center"/>
        <w:rPr>
          <w:rFonts w:ascii="Times New Roman" w:hAnsi="Times New Roman" w:cs="Times New Roman"/>
          <w:b/>
          <w:bCs/>
        </w:rPr>
      </w:pPr>
      <w:r>
        <w:rPr>
          <w:rFonts w:ascii="Times New Roman" w:hAnsi="Times New Roman" w:cs="Times New Roman"/>
          <w:b/>
          <w:bCs/>
        </w:rPr>
        <w:t xml:space="preserve">FOR THE </w:t>
      </w:r>
    </w:p>
    <w:p w14:paraId="31B5FB0E" w14:textId="5C5054F9" w:rsidR="00F06C53" w:rsidRDefault="00F06C53" w:rsidP="00F06C53">
      <w:pPr>
        <w:autoSpaceDE w:val="0"/>
        <w:autoSpaceDN w:val="0"/>
        <w:adjustRightInd w:val="0"/>
        <w:spacing w:before="120" w:after="120" w:line="360" w:lineRule="auto"/>
        <w:jc w:val="center"/>
        <w:rPr>
          <w:rFonts w:ascii="Times New Roman" w:hAnsi="Times New Roman" w:cs="Times New Roman"/>
          <w:b/>
          <w:bCs/>
          <w:sz w:val="24"/>
          <w:szCs w:val="24"/>
        </w:rPr>
      </w:pPr>
      <w:r w:rsidRPr="00E15C04">
        <w:rPr>
          <w:rFonts w:ascii="Times New Roman" w:hAnsi="Times New Roman" w:cs="Times New Roman"/>
          <w:b/>
          <w:bCs/>
          <w:sz w:val="24"/>
          <w:szCs w:val="24"/>
        </w:rPr>
        <w:t>GHANA SECONDARY CITIES SUPPORT PROGRAM</w:t>
      </w:r>
    </w:p>
    <w:p w14:paraId="10D8AE39" w14:textId="77777777" w:rsidR="00E15C04" w:rsidRPr="00E15C04" w:rsidRDefault="00E15C04" w:rsidP="00F06C53">
      <w:pPr>
        <w:autoSpaceDE w:val="0"/>
        <w:autoSpaceDN w:val="0"/>
        <w:adjustRightInd w:val="0"/>
        <w:spacing w:before="120" w:after="120" w:line="360" w:lineRule="auto"/>
        <w:jc w:val="center"/>
        <w:rPr>
          <w:rFonts w:ascii="Times New Roman" w:hAnsi="Times New Roman" w:cs="Times New Roman"/>
          <w:b/>
          <w:bCs/>
          <w:sz w:val="24"/>
          <w:szCs w:val="24"/>
        </w:rPr>
      </w:pPr>
    </w:p>
    <w:p w14:paraId="1A4885B8" w14:textId="6B836932" w:rsidR="00E15C04" w:rsidRDefault="00E15C04" w:rsidP="00E15C04">
      <w:pPr>
        <w:autoSpaceDE w:val="0"/>
        <w:autoSpaceDN w:val="0"/>
        <w:adjustRightInd w:val="0"/>
        <w:spacing w:before="120" w:after="120" w:line="360" w:lineRule="auto"/>
        <w:jc w:val="center"/>
        <w:rPr>
          <w:rFonts w:ascii="Times New Roman" w:hAnsi="Times New Roman" w:cs="Times New Roman"/>
          <w:b/>
          <w:bCs/>
        </w:rPr>
      </w:pPr>
      <w:r>
        <w:rPr>
          <w:rFonts w:ascii="Times New Roman" w:hAnsi="Times New Roman" w:cs="Times New Roman"/>
          <w:b/>
          <w:bCs/>
        </w:rPr>
        <w:t>PROGRAM- FOR- RESUL</w:t>
      </w:r>
      <w:r w:rsidR="007D394C">
        <w:rPr>
          <w:rFonts w:ascii="Times New Roman" w:hAnsi="Times New Roman" w:cs="Times New Roman"/>
          <w:b/>
          <w:bCs/>
        </w:rPr>
        <w:t>T</w:t>
      </w:r>
      <w:r>
        <w:rPr>
          <w:rFonts w:ascii="Times New Roman" w:hAnsi="Times New Roman" w:cs="Times New Roman"/>
          <w:b/>
          <w:bCs/>
        </w:rPr>
        <w:t xml:space="preserve">S FINANCING </w:t>
      </w:r>
    </w:p>
    <w:p w14:paraId="324BA011" w14:textId="77777777" w:rsidR="00E15C04" w:rsidRPr="00F06C53" w:rsidRDefault="00E15C04" w:rsidP="00F06C53">
      <w:pPr>
        <w:autoSpaceDE w:val="0"/>
        <w:autoSpaceDN w:val="0"/>
        <w:adjustRightInd w:val="0"/>
        <w:spacing w:before="120" w:after="120" w:line="360" w:lineRule="auto"/>
        <w:jc w:val="center"/>
        <w:rPr>
          <w:rFonts w:ascii="Times New Roman" w:hAnsi="Times New Roman" w:cs="Times New Roman"/>
          <w:b/>
          <w:bCs/>
        </w:rPr>
      </w:pPr>
    </w:p>
    <w:p w14:paraId="3216DA00" w14:textId="2D6D25BF" w:rsidR="00F06C53" w:rsidRDefault="00F06C53" w:rsidP="008300D5">
      <w:pPr>
        <w:autoSpaceDE w:val="0"/>
        <w:autoSpaceDN w:val="0"/>
        <w:adjustRightInd w:val="0"/>
        <w:spacing w:before="120" w:after="120" w:line="360" w:lineRule="auto"/>
        <w:jc w:val="center"/>
        <w:rPr>
          <w:rFonts w:ascii="Times New Roman" w:hAnsi="Times New Roman" w:cs="Times New Roman"/>
          <w:b/>
          <w:bCs/>
        </w:rPr>
      </w:pPr>
    </w:p>
    <w:p w14:paraId="4F4DEC2C" w14:textId="7B6A4160" w:rsidR="00F06C53" w:rsidRDefault="00F06C53" w:rsidP="008300D5">
      <w:pPr>
        <w:autoSpaceDE w:val="0"/>
        <w:autoSpaceDN w:val="0"/>
        <w:adjustRightInd w:val="0"/>
        <w:spacing w:before="120" w:after="120" w:line="360" w:lineRule="auto"/>
        <w:jc w:val="center"/>
        <w:rPr>
          <w:rFonts w:ascii="Times New Roman" w:hAnsi="Times New Roman" w:cs="Times New Roman"/>
          <w:b/>
          <w:bCs/>
        </w:rPr>
      </w:pPr>
    </w:p>
    <w:p w14:paraId="365B0792" w14:textId="2359940C" w:rsidR="00F06C53" w:rsidRDefault="00F06C53" w:rsidP="008300D5">
      <w:pPr>
        <w:autoSpaceDE w:val="0"/>
        <w:autoSpaceDN w:val="0"/>
        <w:adjustRightInd w:val="0"/>
        <w:spacing w:before="120" w:after="120" w:line="360" w:lineRule="auto"/>
        <w:jc w:val="center"/>
        <w:rPr>
          <w:rFonts w:ascii="Times New Roman" w:hAnsi="Times New Roman" w:cs="Times New Roman"/>
          <w:b/>
          <w:bCs/>
        </w:rPr>
      </w:pPr>
      <w:r>
        <w:rPr>
          <w:rFonts w:ascii="Times New Roman" w:hAnsi="Times New Roman" w:cs="Times New Roman"/>
          <w:b/>
          <w:bCs/>
        </w:rPr>
        <w:t xml:space="preserve">Prepared by the </w:t>
      </w:r>
    </w:p>
    <w:p w14:paraId="3E914C27" w14:textId="364B891E" w:rsidR="00F06C53" w:rsidRDefault="00F06C53" w:rsidP="008300D5">
      <w:pPr>
        <w:autoSpaceDE w:val="0"/>
        <w:autoSpaceDN w:val="0"/>
        <w:adjustRightInd w:val="0"/>
        <w:spacing w:before="120" w:after="120" w:line="360" w:lineRule="auto"/>
        <w:jc w:val="center"/>
        <w:rPr>
          <w:rFonts w:ascii="Times New Roman" w:hAnsi="Times New Roman" w:cs="Times New Roman"/>
          <w:b/>
          <w:bCs/>
        </w:rPr>
      </w:pPr>
      <w:r>
        <w:rPr>
          <w:rFonts w:ascii="Times New Roman" w:hAnsi="Times New Roman" w:cs="Times New Roman"/>
          <w:b/>
          <w:bCs/>
        </w:rPr>
        <w:t>WORLD BANK</w:t>
      </w:r>
    </w:p>
    <w:p w14:paraId="0AD82622" w14:textId="08709447" w:rsidR="00F06C53" w:rsidRPr="00F06C53" w:rsidRDefault="00F06C53" w:rsidP="008300D5">
      <w:pPr>
        <w:autoSpaceDE w:val="0"/>
        <w:autoSpaceDN w:val="0"/>
        <w:adjustRightInd w:val="0"/>
        <w:spacing w:before="120" w:after="120" w:line="360" w:lineRule="auto"/>
        <w:jc w:val="center"/>
        <w:rPr>
          <w:rFonts w:ascii="Times New Roman" w:hAnsi="Times New Roman" w:cs="Times New Roman"/>
          <w:b/>
          <w:bCs/>
        </w:rPr>
      </w:pPr>
      <w:r>
        <w:rPr>
          <w:rFonts w:ascii="Times New Roman" w:hAnsi="Times New Roman" w:cs="Times New Roman"/>
          <w:b/>
          <w:bCs/>
        </w:rPr>
        <w:t>DRAFT: MA</w:t>
      </w:r>
      <w:r w:rsidR="00186A4E">
        <w:rPr>
          <w:rFonts w:ascii="Times New Roman" w:hAnsi="Times New Roman" w:cs="Times New Roman"/>
          <w:b/>
          <w:bCs/>
        </w:rPr>
        <w:t>Y</w:t>
      </w:r>
      <w:r>
        <w:rPr>
          <w:rFonts w:ascii="Times New Roman" w:hAnsi="Times New Roman" w:cs="Times New Roman"/>
          <w:b/>
          <w:bCs/>
        </w:rPr>
        <w:t xml:space="preserve"> 2018</w:t>
      </w:r>
    </w:p>
    <w:p w14:paraId="1025E335" w14:textId="211C0E25" w:rsidR="00F06C53" w:rsidRDefault="00F06C53">
      <w:pPr>
        <w:rPr>
          <w:rFonts w:ascii="Times New Roman" w:hAnsi="Times New Roman" w:cs="Times New Roman"/>
          <w:b/>
          <w:bCs/>
        </w:rPr>
      </w:pPr>
      <w:r>
        <w:rPr>
          <w:rFonts w:ascii="Times New Roman" w:hAnsi="Times New Roman" w:cs="Times New Roman"/>
          <w:b/>
          <w:bCs/>
        </w:rPr>
        <w:br w:type="page"/>
      </w:r>
    </w:p>
    <w:p w14:paraId="4C576879" w14:textId="6FB44671" w:rsidR="00E65846" w:rsidRPr="00F06C53" w:rsidRDefault="003E2BD8" w:rsidP="008300D5">
      <w:pPr>
        <w:autoSpaceDE w:val="0"/>
        <w:autoSpaceDN w:val="0"/>
        <w:adjustRightInd w:val="0"/>
        <w:spacing w:before="120" w:after="120" w:line="360" w:lineRule="auto"/>
        <w:jc w:val="center"/>
        <w:rPr>
          <w:rFonts w:ascii="Times New Roman" w:hAnsi="Times New Roman" w:cs="Times New Roman"/>
          <w:b/>
          <w:bCs/>
        </w:rPr>
      </w:pPr>
      <w:r>
        <w:rPr>
          <w:rFonts w:ascii="Times New Roman" w:hAnsi="Times New Roman" w:cs="Times New Roman"/>
          <w:b/>
          <w:bCs/>
        </w:rPr>
        <w:lastRenderedPageBreak/>
        <w:t xml:space="preserve">Table of content </w:t>
      </w:r>
    </w:p>
    <w:p w14:paraId="782F651D" w14:textId="2AFA1AB7" w:rsidR="00D7405F" w:rsidRDefault="00786ADE">
      <w:pPr>
        <w:pStyle w:val="TOC2"/>
        <w:tabs>
          <w:tab w:val="right" w:leader="dot" w:pos="9494"/>
        </w:tabs>
        <w:rPr>
          <w:rFonts w:asciiTheme="minorHAnsi" w:eastAsiaTheme="minorEastAsia" w:hAnsiTheme="minorHAnsi" w:cstheme="minorBidi"/>
          <w:smallCaps w:val="0"/>
          <w:noProof/>
          <w:sz w:val="22"/>
          <w:szCs w:val="22"/>
        </w:rPr>
      </w:pPr>
      <w:r>
        <w:rPr>
          <w:rFonts w:ascii="Times New Roman" w:hAnsi="Times New Roman"/>
          <w:b/>
          <w:bCs/>
        </w:rPr>
        <w:fldChar w:fldCharType="begin"/>
      </w:r>
      <w:r>
        <w:rPr>
          <w:rFonts w:ascii="Times New Roman" w:hAnsi="Times New Roman"/>
          <w:b/>
          <w:bCs/>
        </w:rPr>
        <w:instrText xml:space="preserve"> TOC \o "1-3" \h \z \u </w:instrText>
      </w:r>
      <w:r>
        <w:rPr>
          <w:rFonts w:ascii="Times New Roman" w:hAnsi="Times New Roman"/>
          <w:b/>
          <w:bCs/>
        </w:rPr>
        <w:fldChar w:fldCharType="separate"/>
      </w:r>
      <w:hyperlink w:anchor="_Toc508892816" w:history="1">
        <w:r w:rsidR="00D7405F" w:rsidRPr="007D549D">
          <w:rPr>
            <w:rStyle w:val="Hyperlink"/>
            <w:noProof/>
          </w:rPr>
          <w:t>List of Abbreviations and Acronyms</w:t>
        </w:r>
        <w:r w:rsidR="00D7405F">
          <w:rPr>
            <w:noProof/>
            <w:webHidden/>
          </w:rPr>
          <w:tab/>
        </w:r>
        <w:r w:rsidR="00D7405F">
          <w:rPr>
            <w:noProof/>
            <w:webHidden/>
          </w:rPr>
          <w:fldChar w:fldCharType="begin"/>
        </w:r>
        <w:r w:rsidR="00D7405F">
          <w:rPr>
            <w:noProof/>
            <w:webHidden/>
          </w:rPr>
          <w:instrText xml:space="preserve"> PAGEREF _Toc508892816 \h </w:instrText>
        </w:r>
        <w:r w:rsidR="00D7405F">
          <w:rPr>
            <w:noProof/>
            <w:webHidden/>
          </w:rPr>
        </w:r>
        <w:r w:rsidR="00D7405F">
          <w:rPr>
            <w:noProof/>
            <w:webHidden/>
          </w:rPr>
          <w:fldChar w:fldCharType="separate"/>
        </w:r>
        <w:r w:rsidR="00D7405F">
          <w:rPr>
            <w:noProof/>
            <w:webHidden/>
          </w:rPr>
          <w:t>2</w:t>
        </w:r>
        <w:r w:rsidR="00D7405F">
          <w:rPr>
            <w:noProof/>
            <w:webHidden/>
          </w:rPr>
          <w:fldChar w:fldCharType="end"/>
        </w:r>
      </w:hyperlink>
    </w:p>
    <w:p w14:paraId="4D470B3C" w14:textId="4F707D5F" w:rsidR="00D7405F" w:rsidRDefault="00F4337E">
      <w:pPr>
        <w:pStyle w:val="TOC2"/>
        <w:tabs>
          <w:tab w:val="right" w:leader="dot" w:pos="9494"/>
        </w:tabs>
        <w:rPr>
          <w:rFonts w:asciiTheme="minorHAnsi" w:eastAsiaTheme="minorEastAsia" w:hAnsiTheme="minorHAnsi" w:cstheme="minorBidi"/>
          <w:smallCaps w:val="0"/>
          <w:noProof/>
          <w:sz w:val="22"/>
          <w:szCs w:val="22"/>
        </w:rPr>
      </w:pPr>
      <w:hyperlink w:anchor="_Toc508892817" w:history="1">
        <w:r w:rsidR="00D7405F" w:rsidRPr="007D549D">
          <w:rPr>
            <w:rStyle w:val="Hyperlink"/>
            <w:noProof/>
          </w:rPr>
          <w:t>Executive Summary</w:t>
        </w:r>
        <w:r w:rsidR="00D7405F">
          <w:rPr>
            <w:noProof/>
            <w:webHidden/>
          </w:rPr>
          <w:tab/>
        </w:r>
        <w:r w:rsidR="00D7405F">
          <w:rPr>
            <w:noProof/>
            <w:webHidden/>
          </w:rPr>
          <w:fldChar w:fldCharType="begin"/>
        </w:r>
        <w:r w:rsidR="00D7405F">
          <w:rPr>
            <w:noProof/>
            <w:webHidden/>
          </w:rPr>
          <w:instrText xml:space="preserve"> PAGEREF _Toc508892817 \h </w:instrText>
        </w:r>
        <w:r w:rsidR="00D7405F">
          <w:rPr>
            <w:noProof/>
            <w:webHidden/>
          </w:rPr>
        </w:r>
        <w:r w:rsidR="00D7405F">
          <w:rPr>
            <w:noProof/>
            <w:webHidden/>
          </w:rPr>
          <w:fldChar w:fldCharType="separate"/>
        </w:r>
        <w:r w:rsidR="00D7405F">
          <w:rPr>
            <w:noProof/>
            <w:webHidden/>
          </w:rPr>
          <w:t>3</w:t>
        </w:r>
        <w:r w:rsidR="00D7405F">
          <w:rPr>
            <w:noProof/>
            <w:webHidden/>
          </w:rPr>
          <w:fldChar w:fldCharType="end"/>
        </w:r>
      </w:hyperlink>
    </w:p>
    <w:p w14:paraId="3986E6D2" w14:textId="7F8BFBDE" w:rsidR="00D7405F" w:rsidRDefault="00F4337E">
      <w:pPr>
        <w:pStyle w:val="TOC2"/>
        <w:tabs>
          <w:tab w:val="right" w:leader="dot" w:pos="9494"/>
        </w:tabs>
        <w:rPr>
          <w:rFonts w:asciiTheme="minorHAnsi" w:eastAsiaTheme="minorEastAsia" w:hAnsiTheme="minorHAnsi" w:cstheme="minorBidi"/>
          <w:smallCaps w:val="0"/>
          <w:noProof/>
          <w:sz w:val="22"/>
          <w:szCs w:val="22"/>
        </w:rPr>
      </w:pPr>
      <w:hyperlink w:anchor="_Toc508892818" w:history="1">
        <w:r w:rsidR="00D7405F" w:rsidRPr="007D549D">
          <w:rPr>
            <w:rStyle w:val="Hyperlink"/>
            <w:noProof/>
          </w:rPr>
          <w:t>Section I: Program Description</w:t>
        </w:r>
        <w:r w:rsidR="00D7405F">
          <w:rPr>
            <w:noProof/>
            <w:webHidden/>
          </w:rPr>
          <w:tab/>
        </w:r>
        <w:r w:rsidR="00D7405F">
          <w:rPr>
            <w:noProof/>
            <w:webHidden/>
          </w:rPr>
          <w:fldChar w:fldCharType="begin"/>
        </w:r>
        <w:r w:rsidR="00D7405F">
          <w:rPr>
            <w:noProof/>
            <w:webHidden/>
          </w:rPr>
          <w:instrText xml:space="preserve"> PAGEREF _Toc508892818 \h </w:instrText>
        </w:r>
        <w:r w:rsidR="00D7405F">
          <w:rPr>
            <w:noProof/>
            <w:webHidden/>
          </w:rPr>
        </w:r>
        <w:r w:rsidR="00D7405F">
          <w:rPr>
            <w:noProof/>
            <w:webHidden/>
          </w:rPr>
          <w:fldChar w:fldCharType="separate"/>
        </w:r>
        <w:r w:rsidR="00D7405F">
          <w:rPr>
            <w:noProof/>
            <w:webHidden/>
          </w:rPr>
          <w:t>4</w:t>
        </w:r>
        <w:r w:rsidR="00D7405F">
          <w:rPr>
            <w:noProof/>
            <w:webHidden/>
          </w:rPr>
          <w:fldChar w:fldCharType="end"/>
        </w:r>
      </w:hyperlink>
    </w:p>
    <w:p w14:paraId="0751E0F5" w14:textId="0A273A55" w:rsidR="00D7405F" w:rsidRDefault="00F4337E">
      <w:pPr>
        <w:pStyle w:val="TOC2"/>
        <w:tabs>
          <w:tab w:val="right" w:leader="dot" w:pos="9494"/>
        </w:tabs>
        <w:rPr>
          <w:rFonts w:asciiTheme="minorHAnsi" w:eastAsiaTheme="minorEastAsia" w:hAnsiTheme="minorHAnsi" w:cstheme="minorBidi"/>
          <w:smallCaps w:val="0"/>
          <w:noProof/>
          <w:sz w:val="22"/>
          <w:szCs w:val="22"/>
        </w:rPr>
      </w:pPr>
      <w:hyperlink w:anchor="_Toc508892819" w:history="1">
        <w:r w:rsidR="00D7405F" w:rsidRPr="007D549D">
          <w:rPr>
            <w:rStyle w:val="Hyperlink"/>
            <w:noProof/>
          </w:rPr>
          <w:t>Section II: Methodology</w:t>
        </w:r>
        <w:r w:rsidR="00D7405F">
          <w:rPr>
            <w:noProof/>
            <w:webHidden/>
          </w:rPr>
          <w:tab/>
        </w:r>
        <w:r w:rsidR="00D7405F">
          <w:rPr>
            <w:noProof/>
            <w:webHidden/>
          </w:rPr>
          <w:fldChar w:fldCharType="begin"/>
        </w:r>
        <w:r w:rsidR="00D7405F">
          <w:rPr>
            <w:noProof/>
            <w:webHidden/>
          </w:rPr>
          <w:instrText xml:space="preserve"> PAGEREF _Toc508892819 \h </w:instrText>
        </w:r>
        <w:r w:rsidR="00D7405F">
          <w:rPr>
            <w:noProof/>
            <w:webHidden/>
          </w:rPr>
        </w:r>
        <w:r w:rsidR="00D7405F">
          <w:rPr>
            <w:noProof/>
            <w:webHidden/>
          </w:rPr>
          <w:fldChar w:fldCharType="separate"/>
        </w:r>
        <w:r w:rsidR="00D7405F">
          <w:rPr>
            <w:noProof/>
            <w:webHidden/>
          </w:rPr>
          <w:t>7</w:t>
        </w:r>
        <w:r w:rsidR="00D7405F">
          <w:rPr>
            <w:noProof/>
            <w:webHidden/>
          </w:rPr>
          <w:fldChar w:fldCharType="end"/>
        </w:r>
      </w:hyperlink>
    </w:p>
    <w:p w14:paraId="6B2FC23C" w14:textId="4AF4538A" w:rsidR="00D7405F" w:rsidRDefault="00F4337E">
      <w:pPr>
        <w:pStyle w:val="TOC2"/>
        <w:tabs>
          <w:tab w:val="right" w:leader="dot" w:pos="9494"/>
        </w:tabs>
        <w:rPr>
          <w:rFonts w:asciiTheme="minorHAnsi" w:eastAsiaTheme="minorEastAsia" w:hAnsiTheme="minorHAnsi" w:cstheme="minorBidi"/>
          <w:smallCaps w:val="0"/>
          <w:noProof/>
          <w:sz w:val="22"/>
          <w:szCs w:val="22"/>
        </w:rPr>
      </w:pPr>
      <w:hyperlink w:anchor="_Toc508892820" w:history="1">
        <w:r w:rsidR="00D7405F" w:rsidRPr="007D549D">
          <w:rPr>
            <w:rStyle w:val="Hyperlink"/>
            <w:noProof/>
          </w:rPr>
          <w:t>Section III: Description of Environmental and Social Risks Associated with the Program</w:t>
        </w:r>
        <w:r w:rsidR="00D7405F">
          <w:rPr>
            <w:noProof/>
            <w:webHidden/>
          </w:rPr>
          <w:tab/>
        </w:r>
        <w:r w:rsidR="00D7405F">
          <w:rPr>
            <w:noProof/>
            <w:webHidden/>
          </w:rPr>
          <w:fldChar w:fldCharType="begin"/>
        </w:r>
        <w:r w:rsidR="00D7405F">
          <w:rPr>
            <w:noProof/>
            <w:webHidden/>
          </w:rPr>
          <w:instrText xml:space="preserve"> PAGEREF _Toc508892820 \h </w:instrText>
        </w:r>
        <w:r w:rsidR="00D7405F">
          <w:rPr>
            <w:noProof/>
            <w:webHidden/>
          </w:rPr>
        </w:r>
        <w:r w:rsidR="00D7405F">
          <w:rPr>
            <w:noProof/>
            <w:webHidden/>
          </w:rPr>
          <w:fldChar w:fldCharType="separate"/>
        </w:r>
        <w:r w:rsidR="00D7405F">
          <w:rPr>
            <w:noProof/>
            <w:webHidden/>
          </w:rPr>
          <w:t>8</w:t>
        </w:r>
        <w:r w:rsidR="00D7405F">
          <w:rPr>
            <w:noProof/>
            <w:webHidden/>
          </w:rPr>
          <w:fldChar w:fldCharType="end"/>
        </w:r>
      </w:hyperlink>
    </w:p>
    <w:p w14:paraId="223B7095" w14:textId="3C5A3615" w:rsidR="00D7405F" w:rsidRDefault="00F4337E">
      <w:pPr>
        <w:pStyle w:val="TOC2"/>
        <w:tabs>
          <w:tab w:val="right" w:leader="dot" w:pos="9494"/>
        </w:tabs>
        <w:rPr>
          <w:rFonts w:asciiTheme="minorHAnsi" w:eastAsiaTheme="minorEastAsia" w:hAnsiTheme="minorHAnsi" w:cstheme="minorBidi"/>
          <w:smallCaps w:val="0"/>
          <w:noProof/>
          <w:sz w:val="22"/>
          <w:szCs w:val="22"/>
        </w:rPr>
      </w:pPr>
      <w:hyperlink w:anchor="_Toc508892821" w:history="1">
        <w:r w:rsidR="00D7405F" w:rsidRPr="007D549D">
          <w:rPr>
            <w:rStyle w:val="Hyperlink"/>
            <w:noProof/>
          </w:rPr>
          <w:t>Section IV: Description of Program Environmental and Social Management System</w:t>
        </w:r>
        <w:r w:rsidR="00D7405F">
          <w:rPr>
            <w:noProof/>
            <w:webHidden/>
          </w:rPr>
          <w:tab/>
        </w:r>
        <w:r w:rsidR="00D7405F">
          <w:rPr>
            <w:noProof/>
            <w:webHidden/>
          </w:rPr>
          <w:fldChar w:fldCharType="begin"/>
        </w:r>
        <w:r w:rsidR="00D7405F">
          <w:rPr>
            <w:noProof/>
            <w:webHidden/>
          </w:rPr>
          <w:instrText xml:space="preserve"> PAGEREF _Toc508892821 \h </w:instrText>
        </w:r>
        <w:r w:rsidR="00D7405F">
          <w:rPr>
            <w:noProof/>
            <w:webHidden/>
          </w:rPr>
        </w:r>
        <w:r w:rsidR="00D7405F">
          <w:rPr>
            <w:noProof/>
            <w:webHidden/>
          </w:rPr>
          <w:fldChar w:fldCharType="separate"/>
        </w:r>
        <w:r w:rsidR="00D7405F">
          <w:rPr>
            <w:noProof/>
            <w:webHidden/>
          </w:rPr>
          <w:t>16</w:t>
        </w:r>
        <w:r w:rsidR="00D7405F">
          <w:rPr>
            <w:noProof/>
            <w:webHidden/>
          </w:rPr>
          <w:fldChar w:fldCharType="end"/>
        </w:r>
      </w:hyperlink>
    </w:p>
    <w:p w14:paraId="5D5AD679" w14:textId="7716269B" w:rsidR="00D7405F" w:rsidRDefault="00F4337E">
      <w:pPr>
        <w:pStyle w:val="TOC2"/>
        <w:tabs>
          <w:tab w:val="right" w:leader="dot" w:pos="9494"/>
        </w:tabs>
        <w:rPr>
          <w:rFonts w:asciiTheme="minorHAnsi" w:eastAsiaTheme="minorEastAsia" w:hAnsiTheme="minorHAnsi" w:cstheme="minorBidi"/>
          <w:smallCaps w:val="0"/>
          <w:noProof/>
          <w:sz w:val="22"/>
          <w:szCs w:val="22"/>
        </w:rPr>
      </w:pPr>
      <w:hyperlink w:anchor="_Toc508892822" w:history="1">
        <w:r w:rsidR="00D7405F" w:rsidRPr="007D549D">
          <w:rPr>
            <w:rStyle w:val="Hyperlink"/>
            <w:rFonts w:ascii="Times New Roman" w:hAnsi="Times New Roman" w:cs="Arial"/>
            <w:noProof/>
            <w:lang w:val="it-IT" w:eastAsia="it-IT"/>
          </w:rPr>
          <w:t>4.1 Legislative and Regulatory Framework</w:t>
        </w:r>
        <w:r w:rsidR="00D7405F">
          <w:rPr>
            <w:noProof/>
            <w:webHidden/>
          </w:rPr>
          <w:tab/>
        </w:r>
        <w:r w:rsidR="00D7405F">
          <w:rPr>
            <w:noProof/>
            <w:webHidden/>
          </w:rPr>
          <w:fldChar w:fldCharType="begin"/>
        </w:r>
        <w:r w:rsidR="00D7405F">
          <w:rPr>
            <w:noProof/>
            <w:webHidden/>
          </w:rPr>
          <w:instrText xml:space="preserve"> PAGEREF _Toc508892822 \h </w:instrText>
        </w:r>
        <w:r w:rsidR="00D7405F">
          <w:rPr>
            <w:noProof/>
            <w:webHidden/>
          </w:rPr>
        </w:r>
        <w:r w:rsidR="00D7405F">
          <w:rPr>
            <w:noProof/>
            <w:webHidden/>
          </w:rPr>
          <w:fldChar w:fldCharType="separate"/>
        </w:r>
        <w:r w:rsidR="00D7405F">
          <w:rPr>
            <w:noProof/>
            <w:webHidden/>
          </w:rPr>
          <w:t>16</w:t>
        </w:r>
        <w:r w:rsidR="00D7405F">
          <w:rPr>
            <w:noProof/>
            <w:webHidden/>
          </w:rPr>
          <w:fldChar w:fldCharType="end"/>
        </w:r>
      </w:hyperlink>
    </w:p>
    <w:p w14:paraId="00E2D1B4" w14:textId="075FBEB3" w:rsidR="00D7405F" w:rsidRDefault="00F4337E">
      <w:pPr>
        <w:pStyle w:val="TOC3"/>
        <w:tabs>
          <w:tab w:val="right" w:leader="dot" w:pos="9494"/>
        </w:tabs>
        <w:rPr>
          <w:rFonts w:asciiTheme="minorHAnsi" w:eastAsiaTheme="minorEastAsia" w:hAnsiTheme="minorHAnsi" w:cstheme="minorBidi"/>
          <w:i w:val="0"/>
          <w:iCs w:val="0"/>
          <w:noProof/>
          <w:sz w:val="22"/>
          <w:szCs w:val="22"/>
        </w:rPr>
      </w:pPr>
      <w:hyperlink w:anchor="_Toc508892823" w:history="1">
        <w:r w:rsidR="00D7405F" w:rsidRPr="007D549D">
          <w:rPr>
            <w:rStyle w:val="Hyperlink"/>
            <w:noProof/>
          </w:rPr>
          <w:t>4.1.1 Environmental Assessment</w:t>
        </w:r>
        <w:r w:rsidR="00D7405F">
          <w:rPr>
            <w:noProof/>
            <w:webHidden/>
          </w:rPr>
          <w:tab/>
        </w:r>
        <w:r w:rsidR="00D7405F">
          <w:rPr>
            <w:noProof/>
            <w:webHidden/>
          </w:rPr>
          <w:fldChar w:fldCharType="begin"/>
        </w:r>
        <w:r w:rsidR="00D7405F">
          <w:rPr>
            <w:noProof/>
            <w:webHidden/>
          </w:rPr>
          <w:instrText xml:space="preserve"> PAGEREF _Toc508892823 \h </w:instrText>
        </w:r>
        <w:r w:rsidR="00D7405F">
          <w:rPr>
            <w:noProof/>
            <w:webHidden/>
          </w:rPr>
        </w:r>
        <w:r w:rsidR="00D7405F">
          <w:rPr>
            <w:noProof/>
            <w:webHidden/>
          </w:rPr>
          <w:fldChar w:fldCharType="separate"/>
        </w:r>
        <w:r w:rsidR="00D7405F">
          <w:rPr>
            <w:noProof/>
            <w:webHidden/>
          </w:rPr>
          <w:t>16</w:t>
        </w:r>
        <w:r w:rsidR="00D7405F">
          <w:rPr>
            <w:noProof/>
            <w:webHidden/>
          </w:rPr>
          <w:fldChar w:fldCharType="end"/>
        </w:r>
      </w:hyperlink>
    </w:p>
    <w:p w14:paraId="18938F87" w14:textId="0DA2CFBE" w:rsidR="00D7405F" w:rsidRDefault="00F4337E">
      <w:pPr>
        <w:pStyle w:val="TOC3"/>
        <w:tabs>
          <w:tab w:val="right" w:leader="dot" w:pos="9494"/>
        </w:tabs>
        <w:rPr>
          <w:rFonts w:asciiTheme="minorHAnsi" w:eastAsiaTheme="minorEastAsia" w:hAnsiTheme="minorHAnsi" w:cstheme="minorBidi"/>
          <w:i w:val="0"/>
          <w:iCs w:val="0"/>
          <w:noProof/>
          <w:sz w:val="22"/>
          <w:szCs w:val="22"/>
        </w:rPr>
      </w:pPr>
      <w:hyperlink w:anchor="_Toc508892824" w:history="1">
        <w:r w:rsidR="00D7405F" w:rsidRPr="007D549D">
          <w:rPr>
            <w:rStyle w:val="Hyperlink"/>
            <w:rFonts w:ascii="Times New Roman" w:hAnsi="Times New Roman" w:cs="Arial"/>
            <w:noProof/>
            <w:lang w:val="it-IT" w:eastAsia="it-IT"/>
          </w:rPr>
          <w:t>4.1.2 Social Assessment</w:t>
        </w:r>
        <w:r w:rsidR="00D7405F">
          <w:rPr>
            <w:noProof/>
            <w:webHidden/>
          </w:rPr>
          <w:tab/>
        </w:r>
        <w:r w:rsidR="00D7405F">
          <w:rPr>
            <w:noProof/>
            <w:webHidden/>
          </w:rPr>
          <w:fldChar w:fldCharType="begin"/>
        </w:r>
        <w:r w:rsidR="00D7405F">
          <w:rPr>
            <w:noProof/>
            <w:webHidden/>
          </w:rPr>
          <w:instrText xml:space="preserve"> PAGEREF _Toc508892824 \h </w:instrText>
        </w:r>
        <w:r w:rsidR="00D7405F">
          <w:rPr>
            <w:noProof/>
            <w:webHidden/>
          </w:rPr>
        </w:r>
        <w:r w:rsidR="00D7405F">
          <w:rPr>
            <w:noProof/>
            <w:webHidden/>
          </w:rPr>
          <w:fldChar w:fldCharType="separate"/>
        </w:r>
        <w:r w:rsidR="00D7405F">
          <w:rPr>
            <w:noProof/>
            <w:webHidden/>
          </w:rPr>
          <w:t>26</w:t>
        </w:r>
        <w:r w:rsidR="00D7405F">
          <w:rPr>
            <w:noProof/>
            <w:webHidden/>
          </w:rPr>
          <w:fldChar w:fldCharType="end"/>
        </w:r>
      </w:hyperlink>
    </w:p>
    <w:p w14:paraId="6FF5FD2A" w14:textId="3E7334ED" w:rsidR="00D7405F" w:rsidRDefault="00F4337E">
      <w:pPr>
        <w:pStyle w:val="TOC3"/>
        <w:tabs>
          <w:tab w:val="right" w:leader="dot" w:pos="9494"/>
        </w:tabs>
        <w:rPr>
          <w:rFonts w:asciiTheme="minorHAnsi" w:eastAsiaTheme="minorEastAsia" w:hAnsiTheme="minorHAnsi" w:cstheme="minorBidi"/>
          <w:i w:val="0"/>
          <w:iCs w:val="0"/>
          <w:noProof/>
          <w:sz w:val="22"/>
          <w:szCs w:val="22"/>
        </w:rPr>
      </w:pPr>
      <w:hyperlink w:anchor="_Toc508892825" w:history="1">
        <w:r w:rsidR="00D7405F" w:rsidRPr="007D549D">
          <w:rPr>
            <w:rStyle w:val="Hyperlink"/>
            <w:noProof/>
          </w:rPr>
          <w:t>4.2.1 National Level</w:t>
        </w:r>
        <w:r w:rsidR="00D7405F">
          <w:rPr>
            <w:noProof/>
            <w:webHidden/>
          </w:rPr>
          <w:tab/>
        </w:r>
        <w:r w:rsidR="00D7405F">
          <w:rPr>
            <w:noProof/>
            <w:webHidden/>
          </w:rPr>
          <w:fldChar w:fldCharType="begin"/>
        </w:r>
        <w:r w:rsidR="00D7405F">
          <w:rPr>
            <w:noProof/>
            <w:webHidden/>
          </w:rPr>
          <w:instrText xml:space="preserve"> PAGEREF _Toc508892825 \h </w:instrText>
        </w:r>
        <w:r w:rsidR="00D7405F">
          <w:rPr>
            <w:noProof/>
            <w:webHidden/>
          </w:rPr>
        </w:r>
        <w:r w:rsidR="00D7405F">
          <w:rPr>
            <w:noProof/>
            <w:webHidden/>
          </w:rPr>
          <w:fldChar w:fldCharType="separate"/>
        </w:r>
        <w:r w:rsidR="00D7405F">
          <w:rPr>
            <w:noProof/>
            <w:webHidden/>
          </w:rPr>
          <w:t>31</w:t>
        </w:r>
        <w:r w:rsidR="00D7405F">
          <w:rPr>
            <w:noProof/>
            <w:webHidden/>
          </w:rPr>
          <w:fldChar w:fldCharType="end"/>
        </w:r>
      </w:hyperlink>
    </w:p>
    <w:p w14:paraId="4AFE38C5" w14:textId="48616163" w:rsidR="00D7405F" w:rsidRDefault="00F4337E">
      <w:pPr>
        <w:pStyle w:val="TOC3"/>
        <w:tabs>
          <w:tab w:val="right" w:leader="dot" w:pos="9494"/>
        </w:tabs>
        <w:rPr>
          <w:rFonts w:asciiTheme="minorHAnsi" w:eastAsiaTheme="minorEastAsia" w:hAnsiTheme="minorHAnsi" w:cstheme="minorBidi"/>
          <w:i w:val="0"/>
          <w:iCs w:val="0"/>
          <w:noProof/>
          <w:sz w:val="22"/>
          <w:szCs w:val="22"/>
        </w:rPr>
      </w:pPr>
      <w:hyperlink w:anchor="_Toc508892826" w:history="1">
        <w:r w:rsidR="00D7405F" w:rsidRPr="007D549D">
          <w:rPr>
            <w:rStyle w:val="Hyperlink"/>
            <w:noProof/>
          </w:rPr>
          <w:t>4.2.2 Regional Level</w:t>
        </w:r>
        <w:r w:rsidR="00D7405F">
          <w:rPr>
            <w:noProof/>
            <w:webHidden/>
          </w:rPr>
          <w:tab/>
        </w:r>
        <w:r w:rsidR="00D7405F">
          <w:rPr>
            <w:noProof/>
            <w:webHidden/>
          </w:rPr>
          <w:fldChar w:fldCharType="begin"/>
        </w:r>
        <w:r w:rsidR="00D7405F">
          <w:rPr>
            <w:noProof/>
            <w:webHidden/>
          </w:rPr>
          <w:instrText xml:space="preserve"> PAGEREF _Toc508892826 \h </w:instrText>
        </w:r>
        <w:r w:rsidR="00D7405F">
          <w:rPr>
            <w:noProof/>
            <w:webHidden/>
          </w:rPr>
        </w:r>
        <w:r w:rsidR="00D7405F">
          <w:rPr>
            <w:noProof/>
            <w:webHidden/>
          </w:rPr>
          <w:fldChar w:fldCharType="separate"/>
        </w:r>
        <w:r w:rsidR="00D7405F">
          <w:rPr>
            <w:noProof/>
            <w:webHidden/>
          </w:rPr>
          <w:t>34</w:t>
        </w:r>
        <w:r w:rsidR="00D7405F">
          <w:rPr>
            <w:noProof/>
            <w:webHidden/>
          </w:rPr>
          <w:fldChar w:fldCharType="end"/>
        </w:r>
      </w:hyperlink>
    </w:p>
    <w:p w14:paraId="15D4AD38" w14:textId="736A2F60" w:rsidR="00D7405F" w:rsidRDefault="00F4337E">
      <w:pPr>
        <w:pStyle w:val="TOC3"/>
        <w:tabs>
          <w:tab w:val="right" w:leader="dot" w:pos="9494"/>
        </w:tabs>
        <w:rPr>
          <w:rFonts w:asciiTheme="minorHAnsi" w:eastAsiaTheme="minorEastAsia" w:hAnsiTheme="minorHAnsi" w:cstheme="minorBidi"/>
          <w:i w:val="0"/>
          <w:iCs w:val="0"/>
          <w:noProof/>
          <w:sz w:val="22"/>
          <w:szCs w:val="22"/>
        </w:rPr>
      </w:pPr>
      <w:hyperlink w:anchor="_Toc508892827" w:history="1">
        <w:r w:rsidR="00D7405F" w:rsidRPr="007D549D">
          <w:rPr>
            <w:rStyle w:val="Hyperlink"/>
            <w:noProof/>
          </w:rPr>
          <w:t>4.2.3 Program Level</w:t>
        </w:r>
        <w:r w:rsidR="00D7405F">
          <w:rPr>
            <w:noProof/>
            <w:webHidden/>
          </w:rPr>
          <w:tab/>
        </w:r>
        <w:r w:rsidR="00D7405F">
          <w:rPr>
            <w:noProof/>
            <w:webHidden/>
          </w:rPr>
          <w:fldChar w:fldCharType="begin"/>
        </w:r>
        <w:r w:rsidR="00D7405F">
          <w:rPr>
            <w:noProof/>
            <w:webHidden/>
          </w:rPr>
          <w:instrText xml:space="preserve"> PAGEREF _Toc508892827 \h </w:instrText>
        </w:r>
        <w:r w:rsidR="00D7405F">
          <w:rPr>
            <w:noProof/>
            <w:webHidden/>
          </w:rPr>
        </w:r>
        <w:r w:rsidR="00D7405F">
          <w:rPr>
            <w:noProof/>
            <w:webHidden/>
          </w:rPr>
          <w:fldChar w:fldCharType="separate"/>
        </w:r>
        <w:r w:rsidR="00D7405F">
          <w:rPr>
            <w:noProof/>
            <w:webHidden/>
          </w:rPr>
          <w:t>34</w:t>
        </w:r>
        <w:r w:rsidR="00D7405F">
          <w:rPr>
            <w:noProof/>
            <w:webHidden/>
          </w:rPr>
          <w:fldChar w:fldCharType="end"/>
        </w:r>
      </w:hyperlink>
    </w:p>
    <w:p w14:paraId="1B05F40B" w14:textId="7653B94B" w:rsidR="00D7405F" w:rsidRDefault="00F4337E">
      <w:pPr>
        <w:pStyle w:val="TOC2"/>
        <w:tabs>
          <w:tab w:val="right" w:leader="dot" w:pos="9494"/>
        </w:tabs>
        <w:rPr>
          <w:rFonts w:asciiTheme="minorHAnsi" w:eastAsiaTheme="minorEastAsia" w:hAnsiTheme="minorHAnsi" w:cstheme="minorBidi"/>
          <w:smallCaps w:val="0"/>
          <w:noProof/>
          <w:sz w:val="22"/>
          <w:szCs w:val="22"/>
        </w:rPr>
      </w:pPr>
      <w:hyperlink w:anchor="_Toc508892828" w:history="1">
        <w:r w:rsidR="00D7405F" w:rsidRPr="007D549D">
          <w:rPr>
            <w:rStyle w:val="Hyperlink"/>
            <w:noProof/>
          </w:rPr>
          <w:t>Section V: Program Institutional Capacity and Performance Assessment in Managing Environmental and Social Risks and Impacts</w:t>
        </w:r>
        <w:r w:rsidR="00D7405F">
          <w:rPr>
            <w:noProof/>
            <w:webHidden/>
          </w:rPr>
          <w:tab/>
        </w:r>
        <w:r w:rsidR="00D7405F">
          <w:rPr>
            <w:noProof/>
            <w:webHidden/>
          </w:rPr>
          <w:fldChar w:fldCharType="begin"/>
        </w:r>
        <w:r w:rsidR="00D7405F">
          <w:rPr>
            <w:noProof/>
            <w:webHidden/>
          </w:rPr>
          <w:instrText xml:space="preserve"> PAGEREF _Toc508892828 \h </w:instrText>
        </w:r>
        <w:r w:rsidR="00D7405F">
          <w:rPr>
            <w:noProof/>
            <w:webHidden/>
          </w:rPr>
        </w:r>
        <w:r w:rsidR="00D7405F">
          <w:rPr>
            <w:noProof/>
            <w:webHidden/>
          </w:rPr>
          <w:fldChar w:fldCharType="separate"/>
        </w:r>
        <w:r w:rsidR="00D7405F">
          <w:rPr>
            <w:noProof/>
            <w:webHidden/>
          </w:rPr>
          <w:t>37</w:t>
        </w:r>
        <w:r w:rsidR="00D7405F">
          <w:rPr>
            <w:noProof/>
            <w:webHidden/>
          </w:rPr>
          <w:fldChar w:fldCharType="end"/>
        </w:r>
      </w:hyperlink>
    </w:p>
    <w:p w14:paraId="4E701466" w14:textId="645BD8A9" w:rsidR="00D7405F" w:rsidRDefault="00F4337E">
      <w:pPr>
        <w:pStyle w:val="TOC2"/>
        <w:tabs>
          <w:tab w:val="right" w:leader="dot" w:pos="9494"/>
        </w:tabs>
        <w:rPr>
          <w:rFonts w:asciiTheme="minorHAnsi" w:eastAsiaTheme="minorEastAsia" w:hAnsiTheme="minorHAnsi" w:cstheme="minorBidi"/>
          <w:smallCaps w:val="0"/>
          <w:noProof/>
          <w:sz w:val="22"/>
          <w:szCs w:val="22"/>
        </w:rPr>
      </w:pPr>
      <w:hyperlink w:anchor="_Toc508892829" w:history="1">
        <w:r w:rsidR="00D7405F" w:rsidRPr="007D549D">
          <w:rPr>
            <w:rStyle w:val="Hyperlink"/>
            <w:noProof/>
          </w:rPr>
          <w:t>Section VI: Consistency of the Program’s Environmental and Social Management System with the Program for Results Financing Core Principles</w:t>
        </w:r>
        <w:r w:rsidR="00D7405F">
          <w:rPr>
            <w:noProof/>
            <w:webHidden/>
          </w:rPr>
          <w:tab/>
        </w:r>
        <w:r w:rsidR="00D7405F">
          <w:rPr>
            <w:noProof/>
            <w:webHidden/>
          </w:rPr>
          <w:fldChar w:fldCharType="begin"/>
        </w:r>
        <w:r w:rsidR="00D7405F">
          <w:rPr>
            <w:noProof/>
            <w:webHidden/>
          </w:rPr>
          <w:instrText xml:space="preserve"> PAGEREF _Toc508892829 \h </w:instrText>
        </w:r>
        <w:r w:rsidR="00D7405F">
          <w:rPr>
            <w:noProof/>
            <w:webHidden/>
          </w:rPr>
        </w:r>
        <w:r w:rsidR="00D7405F">
          <w:rPr>
            <w:noProof/>
            <w:webHidden/>
          </w:rPr>
          <w:fldChar w:fldCharType="separate"/>
        </w:r>
        <w:r w:rsidR="00D7405F">
          <w:rPr>
            <w:noProof/>
            <w:webHidden/>
          </w:rPr>
          <w:t>44</w:t>
        </w:r>
        <w:r w:rsidR="00D7405F">
          <w:rPr>
            <w:noProof/>
            <w:webHidden/>
          </w:rPr>
          <w:fldChar w:fldCharType="end"/>
        </w:r>
      </w:hyperlink>
    </w:p>
    <w:p w14:paraId="3CCB750E" w14:textId="600F304C" w:rsidR="00D7405F" w:rsidRDefault="00F4337E">
      <w:pPr>
        <w:pStyle w:val="TOC3"/>
        <w:tabs>
          <w:tab w:val="right" w:leader="dot" w:pos="9494"/>
        </w:tabs>
        <w:rPr>
          <w:rFonts w:asciiTheme="minorHAnsi" w:eastAsiaTheme="minorEastAsia" w:hAnsiTheme="minorHAnsi" w:cstheme="minorBidi"/>
          <w:i w:val="0"/>
          <w:iCs w:val="0"/>
          <w:noProof/>
          <w:sz w:val="22"/>
          <w:szCs w:val="22"/>
        </w:rPr>
      </w:pPr>
      <w:hyperlink w:anchor="_Toc508892830" w:history="1">
        <w:r w:rsidR="00D7405F" w:rsidRPr="007D549D">
          <w:rPr>
            <w:rStyle w:val="Hyperlink"/>
            <w:rFonts w:ascii="Times New Roman" w:hAnsi="Times New Roman"/>
            <w:noProof/>
            <w:lang w:eastAsia="x-none"/>
          </w:rPr>
          <w:t>Core Principle 1:  General Principle of Environmental and Social Management</w:t>
        </w:r>
        <w:r w:rsidR="00D7405F">
          <w:rPr>
            <w:noProof/>
            <w:webHidden/>
          </w:rPr>
          <w:tab/>
        </w:r>
        <w:r w:rsidR="00D7405F">
          <w:rPr>
            <w:noProof/>
            <w:webHidden/>
          </w:rPr>
          <w:fldChar w:fldCharType="begin"/>
        </w:r>
        <w:r w:rsidR="00D7405F">
          <w:rPr>
            <w:noProof/>
            <w:webHidden/>
          </w:rPr>
          <w:instrText xml:space="preserve"> PAGEREF _Toc508892830 \h </w:instrText>
        </w:r>
        <w:r w:rsidR="00D7405F">
          <w:rPr>
            <w:noProof/>
            <w:webHidden/>
          </w:rPr>
        </w:r>
        <w:r w:rsidR="00D7405F">
          <w:rPr>
            <w:noProof/>
            <w:webHidden/>
          </w:rPr>
          <w:fldChar w:fldCharType="separate"/>
        </w:r>
        <w:r w:rsidR="00D7405F">
          <w:rPr>
            <w:noProof/>
            <w:webHidden/>
          </w:rPr>
          <w:t>44</w:t>
        </w:r>
        <w:r w:rsidR="00D7405F">
          <w:rPr>
            <w:noProof/>
            <w:webHidden/>
          </w:rPr>
          <w:fldChar w:fldCharType="end"/>
        </w:r>
      </w:hyperlink>
    </w:p>
    <w:p w14:paraId="6456786B" w14:textId="6A7C78B6" w:rsidR="00D7405F" w:rsidRDefault="00F4337E">
      <w:pPr>
        <w:pStyle w:val="TOC3"/>
        <w:tabs>
          <w:tab w:val="right" w:leader="dot" w:pos="9494"/>
        </w:tabs>
        <w:rPr>
          <w:rFonts w:asciiTheme="minorHAnsi" w:eastAsiaTheme="minorEastAsia" w:hAnsiTheme="minorHAnsi" w:cstheme="minorBidi"/>
          <w:i w:val="0"/>
          <w:iCs w:val="0"/>
          <w:noProof/>
          <w:sz w:val="22"/>
          <w:szCs w:val="22"/>
        </w:rPr>
      </w:pPr>
      <w:hyperlink w:anchor="_Toc508892831" w:history="1">
        <w:r w:rsidR="00D7405F" w:rsidRPr="007D549D">
          <w:rPr>
            <w:rStyle w:val="Hyperlink"/>
            <w:rFonts w:ascii="Times New Roman" w:hAnsi="Times New Roman"/>
            <w:noProof/>
          </w:rPr>
          <w:t>Core Principle 2:  Natural Habitats and Physical Cultural Resources</w:t>
        </w:r>
        <w:r w:rsidR="00D7405F">
          <w:rPr>
            <w:noProof/>
            <w:webHidden/>
          </w:rPr>
          <w:tab/>
        </w:r>
        <w:r w:rsidR="00D7405F">
          <w:rPr>
            <w:noProof/>
            <w:webHidden/>
          </w:rPr>
          <w:fldChar w:fldCharType="begin"/>
        </w:r>
        <w:r w:rsidR="00D7405F">
          <w:rPr>
            <w:noProof/>
            <w:webHidden/>
          </w:rPr>
          <w:instrText xml:space="preserve"> PAGEREF _Toc508892831 \h </w:instrText>
        </w:r>
        <w:r w:rsidR="00D7405F">
          <w:rPr>
            <w:noProof/>
            <w:webHidden/>
          </w:rPr>
        </w:r>
        <w:r w:rsidR="00D7405F">
          <w:rPr>
            <w:noProof/>
            <w:webHidden/>
          </w:rPr>
          <w:fldChar w:fldCharType="separate"/>
        </w:r>
        <w:r w:rsidR="00D7405F">
          <w:rPr>
            <w:noProof/>
            <w:webHidden/>
          </w:rPr>
          <w:t>47</w:t>
        </w:r>
        <w:r w:rsidR="00D7405F">
          <w:rPr>
            <w:noProof/>
            <w:webHidden/>
          </w:rPr>
          <w:fldChar w:fldCharType="end"/>
        </w:r>
      </w:hyperlink>
    </w:p>
    <w:p w14:paraId="64569502" w14:textId="43B1B149" w:rsidR="00D7405F" w:rsidRDefault="00F4337E">
      <w:pPr>
        <w:pStyle w:val="TOC3"/>
        <w:tabs>
          <w:tab w:val="right" w:leader="dot" w:pos="9494"/>
        </w:tabs>
        <w:rPr>
          <w:rFonts w:asciiTheme="minorHAnsi" w:eastAsiaTheme="minorEastAsia" w:hAnsiTheme="minorHAnsi" w:cstheme="minorBidi"/>
          <w:i w:val="0"/>
          <w:iCs w:val="0"/>
          <w:noProof/>
          <w:sz w:val="22"/>
          <w:szCs w:val="22"/>
        </w:rPr>
      </w:pPr>
      <w:hyperlink w:anchor="_Toc508892832" w:history="1">
        <w:r w:rsidR="00D7405F" w:rsidRPr="007D549D">
          <w:rPr>
            <w:rStyle w:val="Hyperlink"/>
            <w:rFonts w:ascii="Times New Roman" w:hAnsi="Times New Roman"/>
            <w:noProof/>
            <w:lang w:eastAsia="x-none"/>
          </w:rPr>
          <w:t>Core Principle 3:  Public and Worker Safety</w:t>
        </w:r>
        <w:r w:rsidR="00D7405F">
          <w:rPr>
            <w:noProof/>
            <w:webHidden/>
          </w:rPr>
          <w:tab/>
        </w:r>
        <w:r w:rsidR="00D7405F">
          <w:rPr>
            <w:noProof/>
            <w:webHidden/>
          </w:rPr>
          <w:fldChar w:fldCharType="begin"/>
        </w:r>
        <w:r w:rsidR="00D7405F">
          <w:rPr>
            <w:noProof/>
            <w:webHidden/>
          </w:rPr>
          <w:instrText xml:space="preserve"> PAGEREF _Toc508892832 \h </w:instrText>
        </w:r>
        <w:r w:rsidR="00D7405F">
          <w:rPr>
            <w:noProof/>
            <w:webHidden/>
          </w:rPr>
        </w:r>
        <w:r w:rsidR="00D7405F">
          <w:rPr>
            <w:noProof/>
            <w:webHidden/>
          </w:rPr>
          <w:fldChar w:fldCharType="separate"/>
        </w:r>
        <w:r w:rsidR="00D7405F">
          <w:rPr>
            <w:noProof/>
            <w:webHidden/>
          </w:rPr>
          <w:t>49</w:t>
        </w:r>
        <w:r w:rsidR="00D7405F">
          <w:rPr>
            <w:noProof/>
            <w:webHidden/>
          </w:rPr>
          <w:fldChar w:fldCharType="end"/>
        </w:r>
      </w:hyperlink>
    </w:p>
    <w:p w14:paraId="689F5C65" w14:textId="021E2C78" w:rsidR="00D7405F" w:rsidRDefault="00F4337E">
      <w:pPr>
        <w:pStyle w:val="TOC3"/>
        <w:tabs>
          <w:tab w:val="right" w:leader="dot" w:pos="9494"/>
        </w:tabs>
        <w:rPr>
          <w:rFonts w:asciiTheme="minorHAnsi" w:eastAsiaTheme="minorEastAsia" w:hAnsiTheme="minorHAnsi" w:cstheme="minorBidi"/>
          <w:i w:val="0"/>
          <w:iCs w:val="0"/>
          <w:noProof/>
          <w:sz w:val="22"/>
          <w:szCs w:val="22"/>
        </w:rPr>
      </w:pPr>
      <w:hyperlink w:anchor="_Toc508892833" w:history="1">
        <w:r w:rsidR="00D7405F" w:rsidRPr="007D549D">
          <w:rPr>
            <w:rStyle w:val="Hyperlink"/>
            <w:rFonts w:ascii="Times New Roman" w:hAnsi="Times New Roman"/>
            <w:noProof/>
            <w:lang w:eastAsia="x-none"/>
          </w:rPr>
          <w:t>Core Principle 4:  Land Acquisition</w:t>
        </w:r>
        <w:r w:rsidR="00D7405F">
          <w:rPr>
            <w:noProof/>
            <w:webHidden/>
          </w:rPr>
          <w:tab/>
        </w:r>
        <w:r w:rsidR="00D7405F">
          <w:rPr>
            <w:noProof/>
            <w:webHidden/>
          </w:rPr>
          <w:fldChar w:fldCharType="begin"/>
        </w:r>
        <w:r w:rsidR="00D7405F">
          <w:rPr>
            <w:noProof/>
            <w:webHidden/>
          </w:rPr>
          <w:instrText xml:space="preserve"> PAGEREF _Toc508892833 \h </w:instrText>
        </w:r>
        <w:r w:rsidR="00D7405F">
          <w:rPr>
            <w:noProof/>
            <w:webHidden/>
          </w:rPr>
        </w:r>
        <w:r w:rsidR="00D7405F">
          <w:rPr>
            <w:noProof/>
            <w:webHidden/>
          </w:rPr>
          <w:fldChar w:fldCharType="separate"/>
        </w:r>
        <w:r w:rsidR="00D7405F">
          <w:rPr>
            <w:noProof/>
            <w:webHidden/>
          </w:rPr>
          <w:t>51</w:t>
        </w:r>
        <w:r w:rsidR="00D7405F">
          <w:rPr>
            <w:noProof/>
            <w:webHidden/>
          </w:rPr>
          <w:fldChar w:fldCharType="end"/>
        </w:r>
      </w:hyperlink>
    </w:p>
    <w:p w14:paraId="44A87365" w14:textId="5D602B96" w:rsidR="00D7405F" w:rsidRDefault="00F4337E">
      <w:pPr>
        <w:pStyle w:val="TOC3"/>
        <w:tabs>
          <w:tab w:val="right" w:leader="dot" w:pos="9494"/>
        </w:tabs>
        <w:rPr>
          <w:rFonts w:asciiTheme="minorHAnsi" w:eastAsiaTheme="minorEastAsia" w:hAnsiTheme="minorHAnsi" w:cstheme="minorBidi"/>
          <w:i w:val="0"/>
          <w:iCs w:val="0"/>
          <w:noProof/>
          <w:sz w:val="22"/>
          <w:szCs w:val="22"/>
        </w:rPr>
      </w:pPr>
      <w:hyperlink w:anchor="_Toc508892834" w:history="1">
        <w:r w:rsidR="00D7405F" w:rsidRPr="007D549D">
          <w:rPr>
            <w:rStyle w:val="Hyperlink"/>
            <w:rFonts w:ascii="Times New Roman" w:hAnsi="Times New Roman"/>
            <w:noProof/>
          </w:rPr>
          <w:t>Core</w:t>
        </w:r>
        <w:r w:rsidR="00D7405F" w:rsidRPr="007D549D">
          <w:rPr>
            <w:rStyle w:val="Hyperlink"/>
            <w:rFonts w:ascii="Times New Roman" w:hAnsi="Times New Roman"/>
            <w:noProof/>
            <w:lang w:eastAsia="x-none"/>
          </w:rPr>
          <w:t xml:space="preserve"> Principle 5:  Indigenous Peoples and Vulnerable Groups</w:t>
        </w:r>
        <w:r w:rsidR="00D7405F">
          <w:rPr>
            <w:noProof/>
            <w:webHidden/>
          </w:rPr>
          <w:tab/>
        </w:r>
        <w:r w:rsidR="00D7405F">
          <w:rPr>
            <w:noProof/>
            <w:webHidden/>
          </w:rPr>
          <w:fldChar w:fldCharType="begin"/>
        </w:r>
        <w:r w:rsidR="00D7405F">
          <w:rPr>
            <w:noProof/>
            <w:webHidden/>
          </w:rPr>
          <w:instrText xml:space="preserve"> PAGEREF _Toc508892834 \h </w:instrText>
        </w:r>
        <w:r w:rsidR="00D7405F">
          <w:rPr>
            <w:noProof/>
            <w:webHidden/>
          </w:rPr>
        </w:r>
        <w:r w:rsidR="00D7405F">
          <w:rPr>
            <w:noProof/>
            <w:webHidden/>
          </w:rPr>
          <w:fldChar w:fldCharType="separate"/>
        </w:r>
        <w:r w:rsidR="00D7405F">
          <w:rPr>
            <w:noProof/>
            <w:webHidden/>
          </w:rPr>
          <w:t>54</w:t>
        </w:r>
        <w:r w:rsidR="00D7405F">
          <w:rPr>
            <w:noProof/>
            <w:webHidden/>
          </w:rPr>
          <w:fldChar w:fldCharType="end"/>
        </w:r>
      </w:hyperlink>
    </w:p>
    <w:p w14:paraId="0D5FC854" w14:textId="6B293BD9" w:rsidR="00D7405F" w:rsidRDefault="00F4337E">
      <w:pPr>
        <w:pStyle w:val="TOC3"/>
        <w:tabs>
          <w:tab w:val="right" w:leader="dot" w:pos="9494"/>
        </w:tabs>
        <w:rPr>
          <w:rFonts w:asciiTheme="minorHAnsi" w:eastAsiaTheme="minorEastAsia" w:hAnsiTheme="minorHAnsi" w:cstheme="minorBidi"/>
          <w:i w:val="0"/>
          <w:iCs w:val="0"/>
          <w:noProof/>
          <w:sz w:val="22"/>
          <w:szCs w:val="22"/>
        </w:rPr>
      </w:pPr>
      <w:hyperlink w:anchor="_Toc508892835" w:history="1">
        <w:r w:rsidR="00D7405F" w:rsidRPr="007D549D">
          <w:rPr>
            <w:rStyle w:val="Hyperlink"/>
            <w:rFonts w:ascii="Times New Roman" w:hAnsi="Times New Roman"/>
            <w:noProof/>
            <w:lang w:eastAsia="x-none"/>
          </w:rPr>
          <w:t>Core Principle 6: Social Conflict</w:t>
        </w:r>
        <w:r w:rsidR="00D7405F">
          <w:rPr>
            <w:noProof/>
            <w:webHidden/>
          </w:rPr>
          <w:tab/>
        </w:r>
        <w:r w:rsidR="00D7405F">
          <w:rPr>
            <w:noProof/>
            <w:webHidden/>
          </w:rPr>
          <w:fldChar w:fldCharType="begin"/>
        </w:r>
        <w:r w:rsidR="00D7405F">
          <w:rPr>
            <w:noProof/>
            <w:webHidden/>
          </w:rPr>
          <w:instrText xml:space="preserve"> PAGEREF _Toc508892835 \h </w:instrText>
        </w:r>
        <w:r w:rsidR="00D7405F">
          <w:rPr>
            <w:noProof/>
            <w:webHidden/>
          </w:rPr>
        </w:r>
        <w:r w:rsidR="00D7405F">
          <w:rPr>
            <w:noProof/>
            <w:webHidden/>
          </w:rPr>
          <w:fldChar w:fldCharType="separate"/>
        </w:r>
        <w:r w:rsidR="00D7405F">
          <w:rPr>
            <w:noProof/>
            <w:webHidden/>
          </w:rPr>
          <w:t>56</w:t>
        </w:r>
        <w:r w:rsidR="00D7405F">
          <w:rPr>
            <w:noProof/>
            <w:webHidden/>
          </w:rPr>
          <w:fldChar w:fldCharType="end"/>
        </w:r>
      </w:hyperlink>
    </w:p>
    <w:p w14:paraId="2E9501CD" w14:textId="44D0912F" w:rsidR="00D7405F" w:rsidRDefault="00F4337E">
      <w:pPr>
        <w:pStyle w:val="TOC2"/>
        <w:tabs>
          <w:tab w:val="right" w:leader="dot" w:pos="9494"/>
        </w:tabs>
        <w:rPr>
          <w:rFonts w:asciiTheme="minorHAnsi" w:eastAsiaTheme="minorEastAsia" w:hAnsiTheme="minorHAnsi" w:cstheme="minorBidi"/>
          <w:smallCaps w:val="0"/>
          <w:noProof/>
          <w:sz w:val="22"/>
          <w:szCs w:val="22"/>
        </w:rPr>
      </w:pPr>
      <w:hyperlink w:anchor="_Toc508892836" w:history="1">
        <w:r w:rsidR="00D7405F" w:rsidRPr="007D549D">
          <w:rPr>
            <w:rStyle w:val="Hyperlink"/>
            <w:noProof/>
          </w:rPr>
          <w:t>Section VII: Recommended Measures to Strengthen the Systems and Inputs to the Program Action Plan</w:t>
        </w:r>
        <w:r w:rsidR="00D7405F">
          <w:rPr>
            <w:noProof/>
            <w:webHidden/>
          </w:rPr>
          <w:tab/>
        </w:r>
        <w:r w:rsidR="00D7405F">
          <w:rPr>
            <w:noProof/>
            <w:webHidden/>
          </w:rPr>
          <w:fldChar w:fldCharType="begin"/>
        </w:r>
        <w:r w:rsidR="00D7405F">
          <w:rPr>
            <w:noProof/>
            <w:webHidden/>
          </w:rPr>
          <w:instrText xml:space="preserve"> PAGEREF _Toc508892836 \h </w:instrText>
        </w:r>
        <w:r w:rsidR="00D7405F">
          <w:rPr>
            <w:noProof/>
            <w:webHidden/>
          </w:rPr>
        </w:r>
        <w:r w:rsidR="00D7405F">
          <w:rPr>
            <w:noProof/>
            <w:webHidden/>
          </w:rPr>
          <w:fldChar w:fldCharType="separate"/>
        </w:r>
        <w:r w:rsidR="00D7405F">
          <w:rPr>
            <w:noProof/>
            <w:webHidden/>
          </w:rPr>
          <w:t>57</w:t>
        </w:r>
        <w:r w:rsidR="00D7405F">
          <w:rPr>
            <w:noProof/>
            <w:webHidden/>
          </w:rPr>
          <w:fldChar w:fldCharType="end"/>
        </w:r>
      </w:hyperlink>
    </w:p>
    <w:p w14:paraId="2572F3A9" w14:textId="38DEACAC" w:rsidR="00D7405F" w:rsidRDefault="00F4337E">
      <w:pPr>
        <w:pStyle w:val="TOC2"/>
        <w:tabs>
          <w:tab w:val="right" w:leader="dot" w:pos="9494"/>
        </w:tabs>
        <w:rPr>
          <w:rFonts w:asciiTheme="minorHAnsi" w:eastAsiaTheme="minorEastAsia" w:hAnsiTheme="minorHAnsi" w:cstheme="minorBidi"/>
          <w:smallCaps w:val="0"/>
          <w:noProof/>
          <w:sz w:val="22"/>
          <w:szCs w:val="22"/>
        </w:rPr>
      </w:pPr>
      <w:hyperlink w:anchor="_Toc508892837" w:history="1">
        <w:r w:rsidR="00D7405F" w:rsidRPr="007D549D">
          <w:rPr>
            <w:rStyle w:val="Hyperlink"/>
            <w:noProof/>
          </w:rPr>
          <w:t>Section VIII: Environmental and Social Risk Ratings</w:t>
        </w:r>
        <w:r w:rsidR="00D7405F">
          <w:rPr>
            <w:noProof/>
            <w:webHidden/>
          </w:rPr>
          <w:tab/>
        </w:r>
        <w:r w:rsidR="00D7405F">
          <w:rPr>
            <w:noProof/>
            <w:webHidden/>
          </w:rPr>
          <w:fldChar w:fldCharType="begin"/>
        </w:r>
        <w:r w:rsidR="00D7405F">
          <w:rPr>
            <w:noProof/>
            <w:webHidden/>
          </w:rPr>
          <w:instrText xml:space="preserve"> PAGEREF _Toc508892837 \h </w:instrText>
        </w:r>
        <w:r w:rsidR="00D7405F">
          <w:rPr>
            <w:noProof/>
            <w:webHidden/>
          </w:rPr>
        </w:r>
        <w:r w:rsidR="00D7405F">
          <w:rPr>
            <w:noProof/>
            <w:webHidden/>
          </w:rPr>
          <w:fldChar w:fldCharType="separate"/>
        </w:r>
        <w:r w:rsidR="00D7405F">
          <w:rPr>
            <w:noProof/>
            <w:webHidden/>
          </w:rPr>
          <w:t>63</w:t>
        </w:r>
        <w:r w:rsidR="00D7405F">
          <w:rPr>
            <w:noProof/>
            <w:webHidden/>
          </w:rPr>
          <w:fldChar w:fldCharType="end"/>
        </w:r>
      </w:hyperlink>
    </w:p>
    <w:p w14:paraId="45FA5A3C" w14:textId="098963FE" w:rsidR="00D7405F" w:rsidRDefault="00F4337E">
      <w:pPr>
        <w:pStyle w:val="TOC2"/>
        <w:tabs>
          <w:tab w:val="right" w:leader="dot" w:pos="9494"/>
        </w:tabs>
        <w:rPr>
          <w:rFonts w:asciiTheme="minorHAnsi" w:eastAsiaTheme="minorEastAsia" w:hAnsiTheme="minorHAnsi" w:cstheme="minorBidi"/>
          <w:smallCaps w:val="0"/>
          <w:noProof/>
          <w:sz w:val="22"/>
          <w:szCs w:val="22"/>
        </w:rPr>
      </w:pPr>
      <w:hyperlink w:anchor="_Toc508892838" w:history="1">
        <w:r w:rsidR="00D7405F" w:rsidRPr="004A6B30">
          <w:rPr>
            <w:rStyle w:val="Hyperlink"/>
            <w:noProof/>
          </w:rPr>
          <w:t>Section</w:t>
        </w:r>
        <w:r w:rsidR="00977459" w:rsidRPr="004A6B30">
          <w:rPr>
            <w:rStyle w:val="Hyperlink"/>
            <w:noProof/>
          </w:rPr>
          <w:t xml:space="preserve"> </w:t>
        </w:r>
        <w:r w:rsidR="00D7405F" w:rsidRPr="004A6B30">
          <w:rPr>
            <w:rStyle w:val="Hyperlink"/>
            <w:noProof/>
          </w:rPr>
          <w:t>IX: Consultations and Disclosure of the ESSA</w:t>
        </w:r>
        <w:r w:rsidR="00D7405F" w:rsidRPr="007D549D">
          <w:rPr>
            <w:rStyle w:val="Hyperlink"/>
            <w:noProof/>
          </w:rPr>
          <w:t>.</w:t>
        </w:r>
        <w:r w:rsidR="00D7405F">
          <w:rPr>
            <w:noProof/>
            <w:webHidden/>
          </w:rPr>
          <w:tab/>
        </w:r>
        <w:r w:rsidR="00D7405F">
          <w:rPr>
            <w:noProof/>
            <w:webHidden/>
          </w:rPr>
          <w:fldChar w:fldCharType="begin"/>
        </w:r>
        <w:r w:rsidR="00D7405F">
          <w:rPr>
            <w:noProof/>
            <w:webHidden/>
          </w:rPr>
          <w:instrText xml:space="preserve"> PAGEREF _Toc508892838 \h </w:instrText>
        </w:r>
        <w:r w:rsidR="00D7405F">
          <w:rPr>
            <w:noProof/>
            <w:webHidden/>
          </w:rPr>
        </w:r>
        <w:r w:rsidR="00D7405F">
          <w:rPr>
            <w:noProof/>
            <w:webHidden/>
          </w:rPr>
          <w:fldChar w:fldCharType="separate"/>
        </w:r>
        <w:r w:rsidR="00D7405F">
          <w:rPr>
            <w:noProof/>
            <w:webHidden/>
          </w:rPr>
          <w:t>64</w:t>
        </w:r>
        <w:r w:rsidR="00D7405F">
          <w:rPr>
            <w:noProof/>
            <w:webHidden/>
          </w:rPr>
          <w:fldChar w:fldCharType="end"/>
        </w:r>
      </w:hyperlink>
    </w:p>
    <w:p w14:paraId="30648059" w14:textId="6A0EED59" w:rsidR="00D7405F" w:rsidRDefault="00F4337E">
      <w:pPr>
        <w:pStyle w:val="TOC2"/>
        <w:tabs>
          <w:tab w:val="right" w:leader="dot" w:pos="9494"/>
        </w:tabs>
        <w:rPr>
          <w:rFonts w:asciiTheme="minorHAnsi" w:eastAsiaTheme="minorEastAsia" w:hAnsiTheme="minorHAnsi" w:cstheme="minorBidi"/>
          <w:smallCaps w:val="0"/>
          <w:noProof/>
          <w:sz w:val="22"/>
          <w:szCs w:val="22"/>
        </w:rPr>
      </w:pPr>
      <w:hyperlink w:anchor="_Toc508892839" w:history="1">
        <w:r w:rsidR="00D7405F" w:rsidRPr="007D549D">
          <w:rPr>
            <w:rStyle w:val="Hyperlink"/>
            <w:noProof/>
          </w:rPr>
          <w:t>Annex 1: STAKEHOLDERS INTERVIEWED DURING ENVIRONMENTAL AND SOCIAL  YSTEMS ASSESSMENT MISSION</w:t>
        </w:r>
        <w:r w:rsidR="00D7405F">
          <w:rPr>
            <w:noProof/>
            <w:webHidden/>
          </w:rPr>
          <w:tab/>
        </w:r>
        <w:r w:rsidR="00D7405F">
          <w:rPr>
            <w:noProof/>
            <w:webHidden/>
          </w:rPr>
          <w:fldChar w:fldCharType="begin"/>
        </w:r>
        <w:r w:rsidR="00D7405F">
          <w:rPr>
            <w:noProof/>
            <w:webHidden/>
          </w:rPr>
          <w:instrText xml:space="preserve"> PAGEREF _Toc508892839 \h </w:instrText>
        </w:r>
        <w:r w:rsidR="00D7405F">
          <w:rPr>
            <w:noProof/>
            <w:webHidden/>
          </w:rPr>
        </w:r>
        <w:r w:rsidR="00D7405F">
          <w:rPr>
            <w:noProof/>
            <w:webHidden/>
          </w:rPr>
          <w:fldChar w:fldCharType="separate"/>
        </w:r>
        <w:r w:rsidR="00D7405F">
          <w:rPr>
            <w:noProof/>
            <w:webHidden/>
          </w:rPr>
          <w:t>65</w:t>
        </w:r>
        <w:r w:rsidR="00D7405F">
          <w:rPr>
            <w:noProof/>
            <w:webHidden/>
          </w:rPr>
          <w:fldChar w:fldCharType="end"/>
        </w:r>
      </w:hyperlink>
    </w:p>
    <w:p w14:paraId="1A9C93ED" w14:textId="611DB0E5" w:rsidR="00D7405F" w:rsidRDefault="00F4337E">
      <w:pPr>
        <w:pStyle w:val="TOC2"/>
        <w:tabs>
          <w:tab w:val="right" w:leader="dot" w:pos="9494"/>
        </w:tabs>
        <w:rPr>
          <w:rFonts w:asciiTheme="minorHAnsi" w:eastAsiaTheme="minorEastAsia" w:hAnsiTheme="minorHAnsi" w:cstheme="minorBidi"/>
          <w:smallCaps w:val="0"/>
          <w:noProof/>
          <w:sz w:val="22"/>
          <w:szCs w:val="22"/>
        </w:rPr>
      </w:pPr>
      <w:hyperlink w:anchor="_Toc508892840" w:history="1">
        <w:r w:rsidR="00D7405F" w:rsidRPr="007D549D">
          <w:rPr>
            <w:rStyle w:val="Hyperlink"/>
            <w:noProof/>
          </w:rPr>
          <w:t>Annex 2: Photo documents</w:t>
        </w:r>
        <w:r w:rsidR="00D7405F">
          <w:rPr>
            <w:noProof/>
            <w:webHidden/>
          </w:rPr>
          <w:tab/>
        </w:r>
        <w:r w:rsidR="00D7405F">
          <w:rPr>
            <w:noProof/>
            <w:webHidden/>
          </w:rPr>
          <w:fldChar w:fldCharType="begin"/>
        </w:r>
        <w:r w:rsidR="00D7405F">
          <w:rPr>
            <w:noProof/>
            <w:webHidden/>
          </w:rPr>
          <w:instrText xml:space="preserve"> PAGEREF _Toc508892840 \h </w:instrText>
        </w:r>
        <w:r w:rsidR="00D7405F">
          <w:rPr>
            <w:noProof/>
            <w:webHidden/>
          </w:rPr>
        </w:r>
        <w:r w:rsidR="00D7405F">
          <w:rPr>
            <w:noProof/>
            <w:webHidden/>
          </w:rPr>
          <w:fldChar w:fldCharType="separate"/>
        </w:r>
        <w:r w:rsidR="00D7405F">
          <w:rPr>
            <w:noProof/>
            <w:webHidden/>
          </w:rPr>
          <w:t>70</w:t>
        </w:r>
        <w:r w:rsidR="00D7405F">
          <w:rPr>
            <w:noProof/>
            <w:webHidden/>
          </w:rPr>
          <w:fldChar w:fldCharType="end"/>
        </w:r>
      </w:hyperlink>
    </w:p>
    <w:p w14:paraId="5287E660" w14:textId="6F720F8D" w:rsidR="00786ADE" w:rsidRDefault="00786ADE">
      <w:pPr>
        <w:rPr>
          <w:rFonts w:ascii="Times New Roman" w:hAnsi="Times New Roman" w:cs="Times New Roman"/>
          <w:b/>
          <w:bCs/>
        </w:rPr>
      </w:pPr>
      <w:r>
        <w:rPr>
          <w:rFonts w:ascii="Times New Roman" w:hAnsi="Times New Roman" w:cs="Times New Roman"/>
          <w:b/>
          <w:bCs/>
        </w:rPr>
        <w:fldChar w:fldCharType="end"/>
      </w:r>
    </w:p>
    <w:p w14:paraId="188A17FC" w14:textId="64E223E5" w:rsidR="003E2BD8" w:rsidRDefault="003E2BD8">
      <w:pPr>
        <w:rPr>
          <w:rFonts w:ascii="Times New Roman" w:hAnsi="Times New Roman" w:cs="Times New Roman"/>
          <w:b/>
          <w:bCs/>
        </w:rPr>
      </w:pPr>
      <w:r>
        <w:rPr>
          <w:rFonts w:ascii="Times New Roman" w:hAnsi="Times New Roman" w:cs="Times New Roman"/>
          <w:b/>
          <w:bCs/>
        </w:rPr>
        <w:br w:type="page"/>
      </w:r>
    </w:p>
    <w:p w14:paraId="330CD579" w14:textId="4A51B377" w:rsidR="003E2BD8" w:rsidRPr="00977459" w:rsidRDefault="003E2BD8">
      <w:pPr>
        <w:rPr>
          <w:rStyle w:val="Heading2Char"/>
          <w:rFonts w:ascii="Times New Roman" w:hAnsi="Times New Roman"/>
          <w:sz w:val="22"/>
          <w:szCs w:val="22"/>
          <w:lang w:val="en-US"/>
        </w:rPr>
      </w:pPr>
      <w:bookmarkStart w:id="0" w:name="_Toc508892816"/>
      <w:r w:rsidRPr="00977459">
        <w:rPr>
          <w:rStyle w:val="Heading2Char"/>
          <w:rFonts w:ascii="Times New Roman" w:hAnsi="Times New Roman"/>
          <w:sz w:val="22"/>
          <w:szCs w:val="22"/>
          <w:lang w:val="en-US"/>
        </w:rPr>
        <w:lastRenderedPageBreak/>
        <w:t>List of Abbreviations and Acronyms</w:t>
      </w:r>
      <w:bookmarkEnd w:id="0"/>
    </w:p>
    <w:p w14:paraId="3B4AC02C" w14:textId="1FD0BB33" w:rsidR="00491987" w:rsidRPr="00977459" w:rsidRDefault="00491987">
      <w:pPr>
        <w:rPr>
          <w:rStyle w:val="Heading2Char"/>
          <w:rFonts w:ascii="Times New Roman" w:hAnsi="Times New Roman"/>
          <w:b w:val="0"/>
          <w:color w:val="auto"/>
          <w:sz w:val="22"/>
          <w:szCs w:val="22"/>
          <w:lang w:val="en-US"/>
        </w:rPr>
      </w:pPr>
      <w:r w:rsidRPr="00977459">
        <w:rPr>
          <w:rStyle w:val="Heading2Char"/>
          <w:rFonts w:ascii="Times New Roman" w:hAnsi="Times New Roman"/>
          <w:b w:val="0"/>
          <w:color w:val="auto"/>
          <w:sz w:val="22"/>
          <w:szCs w:val="22"/>
          <w:lang w:val="en-US"/>
        </w:rPr>
        <w:t>ARAP</w:t>
      </w:r>
      <w:r w:rsidR="00977459" w:rsidRPr="00977459">
        <w:rPr>
          <w:rStyle w:val="Heading2Char"/>
          <w:rFonts w:ascii="Times New Roman" w:hAnsi="Times New Roman"/>
          <w:b w:val="0"/>
          <w:color w:val="auto"/>
          <w:sz w:val="22"/>
          <w:szCs w:val="22"/>
          <w:lang w:val="en-US"/>
        </w:rPr>
        <w:tab/>
      </w:r>
      <w:r w:rsidR="00977459" w:rsidRPr="00977459">
        <w:rPr>
          <w:rStyle w:val="Heading2Char"/>
          <w:rFonts w:ascii="Times New Roman" w:hAnsi="Times New Roman"/>
          <w:b w:val="0"/>
          <w:color w:val="auto"/>
          <w:sz w:val="22"/>
          <w:szCs w:val="22"/>
          <w:lang w:val="en-US"/>
        </w:rPr>
        <w:tab/>
        <w:t>Abbreviated Resettlement Action Plan</w:t>
      </w:r>
    </w:p>
    <w:p w14:paraId="5155A783" w14:textId="175E6471" w:rsidR="00491987" w:rsidRPr="00977459" w:rsidRDefault="00491987">
      <w:pPr>
        <w:rPr>
          <w:rStyle w:val="Heading2Char"/>
          <w:rFonts w:ascii="Times New Roman" w:hAnsi="Times New Roman"/>
          <w:b w:val="0"/>
          <w:color w:val="auto"/>
          <w:sz w:val="22"/>
          <w:szCs w:val="22"/>
          <w:lang w:val="en-US"/>
        </w:rPr>
      </w:pPr>
      <w:r w:rsidRPr="00977459">
        <w:rPr>
          <w:rStyle w:val="Heading2Char"/>
          <w:rFonts w:ascii="Times New Roman" w:hAnsi="Times New Roman"/>
          <w:b w:val="0"/>
          <w:color w:val="auto"/>
          <w:sz w:val="22"/>
          <w:szCs w:val="22"/>
          <w:lang w:val="en-US"/>
        </w:rPr>
        <w:t>DLI</w:t>
      </w:r>
      <w:r w:rsidR="00977459" w:rsidRPr="00977459">
        <w:rPr>
          <w:rStyle w:val="Heading2Char"/>
          <w:rFonts w:ascii="Times New Roman" w:hAnsi="Times New Roman"/>
          <w:b w:val="0"/>
          <w:color w:val="auto"/>
          <w:sz w:val="22"/>
          <w:szCs w:val="22"/>
          <w:lang w:val="en-US"/>
        </w:rPr>
        <w:tab/>
      </w:r>
      <w:r w:rsidR="00977459" w:rsidRPr="00977459">
        <w:rPr>
          <w:rStyle w:val="Heading2Char"/>
          <w:rFonts w:ascii="Times New Roman" w:hAnsi="Times New Roman"/>
          <w:b w:val="0"/>
          <w:color w:val="auto"/>
          <w:sz w:val="22"/>
          <w:szCs w:val="22"/>
          <w:lang w:val="en-US"/>
        </w:rPr>
        <w:tab/>
        <w:t>Disbursement-Linked Indicators</w:t>
      </w:r>
    </w:p>
    <w:p w14:paraId="49831E85" w14:textId="2A2F13DA" w:rsidR="00491987" w:rsidRPr="00977459" w:rsidRDefault="00491987">
      <w:pPr>
        <w:rPr>
          <w:rStyle w:val="Heading2Char"/>
          <w:rFonts w:ascii="Times New Roman" w:hAnsi="Times New Roman"/>
          <w:b w:val="0"/>
          <w:color w:val="auto"/>
          <w:sz w:val="22"/>
          <w:szCs w:val="22"/>
          <w:lang w:val="en-US"/>
        </w:rPr>
      </w:pPr>
      <w:r w:rsidRPr="00977459">
        <w:rPr>
          <w:rStyle w:val="Heading2Char"/>
          <w:rFonts w:ascii="Times New Roman" w:hAnsi="Times New Roman"/>
          <w:b w:val="0"/>
          <w:color w:val="auto"/>
          <w:sz w:val="22"/>
          <w:szCs w:val="22"/>
          <w:lang w:val="en-US"/>
        </w:rPr>
        <w:t>EA</w:t>
      </w:r>
      <w:r w:rsidR="00977459" w:rsidRPr="00977459">
        <w:rPr>
          <w:rStyle w:val="Heading2Char"/>
          <w:rFonts w:ascii="Times New Roman" w:hAnsi="Times New Roman"/>
          <w:b w:val="0"/>
          <w:color w:val="auto"/>
          <w:sz w:val="22"/>
          <w:szCs w:val="22"/>
          <w:lang w:val="en-US"/>
        </w:rPr>
        <w:tab/>
      </w:r>
      <w:r w:rsidR="00977459" w:rsidRPr="00977459">
        <w:rPr>
          <w:rStyle w:val="Heading2Char"/>
          <w:rFonts w:ascii="Times New Roman" w:hAnsi="Times New Roman"/>
          <w:b w:val="0"/>
          <w:color w:val="auto"/>
          <w:sz w:val="22"/>
          <w:szCs w:val="22"/>
          <w:lang w:val="en-US"/>
        </w:rPr>
        <w:tab/>
        <w:t>Environmental Assessment</w:t>
      </w:r>
    </w:p>
    <w:p w14:paraId="5E0FE44F" w14:textId="3793BB05" w:rsidR="00491987" w:rsidRPr="00977459" w:rsidRDefault="00491987">
      <w:pPr>
        <w:rPr>
          <w:rStyle w:val="Heading2Char"/>
          <w:rFonts w:ascii="Times New Roman" w:hAnsi="Times New Roman"/>
          <w:b w:val="0"/>
          <w:color w:val="auto"/>
          <w:sz w:val="22"/>
          <w:szCs w:val="22"/>
          <w:lang w:val="en-US"/>
        </w:rPr>
      </w:pPr>
      <w:r w:rsidRPr="00977459">
        <w:rPr>
          <w:rStyle w:val="Heading2Char"/>
          <w:rFonts w:ascii="Times New Roman" w:hAnsi="Times New Roman"/>
          <w:b w:val="0"/>
          <w:color w:val="auto"/>
          <w:sz w:val="22"/>
          <w:szCs w:val="22"/>
          <w:lang w:val="en-US"/>
        </w:rPr>
        <w:t>E</w:t>
      </w:r>
      <w:r w:rsidR="00977459" w:rsidRPr="00977459">
        <w:rPr>
          <w:rStyle w:val="Heading2Char"/>
          <w:rFonts w:ascii="Times New Roman" w:hAnsi="Times New Roman"/>
          <w:b w:val="0"/>
          <w:color w:val="auto"/>
          <w:sz w:val="22"/>
          <w:szCs w:val="22"/>
          <w:lang w:val="en-US"/>
        </w:rPr>
        <w:t>I</w:t>
      </w:r>
      <w:r w:rsidRPr="00977459">
        <w:rPr>
          <w:rStyle w:val="Heading2Char"/>
          <w:rFonts w:ascii="Times New Roman" w:hAnsi="Times New Roman"/>
          <w:b w:val="0"/>
          <w:color w:val="auto"/>
          <w:sz w:val="22"/>
          <w:szCs w:val="22"/>
          <w:lang w:val="en-US"/>
        </w:rPr>
        <w:t>A</w:t>
      </w:r>
      <w:r w:rsidR="00977459" w:rsidRPr="00977459">
        <w:rPr>
          <w:rStyle w:val="Heading2Char"/>
          <w:rFonts w:ascii="Times New Roman" w:hAnsi="Times New Roman"/>
          <w:b w:val="0"/>
          <w:color w:val="auto"/>
          <w:sz w:val="22"/>
          <w:szCs w:val="22"/>
          <w:lang w:val="en-US"/>
        </w:rPr>
        <w:tab/>
      </w:r>
      <w:r w:rsidR="00977459" w:rsidRPr="00977459">
        <w:rPr>
          <w:rStyle w:val="Heading2Char"/>
          <w:rFonts w:ascii="Times New Roman" w:hAnsi="Times New Roman"/>
          <w:b w:val="0"/>
          <w:color w:val="auto"/>
          <w:sz w:val="22"/>
          <w:szCs w:val="22"/>
          <w:lang w:val="en-US"/>
        </w:rPr>
        <w:tab/>
        <w:t xml:space="preserve">Environmental Impact Assessment </w:t>
      </w:r>
    </w:p>
    <w:p w14:paraId="7990EA4E" w14:textId="1E60BEFD" w:rsidR="00491987" w:rsidRPr="00977459" w:rsidRDefault="00491987">
      <w:pPr>
        <w:rPr>
          <w:rStyle w:val="Heading2Char"/>
          <w:rFonts w:ascii="Times New Roman" w:hAnsi="Times New Roman"/>
          <w:b w:val="0"/>
          <w:color w:val="auto"/>
          <w:sz w:val="22"/>
          <w:szCs w:val="22"/>
          <w:lang w:val="en-US"/>
        </w:rPr>
      </w:pPr>
      <w:r w:rsidRPr="00977459">
        <w:rPr>
          <w:rStyle w:val="Heading2Char"/>
          <w:rFonts w:ascii="Times New Roman" w:hAnsi="Times New Roman"/>
          <w:b w:val="0"/>
          <w:color w:val="auto"/>
          <w:sz w:val="22"/>
          <w:szCs w:val="22"/>
          <w:lang w:val="en-US"/>
        </w:rPr>
        <w:t>EPA</w:t>
      </w:r>
      <w:r w:rsidR="00977459" w:rsidRPr="00977459">
        <w:rPr>
          <w:rStyle w:val="Heading2Char"/>
          <w:rFonts w:ascii="Times New Roman" w:hAnsi="Times New Roman"/>
          <w:b w:val="0"/>
          <w:color w:val="auto"/>
          <w:sz w:val="22"/>
          <w:szCs w:val="22"/>
          <w:lang w:val="en-US"/>
        </w:rPr>
        <w:tab/>
      </w:r>
      <w:r w:rsidR="00977459" w:rsidRPr="00977459">
        <w:rPr>
          <w:rStyle w:val="Heading2Char"/>
          <w:rFonts w:ascii="Times New Roman" w:hAnsi="Times New Roman"/>
          <w:b w:val="0"/>
          <w:color w:val="auto"/>
          <w:sz w:val="22"/>
          <w:szCs w:val="22"/>
          <w:lang w:val="en-US"/>
        </w:rPr>
        <w:tab/>
        <w:t>Environmental Protection Agency</w:t>
      </w:r>
    </w:p>
    <w:p w14:paraId="20B3AF1B" w14:textId="3CA9C202" w:rsidR="00491987" w:rsidRPr="00977459" w:rsidRDefault="00491987">
      <w:pPr>
        <w:rPr>
          <w:rStyle w:val="Heading2Char"/>
          <w:rFonts w:ascii="Times New Roman" w:hAnsi="Times New Roman"/>
          <w:b w:val="0"/>
          <w:color w:val="auto"/>
          <w:sz w:val="22"/>
          <w:szCs w:val="22"/>
          <w:lang w:val="en-US"/>
        </w:rPr>
      </w:pPr>
      <w:r w:rsidRPr="00977459">
        <w:rPr>
          <w:rStyle w:val="Heading2Char"/>
          <w:rFonts w:ascii="Times New Roman" w:hAnsi="Times New Roman"/>
          <w:b w:val="0"/>
          <w:color w:val="auto"/>
          <w:sz w:val="22"/>
          <w:szCs w:val="22"/>
          <w:lang w:val="en-US"/>
        </w:rPr>
        <w:t>ESIA</w:t>
      </w:r>
      <w:r w:rsidR="00977459" w:rsidRPr="00977459">
        <w:rPr>
          <w:rStyle w:val="Heading2Char"/>
          <w:rFonts w:ascii="Times New Roman" w:hAnsi="Times New Roman"/>
          <w:b w:val="0"/>
          <w:color w:val="auto"/>
          <w:sz w:val="22"/>
          <w:szCs w:val="22"/>
          <w:lang w:val="en-US"/>
        </w:rPr>
        <w:tab/>
      </w:r>
      <w:r w:rsidR="00977459" w:rsidRPr="00977459">
        <w:rPr>
          <w:rStyle w:val="Heading2Char"/>
          <w:rFonts w:ascii="Times New Roman" w:hAnsi="Times New Roman"/>
          <w:b w:val="0"/>
          <w:color w:val="auto"/>
          <w:sz w:val="22"/>
          <w:szCs w:val="22"/>
          <w:lang w:val="en-US"/>
        </w:rPr>
        <w:tab/>
        <w:t>Environmental and Social Impact Assessment</w:t>
      </w:r>
    </w:p>
    <w:p w14:paraId="5C1B64FA" w14:textId="2DAB1DCB" w:rsidR="00491987" w:rsidRPr="00977459" w:rsidRDefault="00491987">
      <w:pPr>
        <w:rPr>
          <w:rStyle w:val="Heading2Char"/>
          <w:rFonts w:ascii="Times New Roman" w:hAnsi="Times New Roman"/>
          <w:b w:val="0"/>
          <w:color w:val="auto"/>
          <w:sz w:val="22"/>
          <w:szCs w:val="22"/>
          <w:lang w:val="en-US"/>
        </w:rPr>
      </w:pPr>
      <w:r w:rsidRPr="00977459">
        <w:rPr>
          <w:rStyle w:val="Heading2Char"/>
          <w:rFonts w:ascii="Times New Roman" w:hAnsi="Times New Roman"/>
          <w:b w:val="0"/>
          <w:color w:val="auto"/>
          <w:sz w:val="22"/>
          <w:szCs w:val="22"/>
          <w:lang w:val="en-US"/>
        </w:rPr>
        <w:t>ESMP</w:t>
      </w:r>
      <w:r w:rsidR="00977459" w:rsidRPr="00977459">
        <w:rPr>
          <w:rStyle w:val="Heading2Char"/>
          <w:rFonts w:ascii="Times New Roman" w:hAnsi="Times New Roman"/>
          <w:b w:val="0"/>
          <w:color w:val="auto"/>
          <w:sz w:val="22"/>
          <w:szCs w:val="22"/>
          <w:lang w:val="en-US"/>
        </w:rPr>
        <w:tab/>
      </w:r>
      <w:r w:rsidR="00977459" w:rsidRPr="00977459">
        <w:rPr>
          <w:rStyle w:val="Heading2Char"/>
          <w:rFonts w:ascii="Times New Roman" w:hAnsi="Times New Roman"/>
          <w:b w:val="0"/>
          <w:color w:val="auto"/>
          <w:sz w:val="22"/>
          <w:szCs w:val="22"/>
          <w:lang w:val="en-US"/>
        </w:rPr>
        <w:tab/>
        <w:t>Environmental and Social Management Plan</w:t>
      </w:r>
    </w:p>
    <w:p w14:paraId="4A1A21EF" w14:textId="6D1092F8" w:rsidR="00491987" w:rsidRPr="00977459" w:rsidRDefault="00491987">
      <w:pPr>
        <w:rPr>
          <w:rStyle w:val="Heading2Char"/>
          <w:rFonts w:ascii="Times New Roman" w:hAnsi="Times New Roman"/>
          <w:b w:val="0"/>
          <w:color w:val="auto"/>
          <w:sz w:val="22"/>
          <w:szCs w:val="22"/>
          <w:lang w:val="en-US"/>
        </w:rPr>
      </w:pPr>
      <w:r w:rsidRPr="00977459">
        <w:rPr>
          <w:rStyle w:val="Heading2Char"/>
          <w:rFonts w:ascii="Times New Roman" w:hAnsi="Times New Roman"/>
          <w:b w:val="0"/>
          <w:color w:val="auto"/>
          <w:sz w:val="22"/>
          <w:szCs w:val="22"/>
          <w:lang w:val="en-US"/>
        </w:rPr>
        <w:t>ESSA</w:t>
      </w:r>
      <w:r w:rsidR="00977459" w:rsidRPr="00977459">
        <w:rPr>
          <w:rStyle w:val="Heading2Char"/>
          <w:rFonts w:ascii="Times New Roman" w:hAnsi="Times New Roman"/>
          <w:b w:val="0"/>
          <w:color w:val="auto"/>
          <w:sz w:val="22"/>
          <w:szCs w:val="22"/>
          <w:lang w:val="en-US"/>
        </w:rPr>
        <w:tab/>
      </w:r>
      <w:r w:rsidR="00977459" w:rsidRPr="00977459">
        <w:rPr>
          <w:rStyle w:val="Heading2Char"/>
          <w:rFonts w:ascii="Times New Roman" w:hAnsi="Times New Roman"/>
          <w:b w:val="0"/>
          <w:color w:val="auto"/>
          <w:sz w:val="22"/>
          <w:szCs w:val="22"/>
          <w:lang w:val="en-US"/>
        </w:rPr>
        <w:tab/>
        <w:t>Environmental and Social Systems Assessment</w:t>
      </w:r>
    </w:p>
    <w:p w14:paraId="40A4F4BF" w14:textId="0110B820" w:rsidR="00491987" w:rsidRPr="00977459" w:rsidRDefault="00491987">
      <w:pPr>
        <w:rPr>
          <w:rStyle w:val="Heading2Char"/>
          <w:rFonts w:ascii="Times New Roman" w:hAnsi="Times New Roman"/>
          <w:b w:val="0"/>
          <w:color w:val="auto"/>
          <w:sz w:val="22"/>
          <w:szCs w:val="22"/>
          <w:lang w:val="en-US"/>
        </w:rPr>
      </w:pPr>
      <w:r w:rsidRPr="004A6B30">
        <w:rPr>
          <w:rStyle w:val="Heading2Char"/>
          <w:rFonts w:ascii="Times New Roman" w:hAnsi="Times New Roman"/>
          <w:b w:val="0"/>
          <w:color w:val="auto"/>
          <w:sz w:val="22"/>
          <w:szCs w:val="22"/>
          <w:lang w:val="en-US"/>
        </w:rPr>
        <w:t>FOAT</w:t>
      </w:r>
      <w:r w:rsidR="00977459" w:rsidRPr="00977459">
        <w:rPr>
          <w:rStyle w:val="Heading2Char"/>
          <w:rFonts w:ascii="Times New Roman" w:hAnsi="Times New Roman"/>
          <w:b w:val="0"/>
          <w:color w:val="auto"/>
          <w:sz w:val="22"/>
          <w:szCs w:val="22"/>
          <w:lang w:val="en-US"/>
        </w:rPr>
        <w:tab/>
      </w:r>
      <w:r w:rsidR="00977459" w:rsidRPr="00977459">
        <w:rPr>
          <w:rStyle w:val="Heading2Char"/>
          <w:rFonts w:ascii="Times New Roman" w:hAnsi="Times New Roman"/>
          <w:b w:val="0"/>
          <w:color w:val="auto"/>
          <w:sz w:val="22"/>
          <w:szCs w:val="22"/>
          <w:lang w:val="en-US"/>
        </w:rPr>
        <w:tab/>
      </w:r>
      <w:r w:rsidR="004A6B30">
        <w:rPr>
          <w:rStyle w:val="Heading2Char"/>
          <w:rFonts w:ascii="Times New Roman" w:hAnsi="Times New Roman"/>
          <w:b w:val="0"/>
          <w:color w:val="auto"/>
          <w:sz w:val="22"/>
          <w:szCs w:val="22"/>
          <w:lang w:val="en-US"/>
        </w:rPr>
        <w:t>Functional Organizational Assessment Tool</w:t>
      </w:r>
    </w:p>
    <w:p w14:paraId="5DAB8C78" w14:textId="05A02966" w:rsidR="00491987" w:rsidRPr="00977459" w:rsidRDefault="00491987">
      <w:pPr>
        <w:rPr>
          <w:rStyle w:val="Heading2Char"/>
          <w:rFonts w:ascii="Times New Roman" w:hAnsi="Times New Roman"/>
          <w:b w:val="0"/>
          <w:color w:val="auto"/>
          <w:sz w:val="22"/>
          <w:szCs w:val="22"/>
          <w:lang w:val="en-US"/>
        </w:rPr>
      </w:pPr>
      <w:r w:rsidRPr="00977459">
        <w:rPr>
          <w:rStyle w:val="Heading2Char"/>
          <w:rFonts w:ascii="Times New Roman" w:hAnsi="Times New Roman"/>
          <w:b w:val="0"/>
          <w:color w:val="auto"/>
          <w:sz w:val="22"/>
          <w:szCs w:val="22"/>
          <w:lang w:val="en-US"/>
        </w:rPr>
        <w:t>GBV</w:t>
      </w:r>
      <w:r w:rsidR="00977459" w:rsidRPr="00977459">
        <w:rPr>
          <w:rStyle w:val="Heading2Char"/>
          <w:rFonts w:ascii="Times New Roman" w:hAnsi="Times New Roman"/>
          <w:b w:val="0"/>
          <w:color w:val="auto"/>
          <w:sz w:val="22"/>
          <w:szCs w:val="22"/>
          <w:lang w:val="en-US"/>
        </w:rPr>
        <w:tab/>
      </w:r>
      <w:r w:rsidR="00977459" w:rsidRPr="00977459">
        <w:rPr>
          <w:rStyle w:val="Heading2Char"/>
          <w:rFonts w:ascii="Times New Roman" w:hAnsi="Times New Roman"/>
          <w:b w:val="0"/>
          <w:color w:val="auto"/>
          <w:sz w:val="22"/>
          <w:szCs w:val="22"/>
          <w:lang w:val="en-US"/>
        </w:rPr>
        <w:tab/>
        <w:t>Gender-Based Violence</w:t>
      </w:r>
    </w:p>
    <w:p w14:paraId="36773C18" w14:textId="3C4F83EE" w:rsidR="00491987" w:rsidRPr="00F4337E" w:rsidRDefault="00491987">
      <w:pPr>
        <w:rPr>
          <w:rStyle w:val="Heading2Char"/>
          <w:rFonts w:ascii="Times New Roman" w:hAnsi="Times New Roman"/>
          <w:b w:val="0"/>
          <w:color w:val="auto"/>
          <w:sz w:val="22"/>
          <w:szCs w:val="22"/>
          <w:lang w:val="en-US"/>
        </w:rPr>
      </w:pPr>
      <w:r w:rsidRPr="00F4337E">
        <w:rPr>
          <w:rStyle w:val="Heading2Char"/>
          <w:rFonts w:ascii="Times New Roman" w:hAnsi="Times New Roman"/>
          <w:b w:val="0"/>
          <w:color w:val="auto"/>
          <w:sz w:val="22"/>
          <w:szCs w:val="22"/>
          <w:lang w:val="en-US"/>
        </w:rPr>
        <w:t>GEDAP</w:t>
      </w:r>
      <w:r w:rsidR="00977459" w:rsidRPr="00F4337E">
        <w:rPr>
          <w:rStyle w:val="Heading2Char"/>
          <w:rFonts w:ascii="Times New Roman" w:hAnsi="Times New Roman"/>
          <w:b w:val="0"/>
          <w:color w:val="auto"/>
          <w:sz w:val="22"/>
          <w:szCs w:val="22"/>
          <w:lang w:val="en-US"/>
        </w:rPr>
        <w:tab/>
      </w:r>
      <w:r w:rsidR="00977459" w:rsidRPr="00F4337E">
        <w:rPr>
          <w:rFonts w:ascii="Times New Roman" w:hAnsi="Times New Roman" w:cs="Times New Roman"/>
        </w:rPr>
        <w:t>Ghana Energy Development and Access Project</w:t>
      </w:r>
    </w:p>
    <w:p w14:paraId="2E216DE5" w14:textId="5804258C" w:rsidR="00491987" w:rsidRPr="00F4337E" w:rsidRDefault="00491987">
      <w:pPr>
        <w:rPr>
          <w:rStyle w:val="Heading2Char"/>
          <w:rFonts w:ascii="Times New Roman" w:hAnsi="Times New Roman"/>
          <w:b w:val="0"/>
          <w:color w:val="auto"/>
          <w:sz w:val="22"/>
          <w:szCs w:val="22"/>
          <w:lang w:val="en-US"/>
        </w:rPr>
      </w:pPr>
      <w:r w:rsidRPr="00F4337E">
        <w:rPr>
          <w:rStyle w:val="Heading2Char"/>
          <w:rFonts w:ascii="Times New Roman" w:hAnsi="Times New Roman"/>
          <w:b w:val="0"/>
          <w:color w:val="auto"/>
          <w:sz w:val="22"/>
          <w:szCs w:val="22"/>
          <w:lang w:val="en-US"/>
        </w:rPr>
        <w:t>GOG</w:t>
      </w:r>
      <w:r w:rsidR="00977459" w:rsidRPr="00F4337E">
        <w:rPr>
          <w:rStyle w:val="Heading2Char"/>
          <w:rFonts w:ascii="Times New Roman" w:hAnsi="Times New Roman"/>
          <w:b w:val="0"/>
          <w:color w:val="auto"/>
          <w:sz w:val="22"/>
          <w:szCs w:val="22"/>
          <w:lang w:val="en-US"/>
        </w:rPr>
        <w:tab/>
      </w:r>
      <w:r w:rsidR="00977459" w:rsidRPr="00F4337E">
        <w:rPr>
          <w:rStyle w:val="Heading2Char"/>
          <w:rFonts w:ascii="Times New Roman" w:hAnsi="Times New Roman"/>
          <w:b w:val="0"/>
          <w:color w:val="auto"/>
          <w:sz w:val="22"/>
          <w:szCs w:val="22"/>
          <w:lang w:val="en-US"/>
        </w:rPr>
        <w:tab/>
        <w:t>Government of Ghana</w:t>
      </w:r>
    </w:p>
    <w:p w14:paraId="3C66B875" w14:textId="325C1298" w:rsidR="00491987" w:rsidRPr="00F4337E" w:rsidRDefault="00491987">
      <w:pPr>
        <w:rPr>
          <w:rStyle w:val="Heading2Char"/>
          <w:rFonts w:ascii="Times New Roman" w:hAnsi="Times New Roman"/>
          <w:b w:val="0"/>
          <w:color w:val="auto"/>
          <w:sz w:val="22"/>
          <w:szCs w:val="22"/>
          <w:lang w:val="en-US"/>
        </w:rPr>
      </w:pPr>
      <w:r w:rsidRPr="00CA0715">
        <w:rPr>
          <w:rStyle w:val="Heading2Char"/>
          <w:rFonts w:ascii="Times New Roman" w:hAnsi="Times New Roman"/>
          <w:b w:val="0"/>
          <w:color w:val="auto"/>
          <w:sz w:val="22"/>
          <w:szCs w:val="22"/>
          <w:lang w:val="en-US"/>
        </w:rPr>
        <w:t>GMMB</w:t>
      </w:r>
      <w:r w:rsidR="00F4337E" w:rsidRPr="00F4337E">
        <w:rPr>
          <w:rStyle w:val="Heading2Char"/>
          <w:rFonts w:ascii="Times New Roman" w:hAnsi="Times New Roman"/>
          <w:b w:val="0"/>
          <w:color w:val="auto"/>
          <w:sz w:val="22"/>
          <w:szCs w:val="22"/>
          <w:lang w:val="en-US"/>
        </w:rPr>
        <w:tab/>
      </w:r>
      <w:r w:rsidR="00F4337E" w:rsidRPr="00F4337E">
        <w:rPr>
          <w:rStyle w:val="Heading2Char"/>
          <w:rFonts w:ascii="Times New Roman" w:hAnsi="Times New Roman"/>
          <w:b w:val="0"/>
          <w:color w:val="auto"/>
          <w:sz w:val="22"/>
          <w:szCs w:val="22"/>
          <w:lang w:val="en-US"/>
        </w:rPr>
        <w:tab/>
      </w:r>
      <w:r w:rsidR="00F4337E" w:rsidRPr="00F4337E">
        <w:rPr>
          <w:rFonts w:ascii="Times New Roman" w:eastAsia="Calibri" w:hAnsi="Times New Roman" w:cs="Times New Roman"/>
          <w:lang w:eastAsia="x-none"/>
        </w:rPr>
        <w:t>Ghana Museum and Monuments Board</w:t>
      </w:r>
    </w:p>
    <w:p w14:paraId="666F0EA7" w14:textId="15178E87" w:rsidR="00491987" w:rsidRPr="00F4337E" w:rsidRDefault="00491987">
      <w:pPr>
        <w:rPr>
          <w:rStyle w:val="Heading2Char"/>
          <w:rFonts w:ascii="Times New Roman" w:hAnsi="Times New Roman"/>
          <w:b w:val="0"/>
          <w:color w:val="auto"/>
          <w:sz w:val="22"/>
          <w:szCs w:val="22"/>
          <w:lang w:val="en-US"/>
        </w:rPr>
      </w:pPr>
      <w:r w:rsidRPr="00F4337E">
        <w:rPr>
          <w:rStyle w:val="Heading2Char"/>
          <w:rFonts w:ascii="Times New Roman" w:hAnsi="Times New Roman"/>
          <w:b w:val="0"/>
          <w:color w:val="auto"/>
          <w:sz w:val="22"/>
          <w:szCs w:val="22"/>
          <w:lang w:val="en-US"/>
        </w:rPr>
        <w:t>GRM</w:t>
      </w:r>
      <w:r w:rsidR="00977459" w:rsidRPr="00F4337E">
        <w:rPr>
          <w:rStyle w:val="Heading2Char"/>
          <w:rFonts w:ascii="Times New Roman" w:hAnsi="Times New Roman"/>
          <w:b w:val="0"/>
          <w:color w:val="auto"/>
          <w:sz w:val="22"/>
          <w:szCs w:val="22"/>
          <w:lang w:val="en-US"/>
        </w:rPr>
        <w:tab/>
      </w:r>
      <w:r w:rsidR="00977459" w:rsidRPr="00F4337E">
        <w:rPr>
          <w:rStyle w:val="Heading2Char"/>
          <w:rFonts w:ascii="Times New Roman" w:hAnsi="Times New Roman"/>
          <w:b w:val="0"/>
          <w:color w:val="auto"/>
          <w:sz w:val="22"/>
          <w:szCs w:val="22"/>
          <w:lang w:val="en-US"/>
        </w:rPr>
        <w:tab/>
        <w:t>Grievance Redress Mechanisms</w:t>
      </w:r>
    </w:p>
    <w:p w14:paraId="45BDFE8C" w14:textId="058928F6" w:rsidR="00491987" w:rsidRPr="00F4337E" w:rsidRDefault="00491987">
      <w:pPr>
        <w:rPr>
          <w:rStyle w:val="Heading2Char"/>
          <w:rFonts w:ascii="Times New Roman" w:hAnsi="Times New Roman"/>
          <w:b w:val="0"/>
          <w:color w:val="auto"/>
          <w:sz w:val="22"/>
          <w:szCs w:val="22"/>
          <w:lang w:val="en-US"/>
        </w:rPr>
      </w:pPr>
      <w:r w:rsidRPr="00F4337E">
        <w:rPr>
          <w:rStyle w:val="Heading2Char"/>
          <w:rFonts w:ascii="Times New Roman" w:hAnsi="Times New Roman"/>
          <w:b w:val="0"/>
          <w:color w:val="auto"/>
          <w:sz w:val="22"/>
          <w:szCs w:val="22"/>
          <w:lang w:val="en-US"/>
        </w:rPr>
        <w:t>GSCSP</w:t>
      </w:r>
      <w:r w:rsidR="004A6B30" w:rsidRPr="00F4337E">
        <w:rPr>
          <w:rStyle w:val="Heading2Char"/>
          <w:rFonts w:ascii="Times New Roman" w:hAnsi="Times New Roman"/>
          <w:b w:val="0"/>
          <w:color w:val="auto"/>
          <w:sz w:val="22"/>
          <w:szCs w:val="22"/>
          <w:lang w:val="en-US"/>
        </w:rPr>
        <w:tab/>
      </w:r>
      <w:r w:rsidR="004A6B30" w:rsidRPr="00F4337E">
        <w:rPr>
          <w:rStyle w:val="Heading2Char"/>
          <w:rFonts w:ascii="Times New Roman" w:hAnsi="Times New Roman"/>
          <w:b w:val="0"/>
          <w:color w:val="auto"/>
          <w:sz w:val="22"/>
          <w:szCs w:val="22"/>
          <w:lang w:val="en-US"/>
        </w:rPr>
        <w:tab/>
        <w:t>Ghana Secondary Cities Support Program</w:t>
      </w:r>
    </w:p>
    <w:p w14:paraId="38B0C81B" w14:textId="5DCEFA53" w:rsidR="00491987" w:rsidRPr="00F4337E" w:rsidRDefault="00491987">
      <w:pPr>
        <w:rPr>
          <w:rStyle w:val="Heading2Char"/>
          <w:rFonts w:ascii="Times New Roman" w:hAnsi="Times New Roman"/>
          <w:b w:val="0"/>
          <w:color w:val="auto"/>
          <w:sz w:val="22"/>
          <w:szCs w:val="22"/>
          <w:lang w:val="en-US"/>
        </w:rPr>
      </w:pPr>
      <w:r w:rsidRPr="00F4337E">
        <w:rPr>
          <w:rStyle w:val="Heading2Char"/>
          <w:rFonts w:ascii="Times New Roman" w:hAnsi="Times New Roman"/>
          <w:b w:val="0"/>
          <w:color w:val="auto"/>
          <w:sz w:val="22"/>
          <w:szCs w:val="22"/>
          <w:lang w:val="en-US"/>
        </w:rPr>
        <w:t>LGCSP</w:t>
      </w:r>
      <w:r w:rsidR="00977459" w:rsidRPr="00F4337E">
        <w:rPr>
          <w:rStyle w:val="Heading2Char"/>
          <w:rFonts w:ascii="Times New Roman" w:hAnsi="Times New Roman"/>
          <w:b w:val="0"/>
          <w:color w:val="auto"/>
          <w:sz w:val="22"/>
          <w:szCs w:val="22"/>
          <w:lang w:val="en-US"/>
        </w:rPr>
        <w:tab/>
      </w:r>
      <w:r w:rsidR="00977459" w:rsidRPr="00F4337E">
        <w:rPr>
          <w:rStyle w:val="Heading2Char"/>
          <w:rFonts w:ascii="Times New Roman" w:hAnsi="Times New Roman"/>
          <w:b w:val="0"/>
          <w:color w:val="auto"/>
          <w:sz w:val="22"/>
          <w:szCs w:val="22"/>
          <w:lang w:val="en-US"/>
        </w:rPr>
        <w:tab/>
        <w:t>Local Government Capacity Support Project</w:t>
      </w:r>
    </w:p>
    <w:p w14:paraId="5B453683" w14:textId="246B427F" w:rsidR="00491987" w:rsidRPr="00F4337E" w:rsidRDefault="00491987">
      <w:pPr>
        <w:rPr>
          <w:rStyle w:val="Heading2Char"/>
          <w:rFonts w:ascii="Times New Roman" w:hAnsi="Times New Roman"/>
          <w:b w:val="0"/>
          <w:color w:val="auto"/>
          <w:sz w:val="22"/>
          <w:szCs w:val="22"/>
          <w:lang w:val="en-US"/>
        </w:rPr>
      </w:pPr>
      <w:r w:rsidRPr="00F4337E">
        <w:rPr>
          <w:rStyle w:val="Heading2Char"/>
          <w:rFonts w:ascii="Times New Roman" w:hAnsi="Times New Roman"/>
          <w:b w:val="0"/>
          <w:color w:val="auto"/>
          <w:sz w:val="22"/>
          <w:szCs w:val="22"/>
          <w:lang w:val="en-US"/>
        </w:rPr>
        <w:t>LI</w:t>
      </w:r>
      <w:r w:rsidR="004A6B30" w:rsidRPr="00F4337E">
        <w:rPr>
          <w:rStyle w:val="Heading2Char"/>
          <w:rFonts w:ascii="Times New Roman" w:hAnsi="Times New Roman"/>
          <w:b w:val="0"/>
          <w:color w:val="auto"/>
          <w:sz w:val="22"/>
          <w:szCs w:val="22"/>
          <w:lang w:val="en-US"/>
        </w:rPr>
        <w:tab/>
      </w:r>
      <w:r w:rsidR="004A6B30" w:rsidRPr="00F4337E">
        <w:rPr>
          <w:rStyle w:val="Heading2Char"/>
          <w:rFonts w:ascii="Times New Roman" w:hAnsi="Times New Roman"/>
          <w:b w:val="0"/>
          <w:color w:val="auto"/>
          <w:sz w:val="22"/>
          <w:szCs w:val="22"/>
          <w:lang w:val="en-US"/>
        </w:rPr>
        <w:tab/>
        <w:t>Legislative Instrument</w:t>
      </w:r>
    </w:p>
    <w:p w14:paraId="78A73F06" w14:textId="17C2072A" w:rsidR="00491987" w:rsidRPr="00F4337E" w:rsidRDefault="00491987">
      <w:pPr>
        <w:rPr>
          <w:rStyle w:val="Heading2Char"/>
          <w:rFonts w:ascii="Times New Roman" w:hAnsi="Times New Roman"/>
          <w:b w:val="0"/>
          <w:color w:val="auto"/>
          <w:sz w:val="22"/>
          <w:szCs w:val="22"/>
          <w:lang w:val="en-US"/>
        </w:rPr>
      </w:pPr>
      <w:r w:rsidRPr="00F4337E">
        <w:rPr>
          <w:rStyle w:val="Heading2Char"/>
          <w:rFonts w:ascii="Times New Roman" w:hAnsi="Times New Roman"/>
          <w:b w:val="0"/>
          <w:color w:val="auto"/>
          <w:sz w:val="22"/>
          <w:szCs w:val="22"/>
          <w:lang w:val="en-US"/>
        </w:rPr>
        <w:t>LVD</w:t>
      </w:r>
      <w:r w:rsidR="00977459" w:rsidRPr="00F4337E">
        <w:rPr>
          <w:rStyle w:val="Heading2Char"/>
          <w:rFonts w:ascii="Times New Roman" w:hAnsi="Times New Roman"/>
          <w:b w:val="0"/>
          <w:color w:val="auto"/>
          <w:sz w:val="22"/>
          <w:szCs w:val="22"/>
          <w:lang w:val="en-US"/>
        </w:rPr>
        <w:tab/>
      </w:r>
      <w:r w:rsidR="00977459" w:rsidRPr="00F4337E">
        <w:rPr>
          <w:rStyle w:val="Heading2Char"/>
          <w:rFonts w:ascii="Times New Roman" w:hAnsi="Times New Roman"/>
          <w:b w:val="0"/>
          <w:color w:val="auto"/>
          <w:sz w:val="22"/>
          <w:szCs w:val="22"/>
          <w:lang w:val="en-US"/>
        </w:rPr>
        <w:tab/>
        <w:t>Land Valuation Department</w:t>
      </w:r>
    </w:p>
    <w:p w14:paraId="435F9759" w14:textId="584A270C" w:rsidR="00491987" w:rsidRPr="00F4337E" w:rsidRDefault="00491987">
      <w:pPr>
        <w:rPr>
          <w:rStyle w:val="Heading2Char"/>
          <w:rFonts w:ascii="Times New Roman" w:hAnsi="Times New Roman"/>
          <w:b w:val="0"/>
          <w:color w:val="auto"/>
          <w:sz w:val="22"/>
          <w:szCs w:val="22"/>
          <w:lang w:val="en-US"/>
        </w:rPr>
      </w:pPr>
      <w:r w:rsidRPr="00F4337E">
        <w:rPr>
          <w:rStyle w:val="Heading2Char"/>
          <w:rFonts w:ascii="Times New Roman" w:hAnsi="Times New Roman"/>
          <w:b w:val="0"/>
          <w:color w:val="auto"/>
          <w:sz w:val="22"/>
          <w:szCs w:val="22"/>
          <w:lang w:val="en-US"/>
        </w:rPr>
        <w:t>MLGRD</w:t>
      </w:r>
      <w:r w:rsidR="00977459" w:rsidRPr="00F4337E">
        <w:rPr>
          <w:rStyle w:val="Heading2Char"/>
          <w:rFonts w:ascii="Times New Roman" w:hAnsi="Times New Roman"/>
          <w:b w:val="0"/>
          <w:color w:val="auto"/>
          <w:sz w:val="22"/>
          <w:szCs w:val="22"/>
          <w:lang w:val="en-US"/>
        </w:rPr>
        <w:tab/>
        <w:t>Ministry of Local Government and Rural Development</w:t>
      </w:r>
    </w:p>
    <w:p w14:paraId="4873D626" w14:textId="63244088" w:rsidR="00491987" w:rsidRPr="00F4337E" w:rsidRDefault="00491987">
      <w:pPr>
        <w:rPr>
          <w:rStyle w:val="Heading2Char"/>
          <w:rFonts w:ascii="Times New Roman" w:hAnsi="Times New Roman"/>
          <w:b w:val="0"/>
          <w:color w:val="auto"/>
          <w:sz w:val="22"/>
          <w:szCs w:val="22"/>
          <w:lang w:val="en-US"/>
        </w:rPr>
      </w:pPr>
      <w:r w:rsidRPr="00F4337E">
        <w:rPr>
          <w:rStyle w:val="Heading2Char"/>
          <w:rFonts w:ascii="Times New Roman" w:hAnsi="Times New Roman"/>
          <w:b w:val="0"/>
          <w:color w:val="auto"/>
          <w:sz w:val="22"/>
          <w:szCs w:val="22"/>
          <w:lang w:val="en-US"/>
        </w:rPr>
        <w:t>MMA</w:t>
      </w:r>
      <w:r w:rsidR="00977459" w:rsidRPr="00F4337E">
        <w:rPr>
          <w:rStyle w:val="Heading2Char"/>
          <w:rFonts w:ascii="Times New Roman" w:hAnsi="Times New Roman"/>
          <w:b w:val="0"/>
          <w:color w:val="auto"/>
          <w:sz w:val="22"/>
          <w:szCs w:val="22"/>
          <w:lang w:val="en-US"/>
        </w:rPr>
        <w:tab/>
      </w:r>
      <w:r w:rsidR="00977459" w:rsidRPr="00F4337E">
        <w:rPr>
          <w:rStyle w:val="Heading2Char"/>
          <w:rFonts w:ascii="Times New Roman" w:hAnsi="Times New Roman"/>
          <w:b w:val="0"/>
          <w:color w:val="auto"/>
          <w:sz w:val="22"/>
          <w:szCs w:val="22"/>
          <w:lang w:val="en-US"/>
        </w:rPr>
        <w:tab/>
        <w:t>Metropolitan Municipal Authority</w:t>
      </w:r>
    </w:p>
    <w:p w14:paraId="3A8EEA85" w14:textId="6A2469BC" w:rsidR="00491987" w:rsidRPr="00F4337E" w:rsidRDefault="00491987">
      <w:pPr>
        <w:rPr>
          <w:rStyle w:val="Heading2Char"/>
          <w:rFonts w:ascii="Times New Roman" w:hAnsi="Times New Roman"/>
          <w:b w:val="0"/>
          <w:color w:val="auto"/>
          <w:sz w:val="22"/>
          <w:szCs w:val="22"/>
          <w:lang w:val="en-US"/>
        </w:rPr>
      </w:pPr>
      <w:r w:rsidRPr="00F4337E">
        <w:rPr>
          <w:rStyle w:val="Heading2Char"/>
          <w:rFonts w:ascii="Times New Roman" w:hAnsi="Times New Roman"/>
          <w:b w:val="0"/>
          <w:color w:val="auto"/>
          <w:sz w:val="22"/>
          <w:szCs w:val="22"/>
          <w:lang w:val="en-US"/>
        </w:rPr>
        <w:t>MMDA</w:t>
      </w:r>
      <w:r w:rsidR="00977459" w:rsidRPr="00F4337E">
        <w:rPr>
          <w:rStyle w:val="Heading2Char"/>
          <w:rFonts w:ascii="Times New Roman" w:hAnsi="Times New Roman"/>
          <w:b w:val="0"/>
          <w:color w:val="auto"/>
          <w:sz w:val="22"/>
          <w:szCs w:val="22"/>
          <w:lang w:val="en-US"/>
        </w:rPr>
        <w:tab/>
      </w:r>
      <w:r w:rsidR="00977459" w:rsidRPr="00F4337E">
        <w:rPr>
          <w:rStyle w:val="Heading2Char"/>
          <w:rFonts w:ascii="Times New Roman" w:hAnsi="Times New Roman"/>
          <w:b w:val="0"/>
          <w:color w:val="auto"/>
          <w:sz w:val="22"/>
          <w:szCs w:val="22"/>
          <w:lang w:val="en-US"/>
        </w:rPr>
        <w:tab/>
        <w:t>Metropolitan Municipal and District Authority</w:t>
      </w:r>
    </w:p>
    <w:p w14:paraId="5B4A03F1" w14:textId="681D3443" w:rsidR="00491987" w:rsidRPr="00F4337E" w:rsidRDefault="00491987">
      <w:pPr>
        <w:rPr>
          <w:rStyle w:val="Heading2Char"/>
          <w:rFonts w:ascii="Times New Roman" w:hAnsi="Times New Roman"/>
          <w:b w:val="0"/>
          <w:color w:val="auto"/>
          <w:sz w:val="22"/>
          <w:szCs w:val="22"/>
          <w:lang w:val="en-US"/>
        </w:rPr>
      </w:pPr>
      <w:r w:rsidRPr="00F4337E">
        <w:rPr>
          <w:rStyle w:val="Heading2Char"/>
          <w:rFonts w:ascii="Times New Roman" w:hAnsi="Times New Roman"/>
          <w:b w:val="0"/>
          <w:color w:val="auto"/>
          <w:sz w:val="22"/>
          <w:szCs w:val="22"/>
          <w:lang w:val="en-US"/>
        </w:rPr>
        <w:t>MOU</w:t>
      </w:r>
      <w:r w:rsidR="00977459" w:rsidRPr="00F4337E">
        <w:rPr>
          <w:rStyle w:val="Heading2Char"/>
          <w:rFonts w:ascii="Times New Roman" w:hAnsi="Times New Roman"/>
          <w:b w:val="0"/>
          <w:color w:val="auto"/>
          <w:sz w:val="22"/>
          <w:szCs w:val="22"/>
          <w:lang w:val="en-US"/>
        </w:rPr>
        <w:tab/>
      </w:r>
      <w:r w:rsidR="00977459" w:rsidRPr="00F4337E">
        <w:rPr>
          <w:rStyle w:val="Heading2Char"/>
          <w:rFonts w:ascii="Times New Roman" w:hAnsi="Times New Roman"/>
          <w:b w:val="0"/>
          <w:color w:val="auto"/>
          <w:sz w:val="22"/>
          <w:szCs w:val="22"/>
          <w:lang w:val="en-US"/>
        </w:rPr>
        <w:tab/>
        <w:t>Memorandum of Understanding</w:t>
      </w:r>
    </w:p>
    <w:p w14:paraId="4487A336" w14:textId="0293D70D" w:rsidR="00491987" w:rsidRPr="00CA0715" w:rsidRDefault="00491987">
      <w:pPr>
        <w:rPr>
          <w:rStyle w:val="Heading2Char"/>
          <w:rFonts w:ascii="Times New Roman" w:hAnsi="Times New Roman"/>
          <w:b w:val="0"/>
          <w:color w:val="auto"/>
          <w:sz w:val="22"/>
          <w:szCs w:val="22"/>
          <w:lang w:val="en-US"/>
        </w:rPr>
      </w:pPr>
      <w:r w:rsidRPr="00CA0715">
        <w:rPr>
          <w:rStyle w:val="Heading2Char"/>
          <w:rFonts w:ascii="Times New Roman" w:hAnsi="Times New Roman"/>
          <w:b w:val="0"/>
          <w:color w:val="auto"/>
          <w:sz w:val="22"/>
          <w:szCs w:val="22"/>
          <w:lang w:val="en-US"/>
        </w:rPr>
        <w:t>NCC</w:t>
      </w:r>
      <w:r w:rsidR="004A6B30" w:rsidRPr="00CA0715">
        <w:rPr>
          <w:rStyle w:val="Heading2Char"/>
          <w:rFonts w:ascii="Times New Roman" w:hAnsi="Times New Roman"/>
          <w:b w:val="0"/>
          <w:color w:val="auto"/>
          <w:sz w:val="22"/>
          <w:szCs w:val="22"/>
          <w:lang w:val="en-US"/>
        </w:rPr>
        <w:tab/>
      </w:r>
      <w:r w:rsidR="004A6B30" w:rsidRPr="00CA0715">
        <w:rPr>
          <w:rStyle w:val="Heading2Char"/>
          <w:rFonts w:ascii="Times New Roman" w:hAnsi="Times New Roman"/>
          <w:b w:val="0"/>
          <w:color w:val="auto"/>
          <w:sz w:val="22"/>
          <w:szCs w:val="22"/>
          <w:lang w:val="en-US"/>
        </w:rPr>
        <w:tab/>
      </w:r>
      <w:r w:rsidR="00F4337E" w:rsidRPr="00CA0715">
        <w:rPr>
          <w:rFonts w:ascii="Times New Roman" w:eastAsia="Calibri" w:hAnsi="Times New Roman" w:cs="Times New Roman"/>
          <w:lang w:eastAsia="x-none"/>
        </w:rPr>
        <w:t>National Commission on Culture</w:t>
      </w:r>
    </w:p>
    <w:p w14:paraId="7198ED93" w14:textId="2B21DFE3" w:rsidR="00491987" w:rsidRPr="00F4337E" w:rsidRDefault="00491987">
      <w:pPr>
        <w:rPr>
          <w:rStyle w:val="Heading2Char"/>
          <w:rFonts w:ascii="Times New Roman" w:hAnsi="Times New Roman"/>
          <w:b w:val="0"/>
          <w:color w:val="auto"/>
          <w:sz w:val="22"/>
          <w:szCs w:val="22"/>
          <w:lang w:val="en-US"/>
        </w:rPr>
      </w:pPr>
      <w:r w:rsidRPr="00F4337E">
        <w:rPr>
          <w:rStyle w:val="Heading2Char"/>
          <w:rFonts w:ascii="Times New Roman" w:hAnsi="Times New Roman"/>
          <w:b w:val="0"/>
          <w:color w:val="auto"/>
          <w:sz w:val="22"/>
          <w:szCs w:val="22"/>
          <w:lang w:val="en-US"/>
        </w:rPr>
        <w:t>OHLGS</w:t>
      </w:r>
      <w:r w:rsidR="004A6B30" w:rsidRPr="00F4337E">
        <w:rPr>
          <w:rStyle w:val="Heading2Char"/>
          <w:rFonts w:ascii="Times New Roman" w:hAnsi="Times New Roman"/>
          <w:b w:val="0"/>
          <w:color w:val="auto"/>
          <w:sz w:val="22"/>
          <w:szCs w:val="22"/>
          <w:lang w:val="en-US"/>
        </w:rPr>
        <w:tab/>
        <w:t>Office of the Head of Local Government Services</w:t>
      </w:r>
    </w:p>
    <w:p w14:paraId="2FF5D482" w14:textId="1CB4FBC9" w:rsidR="00491987" w:rsidRPr="00F4337E" w:rsidRDefault="00491987">
      <w:pPr>
        <w:rPr>
          <w:rStyle w:val="Heading2Char"/>
          <w:rFonts w:ascii="Times New Roman" w:hAnsi="Times New Roman"/>
          <w:b w:val="0"/>
          <w:color w:val="auto"/>
          <w:sz w:val="22"/>
          <w:szCs w:val="22"/>
          <w:lang w:val="en-US"/>
        </w:rPr>
      </w:pPr>
      <w:r w:rsidRPr="00F4337E">
        <w:rPr>
          <w:rStyle w:val="Heading2Char"/>
          <w:rFonts w:ascii="Times New Roman" w:hAnsi="Times New Roman"/>
          <w:b w:val="0"/>
          <w:color w:val="auto"/>
          <w:sz w:val="22"/>
          <w:szCs w:val="22"/>
          <w:lang w:val="en-US"/>
        </w:rPr>
        <w:t>PCR</w:t>
      </w:r>
      <w:r w:rsidR="00977459" w:rsidRPr="00F4337E">
        <w:rPr>
          <w:rStyle w:val="Heading2Char"/>
          <w:rFonts w:ascii="Times New Roman" w:hAnsi="Times New Roman"/>
          <w:b w:val="0"/>
          <w:color w:val="auto"/>
          <w:sz w:val="22"/>
          <w:szCs w:val="22"/>
          <w:lang w:val="en-US"/>
        </w:rPr>
        <w:tab/>
      </w:r>
      <w:r w:rsidR="00977459" w:rsidRPr="00F4337E">
        <w:rPr>
          <w:rStyle w:val="Heading2Char"/>
          <w:rFonts w:ascii="Times New Roman" w:hAnsi="Times New Roman"/>
          <w:b w:val="0"/>
          <w:color w:val="auto"/>
          <w:sz w:val="22"/>
          <w:szCs w:val="22"/>
          <w:lang w:val="en-US"/>
        </w:rPr>
        <w:tab/>
        <w:t>Physical Cultural Resources</w:t>
      </w:r>
    </w:p>
    <w:p w14:paraId="0F8B0A5D" w14:textId="0739A5F1" w:rsidR="00491987" w:rsidRPr="00F4337E" w:rsidRDefault="00491987">
      <w:pPr>
        <w:rPr>
          <w:rStyle w:val="Heading2Char"/>
          <w:rFonts w:ascii="Times New Roman" w:hAnsi="Times New Roman"/>
          <w:b w:val="0"/>
          <w:color w:val="auto"/>
          <w:sz w:val="22"/>
          <w:szCs w:val="22"/>
          <w:lang w:val="en-US"/>
        </w:rPr>
      </w:pPr>
      <w:r w:rsidRPr="00CA0715">
        <w:rPr>
          <w:rStyle w:val="Heading2Char"/>
          <w:rFonts w:ascii="Times New Roman" w:hAnsi="Times New Roman"/>
          <w:b w:val="0"/>
          <w:color w:val="auto"/>
          <w:sz w:val="22"/>
          <w:szCs w:val="22"/>
          <w:lang w:val="en-US"/>
        </w:rPr>
        <w:t>PER</w:t>
      </w:r>
      <w:r w:rsidR="00977459" w:rsidRPr="00F4337E">
        <w:rPr>
          <w:rStyle w:val="Heading2Char"/>
          <w:rFonts w:ascii="Times New Roman" w:hAnsi="Times New Roman"/>
          <w:b w:val="0"/>
          <w:color w:val="auto"/>
          <w:sz w:val="22"/>
          <w:szCs w:val="22"/>
          <w:lang w:val="en-US"/>
        </w:rPr>
        <w:tab/>
      </w:r>
      <w:r w:rsidR="00977459" w:rsidRPr="00F4337E">
        <w:rPr>
          <w:rStyle w:val="Heading2Char"/>
          <w:rFonts w:ascii="Times New Roman" w:hAnsi="Times New Roman"/>
          <w:b w:val="0"/>
          <w:color w:val="auto"/>
          <w:sz w:val="22"/>
          <w:szCs w:val="22"/>
          <w:lang w:val="en-US"/>
        </w:rPr>
        <w:tab/>
      </w:r>
      <w:r w:rsidR="00F4337E" w:rsidRPr="00F4337E">
        <w:rPr>
          <w:rFonts w:ascii="Times New Roman" w:hAnsi="Times New Roman" w:cs="Times New Roman"/>
          <w:iCs/>
          <w:color w:val="000000" w:themeColor="text1"/>
        </w:rPr>
        <w:t>Preliminary Environmental Report</w:t>
      </w:r>
    </w:p>
    <w:p w14:paraId="6992F93A" w14:textId="1F011770" w:rsidR="00491987" w:rsidRPr="00F4337E" w:rsidRDefault="00491987">
      <w:pPr>
        <w:rPr>
          <w:rStyle w:val="Heading2Char"/>
          <w:rFonts w:ascii="Times New Roman" w:hAnsi="Times New Roman"/>
          <w:b w:val="0"/>
          <w:color w:val="auto"/>
          <w:sz w:val="22"/>
          <w:szCs w:val="22"/>
          <w:lang w:val="en-US"/>
        </w:rPr>
      </w:pPr>
      <w:r w:rsidRPr="00F4337E">
        <w:rPr>
          <w:rStyle w:val="Heading2Char"/>
          <w:rFonts w:ascii="Times New Roman" w:hAnsi="Times New Roman"/>
          <w:b w:val="0"/>
          <w:color w:val="auto"/>
          <w:sz w:val="22"/>
          <w:szCs w:val="22"/>
          <w:lang w:val="en-US"/>
        </w:rPr>
        <w:t>PIU</w:t>
      </w:r>
      <w:r w:rsidR="00977459" w:rsidRPr="00F4337E">
        <w:rPr>
          <w:rStyle w:val="Heading2Char"/>
          <w:rFonts w:ascii="Times New Roman" w:hAnsi="Times New Roman"/>
          <w:b w:val="0"/>
          <w:color w:val="auto"/>
          <w:sz w:val="22"/>
          <w:szCs w:val="22"/>
          <w:lang w:val="en-US"/>
        </w:rPr>
        <w:tab/>
      </w:r>
      <w:r w:rsidR="00977459" w:rsidRPr="00F4337E">
        <w:rPr>
          <w:rStyle w:val="Heading2Char"/>
          <w:rFonts w:ascii="Times New Roman" w:hAnsi="Times New Roman"/>
          <w:b w:val="0"/>
          <w:color w:val="auto"/>
          <w:sz w:val="22"/>
          <w:szCs w:val="22"/>
          <w:lang w:val="en-US"/>
        </w:rPr>
        <w:tab/>
        <w:t>Project Implementation Unit</w:t>
      </w:r>
    </w:p>
    <w:p w14:paraId="62C3DAC8" w14:textId="3C60B1BD" w:rsidR="00491987" w:rsidRPr="00F4337E" w:rsidRDefault="00491987">
      <w:pPr>
        <w:rPr>
          <w:rStyle w:val="Heading2Char"/>
          <w:rFonts w:ascii="Times New Roman" w:hAnsi="Times New Roman"/>
          <w:b w:val="0"/>
          <w:color w:val="auto"/>
          <w:sz w:val="22"/>
          <w:szCs w:val="22"/>
          <w:lang w:val="en-US"/>
        </w:rPr>
      </w:pPr>
      <w:r w:rsidRPr="00F4337E">
        <w:rPr>
          <w:rStyle w:val="Heading2Char"/>
          <w:rFonts w:ascii="Times New Roman" w:hAnsi="Times New Roman"/>
          <w:b w:val="0"/>
          <w:color w:val="auto"/>
          <w:sz w:val="22"/>
          <w:szCs w:val="22"/>
          <w:lang w:val="en-US"/>
        </w:rPr>
        <w:t>PP</w:t>
      </w:r>
      <w:r w:rsidR="004A6B30" w:rsidRPr="00F4337E">
        <w:rPr>
          <w:rStyle w:val="Heading2Char"/>
          <w:rFonts w:ascii="Times New Roman" w:hAnsi="Times New Roman"/>
          <w:b w:val="0"/>
          <w:color w:val="auto"/>
          <w:sz w:val="22"/>
          <w:szCs w:val="22"/>
          <w:lang w:val="en-US"/>
        </w:rPr>
        <w:t>B</w:t>
      </w:r>
      <w:r w:rsidRPr="00F4337E">
        <w:rPr>
          <w:rStyle w:val="Heading2Char"/>
          <w:rFonts w:ascii="Times New Roman" w:hAnsi="Times New Roman"/>
          <w:b w:val="0"/>
          <w:color w:val="auto"/>
          <w:sz w:val="22"/>
          <w:szCs w:val="22"/>
          <w:lang w:val="en-US"/>
        </w:rPr>
        <w:t>MED</w:t>
      </w:r>
      <w:r w:rsidR="00455A9B" w:rsidRPr="00F4337E">
        <w:rPr>
          <w:rStyle w:val="Heading2Char"/>
          <w:rFonts w:ascii="Times New Roman" w:hAnsi="Times New Roman"/>
          <w:b w:val="0"/>
          <w:color w:val="auto"/>
          <w:sz w:val="22"/>
          <w:szCs w:val="22"/>
          <w:lang w:val="en-US"/>
        </w:rPr>
        <w:tab/>
        <w:t>Policy Planning</w:t>
      </w:r>
      <w:r w:rsidR="004A6B30" w:rsidRPr="00F4337E">
        <w:rPr>
          <w:rStyle w:val="Heading2Char"/>
          <w:rFonts w:ascii="Times New Roman" w:hAnsi="Times New Roman"/>
          <w:b w:val="0"/>
          <w:color w:val="auto"/>
          <w:sz w:val="22"/>
          <w:szCs w:val="22"/>
          <w:lang w:val="en-US"/>
        </w:rPr>
        <w:t xml:space="preserve"> Budget Monitoring and Evaluation Division</w:t>
      </w:r>
    </w:p>
    <w:p w14:paraId="5E03BC70" w14:textId="400C28AF" w:rsidR="00491987" w:rsidRPr="00F4337E" w:rsidRDefault="00491987">
      <w:pPr>
        <w:rPr>
          <w:rStyle w:val="Heading2Char"/>
          <w:rFonts w:ascii="Times New Roman" w:hAnsi="Times New Roman"/>
          <w:b w:val="0"/>
          <w:color w:val="auto"/>
          <w:sz w:val="22"/>
          <w:szCs w:val="22"/>
          <w:lang w:val="en-US"/>
        </w:rPr>
      </w:pPr>
      <w:r w:rsidRPr="00F4337E">
        <w:rPr>
          <w:rStyle w:val="Heading2Char"/>
          <w:rFonts w:ascii="Times New Roman" w:hAnsi="Times New Roman"/>
          <w:b w:val="0"/>
          <w:color w:val="auto"/>
          <w:sz w:val="22"/>
          <w:szCs w:val="22"/>
          <w:lang w:val="en-US"/>
        </w:rPr>
        <w:lastRenderedPageBreak/>
        <w:t>PVLMD</w:t>
      </w:r>
      <w:r w:rsidR="004A6B30" w:rsidRPr="00F4337E">
        <w:rPr>
          <w:rStyle w:val="Heading2Char"/>
          <w:rFonts w:ascii="Times New Roman" w:hAnsi="Times New Roman"/>
          <w:b w:val="0"/>
          <w:color w:val="auto"/>
          <w:sz w:val="22"/>
          <w:szCs w:val="22"/>
          <w:lang w:val="en-US"/>
        </w:rPr>
        <w:tab/>
        <w:t>Public and Vested Land Management Division</w:t>
      </w:r>
    </w:p>
    <w:p w14:paraId="598A6DBD" w14:textId="7E376925" w:rsidR="00491987" w:rsidRPr="00F4337E" w:rsidRDefault="00491987">
      <w:pPr>
        <w:rPr>
          <w:rStyle w:val="Heading2Char"/>
          <w:rFonts w:ascii="Times New Roman" w:hAnsi="Times New Roman"/>
          <w:b w:val="0"/>
          <w:color w:val="auto"/>
          <w:sz w:val="22"/>
          <w:szCs w:val="22"/>
          <w:lang w:val="en-US"/>
        </w:rPr>
      </w:pPr>
      <w:r w:rsidRPr="00F4337E">
        <w:rPr>
          <w:rStyle w:val="Heading2Char"/>
          <w:rFonts w:ascii="Times New Roman" w:hAnsi="Times New Roman"/>
          <w:b w:val="0"/>
          <w:color w:val="auto"/>
          <w:sz w:val="22"/>
          <w:szCs w:val="22"/>
          <w:lang w:val="en-US"/>
        </w:rPr>
        <w:t>PWD</w:t>
      </w:r>
      <w:r w:rsidR="004A6B30" w:rsidRPr="00F4337E">
        <w:rPr>
          <w:rStyle w:val="Heading2Char"/>
          <w:rFonts w:ascii="Times New Roman" w:hAnsi="Times New Roman"/>
          <w:b w:val="0"/>
          <w:color w:val="auto"/>
          <w:sz w:val="22"/>
          <w:szCs w:val="22"/>
          <w:lang w:val="en-US"/>
        </w:rPr>
        <w:tab/>
      </w:r>
      <w:r w:rsidR="004A6B30" w:rsidRPr="00F4337E">
        <w:rPr>
          <w:rStyle w:val="Heading2Char"/>
          <w:rFonts w:ascii="Times New Roman" w:hAnsi="Times New Roman"/>
          <w:b w:val="0"/>
          <w:color w:val="auto"/>
          <w:sz w:val="22"/>
          <w:szCs w:val="22"/>
          <w:lang w:val="en-US"/>
        </w:rPr>
        <w:tab/>
        <w:t>Public Works Department</w:t>
      </w:r>
    </w:p>
    <w:p w14:paraId="014B3A96" w14:textId="0E8287B2" w:rsidR="00491987" w:rsidRPr="00F4337E" w:rsidRDefault="00491987">
      <w:pPr>
        <w:rPr>
          <w:rStyle w:val="Heading2Char"/>
          <w:rFonts w:ascii="Times New Roman" w:hAnsi="Times New Roman"/>
          <w:b w:val="0"/>
          <w:color w:val="auto"/>
          <w:sz w:val="22"/>
          <w:szCs w:val="22"/>
          <w:lang w:val="en-US"/>
        </w:rPr>
      </w:pPr>
      <w:r w:rsidRPr="00F4337E">
        <w:rPr>
          <w:rStyle w:val="Heading2Char"/>
          <w:rFonts w:ascii="Times New Roman" w:hAnsi="Times New Roman"/>
          <w:b w:val="0"/>
          <w:color w:val="auto"/>
          <w:sz w:val="22"/>
          <w:szCs w:val="22"/>
          <w:lang w:val="en-US"/>
        </w:rPr>
        <w:t>RAP</w:t>
      </w:r>
      <w:r w:rsidR="00977459" w:rsidRPr="00F4337E">
        <w:rPr>
          <w:rStyle w:val="Heading2Char"/>
          <w:rFonts w:ascii="Times New Roman" w:hAnsi="Times New Roman"/>
          <w:b w:val="0"/>
          <w:color w:val="auto"/>
          <w:sz w:val="22"/>
          <w:szCs w:val="22"/>
          <w:lang w:val="en-US"/>
        </w:rPr>
        <w:tab/>
      </w:r>
      <w:r w:rsidR="00977459" w:rsidRPr="00F4337E">
        <w:rPr>
          <w:rStyle w:val="Heading2Char"/>
          <w:rFonts w:ascii="Times New Roman" w:hAnsi="Times New Roman"/>
          <w:b w:val="0"/>
          <w:color w:val="auto"/>
          <w:sz w:val="22"/>
          <w:szCs w:val="22"/>
          <w:lang w:val="en-US"/>
        </w:rPr>
        <w:tab/>
        <w:t>Resettlement Action Plan</w:t>
      </w:r>
    </w:p>
    <w:p w14:paraId="68A3FA9D" w14:textId="03D34340" w:rsidR="00491987" w:rsidRPr="00F4337E" w:rsidRDefault="00491987">
      <w:pPr>
        <w:rPr>
          <w:rStyle w:val="Heading2Char"/>
          <w:rFonts w:ascii="Times New Roman" w:hAnsi="Times New Roman"/>
          <w:b w:val="0"/>
          <w:color w:val="auto"/>
          <w:sz w:val="22"/>
          <w:szCs w:val="22"/>
          <w:lang w:val="en-US"/>
        </w:rPr>
      </w:pPr>
      <w:r w:rsidRPr="00F4337E">
        <w:rPr>
          <w:rStyle w:val="Heading2Char"/>
          <w:rFonts w:ascii="Times New Roman" w:hAnsi="Times New Roman"/>
          <w:b w:val="0"/>
          <w:color w:val="auto"/>
          <w:sz w:val="22"/>
          <w:szCs w:val="22"/>
          <w:lang w:val="en-US"/>
        </w:rPr>
        <w:t>ROW</w:t>
      </w:r>
      <w:r w:rsidR="00977459" w:rsidRPr="00F4337E">
        <w:rPr>
          <w:rStyle w:val="Heading2Char"/>
          <w:rFonts w:ascii="Times New Roman" w:hAnsi="Times New Roman"/>
          <w:b w:val="0"/>
          <w:color w:val="auto"/>
          <w:sz w:val="22"/>
          <w:szCs w:val="22"/>
          <w:lang w:val="en-US"/>
        </w:rPr>
        <w:tab/>
      </w:r>
      <w:r w:rsidR="00977459" w:rsidRPr="00F4337E">
        <w:rPr>
          <w:rStyle w:val="Heading2Char"/>
          <w:rFonts w:ascii="Times New Roman" w:hAnsi="Times New Roman"/>
          <w:b w:val="0"/>
          <w:color w:val="auto"/>
          <w:sz w:val="22"/>
          <w:szCs w:val="22"/>
          <w:lang w:val="en-US"/>
        </w:rPr>
        <w:tab/>
        <w:t>Right-of-Way</w:t>
      </w:r>
    </w:p>
    <w:p w14:paraId="31C6EE52" w14:textId="25C6A89E" w:rsidR="00491987" w:rsidRPr="00F4337E" w:rsidRDefault="00491987">
      <w:pPr>
        <w:rPr>
          <w:rStyle w:val="Heading2Char"/>
          <w:rFonts w:ascii="Times New Roman" w:hAnsi="Times New Roman"/>
          <w:b w:val="0"/>
          <w:color w:val="auto"/>
          <w:sz w:val="22"/>
          <w:szCs w:val="22"/>
          <w:lang w:val="en-US"/>
        </w:rPr>
      </w:pPr>
      <w:r w:rsidRPr="00F4337E">
        <w:rPr>
          <w:rStyle w:val="Heading2Char"/>
          <w:rFonts w:ascii="Times New Roman" w:hAnsi="Times New Roman"/>
          <w:b w:val="0"/>
          <w:color w:val="auto"/>
          <w:sz w:val="22"/>
          <w:szCs w:val="22"/>
          <w:lang w:val="en-US"/>
        </w:rPr>
        <w:t>RPF</w:t>
      </w:r>
      <w:r w:rsidR="00977459" w:rsidRPr="00F4337E">
        <w:rPr>
          <w:rStyle w:val="Heading2Char"/>
          <w:rFonts w:ascii="Times New Roman" w:hAnsi="Times New Roman"/>
          <w:b w:val="0"/>
          <w:color w:val="auto"/>
          <w:sz w:val="22"/>
          <w:szCs w:val="22"/>
          <w:lang w:val="en-US"/>
        </w:rPr>
        <w:tab/>
      </w:r>
      <w:r w:rsidR="00977459" w:rsidRPr="00F4337E">
        <w:rPr>
          <w:rStyle w:val="Heading2Char"/>
          <w:rFonts w:ascii="Times New Roman" w:hAnsi="Times New Roman"/>
          <w:b w:val="0"/>
          <w:color w:val="auto"/>
          <w:sz w:val="22"/>
          <w:szCs w:val="22"/>
          <w:lang w:val="en-US"/>
        </w:rPr>
        <w:tab/>
        <w:t>Resettlement Policy Framework</w:t>
      </w:r>
    </w:p>
    <w:p w14:paraId="0FBDA4B3" w14:textId="3D9521BA" w:rsidR="00491987" w:rsidRPr="00F4337E" w:rsidRDefault="00491987">
      <w:pPr>
        <w:rPr>
          <w:rStyle w:val="Heading2Char"/>
          <w:rFonts w:ascii="Times New Roman" w:hAnsi="Times New Roman"/>
          <w:b w:val="0"/>
          <w:color w:val="auto"/>
          <w:sz w:val="22"/>
          <w:szCs w:val="22"/>
          <w:lang w:val="en-US"/>
        </w:rPr>
      </w:pPr>
      <w:r w:rsidRPr="00F4337E">
        <w:rPr>
          <w:rStyle w:val="Heading2Char"/>
          <w:rFonts w:ascii="Times New Roman" w:hAnsi="Times New Roman"/>
          <w:b w:val="0"/>
          <w:color w:val="auto"/>
          <w:sz w:val="22"/>
          <w:szCs w:val="22"/>
          <w:lang w:val="en-US"/>
        </w:rPr>
        <w:t>SAU</w:t>
      </w:r>
      <w:r w:rsidR="004A6B30" w:rsidRPr="00F4337E">
        <w:rPr>
          <w:rStyle w:val="Heading2Char"/>
          <w:rFonts w:ascii="Times New Roman" w:hAnsi="Times New Roman"/>
          <w:b w:val="0"/>
          <w:color w:val="auto"/>
          <w:sz w:val="22"/>
          <w:szCs w:val="22"/>
          <w:lang w:val="en-US"/>
        </w:rPr>
        <w:tab/>
      </w:r>
      <w:r w:rsidR="004A6B30" w:rsidRPr="00F4337E">
        <w:rPr>
          <w:rStyle w:val="Heading2Char"/>
          <w:rFonts w:ascii="Times New Roman" w:hAnsi="Times New Roman"/>
          <w:b w:val="0"/>
          <w:color w:val="auto"/>
          <w:sz w:val="22"/>
          <w:szCs w:val="22"/>
          <w:lang w:val="en-US"/>
        </w:rPr>
        <w:tab/>
        <w:t>Social Accountability Unit</w:t>
      </w:r>
    </w:p>
    <w:p w14:paraId="28157C95" w14:textId="08DAF3E5" w:rsidR="00491987" w:rsidRPr="00F4337E" w:rsidRDefault="00491987">
      <w:pPr>
        <w:rPr>
          <w:rStyle w:val="Heading2Char"/>
          <w:rFonts w:ascii="Times New Roman" w:hAnsi="Times New Roman"/>
          <w:b w:val="0"/>
          <w:color w:val="auto"/>
          <w:sz w:val="22"/>
          <w:szCs w:val="22"/>
          <w:lang w:val="en-US"/>
        </w:rPr>
      </w:pPr>
      <w:r w:rsidRPr="00CA0715">
        <w:rPr>
          <w:rStyle w:val="Heading2Char"/>
          <w:rFonts w:ascii="Times New Roman" w:hAnsi="Times New Roman"/>
          <w:b w:val="0"/>
          <w:color w:val="auto"/>
          <w:sz w:val="22"/>
          <w:szCs w:val="22"/>
          <w:lang w:val="en-US"/>
        </w:rPr>
        <w:t>TRC</w:t>
      </w:r>
      <w:r w:rsidR="00F4337E" w:rsidRPr="00F4337E">
        <w:rPr>
          <w:rStyle w:val="Heading2Char"/>
          <w:rFonts w:ascii="Times New Roman" w:hAnsi="Times New Roman"/>
          <w:b w:val="0"/>
          <w:color w:val="auto"/>
          <w:sz w:val="22"/>
          <w:szCs w:val="22"/>
          <w:lang w:val="en-US"/>
        </w:rPr>
        <w:tab/>
      </w:r>
      <w:r w:rsidR="00F4337E" w:rsidRPr="00F4337E">
        <w:rPr>
          <w:rStyle w:val="Heading2Char"/>
          <w:rFonts w:ascii="Times New Roman" w:hAnsi="Times New Roman"/>
          <w:b w:val="0"/>
          <w:color w:val="auto"/>
          <w:sz w:val="22"/>
          <w:szCs w:val="22"/>
          <w:lang w:val="en-US"/>
        </w:rPr>
        <w:tab/>
      </w:r>
      <w:r w:rsidR="00F4337E" w:rsidRPr="00F4337E">
        <w:rPr>
          <w:rFonts w:ascii="Times New Roman" w:eastAsia="Calibri" w:hAnsi="Times New Roman" w:cs="Times New Roman"/>
          <w:lang w:eastAsia="x-none"/>
        </w:rPr>
        <w:t>Technical Review Committee</w:t>
      </w:r>
    </w:p>
    <w:p w14:paraId="2104C3EA" w14:textId="5DF76FC2" w:rsidR="00491987" w:rsidRPr="00977459" w:rsidRDefault="00491987">
      <w:pPr>
        <w:rPr>
          <w:rStyle w:val="Heading2Char"/>
          <w:rFonts w:ascii="Times New Roman" w:hAnsi="Times New Roman"/>
          <w:b w:val="0"/>
          <w:color w:val="auto"/>
          <w:sz w:val="22"/>
          <w:szCs w:val="22"/>
          <w:lang w:val="en-US"/>
        </w:rPr>
      </w:pPr>
      <w:r w:rsidRPr="00F4337E">
        <w:rPr>
          <w:rStyle w:val="Heading2Char"/>
          <w:rFonts w:ascii="Times New Roman" w:hAnsi="Times New Roman"/>
          <w:b w:val="0"/>
          <w:color w:val="auto"/>
          <w:sz w:val="22"/>
          <w:szCs w:val="22"/>
          <w:lang w:val="en-US"/>
        </w:rPr>
        <w:t>WB</w:t>
      </w:r>
      <w:r w:rsidR="00977459" w:rsidRPr="00F4337E">
        <w:rPr>
          <w:rStyle w:val="Heading2Char"/>
          <w:rFonts w:ascii="Times New Roman" w:hAnsi="Times New Roman"/>
          <w:b w:val="0"/>
          <w:color w:val="auto"/>
          <w:sz w:val="22"/>
          <w:szCs w:val="22"/>
          <w:lang w:val="en-US"/>
        </w:rPr>
        <w:tab/>
      </w:r>
      <w:r w:rsidR="00977459" w:rsidRPr="00F4337E">
        <w:rPr>
          <w:rStyle w:val="Heading2Char"/>
          <w:rFonts w:ascii="Times New Roman" w:hAnsi="Times New Roman"/>
          <w:b w:val="0"/>
          <w:color w:val="auto"/>
          <w:sz w:val="22"/>
          <w:szCs w:val="22"/>
          <w:lang w:val="en-US"/>
        </w:rPr>
        <w:tab/>
        <w:t>World Bank</w:t>
      </w:r>
    </w:p>
    <w:p w14:paraId="53AB78C0" w14:textId="77777777" w:rsidR="00491987" w:rsidRPr="00977459" w:rsidRDefault="00491987">
      <w:pPr>
        <w:rPr>
          <w:rStyle w:val="Heading2Char"/>
          <w:b w:val="0"/>
          <w:color w:val="auto"/>
          <w:sz w:val="22"/>
          <w:szCs w:val="22"/>
          <w:lang w:val="en-US"/>
        </w:rPr>
      </w:pPr>
    </w:p>
    <w:p w14:paraId="46752E36" w14:textId="655CFC5F" w:rsidR="003E2BD8" w:rsidRDefault="003E2BD8">
      <w:pPr>
        <w:rPr>
          <w:rStyle w:val="Heading2Char"/>
          <w:b w:val="0"/>
        </w:rPr>
      </w:pPr>
      <w:r>
        <w:rPr>
          <w:rStyle w:val="Heading2Char"/>
          <w:b w:val="0"/>
        </w:rPr>
        <w:br w:type="page"/>
      </w:r>
    </w:p>
    <w:p w14:paraId="04C6ED13" w14:textId="72228C76" w:rsidR="00E65846" w:rsidRPr="00F06C53" w:rsidRDefault="00FC1238" w:rsidP="008300D5">
      <w:pPr>
        <w:autoSpaceDE w:val="0"/>
        <w:autoSpaceDN w:val="0"/>
        <w:adjustRightInd w:val="0"/>
        <w:spacing w:before="120" w:after="120" w:line="360" w:lineRule="auto"/>
        <w:jc w:val="both"/>
        <w:rPr>
          <w:rFonts w:ascii="Times New Roman" w:hAnsi="Times New Roman" w:cs="Times New Roman"/>
          <w:b/>
          <w:bCs/>
          <w:color w:val="FF0000"/>
        </w:rPr>
      </w:pPr>
      <w:bookmarkStart w:id="1" w:name="_Toc508892817"/>
      <w:r w:rsidRPr="00E15C04">
        <w:rPr>
          <w:rStyle w:val="Heading2Char"/>
        </w:rPr>
        <w:lastRenderedPageBreak/>
        <w:t>Executive Summary</w:t>
      </w:r>
      <w:bookmarkEnd w:id="1"/>
      <w:r w:rsidR="001B1D1D" w:rsidRPr="00F06C53">
        <w:rPr>
          <w:rFonts w:ascii="Times New Roman" w:hAnsi="Times New Roman" w:cs="Times New Roman"/>
          <w:b/>
          <w:bCs/>
          <w:color w:val="FF0000"/>
        </w:rPr>
        <w:t xml:space="preserve"> </w:t>
      </w:r>
    </w:p>
    <w:p w14:paraId="3008F0A6" w14:textId="78874083" w:rsidR="00C50B40" w:rsidRDefault="00C50B40" w:rsidP="00C50B40">
      <w:pPr>
        <w:pStyle w:val="BodyText"/>
        <w:widowControl w:val="0"/>
        <w:tabs>
          <w:tab w:val="left" w:pos="733"/>
        </w:tabs>
        <w:spacing w:before="120" w:after="120" w:line="240" w:lineRule="auto"/>
        <w:rPr>
          <w:sz w:val="22"/>
          <w:szCs w:val="22"/>
        </w:rPr>
      </w:pPr>
      <w:r>
        <w:rPr>
          <w:sz w:val="22"/>
          <w:szCs w:val="22"/>
        </w:rPr>
        <w:t>An</w:t>
      </w:r>
      <w:r w:rsidRPr="000556B6">
        <w:rPr>
          <w:sz w:val="22"/>
          <w:szCs w:val="22"/>
        </w:rPr>
        <w:t xml:space="preserve"> Environmental and Social Systems Assessment (ESSA) </w:t>
      </w:r>
      <w:r>
        <w:rPr>
          <w:sz w:val="22"/>
          <w:szCs w:val="22"/>
        </w:rPr>
        <w:t>for</w:t>
      </w:r>
      <w:r w:rsidRPr="000556B6">
        <w:rPr>
          <w:sz w:val="22"/>
          <w:szCs w:val="22"/>
        </w:rPr>
        <w:t xml:space="preserve"> Ghana was </w:t>
      </w:r>
      <w:r>
        <w:rPr>
          <w:sz w:val="22"/>
          <w:szCs w:val="22"/>
        </w:rPr>
        <w:t xml:space="preserve">conducted in compliance with Bank’s requirements to process this Program. The ESSA was </w:t>
      </w:r>
      <w:r w:rsidRPr="000556B6">
        <w:rPr>
          <w:sz w:val="22"/>
          <w:szCs w:val="22"/>
        </w:rPr>
        <w:t>informed by the findings from desk review of relevant documents, including the safeguards frameworks of the ongoing L</w:t>
      </w:r>
      <w:r>
        <w:rPr>
          <w:sz w:val="22"/>
          <w:szCs w:val="22"/>
        </w:rPr>
        <w:t>ocal Government Capacity Support Project (LG</w:t>
      </w:r>
      <w:r w:rsidRPr="000556B6">
        <w:rPr>
          <w:sz w:val="22"/>
          <w:szCs w:val="22"/>
        </w:rPr>
        <w:t>CSP</w:t>
      </w:r>
      <w:r>
        <w:rPr>
          <w:sz w:val="22"/>
          <w:szCs w:val="22"/>
        </w:rPr>
        <w:t>)</w:t>
      </w:r>
      <w:r w:rsidRPr="000556B6">
        <w:rPr>
          <w:sz w:val="22"/>
          <w:szCs w:val="22"/>
        </w:rPr>
        <w:t xml:space="preserve">; the 2006 Safeguards Diagnostic Report for the Piloting of the Use of Ghanaian Systems to Address Environmental Safeguard Issues under the Ghana Energy Development and Access Project (GEDAP), Progress Reports and Aide Memoires for the LGCSP, Ghana’s Environmental, Social and Health &amp; Safety Laws and Regulations, Ghana’s EIA Procedures and EA Sectoral Guidelines and environmental, social and resettlement frameworks of existing </w:t>
      </w:r>
      <w:r>
        <w:rPr>
          <w:sz w:val="22"/>
          <w:szCs w:val="22"/>
        </w:rPr>
        <w:t xml:space="preserve">World </w:t>
      </w:r>
      <w:r w:rsidR="00887529">
        <w:rPr>
          <w:sz w:val="22"/>
          <w:szCs w:val="22"/>
        </w:rPr>
        <w:t>B</w:t>
      </w:r>
      <w:r>
        <w:rPr>
          <w:sz w:val="22"/>
          <w:szCs w:val="22"/>
        </w:rPr>
        <w:t xml:space="preserve">ank-financed </w:t>
      </w:r>
      <w:r w:rsidRPr="000556B6">
        <w:rPr>
          <w:sz w:val="22"/>
          <w:szCs w:val="22"/>
        </w:rPr>
        <w:t xml:space="preserve">projects </w:t>
      </w:r>
      <w:r>
        <w:rPr>
          <w:sz w:val="22"/>
          <w:szCs w:val="22"/>
        </w:rPr>
        <w:t>in Ghana.</w:t>
      </w:r>
    </w:p>
    <w:p w14:paraId="6D86CDED" w14:textId="0899AEE0" w:rsidR="00C50B40" w:rsidRPr="00B27AD3" w:rsidRDefault="00C50B40" w:rsidP="00C50B40">
      <w:pPr>
        <w:pStyle w:val="BodyText"/>
        <w:widowControl w:val="0"/>
        <w:tabs>
          <w:tab w:val="left" w:pos="733"/>
        </w:tabs>
        <w:spacing w:before="120" w:after="120" w:line="240" w:lineRule="auto"/>
        <w:rPr>
          <w:sz w:val="22"/>
          <w:szCs w:val="22"/>
        </w:rPr>
      </w:pPr>
      <w:r w:rsidRPr="000556B6">
        <w:t>Field visits and site assessments of representative subprojects under the LGCSP were also conducted by the ESSA Team in five MMAs located in four Regions to observe actual implementation of the existing frameworks and specific instruments (such as ESMP and ARAP) under LGCSP. Safeguards Teams and Focal Points and Contractors were interviewed on January 23 – 30, 2018 as well as the MLGRD, PP</w:t>
      </w:r>
      <w:r w:rsidR="00975839">
        <w:t>B</w:t>
      </w:r>
      <w:r w:rsidRPr="000556B6">
        <w:t>ME</w:t>
      </w:r>
      <w:r w:rsidR="00975839">
        <w:t>D</w:t>
      </w:r>
      <w:r w:rsidRPr="000556B6">
        <w:t xml:space="preserve">, National EPA and Regional EPA, the </w:t>
      </w:r>
      <w:r w:rsidR="00887529">
        <w:t xml:space="preserve"> Land Valuation Division</w:t>
      </w:r>
      <w:r w:rsidRPr="000556B6">
        <w:t xml:space="preserve"> and Environmental and Social Practitioners.  </w:t>
      </w:r>
    </w:p>
    <w:p w14:paraId="25C84D00" w14:textId="77777777" w:rsidR="00C50B40" w:rsidRPr="000556B6" w:rsidRDefault="00C50B40" w:rsidP="00C50B40">
      <w:pPr>
        <w:pStyle w:val="BodyText"/>
        <w:widowControl w:val="0"/>
        <w:tabs>
          <w:tab w:val="left" w:pos="733"/>
        </w:tabs>
        <w:spacing w:before="120" w:after="120" w:line="240" w:lineRule="auto"/>
        <w:rPr>
          <w:sz w:val="22"/>
          <w:szCs w:val="22"/>
        </w:rPr>
      </w:pPr>
      <w:r w:rsidRPr="000556B6">
        <w:rPr>
          <w:sz w:val="22"/>
          <w:szCs w:val="22"/>
        </w:rPr>
        <w:t xml:space="preserve">The assessment of track record and implementation performance relies heavily on how environmental and social requirements and arrangements are carried out under the existing LGCSP. The improvements under the Program are based mainly on the experiences and lessons learned of LGCSP. </w:t>
      </w:r>
    </w:p>
    <w:p w14:paraId="4FADB304" w14:textId="0271191D" w:rsidR="00C50B40" w:rsidRDefault="00C50B40" w:rsidP="00C50B40">
      <w:pPr>
        <w:pStyle w:val="BodyText"/>
        <w:widowControl w:val="0"/>
        <w:tabs>
          <w:tab w:val="left" w:pos="733"/>
        </w:tabs>
        <w:spacing w:before="120" w:after="120" w:line="240" w:lineRule="auto"/>
        <w:rPr>
          <w:sz w:val="22"/>
          <w:szCs w:val="22"/>
        </w:rPr>
      </w:pPr>
      <w:r w:rsidRPr="000556B6">
        <w:rPr>
          <w:sz w:val="22"/>
          <w:szCs w:val="22"/>
        </w:rPr>
        <w:t xml:space="preserve">The findings and recommendations of the ESSA were </w:t>
      </w:r>
      <w:r>
        <w:rPr>
          <w:sz w:val="22"/>
          <w:szCs w:val="22"/>
        </w:rPr>
        <w:t>discussed with MLGRD and select MMAs on January 27-30, 2018 and with va</w:t>
      </w:r>
      <w:r w:rsidRPr="000556B6">
        <w:rPr>
          <w:sz w:val="22"/>
          <w:szCs w:val="22"/>
        </w:rPr>
        <w:t xml:space="preserve">rious stakeholders </w:t>
      </w:r>
      <w:r w:rsidRPr="00977459">
        <w:rPr>
          <w:sz w:val="22"/>
          <w:szCs w:val="22"/>
        </w:rPr>
        <w:t xml:space="preserve">on March </w:t>
      </w:r>
      <w:r w:rsidR="00977459" w:rsidRPr="00977459">
        <w:rPr>
          <w:sz w:val="22"/>
          <w:szCs w:val="22"/>
        </w:rPr>
        <w:t>27 and April 11,</w:t>
      </w:r>
      <w:r w:rsidRPr="00977459">
        <w:rPr>
          <w:sz w:val="22"/>
          <w:szCs w:val="22"/>
        </w:rPr>
        <w:t xml:space="preserve"> 2018 in Accra. Fe</w:t>
      </w:r>
      <w:r w:rsidRPr="000556B6">
        <w:rPr>
          <w:sz w:val="22"/>
          <w:szCs w:val="22"/>
        </w:rPr>
        <w:t xml:space="preserve">edback and inputs from the stakeholders were solicited during the consultations and are considered in the finalization of the ESSA, including the recommendations and the actions in the </w:t>
      </w:r>
      <w:r>
        <w:rPr>
          <w:sz w:val="22"/>
          <w:szCs w:val="22"/>
        </w:rPr>
        <w:t>Program Action Plan.</w:t>
      </w:r>
    </w:p>
    <w:p w14:paraId="55B98E26" w14:textId="77777777" w:rsidR="00C50B40" w:rsidRDefault="00C50B40" w:rsidP="00C50B40">
      <w:pPr>
        <w:pStyle w:val="BodyText"/>
        <w:widowControl w:val="0"/>
        <w:tabs>
          <w:tab w:val="left" w:pos="733"/>
        </w:tabs>
        <w:spacing w:before="120" w:after="120" w:line="240" w:lineRule="auto"/>
        <w:rPr>
          <w:sz w:val="22"/>
          <w:szCs w:val="22"/>
        </w:rPr>
      </w:pPr>
    </w:p>
    <w:p w14:paraId="4A8F1EA5" w14:textId="77777777" w:rsidR="00C50B40" w:rsidRDefault="00C50B40" w:rsidP="00C50B40">
      <w:pPr>
        <w:pStyle w:val="BodyText"/>
        <w:widowControl w:val="0"/>
        <w:tabs>
          <w:tab w:val="left" w:pos="733"/>
        </w:tabs>
        <w:spacing w:before="120" w:after="120" w:line="240" w:lineRule="auto"/>
        <w:rPr>
          <w:b/>
        </w:rPr>
      </w:pPr>
      <w:r w:rsidRPr="000556B6">
        <w:rPr>
          <w:b/>
        </w:rPr>
        <w:t>E &amp; S Impacts and Risks of the</w:t>
      </w:r>
      <w:r>
        <w:rPr>
          <w:b/>
        </w:rPr>
        <w:t xml:space="preserve"> Program</w:t>
      </w:r>
    </w:p>
    <w:p w14:paraId="24273CCD" w14:textId="77777777" w:rsidR="00C50B40" w:rsidRDefault="00C50B40" w:rsidP="00C50B40">
      <w:pPr>
        <w:pStyle w:val="BodyText"/>
        <w:widowControl w:val="0"/>
        <w:tabs>
          <w:tab w:val="left" w:pos="733"/>
        </w:tabs>
        <w:spacing w:before="120" w:after="120" w:line="240" w:lineRule="auto"/>
        <w:rPr>
          <w:spacing w:val="-1"/>
        </w:rPr>
      </w:pPr>
      <w:r w:rsidRPr="00694CA1">
        <w:t xml:space="preserve">The Program is expected to provide environmental </w:t>
      </w:r>
      <w:r>
        <w:t>and</w:t>
      </w:r>
      <w:r w:rsidRPr="00694CA1">
        <w:t xml:space="preserve"> social benefits</w:t>
      </w:r>
      <w:r>
        <w:t>,</w:t>
      </w:r>
      <w:r w:rsidRPr="00694CA1">
        <w:t xml:space="preserve"> including: (i) improved health and sanitation in schools, public markets, commercial complexes, abattoirs, bus terminals, etc. through provision of sanitation, water and wastewater treatment facilities in these establishments; (ii) improved air quality due to improved traffic flow, reduced fuel consumption and dust e</w:t>
      </w:r>
      <w:r>
        <w:t>ntrainment through better roads</w:t>
      </w:r>
      <w:r w:rsidRPr="00694CA1">
        <w:t>; (iii) reduced road flooding and reduced roadside erosio</w:t>
      </w:r>
      <w:r>
        <w:t xml:space="preserve">n through drainage improvement; </w:t>
      </w:r>
      <w:r w:rsidRPr="00694CA1">
        <w:t xml:space="preserve">(iv) public health improvement because of construction of health centers, removal of accumulated solid wastes from city streets and commercial centers through better solid waste collection; (v) </w:t>
      </w:r>
      <w:r>
        <w:t>r</w:t>
      </w:r>
      <w:r w:rsidRPr="00694CA1">
        <w:t xml:space="preserve">educed traffic congestion and reduced pedestrian accident hazard through improved bus terminals; (vi) </w:t>
      </w:r>
      <w:r>
        <w:t>e</w:t>
      </w:r>
      <w:r w:rsidRPr="00694CA1">
        <w:t xml:space="preserve">nhanced green cover through establishment of public parks and landscaping of public areas associated with the planned urban infrastructure; (vii) </w:t>
      </w:r>
      <w:r>
        <w:t>i</w:t>
      </w:r>
      <w:r w:rsidRPr="00694CA1">
        <w:t xml:space="preserve">ncreased awareness on the importance of environmental management at the MMA level that has an effect outside of the Program investments; (viii) </w:t>
      </w:r>
      <w:r>
        <w:t>i</w:t>
      </w:r>
      <w:r w:rsidRPr="00694CA1">
        <w:t xml:space="preserve">mproved community accessibility to schools, health centers, public markets and commercial centers through better roads; (ix) </w:t>
      </w:r>
      <w:r>
        <w:rPr>
          <w:spacing w:val="-1"/>
        </w:rPr>
        <w:t>i</w:t>
      </w:r>
      <w:r w:rsidRPr="00694CA1">
        <w:rPr>
          <w:spacing w:val="-1"/>
        </w:rPr>
        <w:t xml:space="preserve">mproved security and safety through improved walkways and street lights; (x) </w:t>
      </w:r>
      <w:r>
        <w:rPr>
          <w:spacing w:val="-1"/>
        </w:rPr>
        <w:t>b</w:t>
      </w:r>
      <w:r w:rsidRPr="00694CA1">
        <w:rPr>
          <w:spacing w:val="-1"/>
        </w:rPr>
        <w:t xml:space="preserve">etter conditions for vendors, stall and business owners and customers along commercial centers and public markets; (xi) </w:t>
      </w:r>
      <w:r>
        <w:rPr>
          <w:spacing w:val="-1"/>
        </w:rPr>
        <w:t>b</w:t>
      </w:r>
      <w:r w:rsidRPr="00694CA1">
        <w:rPr>
          <w:spacing w:val="-1"/>
        </w:rPr>
        <w:t xml:space="preserve">etter conditions and safe environment for drivers and commuters through improved bus terminals; (xii) </w:t>
      </w:r>
      <w:r>
        <w:rPr>
          <w:spacing w:val="-1"/>
        </w:rPr>
        <w:t>e</w:t>
      </w:r>
      <w:r w:rsidRPr="00694CA1">
        <w:rPr>
          <w:spacing w:val="-1"/>
        </w:rPr>
        <w:t xml:space="preserve">mployment opportunities for the community through construction and maintenance of the municipal infrastructure; and, (xiii) </w:t>
      </w:r>
      <w:r>
        <w:rPr>
          <w:spacing w:val="-1"/>
        </w:rPr>
        <w:t>s</w:t>
      </w:r>
      <w:r w:rsidRPr="00694CA1">
        <w:rPr>
          <w:spacing w:val="-1"/>
        </w:rPr>
        <w:t xml:space="preserve">trengthened local capacity to deliver. </w:t>
      </w:r>
    </w:p>
    <w:p w14:paraId="105443CA" w14:textId="77777777" w:rsidR="00C50B40" w:rsidRPr="00B27AD3" w:rsidRDefault="00C50B40" w:rsidP="00C50B40">
      <w:pPr>
        <w:pStyle w:val="BodyText"/>
        <w:widowControl w:val="0"/>
        <w:tabs>
          <w:tab w:val="left" w:pos="733"/>
        </w:tabs>
        <w:spacing w:before="120" w:after="120" w:line="240" w:lineRule="auto"/>
        <w:rPr>
          <w:rFonts w:eastAsia="Calibri"/>
        </w:rPr>
      </w:pPr>
      <w:r>
        <w:rPr>
          <w:spacing w:val="-1"/>
        </w:rPr>
        <w:t xml:space="preserve">The </w:t>
      </w:r>
      <w:r w:rsidRPr="000556B6">
        <w:rPr>
          <w:spacing w:val="-1"/>
        </w:rPr>
        <w:t xml:space="preserve">Program is also expected to generate negative environmental and social impacts and risks mainly during construction. </w:t>
      </w:r>
      <w:r w:rsidRPr="000556B6">
        <w:rPr>
          <w:rFonts w:eastAsia="Calibri"/>
        </w:rPr>
        <w:t>Based on LGCSP experience</w:t>
      </w:r>
      <w:r>
        <w:rPr>
          <w:rFonts w:eastAsia="Calibri"/>
        </w:rPr>
        <w:t xml:space="preserve"> whereby MMAs o</w:t>
      </w:r>
      <w:r w:rsidRPr="000556B6">
        <w:rPr>
          <w:rFonts w:eastAsia="Calibri"/>
        </w:rPr>
        <w:t xml:space="preserve">pted to implement relatively small to medium-sized subprojects within the existing Right-of-Way (RoW) or premises with minimal land acquisition requirements, if any at all, mainly because of limited budget allocation, impacts have been </w:t>
      </w:r>
      <w:r w:rsidRPr="000556B6">
        <w:rPr>
          <w:rFonts w:eastAsia="Calibri"/>
        </w:rPr>
        <w:lastRenderedPageBreak/>
        <w:t xml:space="preserve">observed </w:t>
      </w:r>
      <w:r>
        <w:rPr>
          <w:rFonts w:eastAsia="Calibri"/>
        </w:rPr>
        <w:t xml:space="preserve">and are expected </w:t>
      </w:r>
      <w:r w:rsidRPr="000556B6">
        <w:rPr>
          <w:rFonts w:eastAsia="Calibri"/>
        </w:rPr>
        <w:t>to be limited and confined within the physical footprint of subprojects and standard mitigation me</w:t>
      </w:r>
      <w:r>
        <w:rPr>
          <w:rFonts w:eastAsia="Calibri"/>
        </w:rPr>
        <w:t>asures are known and effective</w:t>
      </w:r>
      <w:r w:rsidRPr="000556B6">
        <w:rPr>
          <w:rFonts w:eastAsia="Calibri"/>
        </w:rPr>
        <w:t xml:space="preserve">. MMAs also wanted to speed up implementation and did not want to get stuck in lengthy process of acquiring lands and preparing assessments and plans required for high risk investments. </w:t>
      </w:r>
      <w:r>
        <w:rPr>
          <w:rFonts w:eastAsia="Calibri"/>
        </w:rPr>
        <w:t xml:space="preserve">In addition, </w:t>
      </w:r>
      <w:r w:rsidRPr="000556B6">
        <w:rPr>
          <w:rFonts w:eastAsia="Calibri"/>
        </w:rPr>
        <w:t>the Program acti</w:t>
      </w:r>
      <w:r>
        <w:rPr>
          <w:rFonts w:eastAsia="Calibri"/>
        </w:rPr>
        <w:t>v</w:t>
      </w:r>
      <w:r w:rsidRPr="000556B6">
        <w:rPr>
          <w:rFonts w:eastAsia="Calibri"/>
        </w:rPr>
        <w:t>ities are</w:t>
      </w:r>
      <w:r>
        <w:rPr>
          <w:rFonts w:eastAsia="Calibri"/>
        </w:rPr>
        <w:t xml:space="preserve"> </w:t>
      </w:r>
      <w:r w:rsidRPr="000556B6">
        <w:rPr>
          <w:rFonts w:eastAsia="Calibri"/>
        </w:rPr>
        <w:t xml:space="preserve">located in urban areas and within existing ROW or premises, encroachment in or degradation of natural habitats has not taken place under LGCSP and is not expected to also happen under the Program. Environmental impacts of civil works related to subprojects are temporary in nature, manageable and localized. The potential environmental and social impacts from the </w:t>
      </w:r>
      <w:r w:rsidRPr="00B27AD3">
        <w:rPr>
          <w:rFonts w:eastAsia="Calibri"/>
          <w:color w:val="000000" w:themeColor="text1"/>
        </w:rPr>
        <w:t xml:space="preserve">Program </w:t>
      </w:r>
      <w:r w:rsidRPr="00B27AD3">
        <w:rPr>
          <w:color w:val="000000" w:themeColor="text1"/>
        </w:rPr>
        <w:t xml:space="preserve">range from localized air and water pollution, health and safety of workers and communities, erosion and sedimentation of waterways, minor land acquisition and temporary economic </w:t>
      </w:r>
      <w:r w:rsidRPr="008D6E7F">
        <w:rPr>
          <w:rFonts w:eastAsia="Calibri"/>
          <w:color w:val="000000"/>
        </w:rPr>
        <w:t>displacement of vendors, hawkers, drivers, etc. who need to move out from the construction sites</w:t>
      </w:r>
      <w:r>
        <w:rPr>
          <w:rFonts w:eastAsia="Calibri"/>
          <w:color w:val="000000"/>
        </w:rPr>
        <w:t xml:space="preserve"> during construction</w:t>
      </w:r>
      <w:r w:rsidRPr="00B27AD3">
        <w:rPr>
          <w:color w:val="000000" w:themeColor="text1"/>
        </w:rPr>
        <w:t>. Risks from labor influx and gender-based violence are expected to be low to moderate considering the Program’s use of and preference for local labor over imported or outside labor</w:t>
      </w:r>
      <w:r>
        <w:rPr>
          <w:color w:val="000000" w:themeColor="text1"/>
        </w:rPr>
        <w:t>.</w:t>
      </w:r>
      <w:r w:rsidRPr="008D6E7F">
        <w:rPr>
          <w:rFonts w:eastAsia="Calibri"/>
          <w:color w:val="000000"/>
        </w:rPr>
        <w:t xml:space="preserve"> </w:t>
      </w:r>
    </w:p>
    <w:p w14:paraId="62053C64" w14:textId="77777777" w:rsidR="00C50B40" w:rsidRPr="00A620FA" w:rsidRDefault="00C50B40" w:rsidP="00C50B40">
      <w:pPr>
        <w:pStyle w:val="NoSpacing"/>
        <w:spacing w:before="120" w:after="120"/>
        <w:jc w:val="both"/>
        <w:rPr>
          <w:rFonts w:ascii="Times New Roman" w:hAnsi="Times New Roman"/>
          <w:color w:val="000000" w:themeColor="text1"/>
        </w:rPr>
      </w:pPr>
      <w:r w:rsidRPr="00A620FA">
        <w:rPr>
          <w:rFonts w:ascii="Times New Roman" w:hAnsi="Times New Roman"/>
          <w:color w:val="000000" w:themeColor="text1"/>
        </w:rPr>
        <w:t xml:space="preserve">The Program will exclude investments that have significant adverse environment and social impacts and risks or those categorized as A under World Bank’s </w:t>
      </w:r>
      <w:r>
        <w:rPr>
          <w:rFonts w:ascii="Times New Roman" w:hAnsi="Times New Roman"/>
          <w:color w:val="000000" w:themeColor="text1"/>
        </w:rPr>
        <w:t>EA</w:t>
      </w:r>
      <w:r w:rsidRPr="00A620FA">
        <w:rPr>
          <w:rFonts w:ascii="Times New Roman" w:hAnsi="Times New Roman"/>
          <w:color w:val="000000" w:themeColor="text1"/>
        </w:rPr>
        <w:t xml:space="preserve"> policy and Schedule II category under GoG’s EA Regulation. </w:t>
      </w:r>
      <w:r>
        <w:rPr>
          <w:rFonts w:ascii="Times New Roman" w:hAnsi="Times New Roman"/>
          <w:color w:val="000000" w:themeColor="text1"/>
        </w:rPr>
        <w:t xml:space="preserve">These </w:t>
      </w:r>
      <w:r w:rsidRPr="00A620FA">
        <w:rPr>
          <w:rFonts w:ascii="Times New Roman" w:hAnsi="Times New Roman"/>
          <w:color w:val="000000" w:themeColor="text1"/>
        </w:rPr>
        <w:t>would include works: (i) outside of existing rights-of-way; (ii) involving physical relocation of more than 200 people; (iii) likely to adversely create or exacerbate conflict within communities; (iv) having significant adverse impacts on communities and sensitive receptors; (v) involving large scale market construction falling under Schedule 2 of Ghana’s EA Regulation that contribute to large amount of solid wastes in the cities; (vi) involving large-scale flood control systems such as dams or large dykes; (vii) involving sanitary landfills; and, (viii) that would significantly convert natural habitats or alter potentially important biodiversity and/or cultural resource areas.</w:t>
      </w:r>
    </w:p>
    <w:p w14:paraId="7DEAAB61" w14:textId="77777777" w:rsidR="00C50B40" w:rsidRDefault="00C50B40" w:rsidP="00C50B40">
      <w:pPr>
        <w:pStyle w:val="NoSpacing"/>
        <w:spacing w:before="120" w:after="120"/>
        <w:jc w:val="both"/>
        <w:rPr>
          <w:rFonts w:ascii="Times New Roman" w:hAnsi="Times New Roman"/>
          <w:color w:val="FF0000"/>
        </w:rPr>
      </w:pPr>
    </w:p>
    <w:p w14:paraId="2EBDAD63" w14:textId="77777777" w:rsidR="00C50B40" w:rsidRPr="00A620FA" w:rsidRDefault="00C50B40" w:rsidP="00C50B40">
      <w:pPr>
        <w:pStyle w:val="NoSpacing"/>
        <w:spacing w:before="120" w:after="120"/>
        <w:jc w:val="both"/>
        <w:rPr>
          <w:rFonts w:ascii="Times New Roman" w:hAnsi="Times New Roman"/>
          <w:b/>
          <w:color w:val="000000" w:themeColor="text1"/>
        </w:rPr>
      </w:pPr>
      <w:r w:rsidRPr="00A620FA">
        <w:rPr>
          <w:rFonts w:ascii="Times New Roman" w:hAnsi="Times New Roman"/>
          <w:b/>
          <w:color w:val="000000" w:themeColor="text1"/>
        </w:rPr>
        <w:t>Adequacy of Legal and Institutional Frameworks</w:t>
      </w:r>
    </w:p>
    <w:p w14:paraId="5D926740" w14:textId="77777777" w:rsidR="00C50B40" w:rsidRPr="00455A9B" w:rsidRDefault="00C50B40" w:rsidP="00C50B40">
      <w:pPr>
        <w:autoSpaceDE w:val="0"/>
        <w:autoSpaceDN w:val="0"/>
        <w:adjustRightInd w:val="0"/>
        <w:spacing w:before="120" w:after="120" w:line="240" w:lineRule="auto"/>
        <w:jc w:val="both"/>
        <w:rPr>
          <w:rFonts w:ascii="Times New Roman" w:hAnsi="Times New Roman" w:cs="Times New Roman"/>
          <w:i/>
          <w:color w:val="000000" w:themeColor="text1"/>
        </w:rPr>
      </w:pPr>
      <w:r w:rsidRPr="00455A9B">
        <w:rPr>
          <w:rFonts w:ascii="Times New Roman" w:hAnsi="Times New Roman" w:cs="Times New Roman"/>
          <w:i/>
          <w:color w:val="000000" w:themeColor="text1"/>
        </w:rPr>
        <w:t>Environmental Assessment, Natural Habitats, Physical Cultural Resources, Health &amp; Safety</w:t>
      </w:r>
    </w:p>
    <w:p w14:paraId="2F542082" w14:textId="77777777" w:rsidR="00C50B40" w:rsidRDefault="00C50B40" w:rsidP="00C50B40">
      <w:pPr>
        <w:autoSpaceDE w:val="0"/>
        <w:autoSpaceDN w:val="0"/>
        <w:adjustRightInd w:val="0"/>
        <w:spacing w:before="120" w:after="120" w:line="240" w:lineRule="auto"/>
        <w:jc w:val="both"/>
        <w:rPr>
          <w:rFonts w:ascii="Times New Roman" w:hAnsi="Times New Roman" w:cs="Times New Roman"/>
          <w:iCs/>
          <w:color w:val="000000" w:themeColor="text1"/>
        </w:rPr>
      </w:pPr>
      <w:r w:rsidRPr="00A620FA">
        <w:rPr>
          <w:rFonts w:ascii="Times New Roman" w:hAnsi="Times New Roman" w:cs="Times New Roman"/>
          <w:color w:val="000000" w:themeColor="text1"/>
        </w:rPr>
        <w:t xml:space="preserve">Ghana’s </w:t>
      </w:r>
      <w:r w:rsidRPr="008D6E7F">
        <w:rPr>
          <w:rFonts w:ascii="Times New Roman" w:hAnsi="Times New Roman" w:cs="Times New Roman"/>
          <w:iCs/>
          <w:color w:val="000000" w:themeColor="text1"/>
        </w:rPr>
        <w:t>Environmental Protection Agency Act</w:t>
      </w:r>
      <w:r>
        <w:rPr>
          <w:rFonts w:ascii="Times New Roman" w:hAnsi="Times New Roman" w:cs="Times New Roman"/>
          <w:iCs/>
          <w:color w:val="000000" w:themeColor="text1"/>
        </w:rPr>
        <w:t xml:space="preserve"> of </w:t>
      </w:r>
      <w:r w:rsidRPr="008D6E7F">
        <w:rPr>
          <w:rFonts w:ascii="Times New Roman" w:hAnsi="Times New Roman" w:cs="Times New Roman"/>
          <w:iCs/>
          <w:color w:val="000000" w:themeColor="text1"/>
        </w:rPr>
        <w:t xml:space="preserve">1994 is the </w:t>
      </w:r>
      <w:r>
        <w:rPr>
          <w:rFonts w:ascii="Times New Roman" w:hAnsi="Times New Roman" w:cs="Times New Roman"/>
          <w:iCs/>
          <w:color w:val="000000" w:themeColor="text1"/>
        </w:rPr>
        <w:t xml:space="preserve">EA </w:t>
      </w:r>
      <w:r w:rsidRPr="008D6E7F">
        <w:rPr>
          <w:rFonts w:ascii="Times New Roman" w:hAnsi="Times New Roman" w:cs="Times New Roman"/>
          <w:iCs/>
          <w:color w:val="000000" w:themeColor="text1"/>
        </w:rPr>
        <w:t>framework legislation for</w:t>
      </w:r>
      <w:r>
        <w:rPr>
          <w:rFonts w:ascii="Times New Roman" w:hAnsi="Times New Roman" w:cs="Times New Roman"/>
          <w:iCs/>
          <w:color w:val="000000" w:themeColor="text1"/>
        </w:rPr>
        <w:t xml:space="preserve"> the country.</w:t>
      </w:r>
      <w:r w:rsidRPr="008D6E7F">
        <w:rPr>
          <w:rFonts w:ascii="Times New Roman" w:hAnsi="Times New Roman" w:cs="Times New Roman"/>
          <w:iCs/>
          <w:color w:val="000000" w:themeColor="text1"/>
        </w:rPr>
        <w:t xml:space="preserve"> In its entirety, it defines requirements that will govern EA for the Program. The procedures for </w:t>
      </w:r>
      <w:r>
        <w:rPr>
          <w:rFonts w:ascii="Times New Roman" w:hAnsi="Times New Roman" w:cs="Times New Roman"/>
          <w:iCs/>
          <w:color w:val="000000" w:themeColor="text1"/>
        </w:rPr>
        <w:t>c</w:t>
      </w:r>
      <w:r w:rsidRPr="008D6E7F">
        <w:rPr>
          <w:rFonts w:ascii="Times New Roman" w:hAnsi="Times New Roman" w:cs="Times New Roman"/>
          <w:iCs/>
          <w:color w:val="000000" w:themeColor="text1"/>
        </w:rPr>
        <w:t xml:space="preserve">ompliance with EA requirements are </w:t>
      </w:r>
      <w:r>
        <w:rPr>
          <w:rFonts w:ascii="Times New Roman" w:hAnsi="Times New Roman" w:cs="Times New Roman"/>
          <w:iCs/>
          <w:color w:val="000000" w:themeColor="text1"/>
        </w:rPr>
        <w:t xml:space="preserve">elaborated in </w:t>
      </w:r>
      <w:r w:rsidRPr="008D6E7F">
        <w:rPr>
          <w:rFonts w:ascii="Times New Roman" w:hAnsi="Times New Roman" w:cs="Times New Roman"/>
          <w:iCs/>
          <w:color w:val="000000" w:themeColor="text1"/>
        </w:rPr>
        <w:t>the Envir</w:t>
      </w:r>
      <w:r>
        <w:rPr>
          <w:rFonts w:ascii="Times New Roman" w:hAnsi="Times New Roman" w:cs="Times New Roman"/>
          <w:iCs/>
          <w:color w:val="000000" w:themeColor="text1"/>
        </w:rPr>
        <w:t>onmental Assessment Regulations of 1999</w:t>
      </w:r>
      <w:r w:rsidRPr="008D6E7F">
        <w:rPr>
          <w:rFonts w:ascii="Times New Roman" w:hAnsi="Times New Roman" w:cs="Times New Roman"/>
          <w:iCs/>
          <w:color w:val="000000" w:themeColor="text1"/>
        </w:rPr>
        <w:t xml:space="preserve"> or L</w:t>
      </w:r>
      <w:r>
        <w:rPr>
          <w:rFonts w:ascii="Times New Roman" w:hAnsi="Times New Roman" w:cs="Times New Roman"/>
          <w:iCs/>
          <w:color w:val="000000" w:themeColor="text1"/>
        </w:rPr>
        <w:t xml:space="preserve">egislative Instrument (LI) 1652, which </w:t>
      </w:r>
      <w:r w:rsidRPr="008D6E7F">
        <w:rPr>
          <w:rFonts w:ascii="Times New Roman" w:hAnsi="Times New Roman" w:cs="Times New Roman"/>
          <w:iCs/>
          <w:color w:val="000000" w:themeColor="text1"/>
        </w:rPr>
        <w:t xml:space="preserve">consists of Thirty Regulations and Five Schedules detailing procedures to be followed in the EA process. </w:t>
      </w:r>
    </w:p>
    <w:p w14:paraId="67A91861" w14:textId="77777777" w:rsidR="00C50B40" w:rsidRDefault="00C50B40" w:rsidP="00C50B40">
      <w:pPr>
        <w:autoSpaceDE w:val="0"/>
        <w:autoSpaceDN w:val="0"/>
        <w:adjustRightInd w:val="0"/>
        <w:spacing w:before="120" w:after="120" w:line="240" w:lineRule="auto"/>
        <w:jc w:val="both"/>
        <w:rPr>
          <w:rFonts w:ascii="Times New Roman" w:eastAsia="Calibri" w:hAnsi="Times New Roman" w:cs="Times New Roman"/>
        </w:rPr>
      </w:pPr>
      <w:r w:rsidRPr="008D6E7F">
        <w:rPr>
          <w:rFonts w:ascii="Times New Roman" w:eastAsia="Calibri" w:hAnsi="Times New Roman" w:cs="Times New Roman"/>
        </w:rPr>
        <w:t>The ESSA Team’s assessment of country’s EA Systems and Regulations reveals that there are clear regulations, good procedures, sectoral guidelines and systems in place to (i) screen subprojects for potential environmental and social impacts; (ii) determine the level of environmental and social analysis and specific plan to be prepared based on the outcomes of the screening; (iii) review the results of the assessment and plan and clear environmental permitting process; (iv) monitoring and follow-up; and, (v) penalty and sanctions for violations and infractions to the system.</w:t>
      </w:r>
    </w:p>
    <w:p w14:paraId="2ABCF712" w14:textId="77777777" w:rsidR="00C50B40" w:rsidRDefault="00C50B40" w:rsidP="00C50B40">
      <w:pPr>
        <w:autoSpaceDE w:val="0"/>
        <w:autoSpaceDN w:val="0"/>
        <w:adjustRightInd w:val="0"/>
        <w:spacing w:before="120" w:after="120" w:line="240" w:lineRule="auto"/>
        <w:jc w:val="both"/>
        <w:rPr>
          <w:rFonts w:ascii="Times New Roman" w:eastAsia="Calibri" w:hAnsi="Times New Roman" w:cs="Times New Roman"/>
          <w:color w:val="000000"/>
        </w:rPr>
      </w:pPr>
      <w:r w:rsidRPr="008D6E7F">
        <w:rPr>
          <w:rFonts w:ascii="Times New Roman" w:eastAsia="Calibri" w:hAnsi="Times New Roman" w:cs="Times New Roman"/>
          <w:color w:val="000000"/>
        </w:rPr>
        <w:t xml:space="preserve">All proposed subprojects are subject to environmental and social screening to decide if a proposed subproject requires a full EIA, preliminary environmental report with ESMP, or no environmental assessment is needed. The MMAs use LI 1652 (Schedule 1, Schedule 2 and Schedule 3), various EA Sectoral Guidelines issued by the EPA and the screening form developed under LGCSP to screen subprojects at the earliest stage. Both the World Bank OP 4.1 and LI 1652 categorize subprojects into three; i.e. Schedule 2 of LI 1652 (Category A under WB), Schedule 1 of LI 1652 (Category B under WB). Those not falling within Schedule 1 or Schedule 2 are outside the purview of LI 1652 and hence, are no covered and not required any assessment beyond screening (Category C under WB). Schedule 1 subprojects are required to prepare a preliminary environmental report with environmental and social measures, while Schedule 2 subprojects are required to prepare and submit ESIA, which will be subject to consultations and public hearing. Consultations for Schedule 2 subprojects start from scoping and TOR drafting to when the draft ESIA report is made available to the public. </w:t>
      </w:r>
    </w:p>
    <w:p w14:paraId="18816311" w14:textId="77777777" w:rsidR="00C50B40" w:rsidRDefault="00C50B40" w:rsidP="00C50B40">
      <w:pPr>
        <w:autoSpaceDE w:val="0"/>
        <w:autoSpaceDN w:val="0"/>
        <w:adjustRightInd w:val="0"/>
        <w:spacing w:before="120" w:after="120" w:line="240" w:lineRule="auto"/>
        <w:jc w:val="both"/>
        <w:rPr>
          <w:rFonts w:ascii="Times New Roman" w:hAnsi="Times New Roman" w:cs="Times New Roman"/>
        </w:rPr>
      </w:pPr>
      <w:r w:rsidRPr="008D6E7F">
        <w:rPr>
          <w:rFonts w:ascii="Times New Roman" w:eastAsia="Calibri" w:hAnsi="Times New Roman" w:cs="Times New Roman"/>
          <w:color w:val="000000"/>
        </w:rPr>
        <w:lastRenderedPageBreak/>
        <w:t>There are eight EA sectoral guidelines issued by the EPA with support from the Netherlands Environmental Assessment Commission to guide proponents and developers in the screening of their subprojects, preparing relevant assessments and plans and processing the environmental permit application. One of the key EA sectoral guidelines that is relevant to the Program is the</w:t>
      </w:r>
      <w:r w:rsidRPr="008D6E7F">
        <w:rPr>
          <w:rFonts w:ascii="Times New Roman" w:hAnsi="Times New Roman" w:cs="Times New Roman"/>
        </w:rPr>
        <w:t xml:space="preserve"> 2011 EA Sectoral Guidelines for General Construction and Services Sector that cover most of the activities under the Program, including housing and residential buildings, educational, institutional and research facilities, cultural, health, religious, government and public offices, commercial buildings, industrial buildings, recreational and entertainment, transportation, water and sanitation and communications services. The guidelines basically cover almost all types of works and services that the Program will support.</w:t>
      </w:r>
    </w:p>
    <w:p w14:paraId="574F4CF4" w14:textId="77777777" w:rsidR="00C50B40" w:rsidRDefault="00C50B40" w:rsidP="00C50B40">
      <w:pPr>
        <w:autoSpaceDE w:val="0"/>
        <w:autoSpaceDN w:val="0"/>
        <w:adjustRightInd w:val="0"/>
        <w:spacing w:before="120" w:after="120" w:line="240" w:lineRule="auto"/>
        <w:jc w:val="both"/>
        <w:rPr>
          <w:rFonts w:ascii="Times New Roman" w:hAnsi="Times New Roman" w:cs="Times New Roman"/>
        </w:rPr>
      </w:pPr>
      <w:r w:rsidRPr="008D6E7F">
        <w:rPr>
          <w:rFonts w:ascii="Times New Roman" w:hAnsi="Times New Roman" w:cs="Times New Roman"/>
        </w:rPr>
        <w:t xml:space="preserve">The EA system of Ghana also takes into account laws and regulations to screen and manage impacts and risks on natural habitats, physical cultural resources, health and safety, people, livelihoods, land acquisition and resettlement, vulnerable and marginal groups, etc. </w:t>
      </w:r>
      <w:r>
        <w:rPr>
          <w:rFonts w:ascii="Times New Roman" w:hAnsi="Times New Roman" w:cs="Times New Roman"/>
        </w:rPr>
        <w:t xml:space="preserve">as set forth in </w:t>
      </w:r>
      <w:r w:rsidRPr="008D6E7F">
        <w:rPr>
          <w:rFonts w:ascii="Times New Roman" w:hAnsi="Times New Roman" w:cs="Times New Roman"/>
        </w:rPr>
        <w:t>Schedule 1 of LI 1652</w:t>
      </w:r>
      <w:r>
        <w:rPr>
          <w:rFonts w:ascii="Times New Roman" w:hAnsi="Times New Roman" w:cs="Times New Roman"/>
        </w:rPr>
        <w:t xml:space="preserve"> that</w:t>
      </w:r>
      <w:r w:rsidRPr="008D6E7F">
        <w:rPr>
          <w:rFonts w:ascii="Times New Roman" w:hAnsi="Times New Roman" w:cs="Times New Roman"/>
        </w:rPr>
        <w:t xml:space="preserve"> provides the list of undertakings that require registration with EPA and issuance of an environment permit. Schedule 2 lists undertakings for which EIS is mandatory. EIS is also required for any proposed undertaking or development to be located in any of the areas broadly defined as environmentally sensitive in Schedule 5 of LI 1652</w:t>
      </w:r>
      <w:r>
        <w:rPr>
          <w:rFonts w:ascii="Times New Roman" w:hAnsi="Times New Roman" w:cs="Times New Roman"/>
        </w:rPr>
        <w:t>.</w:t>
      </w:r>
    </w:p>
    <w:p w14:paraId="21B405C0" w14:textId="77777777" w:rsidR="00C50B40" w:rsidRPr="00455A9B" w:rsidRDefault="00C50B40" w:rsidP="00C50B40">
      <w:pPr>
        <w:autoSpaceDE w:val="0"/>
        <w:autoSpaceDN w:val="0"/>
        <w:adjustRightInd w:val="0"/>
        <w:spacing w:before="120" w:after="120" w:line="240" w:lineRule="auto"/>
        <w:jc w:val="both"/>
        <w:rPr>
          <w:rFonts w:ascii="Times New Roman" w:eastAsia="Calibri" w:hAnsi="Times New Roman" w:cs="Times New Roman"/>
          <w:i/>
          <w:lang w:bidi="ne-NP"/>
        </w:rPr>
      </w:pPr>
      <w:r w:rsidRPr="00455A9B">
        <w:rPr>
          <w:rFonts w:ascii="Times New Roman" w:eastAsia="Calibri" w:hAnsi="Times New Roman" w:cs="Times New Roman"/>
          <w:i/>
          <w:lang w:bidi="ne-NP"/>
        </w:rPr>
        <w:t>Land Acquisition and Resettlement</w:t>
      </w:r>
    </w:p>
    <w:p w14:paraId="3BA0D3AC" w14:textId="77777777" w:rsidR="00C50B40" w:rsidRDefault="00C50B40" w:rsidP="00C50B40">
      <w:pPr>
        <w:autoSpaceDE w:val="0"/>
        <w:autoSpaceDN w:val="0"/>
        <w:adjustRightInd w:val="0"/>
        <w:spacing w:before="120" w:after="120" w:line="240" w:lineRule="auto"/>
        <w:jc w:val="both"/>
        <w:rPr>
          <w:rFonts w:ascii="Times New Roman" w:hAnsi="Times New Roman" w:cs="Times New Roman"/>
        </w:rPr>
      </w:pPr>
      <w:r w:rsidRPr="00DD2319">
        <w:rPr>
          <w:rFonts w:ascii="Times New Roman" w:hAnsi="Times New Roman" w:cs="Times New Roman"/>
        </w:rPr>
        <w:t xml:space="preserve">Land administration in Ghana is guided by The National Land Policy (1999), which provides a broad framework and policy guidelines aimed at enhancing land management systems, use, conservation of land resource and enhancing environmental quality. </w:t>
      </w:r>
      <w:r w:rsidRPr="00A620FA">
        <w:rPr>
          <w:rFonts w:ascii="Times New Roman" w:hAnsi="Times New Roman" w:cs="Times New Roman"/>
        </w:rPr>
        <w:t>The 1992 Constitution</w:t>
      </w:r>
      <w:r w:rsidRPr="00DD2319">
        <w:rPr>
          <w:rFonts w:ascii="Times New Roman" w:hAnsi="Times New Roman" w:cs="Times New Roman"/>
        </w:rPr>
        <w:t xml:space="preserve"> upholds the private ownership of land. However, Article 20 provides for compulsory acquisition of land</w:t>
      </w:r>
      <w:r w:rsidRPr="00DD2319">
        <w:rPr>
          <w:rFonts w:ascii="Times New Roman" w:hAnsi="Times New Roman" w:cs="Times New Roman"/>
          <w:b/>
          <w:bCs/>
        </w:rPr>
        <w:t xml:space="preserve"> </w:t>
      </w:r>
      <w:r w:rsidRPr="00DD2319">
        <w:rPr>
          <w:rFonts w:ascii="Times New Roman" w:hAnsi="Times New Roman" w:cs="Times New Roman"/>
        </w:rPr>
        <w:t>for public benefit, subject to the payment of “prompt, fair and adequate compensation.”  Article 20(3) further stipulates that where the compulsorily acquisition involves the displacement of any inhabitants the state shall resettle them on suitable alternative land having due regard to their economic well-being and social and cultural</w:t>
      </w:r>
      <w:r w:rsidRPr="00DD2319">
        <w:rPr>
          <w:rFonts w:ascii="Times New Roman" w:hAnsi="Times New Roman" w:cs="Times New Roman"/>
          <w:color w:val="0000FF"/>
        </w:rPr>
        <w:t xml:space="preserve"> </w:t>
      </w:r>
      <w:r w:rsidRPr="00DD2319">
        <w:rPr>
          <w:rFonts w:ascii="Times New Roman" w:hAnsi="Times New Roman" w:cs="Times New Roman"/>
        </w:rPr>
        <w:t xml:space="preserve">values. </w:t>
      </w:r>
    </w:p>
    <w:p w14:paraId="2CD45980" w14:textId="77777777" w:rsidR="00C50B40" w:rsidRDefault="00C50B40" w:rsidP="00C50B40">
      <w:pPr>
        <w:autoSpaceDE w:val="0"/>
        <w:autoSpaceDN w:val="0"/>
        <w:adjustRightInd w:val="0"/>
        <w:spacing w:before="120" w:after="120" w:line="240" w:lineRule="auto"/>
        <w:jc w:val="both"/>
        <w:rPr>
          <w:rFonts w:ascii="Times New Roman" w:hAnsi="Times New Roman" w:cs="Times New Roman"/>
        </w:rPr>
      </w:pPr>
      <w:r>
        <w:rPr>
          <w:rFonts w:ascii="Times New Roman" w:hAnsi="Times New Roman" w:cs="Times New Roman"/>
        </w:rPr>
        <w:t>T</w:t>
      </w:r>
      <w:r w:rsidRPr="00DD2319">
        <w:rPr>
          <w:rFonts w:ascii="Times New Roman" w:hAnsi="Times New Roman" w:cs="Times New Roman"/>
        </w:rPr>
        <w:t>he detail</w:t>
      </w:r>
      <w:r>
        <w:rPr>
          <w:rFonts w:ascii="Times New Roman" w:hAnsi="Times New Roman" w:cs="Times New Roman"/>
        </w:rPr>
        <w:t>ed</w:t>
      </w:r>
      <w:r w:rsidRPr="00DD2319">
        <w:rPr>
          <w:rFonts w:ascii="Times New Roman" w:hAnsi="Times New Roman" w:cs="Times New Roman"/>
        </w:rPr>
        <w:t xml:space="preserve"> procedure for acquisition is outlined in the State Lands Regulations 1962-(Legal Instrument 230). Once a Government institution needs land it applies to the Minister responsible for lands who then authorizes the Regional Commissioner in whose region the land to be acquired is located to convene the Site Advisory Committee. The Committee undertakes a detail inspection and survey of the property in question to determine the legal boundary, ownership, and improvements effected. It examines the merits of the proposed acquisition and submits its recommendation to the Regional Commissioner who, in turn, forwards the recommendation together with a certificate of valuation of the land from the Land Valuation Division of the Lands Commission to the Minister for approval (sections 1-3).</w:t>
      </w:r>
    </w:p>
    <w:p w14:paraId="1392C45A" w14:textId="77777777" w:rsidR="00C50B40" w:rsidRDefault="00C50B40" w:rsidP="00C50B40">
      <w:pPr>
        <w:autoSpaceDE w:val="0"/>
        <w:autoSpaceDN w:val="0"/>
        <w:adjustRightInd w:val="0"/>
        <w:spacing w:before="120" w:after="120" w:line="240" w:lineRule="auto"/>
        <w:jc w:val="both"/>
        <w:rPr>
          <w:rFonts w:ascii="Times New Roman" w:hAnsi="Times New Roman" w:cs="Times New Roman"/>
        </w:rPr>
      </w:pPr>
      <w:r w:rsidRPr="00DD2319">
        <w:rPr>
          <w:rFonts w:ascii="Times New Roman" w:hAnsi="Times New Roman" w:cs="Times New Roman"/>
        </w:rPr>
        <w:t>Compulsory acquisition requires public notification of the land to be acquired and the use to which it will be put. It is a mandatory requirement that a copy of the instrument of acquisition be served on any person having an interest in or possession of such lands or be affixed at a convenient place on the land and be published thrice in a newspaper circulating in the district where the land is situated. Section 4 of State Lands Act 1962 requires that people seeking compensation submit their claims in writing to the Lands Commission which “</w:t>
      </w:r>
      <w:r w:rsidRPr="00DD2319">
        <w:rPr>
          <w:rFonts w:ascii="Times New Roman" w:hAnsi="Times New Roman" w:cs="Times New Roman"/>
          <w:i/>
          <w:iCs/>
        </w:rPr>
        <w:t>shall cause the payment to the owner, of fair and adequate compensation to be assessed by the Government for the land acquired.”</w:t>
      </w:r>
      <w:r w:rsidRPr="00DD2319">
        <w:rPr>
          <w:rFonts w:ascii="Times New Roman" w:hAnsi="Times New Roman" w:cs="Times New Roman"/>
        </w:rPr>
        <w:t xml:space="preserve"> The valuation of affected assets gives due consideration to the values of the land (and other losses suffered) and the benefits to be derived by the people in the area (by way of the use to which the state is going to put the land).  However, individuals are at liberty to engage the services of private </w:t>
      </w:r>
      <w:r>
        <w:rPr>
          <w:rFonts w:ascii="Times New Roman" w:hAnsi="Times New Roman" w:cs="Times New Roman"/>
        </w:rPr>
        <w:t>valuers, but at their own cost.</w:t>
      </w:r>
    </w:p>
    <w:p w14:paraId="4F445403" w14:textId="77777777" w:rsidR="00C50B40" w:rsidRPr="00DD2319" w:rsidRDefault="00C50B40" w:rsidP="00C50B40">
      <w:pPr>
        <w:autoSpaceDE w:val="0"/>
        <w:autoSpaceDN w:val="0"/>
        <w:adjustRightInd w:val="0"/>
        <w:spacing w:before="120" w:after="120" w:line="240" w:lineRule="auto"/>
        <w:jc w:val="both"/>
        <w:rPr>
          <w:rFonts w:ascii="Times New Roman" w:hAnsi="Times New Roman" w:cs="Times New Roman"/>
        </w:rPr>
      </w:pPr>
      <w:r>
        <w:rPr>
          <w:rFonts w:ascii="Times New Roman" w:eastAsia="Times New Roman" w:hAnsi="Times New Roman" w:cs="Times New Roman"/>
          <w:lang w:eastAsia="x-none"/>
        </w:rPr>
        <w:t>Based on the ESSA Team’s assessment, there is</w:t>
      </w:r>
      <w:r w:rsidRPr="00694CA1">
        <w:rPr>
          <w:rFonts w:ascii="Times New Roman" w:eastAsia="Times New Roman" w:hAnsi="Times New Roman" w:cs="Times New Roman"/>
          <w:lang w:eastAsia="x-none"/>
        </w:rPr>
        <w:t xml:space="preserve"> lack of clarity on the regulatory and institutional frameworks on resettlement in the country and the</w:t>
      </w:r>
      <w:r>
        <w:rPr>
          <w:rFonts w:ascii="Times New Roman" w:eastAsia="Times New Roman" w:hAnsi="Times New Roman" w:cs="Times New Roman"/>
          <w:lang w:eastAsia="x-none"/>
        </w:rPr>
        <w:t>re is</w:t>
      </w:r>
      <w:r w:rsidRPr="00694CA1">
        <w:rPr>
          <w:rFonts w:ascii="Times New Roman" w:eastAsia="Times New Roman" w:hAnsi="Times New Roman" w:cs="Times New Roman"/>
          <w:lang w:eastAsia="x-none"/>
        </w:rPr>
        <w:t xml:space="preserve"> lack of recognition of PAPs </w:t>
      </w:r>
      <w:r>
        <w:rPr>
          <w:rFonts w:ascii="Times New Roman" w:eastAsia="Times New Roman" w:hAnsi="Times New Roman" w:cs="Times New Roman"/>
          <w:lang w:eastAsia="x-none"/>
        </w:rPr>
        <w:t>who</w:t>
      </w:r>
      <w:r w:rsidRPr="00694CA1">
        <w:rPr>
          <w:rFonts w:ascii="Times New Roman" w:eastAsia="Times New Roman" w:hAnsi="Times New Roman" w:cs="Times New Roman"/>
          <w:lang w:eastAsia="x-none"/>
        </w:rPr>
        <w:t xml:space="preserve"> do not own titles to lands in terms of compensation and entitlements. There is also inadequate capacity and support to manage social safeguards within the MLGRD and at the MMAs. EPA focusses more on environmental requirements and do not provide adequate checks</w:t>
      </w:r>
      <w:r>
        <w:rPr>
          <w:rFonts w:ascii="Times New Roman" w:eastAsia="Times New Roman" w:hAnsi="Times New Roman" w:cs="Times New Roman"/>
          <w:lang w:eastAsia="x-none"/>
        </w:rPr>
        <w:t xml:space="preserve"> on the social aspect of the re</w:t>
      </w:r>
      <w:r w:rsidRPr="00694CA1">
        <w:rPr>
          <w:rFonts w:ascii="Times New Roman" w:eastAsia="Times New Roman" w:hAnsi="Times New Roman" w:cs="Times New Roman"/>
          <w:lang w:eastAsia="x-none"/>
        </w:rPr>
        <w:t xml:space="preserve">gulatory requirements. </w:t>
      </w:r>
    </w:p>
    <w:p w14:paraId="0B57E038" w14:textId="77777777" w:rsidR="00C50B40" w:rsidRPr="00DD2319" w:rsidRDefault="00C50B40" w:rsidP="00C50B40">
      <w:pPr>
        <w:autoSpaceDE w:val="0"/>
        <w:autoSpaceDN w:val="0"/>
        <w:adjustRightInd w:val="0"/>
        <w:spacing w:before="120" w:after="120" w:line="240" w:lineRule="auto"/>
        <w:jc w:val="both"/>
        <w:rPr>
          <w:rFonts w:ascii="Times New Roman" w:hAnsi="Times New Roman" w:cs="Times New Roman"/>
          <w:b/>
          <w:bCs/>
          <w:i/>
          <w:iCs/>
        </w:rPr>
      </w:pPr>
    </w:p>
    <w:p w14:paraId="45417D37" w14:textId="77777777" w:rsidR="00C50B40" w:rsidRPr="00455A9B" w:rsidRDefault="00C50B40" w:rsidP="00C50B40">
      <w:pPr>
        <w:autoSpaceDE w:val="0"/>
        <w:autoSpaceDN w:val="0"/>
        <w:adjustRightInd w:val="0"/>
        <w:spacing w:before="120" w:after="120" w:line="240" w:lineRule="auto"/>
        <w:jc w:val="both"/>
        <w:rPr>
          <w:rFonts w:ascii="Times New Roman" w:hAnsi="Times New Roman" w:cs="Times New Roman"/>
          <w:bCs/>
          <w:i/>
        </w:rPr>
      </w:pPr>
      <w:r w:rsidRPr="00455A9B">
        <w:rPr>
          <w:rFonts w:ascii="Times New Roman" w:hAnsi="Times New Roman" w:cs="Times New Roman"/>
          <w:bCs/>
          <w:i/>
        </w:rPr>
        <w:lastRenderedPageBreak/>
        <w:t>Vulnerable Groups</w:t>
      </w:r>
    </w:p>
    <w:p w14:paraId="0F2D72E3" w14:textId="77777777" w:rsidR="00C50B40" w:rsidRDefault="00C50B40" w:rsidP="00C50B40">
      <w:pPr>
        <w:spacing w:before="120" w:after="120" w:line="240" w:lineRule="auto"/>
        <w:jc w:val="both"/>
        <w:rPr>
          <w:rFonts w:ascii="Times New Roman" w:eastAsia="MS Mincho" w:hAnsi="Times New Roman" w:cs="Times New Roman"/>
        </w:rPr>
      </w:pPr>
      <w:r w:rsidRPr="00E83466">
        <w:rPr>
          <w:rFonts w:ascii="Times New Roman" w:hAnsi="Times New Roman" w:cs="Times New Roman"/>
          <w:bCs/>
        </w:rPr>
        <w:t>Legislation and Regulations on vulnerable groups are governed by a number of acts viz: (i) Persons with Disability Act, 2006 (Act</w:t>
      </w:r>
      <w:r w:rsidRPr="00DD2319">
        <w:rPr>
          <w:rFonts w:ascii="Times New Roman" w:hAnsi="Times New Roman" w:cs="Times New Roman"/>
          <w:bCs/>
        </w:rPr>
        <w:t xml:space="preserve"> 715) that provides for consideration of persons with disability in design and implementation of infrastructure, including provision of access for handicapped individuals; (ii) Domestic Violence Act, 2007 (Act 732) that provides for the protection of women and children from domestic violence including Gender-Based Violence (GBV); (iii)</w:t>
      </w:r>
      <w:r w:rsidRPr="00DD2319">
        <w:rPr>
          <w:rFonts w:ascii="Times New Roman" w:hAnsi="Times New Roman" w:cs="Times New Roman"/>
          <w:b/>
          <w:bCs/>
        </w:rPr>
        <w:t xml:space="preserve"> </w:t>
      </w:r>
      <w:r w:rsidRPr="00DD2319">
        <w:rPr>
          <w:rFonts w:ascii="Times New Roman" w:eastAsia="MS Mincho" w:hAnsi="Times New Roman" w:cs="Times New Roman"/>
          <w:bCs/>
        </w:rPr>
        <w:t xml:space="preserve">Children’s Act, 1998 (Act 560) </w:t>
      </w:r>
      <w:r w:rsidRPr="00DD2319">
        <w:rPr>
          <w:rFonts w:ascii="Times New Roman" w:eastAsia="MS Mincho" w:hAnsi="Times New Roman" w:cs="Times New Roman"/>
        </w:rPr>
        <w:t xml:space="preserve">to reform and consolidate the law relating to children, to provide for the rights of the children, maintenance and adoption, regulate child labor and apprenticeship; (iv) </w:t>
      </w:r>
      <w:r w:rsidRPr="00DD2319">
        <w:rPr>
          <w:rFonts w:ascii="Times New Roman" w:eastAsia="MS Mincho" w:hAnsi="Times New Roman" w:cs="Times New Roman"/>
          <w:bCs/>
        </w:rPr>
        <w:t xml:space="preserve">Ghana Aids Commission Act, 2002 (Act 613) that </w:t>
      </w:r>
      <w:r w:rsidRPr="00DD2319">
        <w:rPr>
          <w:rFonts w:ascii="Times New Roman" w:eastAsia="MS Mincho" w:hAnsi="Times New Roman" w:cs="Times New Roman"/>
        </w:rPr>
        <w:t xml:space="preserve">establishes a Commission to formulate a national HIV/AIDS policy,  develop programs for the implementation of the policy and direct and co-ordinate the programs and activities in the fight against HIV/AIDS; and, (v) </w:t>
      </w:r>
      <w:r w:rsidRPr="00DD2319">
        <w:rPr>
          <w:rFonts w:ascii="Times New Roman" w:eastAsia="MS Mincho" w:hAnsi="Times New Roman" w:cs="Times New Roman"/>
          <w:bCs/>
        </w:rPr>
        <w:t>Juvenile Justice Act, 2003 (Act 653) t</w:t>
      </w:r>
      <w:r w:rsidRPr="00DD2319">
        <w:rPr>
          <w:rFonts w:ascii="Times New Roman" w:eastAsia="MS Mincho" w:hAnsi="Times New Roman" w:cs="Times New Roman"/>
        </w:rPr>
        <w:t>o provide a juvenile justice system, to protect the rights of juveniles, ensure an appropriate and individuals response to juvenile offenders, among others.</w:t>
      </w:r>
    </w:p>
    <w:p w14:paraId="5D9D3160" w14:textId="77777777" w:rsidR="00C50B40" w:rsidRDefault="00C50B40" w:rsidP="00C50B40">
      <w:pPr>
        <w:spacing w:before="120" w:after="120" w:line="240" w:lineRule="auto"/>
        <w:jc w:val="both"/>
        <w:rPr>
          <w:rFonts w:ascii="Times New Roman" w:eastAsia="MS Mincho" w:hAnsi="Times New Roman" w:cs="Times New Roman"/>
        </w:rPr>
      </w:pPr>
    </w:p>
    <w:p w14:paraId="727C1194" w14:textId="77777777" w:rsidR="00C50B40" w:rsidRDefault="00C50B40" w:rsidP="00C50B40">
      <w:pPr>
        <w:pBdr>
          <w:bottom w:val="single" w:sz="12" w:space="1" w:color="auto"/>
        </w:pBdr>
        <w:spacing w:before="120" w:after="120" w:line="240" w:lineRule="auto"/>
        <w:jc w:val="both"/>
        <w:rPr>
          <w:rFonts w:ascii="Times New Roman" w:eastAsia="MS Mincho" w:hAnsi="Times New Roman" w:cs="Times New Roman"/>
          <w:b/>
        </w:rPr>
      </w:pPr>
      <w:r w:rsidRPr="004157E7">
        <w:rPr>
          <w:rFonts w:ascii="Times New Roman" w:eastAsia="MS Mincho" w:hAnsi="Times New Roman" w:cs="Times New Roman"/>
          <w:b/>
        </w:rPr>
        <w:t>Capacity and Track Record</w:t>
      </w:r>
    </w:p>
    <w:p w14:paraId="71F25B5B" w14:textId="5A9AA677" w:rsidR="00C50B40" w:rsidRDefault="00C50B40" w:rsidP="00455A9B">
      <w:pPr>
        <w:pBdr>
          <w:bottom w:val="single" w:sz="12" w:space="1" w:color="auto"/>
        </w:pBdr>
        <w:spacing w:before="120" w:after="120" w:line="240" w:lineRule="auto"/>
        <w:jc w:val="both"/>
        <w:rPr>
          <w:rFonts w:ascii="Times New Roman" w:hAnsi="Times New Roman"/>
        </w:rPr>
      </w:pPr>
      <w:r w:rsidRPr="004157E7">
        <w:rPr>
          <w:rFonts w:ascii="Times New Roman" w:hAnsi="Times New Roman" w:cs="Times New Roman"/>
          <w:color w:val="000000" w:themeColor="text1"/>
        </w:rPr>
        <w:t xml:space="preserve">The Regional Offices of the EPA are the ones directly involved in the screening of subprojects under the Program, review of relevant ESMPs, issuance of environmental permits and monitoring during implementation. There is an average of six technical/professional staff at each EPA Regional Office with technical staff ranging from 2-12 (Greater Accra has 12 technical staff). The backgrounds of technical staff range from agriculture, environment, NRM, engineering, chemistry and social sciences. The Regional Offices receive and review EA applications, EMP/ESMP and issue environmental permits for subprojects within its threshold normally those listed in Schedule 1 of LI 1652. They also take a lead role in responding to complaints, investigating and prosecuting violations such as developments that fail to follow and comply procedures in LI 1652. They make field inspections and conduct monitoring. The directors of the Regional Offices report to the Deputy Executive Director of Field </w:t>
      </w:r>
      <w:r>
        <w:rPr>
          <w:rFonts w:ascii="Times New Roman" w:hAnsi="Times New Roman" w:cs="Times New Roman"/>
          <w:color w:val="000000" w:themeColor="text1"/>
        </w:rPr>
        <w:t xml:space="preserve">Operations in EPA Headquarters. </w:t>
      </w:r>
      <w:r w:rsidRPr="004157E7">
        <w:rPr>
          <w:rFonts w:ascii="Times New Roman" w:hAnsi="Times New Roman" w:cs="Times New Roman"/>
          <w:color w:val="000000" w:themeColor="text1"/>
        </w:rPr>
        <w:t>Prior to 2004, EPA review was centralized but it is now being decentralized to regional offices with review of category B projects being done at the Regional offices.</w:t>
      </w:r>
      <w:r w:rsidR="00455A9B" w:rsidDel="00455A9B">
        <w:rPr>
          <w:rFonts w:ascii="Times New Roman" w:hAnsi="Times New Roman" w:cs="Times New Roman"/>
          <w:color w:val="000000" w:themeColor="text1"/>
        </w:rPr>
        <w:t xml:space="preserve"> </w:t>
      </w:r>
      <w:r w:rsidRPr="004157E7">
        <w:rPr>
          <w:rFonts w:ascii="Times New Roman" w:hAnsi="Times New Roman" w:cs="Times New Roman"/>
          <w:color w:val="000000" w:themeColor="text1"/>
        </w:rPr>
        <w:t xml:space="preserve">The Program will be implemented by </w:t>
      </w:r>
      <w:r>
        <w:rPr>
          <w:rFonts w:ascii="Times New Roman" w:hAnsi="Times New Roman" w:cs="Times New Roman"/>
          <w:color w:val="000000" w:themeColor="text1"/>
        </w:rPr>
        <w:t>MLGRD</w:t>
      </w:r>
      <w:r w:rsidRPr="004157E7">
        <w:rPr>
          <w:rFonts w:ascii="Times New Roman" w:hAnsi="Times New Roman" w:cs="Times New Roman"/>
          <w:color w:val="000000" w:themeColor="text1"/>
        </w:rPr>
        <w:t xml:space="preserve">. The Policy, Planning, </w:t>
      </w:r>
      <w:r w:rsidR="00975839">
        <w:rPr>
          <w:rFonts w:ascii="Times New Roman" w:hAnsi="Times New Roman" w:cs="Times New Roman"/>
          <w:color w:val="000000" w:themeColor="text1"/>
        </w:rPr>
        <w:t xml:space="preserve">Budget, </w:t>
      </w:r>
      <w:r w:rsidRPr="004157E7">
        <w:rPr>
          <w:rFonts w:ascii="Times New Roman" w:hAnsi="Times New Roman" w:cs="Times New Roman"/>
          <w:color w:val="000000" w:themeColor="text1"/>
        </w:rPr>
        <w:t>Monitoring and Evaluation (PP</w:t>
      </w:r>
      <w:r w:rsidR="00975839">
        <w:rPr>
          <w:rFonts w:ascii="Times New Roman" w:hAnsi="Times New Roman" w:cs="Times New Roman"/>
          <w:color w:val="000000" w:themeColor="text1"/>
        </w:rPr>
        <w:t>B</w:t>
      </w:r>
      <w:r w:rsidRPr="004157E7">
        <w:rPr>
          <w:rFonts w:ascii="Times New Roman" w:hAnsi="Times New Roman" w:cs="Times New Roman"/>
          <w:color w:val="000000" w:themeColor="text1"/>
        </w:rPr>
        <w:t xml:space="preserve">ME) Division of the MLGRD is the entity designated to manage the Program. The Director of the Division who heads the Program </w:t>
      </w:r>
      <w:r>
        <w:rPr>
          <w:rFonts w:ascii="Times New Roman" w:hAnsi="Times New Roman" w:cs="Times New Roman"/>
          <w:color w:val="000000" w:themeColor="text1"/>
        </w:rPr>
        <w:t>I</w:t>
      </w:r>
      <w:r w:rsidRPr="004157E7">
        <w:rPr>
          <w:rFonts w:ascii="Times New Roman" w:hAnsi="Times New Roman" w:cs="Times New Roman"/>
          <w:color w:val="000000" w:themeColor="text1"/>
        </w:rPr>
        <w:t xml:space="preserve">mplementation Unit will also supervise the implementation of the investments/subprojects by the MMAs. MLGRD, in close collaboration with the EPA, will be responsible for (i) supporting the MMAs in screening subprojects and preparation of appropriate instruments based on EPA’s requirements under the </w:t>
      </w:r>
      <w:r>
        <w:rPr>
          <w:rFonts w:ascii="Times New Roman" w:hAnsi="Times New Roman" w:cs="Times New Roman"/>
          <w:color w:val="000000" w:themeColor="text1"/>
        </w:rPr>
        <w:t xml:space="preserve">EA </w:t>
      </w:r>
      <w:r w:rsidRPr="004157E7">
        <w:rPr>
          <w:rFonts w:ascii="Times New Roman" w:hAnsi="Times New Roman" w:cs="Times New Roman"/>
          <w:color w:val="000000" w:themeColor="text1"/>
        </w:rPr>
        <w:t>Regulations or LI 1652; (ii) supporting MMAs in ensuring contractors comply with environmental and social measures during construction phase; (iii) delivering training and capacity building program for MMDAs to build and enhance their capacities to manage environmental and social impacts; and, (iv) monitor the implementation of MMAs in implementing the environmental and social measures in sub</w:t>
      </w:r>
      <w:r>
        <w:rPr>
          <w:rFonts w:ascii="Times New Roman" w:hAnsi="Times New Roman" w:cs="Times New Roman"/>
          <w:color w:val="000000" w:themeColor="text1"/>
        </w:rPr>
        <w:t xml:space="preserve">projects, including </w:t>
      </w:r>
      <w:r w:rsidRPr="004157E7">
        <w:rPr>
          <w:rFonts w:ascii="Times New Roman" w:hAnsi="Times New Roman" w:cs="Times New Roman"/>
          <w:color w:val="000000" w:themeColor="text1"/>
        </w:rPr>
        <w:t>ARAP</w:t>
      </w:r>
      <w:r>
        <w:rPr>
          <w:rFonts w:ascii="Times New Roman" w:hAnsi="Times New Roman" w:cs="Times New Roman"/>
          <w:color w:val="000000" w:themeColor="text1"/>
        </w:rPr>
        <w:t>s</w:t>
      </w:r>
      <w:r w:rsidRPr="004157E7">
        <w:rPr>
          <w:rFonts w:ascii="Times New Roman" w:hAnsi="Times New Roman" w:cs="Times New Roman"/>
          <w:color w:val="000000" w:themeColor="text1"/>
        </w:rPr>
        <w:t>.</w:t>
      </w:r>
      <w:r w:rsidR="00455A9B" w:rsidRPr="004157E7" w:rsidDel="00455A9B">
        <w:rPr>
          <w:rFonts w:ascii="Times New Roman" w:hAnsi="Times New Roman" w:cs="Times New Roman"/>
          <w:color w:val="000000" w:themeColor="text1"/>
        </w:rPr>
        <w:t xml:space="preserve"> </w:t>
      </w:r>
      <w:r w:rsidRPr="004157E7">
        <w:rPr>
          <w:rFonts w:ascii="Times New Roman" w:hAnsi="Times New Roman" w:cs="Times New Roman"/>
          <w:color w:val="000000" w:themeColor="text1"/>
        </w:rPr>
        <w:t>The PP</w:t>
      </w:r>
      <w:r w:rsidR="00975839">
        <w:rPr>
          <w:rFonts w:ascii="Times New Roman" w:hAnsi="Times New Roman" w:cs="Times New Roman"/>
          <w:color w:val="000000" w:themeColor="text1"/>
        </w:rPr>
        <w:t>B</w:t>
      </w:r>
      <w:r w:rsidRPr="004157E7">
        <w:rPr>
          <w:rFonts w:ascii="Times New Roman" w:hAnsi="Times New Roman" w:cs="Times New Roman"/>
          <w:color w:val="000000" w:themeColor="text1"/>
        </w:rPr>
        <w:t>ME</w:t>
      </w:r>
      <w:r w:rsidR="00975839">
        <w:rPr>
          <w:rFonts w:ascii="Times New Roman" w:hAnsi="Times New Roman" w:cs="Times New Roman"/>
          <w:color w:val="000000" w:themeColor="text1"/>
        </w:rPr>
        <w:t>D</w:t>
      </w:r>
      <w:r w:rsidRPr="004157E7">
        <w:rPr>
          <w:rFonts w:ascii="Times New Roman" w:hAnsi="Times New Roman" w:cs="Times New Roman"/>
          <w:color w:val="000000" w:themeColor="text1"/>
        </w:rPr>
        <w:t xml:space="preserve"> of MLGRDP has hired an Environmental and Social (E &amp; S) Specialist under the LGCSP and the same arrangement is envisaged under the Program. However, with the anticipated scaling up of activities and investments under the Program, the E &amp; S staffing at the PBME Department of MLGRD will need to be beefed up to enhance and improve support to MMAs. Specifically, </w:t>
      </w:r>
      <w:r w:rsidR="001903CF">
        <w:rPr>
          <w:rFonts w:ascii="Times New Roman" w:hAnsi="Times New Roman" w:cs="Times New Roman"/>
          <w:color w:val="000000" w:themeColor="text1"/>
        </w:rPr>
        <w:t xml:space="preserve">the Program </w:t>
      </w:r>
      <w:r w:rsidRPr="004157E7">
        <w:rPr>
          <w:rFonts w:ascii="Times New Roman" w:hAnsi="Times New Roman" w:cs="Times New Roman"/>
          <w:color w:val="000000" w:themeColor="text1"/>
        </w:rPr>
        <w:t xml:space="preserve"> need</w:t>
      </w:r>
      <w:r w:rsidR="001903CF">
        <w:rPr>
          <w:rFonts w:ascii="Times New Roman" w:hAnsi="Times New Roman" w:cs="Times New Roman"/>
          <w:color w:val="000000" w:themeColor="text1"/>
        </w:rPr>
        <w:t>s</w:t>
      </w:r>
      <w:r w:rsidRPr="004157E7">
        <w:rPr>
          <w:rFonts w:ascii="Times New Roman" w:hAnsi="Times New Roman" w:cs="Times New Roman"/>
          <w:color w:val="000000" w:themeColor="text1"/>
        </w:rPr>
        <w:t xml:space="preserve"> to hire a </w:t>
      </w:r>
      <w:r w:rsidR="001903CF">
        <w:rPr>
          <w:rFonts w:ascii="Times New Roman" w:hAnsi="Times New Roman" w:cs="Times New Roman"/>
          <w:color w:val="000000" w:themeColor="text1"/>
        </w:rPr>
        <w:t>Social Development</w:t>
      </w:r>
      <w:r w:rsidR="001903CF" w:rsidRPr="004157E7">
        <w:rPr>
          <w:rFonts w:ascii="Times New Roman" w:hAnsi="Times New Roman" w:cs="Times New Roman"/>
          <w:color w:val="000000" w:themeColor="text1"/>
        </w:rPr>
        <w:t xml:space="preserve"> </w:t>
      </w:r>
      <w:r w:rsidRPr="004157E7">
        <w:rPr>
          <w:rFonts w:ascii="Times New Roman" w:hAnsi="Times New Roman" w:cs="Times New Roman"/>
          <w:color w:val="000000" w:themeColor="text1"/>
        </w:rPr>
        <w:t>Specialist</w:t>
      </w:r>
      <w:r w:rsidR="001903CF">
        <w:rPr>
          <w:rFonts w:ascii="Times New Roman" w:hAnsi="Times New Roman" w:cs="Times New Roman"/>
          <w:color w:val="000000" w:themeColor="text1"/>
        </w:rPr>
        <w:t xml:space="preserve"> </w:t>
      </w:r>
      <w:r w:rsidRPr="004157E7">
        <w:rPr>
          <w:rFonts w:ascii="Times New Roman" w:hAnsi="Times New Roman" w:cs="Times New Roman"/>
          <w:color w:val="000000" w:themeColor="text1"/>
        </w:rPr>
        <w:t>to work in tandem with the existing E &amp; S Specialist whose background and experience is more on environment. There is also a need for the E &amp; S Specialists to do more monitoring of safeguards compliance during Program implementation and conduct trainings to MMAs specifically the Safeguards Team of the MMA. This will help to improve screening, implementation of mitigation measures and reporting. The E &amp; S Specialists should have dedicated budget for travel and supervision of MMAs.</w:t>
      </w:r>
      <w:r w:rsidR="00455A9B" w:rsidRPr="004157E7" w:rsidDel="00455A9B">
        <w:rPr>
          <w:rFonts w:ascii="Times New Roman" w:hAnsi="Times New Roman" w:cs="Times New Roman"/>
          <w:color w:val="000000" w:themeColor="text1"/>
        </w:rPr>
        <w:t xml:space="preserve"> </w:t>
      </w:r>
      <w:r w:rsidRPr="004157E7">
        <w:rPr>
          <w:rFonts w:ascii="Times New Roman" w:hAnsi="Times New Roman" w:cs="Times New Roman"/>
          <w:color w:val="000000" w:themeColor="text1"/>
        </w:rPr>
        <w:t xml:space="preserve">At the MMA or subproject level, the Planning Officers have been designated as the Safeguards Focal Point/Persons assigned to lead the safeguards works, including conducting first level screening of subprojects </w:t>
      </w:r>
      <w:r w:rsidRPr="004157E7">
        <w:rPr>
          <w:rFonts w:ascii="Times New Roman" w:hAnsi="Times New Roman" w:cs="Times New Roman"/>
          <w:color w:val="000000" w:themeColor="text1"/>
        </w:rPr>
        <w:lastRenderedPageBreak/>
        <w:t xml:space="preserve">to determine eligibility and safeguard requirements, preparation of safeguard instruments such as ESMP and ARAP with the assistance of private consultants. The Planning Officer is assisted by and works very closely with the MMA Works Engineer and Environmental Officers, where available. Although the MMAs have Gender desk officers </w:t>
      </w:r>
      <w:r w:rsidR="001903CF">
        <w:rPr>
          <w:rFonts w:ascii="Times New Roman" w:hAnsi="Times New Roman" w:cs="Times New Roman"/>
          <w:color w:val="000000" w:themeColor="text1"/>
        </w:rPr>
        <w:t xml:space="preserve"> they </w:t>
      </w:r>
      <w:r w:rsidRPr="004157E7">
        <w:rPr>
          <w:rFonts w:ascii="Times New Roman" w:hAnsi="Times New Roman" w:cs="Times New Roman"/>
          <w:color w:val="000000" w:themeColor="text1"/>
        </w:rPr>
        <w:t xml:space="preserve">have </w:t>
      </w:r>
      <w:r w:rsidR="001903CF">
        <w:rPr>
          <w:rFonts w:ascii="Times New Roman" w:hAnsi="Times New Roman" w:cs="Times New Roman"/>
          <w:color w:val="000000" w:themeColor="text1"/>
        </w:rPr>
        <w:t xml:space="preserve">not </w:t>
      </w:r>
      <w:r w:rsidRPr="004157E7">
        <w:rPr>
          <w:rFonts w:ascii="Times New Roman" w:hAnsi="Times New Roman" w:cs="Times New Roman"/>
          <w:color w:val="000000" w:themeColor="text1"/>
        </w:rPr>
        <w:t xml:space="preserve">played any significant role under the LGCSP. The Program will propose key roles for the Gender Officers to ensure that gender related issues are addressed during implementation. </w:t>
      </w:r>
      <w:r>
        <w:rPr>
          <w:rFonts w:ascii="Times New Roman" w:hAnsi="Times New Roman" w:cs="Times New Roman"/>
          <w:color w:val="000000" w:themeColor="text1"/>
        </w:rPr>
        <w:t>C</w:t>
      </w:r>
      <w:r w:rsidRPr="004C40A9">
        <w:rPr>
          <w:rFonts w:ascii="Times New Roman" w:hAnsi="Times New Roman" w:cs="Times New Roman"/>
          <w:color w:val="000000" w:themeColor="text1"/>
        </w:rPr>
        <w:t>onsultants and Contractors</w:t>
      </w:r>
      <w:r w:rsidRPr="004157E7">
        <w:rPr>
          <w:rFonts w:ascii="Times New Roman" w:hAnsi="Times New Roman" w:cs="Times New Roman"/>
          <w:color w:val="000000" w:themeColor="text1"/>
        </w:rPr>
        <w:t xml:space="preserve"> will be hired by the MMAs to prepare ESMPs and ARAPs and implement the works, respectively. Contractor’s contract contains generic provisions on health and safety of workers and communities, proper housekeeping and implementation of relevant environmental codes of practices such as site restoration, sourcing of construction materials, securing relevant permits prior to construction</w:t>
      </w:r>
      <w:r>
        <w:rPr>
          <w:rFonts w:ascii="Times New Roman" w:hAnsi="Times New Roman" w:cs="Times New Roman"/>
          <w:color w:val="000000" w:themeColor="text1"/>
        </w:rPr>
        <w:t>.</w:t>
      </w:r>
      <w:r w:rsidR="00455A9B" w:rsidRPr="004157E7" w:rsidDel="00455A9B">
        <w:rPr>
          <w:rFonts w:ascii="Times New Roman" w:hAnsi="Times New Roman" w:cs="Times New Roman"/>
          <w:color w:val="000000" w:themeColor="text1"/>
        </w:rPr>
        <w:t xml:space="preserve"> </w:t>
      </w:r>
    </w:p>
    <w:p w14:paraId="3A75F249" w14:textId="67BEBB62" w:rsidR="00455A9B" w:rsidRDefault="00C50B40" w:rsidP="00455A9B">
      <w:pPr>
        <w:pBdr>
          <w:bottom w:val="single" w:sz="12" w:space="1" w:color="auto"/>
        </w:pBdr>
        <w:spacing w:before="120" w:after="120" w:line="240" w:lineRule="auto"/>
        <w:jc w:val="both"/>
        <w:rPr>
          <w:rFonts w:ascii="Times New Roman" w:hAnsi="Times New Roman"/>
          <w:b/>
        </w:rPr>
      </w:pPr>
      <w:r w:rsidRPr="00843B76">
        <w:rPr>
          <w:rFonts w:ascii="Times New Roman" w:hAnsi="Times New Roman"/>
          <w:b/>
        </w:rPr>
        <w:t xml:space="preserve">Environment </w:t>
      </w:r>
      <w:r>
        <w:rPr>
          <w:rFonts w:ascii="Times New Roman" w:hAnsi="Times New Roman"/>
          <w:b/>
        </w:rPr>
        <w:t xml:space="preserve">&amp; </w:t>
      </w:r>
      <w:r w:rsidRPr="00843B76">
        <w:rPr>
          <w:rFonts w:ascii="Times New Roman" w:hAnsi="Times New Roman"/>
          <w:b/>
        </w:rPr>
        <w:t>Social Risk</w:t>
      </w:r>
      <w:r>
        <w:rPr>
          <w:rFonts w:ascii="Times New Roman" w:hAnsi="Times New Roman"/>
          <w:b/>
        </w:rPr>
        <w:t xml:space="preserve"> Ratings</w:t>
      </w:r>
      <w:r w:rsidRPr="00843B76">
        <w:rPr>
          <w:rFonts w:ascii="Times New Roman" w:hAnsi="Times New Roman"/>
          <w:b/>
        </w:rPr>
        <w:t xml:space="preserve"> of the Program</w:t>
      </w:r>
      <w:r w:rsidR="00F4337E">
        <w:rPr>
          <w:rFonts w:ascii="Times New Roman" w:hAnsi="Times New Roman"/>
          <w:b/>
        </w:rPr>
        <w:t xml:space="preserve">: </w:t>
      </w:r>
      <w:r w:rsidRPr="004157E7">
        <w:rPr>
          <w:rFonts w:ascii="Times New Roman" w:hAnsi="Times New Roman"/>
          <w:color w:val="000000"/>
        </w:rPr>
        <w:t xml:space="preserve">Based on the findings of the ESSA, as shown in the section on the analysis of the </w:t>
      </w:r>
      <w:r w:rsidR="001903CF">
        <w:rPr>
          <w:rFonts w:ascii="Times New Roman" w:eastAsia="Times New Roman" w:hAnsi="Times New Roman"/>
          <w:lang w:eastAsia="x-none"/>
        </w:rPr>
        <w:t>c</w:t>
      </w:r>
      <w:r w:rsidRPr="004157E7">
        <w:rPr>
          <w:rFonts w:ascii="Times New Roman" w:eastAsia="Times New Roman" w:hAnsi="Times New Roman"/>
          <w:lang w:eastAsia="x-none"/>
        </w:rPr>
        <w:t xml:space="preserve">onsistency of the Program’s </w:t>
      </w:r>
      <w:r w:rsidRPr="004157E7">
        <w:rPr>
          <w:rFonts w:ascii="Times New Roman" w:eastAsia="Times New Roman" w:hAnsi="Times New Roman"/>
          <w:lang w:val="x-none" w:eastAsia="x-none"/>
        </w:rPr>
        <w:t>Environmental and Social Management System with</w:t>
      </w:r>
      <w:r w:rsidRPr="004157E7">
        <w:rPr>
          <w:rFonts w:ascii="Times New Roman" w:eastAsia="Times New Roman" w:hAnsi="Times New Roman"/>
          <w:lang w:eastAsia="x-none"/>
        </w:rPr>
        <w:t xml:space="preserve"> the</w:t>
      </w:r>
      <w:r w:rsidRPr="004157E7">
        <w:rPr>
          <w:rFonts w:ascii="Times New Roman" w:eastAsia="Times New Roman" w:hAnsi="Times New Roman"/>
          <w:lang w:val="x-none" w:eastAsia="x-none"/>
        </w:rPr>
        <w:t xml:space="preserve"> Program for Results Financing Core Principles</w:t>
      </w:r>
      <w:r w:rsidRPr="004157E7">
        <w:rPr>
          <w:rFonts w:ascii="Times New Roman" w:eastAsia="Times New Roman" w:hAnsi="Times New Roman"/>
          <w:lang w:eastAsia="x-none"/>
        </w:rPr>
        <w:t>, below are the E &amp; S risk ratings of the Program:</w:t>
      </w:r>
      <w:r w:rsidR="00455A9B" w:rsidDel="00455A9B">
        <w:rPr>
          <w:rFonts w:ascii="Times New Roman" w:eastAsia="Times New Roman" w:hAnsi="Times New Roman"/>
          <w:lang w:eastAsia="x-none"/>
        </w:rPr>
        <w:t xml:space="preserve"> </w:t>
      </w:r>
      <w:r w:rsidRPr="004C40A9">
        <w:rPr>
          <w:rFonts w:ascii="Times New Roman" w:eastAsia="Times New Roman" w:hAnsi="Times New Roman"/>
          <w:lang w:eastAsia="x-none"/>
        </w:rPr>
        <w:t>Environmental Risk Rating</w:t>
      </w:r>
      <w:r>
        <w:rPr>
          <w:rFonts w:ascii="Times New Roman" w:eastAsia="Times New Roman" w:hAnsi="Times New Roman"/>
          <w:b/>
          <w:lang w:eastAsia="x-none"/>
        </w:rPr>
        <w:t xml:space="preserve"> </w:t>
      </w:r>
      <w:r w:rsidRPr="00843B76">
        <w:rPr>
          <w:rFonts w:ascii="Times New Roman" w:eastAsia="Times New Roman" w:hAnsi="Times New Roman"/>
          <w:lang w:eastAsia="x-none"/>
        </w:rPr>
        <w:t>is</w:t>
      </w:r>
      <w:r w:rsidRPr="004157E7">
        <w:rPr>
          <w:rFonts w:ascii="Times New Roman" w:eastAsia="Times New Roman" w:hAnsi="Times New Roman"/>
          <w:lang w:eastAsia="x-none"/>
        </w:rPr>
        <w:t xml:space="preserve"> Moderate mainly due to a good regulatory and institutional frameworks and systems on EA in the country that are able to manage environmental risks from the types of investments and scale and magnitude of impacts from subprojects supported by the Program. With clarity and improvement on staffing and resourcing, screening, sectoral guidelines, trainings and capacity building, environment risk is assessed to be Moderate.</w:t>
      </w:r>
      <w:r w:rsidR="00455A9B" w:rsidDel="00455A9B">
        <w:rPr>
          <w:rFonts w:ascii="Times New Roman" w:eastAsia="Times New Roman" w:hAnsi="Times New Roman"/>
          <w:lang w:eastAsia="x-none"/>
        </w:rPr>
        <w:t xml:space="preserve"> </w:t>
      </w:r>
      <w:r w:rsidRPr="004C40A9">
        <w:rPr>
          <w:rFonts w:ascii="Times New Roman" w:eastAsia="Times New Roman" w:hAnsi="Times New Roman"/>
          <w:lang w:eastAsia="x-none"/>
        </w:rPr>
        <w:t>Social Risk Rating</w:t>
      </w:r>
      <w:bookmarkStart w:id="2" w:name="_Hlk508092706"/>
      <w:r>
        <w:rPr>
          <w:rFonts w:ascii="Times New Roman" w:eastAsia="Times New Roman" w:hAnsi="Times New Roman"/>
          <w:lang w:eastAsia="x-none"/>
        </w:rPr>
        <w:t xml:space="preserve"> </w:t>
      </w:r>
      <w:r w:rsidRPr="004157E7">
        <w:rPr>
          <w:rFonts w:ascii="Times New Roman" w:eastAsia="Times New Roman" w:hAnsi="Times New Roman"/>
          <w:lang w:eastAsia="x-none"/>
        </w:rPr>
        <w:t>is S</w:t>
      </w:r>
      <w:r>
        <w:rPr>
          <w:rFonts w:ascii="Times New Roman" w:eastAsia="Times New Roman" w:hAnsi="Times New Roman"/>
          <w:lang w:eastAsia="x-none"/>
        </w:rPr>
        <w:t xml:space="preserve">ubstantial </w:t>
      </w:r>
      <w:r w:rsidRPr="004157E7">
        <w:rPr>
          <w:rFonts w:ascii="Times New Roman" w:eastAsia="Times New Roman" w:hAnsi="Times New Roman"/>
          <w:lang w:eastAsia="x-none"/>
        </w:rPr>
        <w:t xml:space="preserve">mainly because of the lack of clarity on the regulatory and institutional frameworks on resettlement in the country and the lack of recognition of PAPs that do not own titles to lands in terms of compensation and entitlements. There is also inadequate </w:t>
      </w:r>
      <w:r w:rsidR="00F4337E" w:rsidRPr="004157E7">
        <w:rPr>
          <w:rFonts w:ascii="Times New Roman" w:eastAsia="Times New Roman" w:hAnsi="Times New Roman"/>
          <w:lang w:eastAsia="x-none"/>
        </w:rPr>
        <w:t>capacity and</w:t>
      </w:r>
      <w:r w:rsidRPr="004157E7">
        <w:rPr>
          <w:rFonts w:ascii="Times New Roman" w:eastAsia="Times New Roman" w:hAnsi="Times New Roman"/>
          <w:lang w:eastAsia="x-none"/>
        </w:rPr>
        <w:t xml:space="preserve"> support to manage social safeguards within the MLGRD and at the MMAs. EPA focusses more on environmental requirements and do not provide adequate checks on the social aspect of the regulatory requirements. </w:t>
      </w:r>
      <w:bookmarkEnd w:id="2"/>
    </w:p>
    <w:p w14:paraId="4E44A0F8" w14:textId="607BCF71" w:rsidR="00455A9B" w:rsidRPr="004157E7" w:rsidRDefault="00C50B40" w:rsidP="00455A9B">
      <w:pPr>
        <w:pBdr>
          <w:bottom w:val="single" w:sz="12" w:space="1" w:color="auto"/>
        </w:pBdr>
        <w:spacing w:before="120" w:after="120" w:line="240" w:lineRule="auto"/>
        <w:jc w:val="both"/>
        <w:rPr>
          <w:rFonts w:ascii="Times New Roman" w:hAnsi="Times New Roman"/>
        </w:rPr>
      </w:pPr>
      <w:r w:rsidRPr="004157E7">
        <w:rPr>
          <w:rFonts w:ascii="Times New Roman" w:hAnsi="Times New Roman"/>
          <w:b/>
        </w:rPr>
        <w:t>E &amp; S Action Plan</w:t>
      </w:r>
      <w:r w:rsidR="00F4337E">
        <w:rPr>
          <w:rFonts w:ascii="Times New Roman" w:hAnsi="Times New Roman"/>
          <w:b/>
        </w:rPr>
        <w:t xml:space="preserve">: </w:t>
      </w:r>
      <w:r w:rsidRPr="004157E7">
        <w:rPr>
          <w:rFonts w:ascii="Times New Roman" w:hAnsi="Times New Roman"/>
        </w:rPr>
        <w:t>To manage potential impacts and risks, and to strengthen the country system for environmental, social, health and safety management, particularly at MMA level, the ESSA recommends the following measures/actions. The Program will integrate these recommendations into the overall Program “Minimum Access Condition,” and set of “Disbursement Linked Indicators (DLIs)”.</w:t>
      </w:r>
      <w:r w:rsidR="00455A9B" w:rsidDel="00455A9B">
        <w:rPr>
          <w:rFonts w:ascii="Times New Roman" w:hAnsi="Times New Roman"/>
        </w:rPr>
        <w:t xml:space="preserve"> </w:t>
      </w:r>
      <w:r w:rsidRPr="004157E7">
        <w:rPr>
          <w:rFonts w:ascii="Times New Roman" w:eastAsia="Times New Roman" w:hAnsi="Times New Roman"/>
          <w:b/>
          <w:i/>
          <w:lang w:val="en-GB" w:eastAsia="x-none"/>
        </w:rPr>
        <w:t>Establishing and strengthening the Environmental and Social Management System at the MMA level and at the MLGRD PP</w:t>
      </w:r>
      <w:r w:rsidR="00975839">
        <w:rPr>
          <w:rFonts w:ascii="Times New Roman" w:eastAsia="Times New Roman" w:hAnsi="Times New Roman"/>
          <w:b/>
          <w:i/>
          <w:lang w:val="en-GB" w:eastAsia="x-none"/>
        </w:rPr>
        <w:t>B</w:t>
      </w:r>
      <w:r w:rsidRPr="004157E7">
        <w:rPr>
          <w:rFonts w:ascii="Times New Roman" w:eastAsia="Times New Roman" w:hAnsi="Times New Roman"/>
          <w:b/>
          <w:i/>
          <w:lang w:val="en-GB" w:eastAsia="x-none"/>
        </w:rPr>
        <w:t xml:space="preserve">MED level: </w:t>
      </w:r>
      <w:r w:rsidRPr="004157E7">
        <w:rPr>
          <w:rFonts w:ascii="Times New Roman" w:eastAsia="Times New Roman" w:hAnsi="Times New Roman"/>
          <w:lang w:val="x-none" w:eastAsia="x-none"/>
        </w:rPr>
        <w:t xml:space="preserve">Under </w:t>
      </w:r>
      <w:r w:rsidRPr="004157E7">
        <w:rPr>
          <w:rFonts w:ascii="Times New Roman" w:eastAsia="Times New Roman" w:hAnsi="Times New Roman"/>
          <w:lang w:eastAsia="x-none"/>
        </w:rPr>
        <w:t>the Program, all participating MMAs must demonstrate that they have established a functional system for Environmental and Social Management as a minimum requirement to access grant. During the first year</w:t>
      </w:r>
      <w:r w:rsidRPr="004157E7">
        <w:rPr>
          <w:rFonts w:ascii="Times New Roman" w:eastAsia="Times New Roman" w:hAnsi="Times New Roman"/>
          <w:lang w:val="x-none" w:eastAsia="x-none"/>
        </w:rPr>
        <w:t xml:space="preserve"> </w:t>
      </w:r>
      <w:r w:rsidRPr="004157E7">
        <w:rPr>
          <w:rFonts w:ascii="Times New Roman" w:eastAsia="Times New Roman" w:hAnsi="Times New Roman"/>
          <w:lang w:eastAsia="x-none"/>
        </w:rPr>
        <w:t xml:space="preserve">of the Program, all participating MMAs </w:t>
      </w:r>
      <w:r w:rsidRPr="004157E7">
        <w:rPr>
          <w:rFonts w:ascii="Times New Roman" w:eastAsia="Times New Roman" w:hAnsi="Times New Roman"/>
          <w:lang w:val="x-none" w:eastAsia="x-none"/>
        </w:rPr>
        <w:t xml:space="preserve">will be required </w:t>
      </w:r>
      <w:r w:rsidRPr="004157E7">
        <w:rPr>
          <w:rFonts w:ascii="Times New Roman" w:eastAsia="Times New Roman" w:hAnsi="Times New Roman"/>
          <w:lang w:eastAsia="x-none"/>
        </w:rPr>
        <w:t>to formally establish an Environmental and Social Team with clear terms of reference, which will  comprise of (i) an Environmental and Social Management Focal; and, (ii) 2-3 members preferably from the Engineering, Health and Social Welfare Units of MMAs.  Once established, the E &amp; S Team will undergo a training on screening; use of EA sectoral guidelines; use of RPF and resettlement action planning; management of environmental and social impacts of construction; environmental and social supervision monitoring and reporting; and, grievance redress. These trainings will be orchestrated and organized by the PP</w:t>
      </w:r>
      <w:r w:rsidR="00975839">
        <w:rPr>
          <w:rFonts w:ascii="Times New Roman" w:eastAsia="Times New Roman" w:hAnsi="Times New Roman"/>
          <w:lang w:eastAsia="x-none"/>
        </w:rPr>
        <w:t>B</w:t>
      </w:r>
      <w:r w:rsidRPr="004157E7">
        <w:rPr>
          <w:rFonts w:ascii="Times New Roman" w:eastAsia="Times New Roman" w:hAnsi="Times New Roman"/>
          <w:lang w:eastAsia="x-none"/>
        </w:rPr>
        <w:t xml:space="preserve">MED in collaboration with the EPA and its EA Training Institute, </w:t>
      </w:r>
      <w:r w:rsidR="00887529">
        <w:rPr>
          <w:rFonts w:ascii="Times New Roman" w:eastAsia="Times New Roman" w:hAnsi="Times New Roman"/>
          <w:lang w:eastAsia="x-none"/>
        </w:rPr>
        <w:t>Land Valuation Division</w:t>
      </w:r>
      <w:r w:rsidRPr="004157E7">
        <w:rPr>
          <w:rFonts w:ascii="Times New Roman" w:eastAsia="Times New Roman" w:hAnsi="Times New Roman"/>
          <w:lang w:eastAsia="x-none"/>
        </w:rPr>
        <w:t xml:space="preserve"> and the World Bank. </w:t>
      </w:r>
      <w:r w:rsidRPr="004157E7">
        <w:rPr>
          <w:rFonts w:ascii="Times New Roman" w:eastAsia="Times New Roman" w:hAnsi="Times New Roman"/>
          <w:b/>
          <w:i/>
          <w:lang w:val="en-GB" w:eastAsia="x-none"/>
        </w:rPr>
        <w:t xml:space="preserve">Improving screening and updating EA Sectoral Guidelines: </w:t>
      </w:r>
      <w:r w:rsidRPr="004157E7">
        <w:rPr>
          <w:rFonts w:ascii="Times New Roman" w:eastAsia="Times New Roman" w:hAnsi="Times New Roman"/>
          <w:lang w:val="en-GB" w:eastAsia="x-none"/>
        </w:rPr>
        <w:t xml:space="preserve">The environmental and social screening used under the LGCSP will be updated to consider subprojects that are outside Schedule 1 of LI 1652. The EA Sectoral Guidelines for General Construction and Services Sector will also be updated to reflect the minimum </w:t>
      </w:r>
      <w:r w:rsidRPr="004157E7">
        <w:rPr>
          <w:rFonts w:ascii="Times New Roman" w:eastAsia="Times New Roman" w:hAnsi="Times New Roman"/>
          <w:lang w:val="en-GB" w:eastAsia="x-none"/>
        </w:rPr>
        <w:lastRenderedPageBreak/>
        <w:t xml:space="preserve">E &amp; S requirements for those subprojects falling outside Schedule 1 of LI 1652. The updating of these documents should be done prior to effectiveness of the Program. </w:t>
      </w:r>
      <w:r w:rsidRPr="004157E7">
        <w:rPr>
          <w:rFonts w:ascii="Times New Roman" w:eastAsia="Times New Roman" w:hAnsi="Times New Roman"/>
          <w:b/>
          <w:i/>
          <w:lang w:eastAsia="x-none"/>
        </w:rPr>
        <w:t>Updating and adopting a Resettlement Policy Framework</w:t>
      </w:r>
      <w:r w:rsidRPr="004157E7">
        <w:rPr>
          <w:rFonts w:ascii="Times New Roman" w:eastAsia="Times New Roman" w:hAnsi="Times New Roman"/>
          <w:lang w:eastAsia="x-none"/>
        </w:rPr>
        <w:t xml:space="preserve"> used in the LGCSP to </w:t>
      </w:r>
      <w:r w:rsidRPr="004157E7">
        <w:rPr>
          <w:rFonts w:ascii="Times New Roman" w:eastAsia="Times New Roman" w:hAnsi="Times New Roman"/>
          <w:lang w:val="en-GB" w:eastAsia="x-none"/>
        </w:rPr>
        <w:t>reflect the experiences and lessons learned, including identification of different types of PAPs, entitlement matrix</w:t>
      </w:r>
      <w:r w:rsidRPr="004157E7">
        <w:rPr>
          <w:rFonts w:ascii="Times New Roman" w:eastAsia="Times New Roman" w:hAnsi="Times New Roman"/>
          <w:lang w:eastAsia="x-none"/>
        </w:rPr>
        <w:t xml:space="preserve"> that recognizes and provides entitlements to different kinds of PAPs, </w:t>
      </w:r>
      <w:r w:rsidRPr="004157E7">
        <w:rPr>
          <w:rFonts w:ascii="Times New Roman" w:eastAsia="Times New Roman" w:hAnsi="Times New Roman"/>
          <w:lang w:val="en-GB" w:eastAsia="x-none"/>
        </w:rPr>
        <w:t>consultations and disclosure, monitoring &amp; reporting and grievance redress.</w:t>
      </w:r>
      <w:r w:rsidR="00455A9B" w:rsidDel="00455A9B">
        <w:rPr>
          <w:rFonts w:ascii="Times New Roman" w:eastAsia="Times New Roman" w:hAnsi="Times New Roman"/>
          <w:lang w:val="en-GB" w:eastAsia="x-none"/>
        </w:rPr>
        <w:t xml:space="preserve"> </w:t>
      </w:r>
      <w:r w:rsidRPr="004157E7">
        <w:rPr>
          <w:rFonts w:ascii="Times New Roman" w:hAnsi="Times New Roman"/>
          <w:b/>
          <w:i/>
          <w:iCs/>
        </w:rPr>
        <w:t xml:space="preserve">Annual performance review and audit on environment and social management: </w:t>
      </w:r>
      <w:r w:rsidRPr="004157E7">
        <w:rPr>
          <w:rFonts w:ascii="Times New Roman" w:hAnsi="Times New Roman"/>
          <w:iCs/>
        </w:rPr>
        <w:t xml:space="preserve">As part of assessing MMAs request to access grant/financing from the Program, an E &amp; S systems review and audit will be done as part of the assessment. On year 1, the review will focus on establishment </w:t>
      </w:r>
      <w:r w:rsidR="001903CF">
        <w:rPr>
          <w:rFonts w:ascii="Times New Roman" w:hAnsi="Times New Roman"/>
          <w:iCs/>
        </w:rPr>
        <w:t>of an</w:t>
      </w:r>
      <w:r w:rsidR="001903CF" w:rsidRPr="004157E7">
        <w:rPr>
          <w:rFonts w:ascii="Times New Roman" w:hAnsi="Times New Roman"/>
          <w:iCs/>
        </w:rPr>
        <w:t xml:space="preserve"> </w:t>
      </w:r>
      <w:r w:rsidRPr="004157E7">
        <w:rPr>
          <w:rFonts w:ascii="Times New Roman" w:hAnsi="Times New Roman"/>
          <w:iCs/>
        </w:rPr>
        <w:t xml:space="preserve">E &amp; S Team with clear </w:t>
      </w:r>
      <w:r w:rsidR="001903CF">
        <w:rPr>
          <w:rFonts w:ascii="Times New Roman" w:hAnsi="Times New Roman"/>
          <w:iCs/>
        </w:rPr>
        <w:t>T</w:t>
      </w:r>
      <w:r w:rsidRPr="004157E7">
        <w:rPr>
          <w:rFonts w:ascii="Times New Roman" w:hAnsi="Times New Roman"/>
          <w:iCs/>
        </w:rPr>
        <w:t xml:space="preserve">erms </w:t>
      </w:r>
      <w:r w:rsidR="001903CF">
        <w:rPr>
          <w:rFonts w:ascii="Times New Roman" w:hAnsi="Times New Roman"/>
          <w:iCs/>
        </w:rPr>
        <w:t xml:space="preserve">of </w:t>
      </w:r>
      <w:r w:rsidRPr="004157E7">
        <w:rPr>
          <w:rFonts w:ascii="Times New Roman" w:hAnsi="Times New Roman"/>
          <w:iCs/>
        </w:rPr>
        <w:t xml:space="preserve"> </w:t>
      </w:r>
      <w:r w:rsidR="001903CF">
        <w:rPr>
          <w:rFonts w:ascii="Times New Roman" w:hAnsi="Times New Roman"/>
          <w:iCs/>
        </w:rPr>
        <w:t>R</w:t>
      </w:r>
      <w:r w:rsidRPr="004157E7">
        <w:rPr>
          <w:rFonts w:ascii="Times New Roman" w:hAnsi="Times New Roman"/>
          <w:iCs/>
        </w:rPr>
        <w:t xml:space="preserve">eference and financing, while </w:t>
      </w:r>
      <w:r w:rsidR="001903CF">
        <w:rPr>
          <w:rFonts w:ascii="Times New Roman" w:hAnsi="Times New Roman"/>
          <w:iCs/>
        </w:rPr>
        <w:t>i</w:t>
      </w:r>
      <w:r w:rsidRPr="004157E7">
        <w:rPr>
          <w:rFonts w:ascii="Times New Roman" w:hAnsi="Times New Roman"/>
          <w:iCs/>
        </w:rPr>
        <w:t xml:space="preserve">n the second year onward the review will focus on environmental and social compliance, trainings and capacity building programs. </w:t>
      </w:r>
      <w:r w:rsidRPr="004157E7">
        <w:rPr>
          <w:rFonts w:ascii="Times New Roman" w:eastAsia="Times New Roman" w:hAnsi="Times New Roman"/>
          <w:b/>
          <w:i/>
          <w:lang w:val="en-GB" w:eastAsia="x-none"/>
        </w:rPr>
        <w:t xml:space="preserve">Strengthening consultation, stakeholders’ collaboration and grievance redress: </w:t>
      </w:r>
      <w:r w:rsidRPr="004157E7">
        <w:rPr>
          <w:rFonts w:ascii="Times New Roman" w:eastAsia="Times New Roman" w:hAnsi="Times New Roman"/>
          <w:lang w:val="en-GB" w:eastAsia="x-none"/>
        </w:rPr>
        <w:t>Consultations, information disclosure and grievance redress will be strengthened under the Program by developing some guidelines on consultations and stakeholder engagement and making the grievance redress more functional and operational. Training on grievance redress mechanisms, recording, monitoring and reporting shall be one of the trainings to</w:t>
      </w:r>
      <w:r>
        <w:rPr>
          <w:rFonts w:ascii="Times New Roman" w:eastAsia="Times New Roman" w:hAnsi="Times New Roman"/>
          <w:lang w:val="en-GB" w:eastAsia="x-none"/>
        </w:rPr>
        <w:t xml:space="preserve"> be delivered regularly to MMAs.</w:t>
      </w:r>
      <w:r w:rsidR="00455A9B" w:rsidDel="00455A9B">
        <w:rPr>
          <w:rFonts w:ascii="Times New Roman" w:eastAsia="Times New Roman" w:hAnsi="Times New Roman"/>
          <w:lang w:val="en-GB" w:eastAsia="x-none"/>
        </w:rPr>
        <w:t xml:space="preserve"> </w:t>
      </w:r>
      <w:r w:rsidRPr="004157E7">
        <w:rPr>
          <w:rFonts w:ascii="Times New Roman" w:eastAsia="Times New Roman" w:hAnsi="Times New Roman"/>
          <w:b/>
          <w:i/>
          <w:lang w:val="en-GB" w:eastAsia="x-none"/>
        </w:rPr>
        <w:t>Improving capacity:</w:t>
      </w:r>
      <w:r w:rsidRPr="004157E7">
        <w:rPr>
          <w:rFonts w:ascii="Times New Roman" w:eastAsia="Times New Roman" w:hAnsi="Times New Roman"/>
          <w:lang w:val="en-GB" w:eastAsia="x-none"/>
        </w:rPr>
        <w:t xml:space="preserve"> The Program will work with EPA through its Environmental Assessment Training Institute to expand the training modules it currently has and to deliver these trainings to MMAs and environmental and resettlement consultants and practitioners helping the MMA develop their ESMPs and ARAPs. An MOU between the MLGRD and EPA will be entered for the development and delivery of these trainings to MMAs, consultants, EPA and MLRGD staff.</w:t>
      </w:r>
      <w:r w:rsidR="00455A9B" w:rsidRPr="004157E7" w:rsidDel="00455A9B">
        <w:rPr>
          <w:rFonts w:ascii="Times New Roman" w:hAnsi="Times New Roman"/>
        </w:rPr>
        <w:t xml:space="preserve"> </w:t>
      </w:r>
    </w:p>
    <w:p w14:paraId="4BB31EEA" w14:textId="27EE34F9" w:rsidR="008300D5" w:rsidRPr="00F06C53" w:rsidRDefault="008300D5" w:rsidP="00CA0715">
      <w:pPr>
        <w:rPr>
          <w:rFonts w:ascii="Times New Roman" w:hAnsi="Times New Roman" w:cs="Times New Roman"/>
          <w:b/>
          <w:bCs/>
        </w:rPr>
      </w:pPr>
      <w:r w:rsidRPr="00F06C53">
        <w:rPr>
          <w:rFonts w:ascii="Times New Roman" w:hAnsi="Times New Roman" w:cs="Times New Roman"/>
          <w:b/>
          <w:bCs/>
        </w:rPr>
        <w:br w:type="page"/>
      </w:r>
    </w:p>
    <w:p w14:paraId="31B5E3CE" w14:textId="77777777" w:rsidR="00E65846" w:rsidRPr="00F06C53" w:rsidRDefault="00E65846" w:rsidP="006F431D">
      <w:pPr>
        <w:pStyle w:val="Heading2"/>
      </w:pPr>
      <w:bookmarkStart w:id="3" w:name="_Toc508892818"/>
      <w:r w:rsidRPr="00F06C53">
        <w:lastRenderedPageBreak/>
        <w:t>Section I: Program Description</w:t>
      </w:r>
      <w:bookmarkEnd w:id="3"/>
    </w:p>
    <w:p w14:paraId="5B18AEB4" w14:textId="5C023980" w:rsidR="004A2883" w:rsidRPr="00B65FDD" w:rsidRDefault="004A2883" w:rsidP="00CA0715">
      <w:pPr>
        <w:pStyle w:val="Heading2"/>
      </w:pPr>
      <w:bookmarkStart w:id="4" w:name="_Toc513481924"/>
      <w:r w:rsidRPr="00B65FDD">
        <w:t>Government program</w:t>
      </w:r>
      <w:bookmarkEnd w:id="4"/>
    </w:p>
    <w:p w14:paraId="5CF315BE" w14:textId="77777777" w:rsidR="004A2883" w:rsidRDefault="004A2883" w:rsidP="004A2883">
      <w:pPr>
        <w:pStyle w:val="NoSpacing"/>
        <w:rPr>
          <w:rFonts w:ascii="Times New Roman" w:hAnsi="Times New Roman"/>
        </w:rPr>
      </w:pPr>
    </w:p>
    <w:p w14:paraId="7495F881" w14:textId="77777777" w:rsidR="004A2883" w:rsidRDefault="004A2883" w:rsidP="004A2883">
      <w:pPr>
        <w:pStyle w:val="Header"/>
        <w:tabs>
          <w:tab w:val="clear" w:pos="4680"/>
          <w:tab w:val="clear" w:pos="9360"/>
        </w:tabs>
        <w:rPr>
          <w:color w:val="000000"/>
        </w:rPr>
      </w:pPr>
      <w:r w:rsidRPr="009A7863">
        <w:rPr>
          <w:b/>
          <w:color w:val="000000"/>
        </w:rPr>
        <w:t xml:space="preserve">The </w:t>
      </w:r>
      <w:r w:rsidRPr="001F4B5A">
        <w:rPr>
          <w:b/>
        </w:rPr>
        <w:t xml:space="preserve">National Decentralization Policy Framework </w:t>
      </w:r>
      <w:r>
        <w:rPr>
          <w:b/>
        </w:rPr>
        <w:t>(</w:t>
      </w:r>
      <w:r w:rsidRPr="001F4B5A">
        <w:rPr>
          <w:b/>
        </w:rPr>
        <w:t>NDPF</w:t>
      </w:r>
      <w:r>
        <w:rPr>
          <w:b/>
        </w:rPr>
        <w:t>)</w:t>
      </w:r>
      <w:r w:rsidRPr="001F4B5A">
        <w:rPr>
          <w:b/>
        </w:rPr>
        <w:t xml:space="preserve"> </w:t>
      </w:r>
      <w:r>
        <w:rPr>
          <w:b/>
        </w:rPr>
        <w:t xml:space="preserve">- </w:t>
      </w:r>
      <w:r w:rsidRPr="009A7863">
        <w:rPr>
          <w:b/>
          <w:color w:val="000000"/>
        </w:rPr>
        <w:t xml:space="preserve">and its associated </w:t>
      </w:r>
      <w:r>
        <w:rPr>
          <w:b/>
          <w:color w:val="000000"/>
        </w:rPr>
        <w:t>National Decentralization Action Plan (NDAP) -</w:t>
      </w:r>
      <w:r w:rsidRPr="009A7863">
        <w:rPr>
          <w:b/>
          <w:color w:val="000000"/>
        </w:rPr>
        <w:t xml:space="preserve"> is the over-arching programmatic framework within which the proposed P</w:t>
      </w:r>
      <w:r>
        <w:rPr>
          <w:b/>
          <w:color w:val="000000"/>
        </w:rPr>
        <w:t xml:space="preserve">forR </w:t>
      </w:r>
      <w:r w:rsidRPr="009A7863">
        <w:rPr>
          <w:b/>
          <w:color w:val="000000"/>
        </w:rPr>
        <w:t>is situated</w:t>
      </w:r>
      <w:r w:rsidRPr="009A7863">
        <w:rPr>
          <w:color w:val="000000"/>
        </w:rPr>
        <w:t>. However, the NDPF and its action plan provide an operational structure within which a range of government initiatives and actions are coordinated and directed towards an over-arching policy goal</w:t>
      </w:r>
      <w:r w:rsidRPr="009A7863">
        <w:rPr>
          <w:color w:val="000000"/>
          <w:vertAlign w:val="superscript"/>
        </w:rPr>
        <w:footnoteReference w:id="1"/>
      </w:r>
      <w:r w:rsidRPr="009A7863">
        <w:rPr>
          <w:color w:val="000000"/>
        </w:rPr>
        <w:t>.</w:t>
      </w:r>
    </w:p>
    <w:p w14:paraId="178CE44B" w14:textId="77777777" w:rsidR="004A2883" w:rsidRDefault="004A2883" w:rsidP="004A2883">
      <w:pPr>
        <w:pStyle w:val="Header"/>
        <w:tabs>
          <w:tab w:val="clear" w:pos="4680"/>
          <w:tab w:val="clear" w:pos="9360"/>
        </w:tabs>
        <w:rPr>
          <w:color w:val="000000"/>
        </w:rPr>
      </w:pPr>
    </w:p>
    <w:p w14:paraId="0C8BD39E" w14:textId="721E82CD" w:rsidR="004A2883" w:rsidRDefault="004A2883" w:rsidP="004A2883">
      <w:pPr>
        <w:pStyle w:val="Header"/>
        <w:tabs>
          <w:tab w:val="clear" w:pos="4680"/>
          <w:tab w:val="clear" w:pos="9360"/>
        </w:tabs>
        <w:rPr>
          <w:color w:val="000000"/>
        </w:rPr>
      </w:pPr>
      <w:r w:rsidRPr="00DD71CC">
        <w:rPr>
          <w:rFonts w:eastAsia="Times New Roman"/>
          <w:b/>
        </w:rPr>
        <w:t xml:space="preserve">The NDPF/NDAP is being complemented by the National Urban Policy Framework (NUPF). </w:t>
      </w:r>
      <w:r w:rsidRPr="00DD71CC">
        <w:rPr>
          <w:rFonts w:eastAsia="Times New Roman"/>
        </w:rPr>
        <w:t>The policy objective of the NUPF is</w:t>
      </w:r>
      <w:r w:rsidRPr="00DD71CC">
        <w:rPr>
          <w:rFonts w:eastAsia="Times New Roman"/>
          <w:iCs/>
          <w:kern w:val="32"/>
        </w:rPr>
        <w:t xml:space="preserve"> promoting (i) urban economic development, (ii) urban planning, (iii) urban infrastructure and service delivery, (iv) urban governance and (v) urban finance. </w:t>
      </w:r>
      <w:r w:rsidRPr="00DD71CC">
        <w:t>The proposed operation is a modest component of the Government’s overall and much wider programmatic framework for both decentralization and urban development where the three decentralization areas (fiscal decentralization, administrative decentralization and decentralized planning) intersects with the five NUPF objective above.</w:t>
      </w:r>
    </w:p>
    <w:p w14:paraId="6B42137C" w14:textId="77777777" w:rsidR="004A2883" w:rsidRPr="00DD71CC" w:rsidRDefault="004A2883" w:rsidP="004A2883">
      <w:pPr>
        <w:spacing w:after="0"/>
        <w:rPr>
          <w:rFonts w:ascii="Times New Roman" w:hAnsi="Times New Roman" w:cs="Times New Roman"/>
        </w:rPr>
      </w:pPr>
    </w:p>
    <w:p w14:paraId="60F27A00" w14:textId="77777777" w:rsidR="004A2883" w:rsidRPr="00DD71CC" w:rsidRDefault="004A2883" w:rsidP="004A2883">
      <w:pPr>
        <w:pStyle w:val="Header"/>
        <w:tabs>
          <w:tab w:val="clear" w:pos="4680"/>
          <w:tab w:val="clear" w:pos="9360"/>
        </w:tabs>
        <w:rPr>
          <w:color w:val="000000"/>
        </w:rPr>
      </w:pPr>
      <w:r w:rsidRPr="00DD71CC">
        <w:rPr>
          <w:b/>
        </w:rPr>
        <w:t>Government has used many modalities to finance its program</w:t>
      </w:r>
      <w:r w:rsidRPr="00DD71CC">
        <w:t>. Since 2008, all MMDAs have been financed through a performance-based grants system known as the District Development Fund (DDF). This fund was jointly financed by the Government of Ghana and its development partners. DDF grants have been allocated to MMDAs as a function of their compliance with a set of Minimum Conditions (MCs) and their scoring with respect to a larger set of Performance Measures (PMs)</w:t>
      </w:r>
      <w:r w:rsidRPr="001B1BA9">
        <w:rPr>
          <w:vertAlign w:val="superscript"/>
        </w:rPr>
        <w:footnoteReference w:id="2"/>
      </w:r>
      <w:r w:rsidRPr="00DD71CC">
        <w:t>. MCs and PMs have been assessed using the Functional and Organizational Assessment Tool (FOAT). Although the DDF properly speaking has now been wound up, its principles are currently being incorporated into a successor facility, the Responsiveness Factor Grant (RFG), to be financed (from 2018 onwards) by the District Assemblies’ Common Fund (DACF) and those development partners committed to Ghana’s decentralization SWAp. As with its DDF predecessor, the new RFG system will allocate grants to all MMDAs: (a) provided that they satisfy Minimum Conditions; and (b) as a function of their score against Performance Measures. Under the RFG system, the upgraded District Performance Assessment Tool (DPAT) will be used to assess MMDAs against MCs and PMs. The MCs and PMs covered by DPAT covers generic MMDAs performance areas, namely (i) functional capacity of assemblies, (ii) planning and budgeting, (iii) financial management and accounting, (iv) public procurement, and (v) plan implementation. The government program, covers all MMDAs, has a low per capita allocation of only about US$ 2 but a wide investment menu covering the whole spectrum of service delivery mandates devolved to MMDAs. The Government program is therefore not suited to address the service delivery challenges of secondary cities, which are lumpy in nature.</w:t>
      </w:r>
    </w:p>
    <w:p w14:paraId="513F38E0" w14:textId="77777777" w:rsidR="004A2883" w:rsidRPr="00B65FDD" w:rsidRDefault="004A2883" w:rsidP="00CA0715">
      <w:pPr>
        <w:pStyle w:val="Heading2"/>
        <w:rPr>
          <w:i/>
        </w:rPr>
      </w:pPr>
      <w:bookmarkStart w:id="5" w:name="_Toc513481925"/>
      <w:r w:rsidRPr="00B65FDD">
        <w:t>Program Development Objectives (PDO) and key results</w:t>
      </w:r>
      <w:bookmarkEnd w:id="5"/>
    </w:p>
    <w:p w14:paraId="0175D247" w14:textId="77777777" w:rsidR="004A2883" w:rsidRPr="009C0349" w:rsidRDefault="004A2883" w:rsidP="004A2883">
      <w:pPr>
        <w:pStyle w:val="NoSpacing"/>
        <w:rPr>
          <w:rFonts w:ascii="Times New Roman" w:hAnsi="Times New Roman"/>
        </w:rPr>
      </w:pPr>
    </w:p>
    <w:p w14:paraId="2010ACA9" w14:textId="2B9647F0" w:rsidR="004A2883" w:rsidRDefault="004A2883" w:rsidP="00CB2188">
      <w:pPr>
        <w:pStyle w:val="ListParagraph"/>
        <w:spacing w:after="0" w:line="240" w:lineRule="auto"/>
        <w:ind w:left="0"/>
        <w:jc w:val="both"/>
        <w:rPr>
          <w:rFonts w:ascii="Times New Roman" w:hAnsi="Times New Roman" w:cs="Times New Roman"/>
        </w:rPr>
      </w:pPr>
      <w:r w:rsidRPr="00DD71CC">
        <w:rPr>
          <w:rFonts w:ascii="Times New Roman" w:hAnsi="Times New Roman" w:cs="Times New Roman"/>
          <w:b/>
        </w:rPr>
        <w:t>Program Development Objective (PDO)</w:t>
      </w:r>
      <w:r w:rsidRPr="00855722">
        <w:rPr>
          <w:rFonts w:ascii="Times New Roman" w:hAnsi="Times New Roman" w:cs="Times New Roman"/>
        </w:rPr>
        <w:t xml:space="preserve"> is to “</w:t>
      </w:r>
      <w:r w:rsidRPr="00855722">
        <w:rPr>
          <w:rFonts w:ascii="Times New Roman" w:hAnsi="Times New Roman" w:cs="Times New Roman"/>
          <w:b/>
          <w:i/>
        </w:rPr>
        <w:t xml:space="preserve">improve urban </w:t>
      </w:r>
      <w:r w:rsidR="00F4337E">
        <w:rPr>
          <w:rFonts w:ascii="Times New Roman" w:hAnsi="Times New Roman" w:cs="Times New Roman"/>
          <w:b/>
          <w:i/>
        </w:rPr>
        <w:t>management</w:t>
      </w:r>
      <w:r w:rsidRPr="00855722">
        <w:rPr>
          <w:rFonts w:ascii="Times New Roman" w:hAnsi="Times New Roman" w:cs="Times New Roman"/>
          <w:b/>
          <w:i/>
        </w:rPr>
        <w:t xml:space="preserve"> and basic urban services in participating municipal assemblies</w:t>
      </w:r>
      <w:r w:rsidRPr="00855722">
        <w:rPr>
          <w:rFonts w:ascii="Times New Roman" w:hAnsi="Times New Roman" w:cs="Times New Roman"/>
        </w:rPr>
        <w:t>”.</w:t>
      </w:r>
    </w:p>
    <w:p w14:paraId="3ABC9215" w14:textId="77777777" w:rsidR="004A2883" w:rsidRDefault="004A2883" w:rsidP="004A2883">
      <w:pPr>
        <w:pStyle w:val="ListParagraph"/>
        <w:spacing w:after="0" w:line="240" w:lineRule="auto"/>
        <w:ind w:left="0"/>
        <w:jc w:val="both"/>
        <w:rPr>
          <w:rFonts w:ascii="Times New Roman" w:hAnsi="Times New Roman" w:cs="Times New Roman"/>
        </w:rPr>
      </w:pPr>
    </w:p>
    <w:p w14:paraId="6F3D07EE" w14:textId="77777777" w:rsidR="004A2883" w:rsidRDefault="004A2883" w:rsidP="00CB2188">
      <w:pPr>
        <w:pStyle w:val="ListParagraph"/>
        <w:spacing w:after="0" w:line="240" w:lineRule="auto"/>
        <w:ind w:left="0"/>
        <w:jc w:val="both"/>
        <w:rPr>
          <w:rFonts w:ascii="Times New Roman" w:hAnsi="Times New Roman" w:cs="Times New Roman"/>
        </w:rPr>
      </w:pPr>
      <w:r w:rsidRPr="00DD71CC">
        <w:rPr>
          <w:rFonts w:ascii="Times New Roman" w:hAnsi="Times New Roman" w:cs="Times New Roman"/>
          <w:b/>
        </w:rPr>
        <w:t>The program, will focus on two results areas</w:t>
      </w:r>
      <w:r w:rsidRPr="00DD71CC">
        <w:rPr>
          <w:rFonts w:ascii="Times New Roman" w:hAnsi="Times New Roman" w:cs="Times New Roman"/>
        </w:rPr>
        <w:t>: (i) improved institutional performance of participating municipal assemblies, and (ii) improved basic urban services. These results are linked to the Disbursement Link Indicators (DLIs) and Disbursement Link Results (DLRs) to be achieved under the Program.</w:t>
      </w:r>
    </w:p>
    <w:p w14:paraId="136624F5" w14:textId="77777777" w:rsidR="004A2883" w:rsidRPr="00DD71CC" w:rsidRDefault="004A2883" w:rsidP="004A2883">
      <w:pPr>
        <w:pStyle w:val="ListParagraph"/>
        <w:ind w:left="0"/>
        <w:rPr>
          <w:rFonts w:ascii="Times New Roman" w:hAnsi="Times New Roman" w:cs="Times New Roman"/>
          <w:b/>
        </w:rPr>
      </w:pPr>
    </w:p>
    <w:p w14:paraId="50A48945" w14:textId="77777777" w:rsidR="004A2883" w:rsidRPr="00DD71CC" w:rsidRDefault="004A2883" w:rsidP="00CB2188">
      <w:pPr>
        <w:pStyle w:val="ListParagraph"/>
        <w:spacing w:after="0" w:line="240" w:lineRule="auto"/>
        <w:ind w:left="0"/>
        <w:jc w:val="both"/>
        <w:rPr>
          <w:rFonts w:ascii="Times New Roman" w:hAnsi="Times New Roman" w:cs="Times New Roman"/>
        </w:rPr>
      </w:pPr>
      <w:r w:rsidRPr="00DD71CC">
        <w:rPr>
          <w:rFonts w:ascii="Times New Roman" w:hAnsi="Times New Roman" w:cs="Times New Roman"/>
          <w:b/>
        </w:rPr>
        <w:t>The proposed key PDO indicators are:</w:t>
      </w:r>
    </w:p>
    <w:p w14:paraId="5332F3BB" w14:textId="77777777" w:rsidR="004A2883" w:rsidRPr="00855722" w:rsidRDefault="004A2883" w:rsidP="004A2883">
      <w:pPr>
        <w:pStyle w:val="ListParagraph"/>
        <w:spacing w:before="240" w:after="240"/>
        <w:ind w:left="0"/>
        <w:jc w:val="both"/>
        <w:rPr>
          <w:rFonts w:ascii="Times New Roman" w:hAnsi="Times New Roman" w:cs="Times New Roman"/>
          <w:b/>
        </w:rPr>
      </w:pPr>
    </w:p>
    <w:p w14:paraId="32F80615" w14:textId="77777777" w:rsidR="00F4337E" w:rsidRPr="00F4337E" w:rsidRDefault="00F4337E" w:rsidP="00F4337E">
      <w:pPr>
        <w:pStyle w:val="ListParagraph"/>
        <w:numPr>
          <w:ilvl w:val="0"/>
          <w:numId w:val="45"/>
        </w:numPr>
        <w:rPr>
          <w:rFonts w:ascii="Times New Roman" w:hAnsi="Times New Roman" w:cs="Times New Roman"/>
        </w:rPr>
      </w:pPr>
      <w:r w:rsidRPr="00F4337E">
        <w:rPr>
          <w:rFonts w:ascii="Times New Roman" w:hAnsi="Times New Roman" w:cs="Times New Roman"/>
        </w:rPr>
        <w:t>People provided with improved urban infrastructure/services under the GSCSP, of which female (Corporate indicator, to measure improved service delivery)</w:t>
      </w:r>
    </w:p>
    <w:p w14:paraId="700E2466" w14:textId="77777777" w:rsidR="00F4337E" w:rsidRPr="00F4337E" w:rsidRDefault="00F4337E" w:rsidP="00F4337E">
      <w:pPr>
        <w:pStyle w:val="ListParagraph"/>
        <w:numPr>
          <w:ilvl w:val="0"/>
          <w:numId w:val="45"/>
        </w:numPr>
        <w:rPr>
          <w:rFonts w:ascii="Times New Roman" w:hAnsi="Times New Roman" w:cs="Times New Roman"/>
        </w:rPr>
      </w:pPr>
      <w:r w:rsidRPr="00F4337E">
        <w:rPr>
          <w:rFonts w:ascii="Times New Roman" w:hAnsi="Times New Roman" w:cs="Times New Roman"/>
        </w:rPr>
        <w:t>Composite annual average urban management benchmarks percentage score by Program MAs (to measure urban management).</w:t>
      </w:r>
    </w:p>
    <w:p w14:paraId="283A68A7" w14:textId="77777777" w:rsidR="004A2883" w:rsidRPr="00855722" w:rsidRDefault="004A2883" w:rsidP="004A2883">
      <w:pPr>
        <w:pStyle w:val="ListParagraph"/>
        <w:spacing w:before="240" w:after="240"/>
        <w:ind w:left="1440"/>
        <w:jc w:val="both"/>
        <w:rPr>
          <w:rFonts w:ascii="Times New Roman" w:hAnsi="Times New Roman" w:cs="Times New Roman"/>
        </w:rPr>
      </w:pPr>
    </w:p>
    <w:p w14:paraId="63CD8729" w14:textId="77777777" w:rsidR="004A2883" w:rsidRDefault="004A2883" w:rsidP="00CB2188">
      <w:pPr>
        <w:pStyle w:val="ListParagraph"/>
        <w:spacing w:before="240" w:after="240" w:line="240" w:lineRule="auto"/>
        <w:ind w:left="0"/>
        <w:jc w:val="both"/>
        <w:rPr>
          <w:rFonts w:ascii="Times New Roman" w:hAnsi="Times New Roman" w:cs="Times New Roman"/>
        </w:rPr>
      </w:pPr>
      <w:r w:rsidRPr="00DD71CC">
        <w:rPr>
          <w:rFonts w:ascii="Times New Roman" w:hAnsi="Times New Roman" w:cs="Times New Roman"/>
          <w:b/>
        </w:rPr>
        <w:t>There will be eight DLIs linked to the PDO</w:t>
      </w:r>
      <w:r w:rsidRPr="00855722">
        <w:rPr>
          <w:rFonts w:ascii="Times New Roman" w:hAnsi="Times New Roman" w:cs="Times New Roman"/>
        </w:rPr>
        <w:t xml:space="preserve">: </w:t>
      </w:r>
    </w:p>
    <w:p w14:paraId="5EC72E72" w14:textId="77777777" w:rsidR="004A2883" w:rsidRDefault="004A2883" w:rsidP="00CA0715">
      <w:pPr>
        <w:pStyle w:val="ListParagraph"/>
        <w:spacing w:before="240" w:after="240" w:line="240" w:lineRule="auto"/>
        <w:jc w:val="both"/>
        <w:rPr>
          <w:rFonts w:ascii="Times New Roman" w:hAnsi="Times New Roman" w:cs="Times New Roman"/>
        </w:rPr>
      </w:pPr>
    </w:p>
    <w:p w14:paraId="208AD311" w14:textId="77777777" w:rsidR="00F4337E" w:rsidRPr="00F4337E" w:rsidRDefault="00F4337E" w:rsidP="00CA0715">
      <w:pPr>
        <w:pStyle w:val="ListParagraph"/>
        <w:numPr>
          <w:ilvl w:val="0"/>
          <w:numId w:val="44"/>
        </w:numPr>
        <w:spacing w:before="240" w:after="240" w:line="240" w:lineRule="auto"/>
        <w:jc w:val="both"/>
        <w:rPr>
          <w:rFonts w:ascii="Times New Roman" w:hAnsi="Times New Roman" w:cs="Times New Roman"/>
        </w:rPr>
      </w:pPr>
      <w:r w:rsidRPr="00F4337E">
        <w:rPr>
          <w:rFonts w:ascii="Times New Roman" w:hAnsi="Times New Roman" w:cs="Times New Roman"/>
        </w:rPr>
        <w:t>DLI 1 - measures the extent to which participating MAs have achieved CSG Minimum Conditions;</w:t>
      </w:r>
    </w:p>
    <w:p w14:paraId="08D006E0" w14:textId="77777777" w:rsidR="00F4337E" w:rsidRPr="00F4337E" w:rsidRDefault="00F4337E" w:rsidP="00CA0715">
      <w:pPr>
        <w:pStyle w:val="ListParagraph"/>
        <w:numPr>
          <w:ilvl w:val="0"/>
          <w:numId w:val="44"/>
        </w:numPr>
        <w:spacing w:before="240" w:after="240" w:line="240" w:lineRule="auto"/>
        <w:jc w:val="both"/>
        <w:rPr>
          <w:rFonts w:ascii="Times New Roman" w:hAnsi="Times New Roman" w:cs="Times New Roman"/>
        </w:rPr>
      </w:pPr>
      <w:r w:rsidRPr="00F4337E">
        <w:rPr>
          <w:rFonts w:ascii="Times New Roman" w:hAnsi="Times New Roman" w:cs="Times New Roman"/>
        </w:rPr>
        <w:t>DLI 2 – measures the extent to which participating MAs have scored equal to or above the national average DPAT Score;</w:t>
      </w:r>
    </w:p>
    <w:p w14:paraId="2FA46EBB" w14:textId="77777777" w:rsidR="00F4337E" w:rsidRPr="00F4337E" w:rsidRDefault="00F4337E" w:rsidP="00CA0715">
      <w:pPr>
        <w:pStyle w:val="ListParagraph"/>
        <w:numPr>
          <w:ilvl w:val="0"/>
          <w:numId w:val="44"/>
        </w:numPr>
        <w:spacing w:before="240" w:after="240" w:line="240" w:lineRule="auto"/>
        <w:jc w:val="both"/>
        <w:rPr>
          <w:rFonts w:ascii="Times New Roman" w:hAnsi="Times New Roman" w:cs="Times New Roman"/>
        </w:rPr>
      </w:pPr>
      <w:r w:rsidRPr="00F4337E">
        <w:rPr>
          <w:rFonts w:ascii="Times New Roman" w:hAnsi="Times New Roman" w:cs="Times New Roman"/>
        </w:rPr>
        <w:t xml:space="preserve">DLI 3 - measures the extent to which participating MAs have achieved Urban Performance Benchmarks targets; </w:t>
      </w:r>
    </w:p>
    <w:p w14:paraId="5238CDFB" w14:textId="75352AD4" w:rsidR="00F4337E" w:rsidRPr="00F4337E" w:rsidRDefault="00F4337E" w:rsidP="00CA0715">
      <w:pPr>
        <w:pStyle w:val="ListParagraph"/>
        <w:numPr>
          <w:ilvl w:val="0"/>
          <w:numId w:val="44"/>
        </w:numPr>
        <w:spacing w:before="240" w:after="240" w:line="240" w:lineRule="auto"/>
        <w:jc w:val="both"/>
        <w:rPr>
          <w:rFonts w:ascii="Times New Roman" w:hAnsi="Times New Roman" w:cs="Times New Roman"/>
        </w:rPr>
      </w:pPr>
      <w:r w:rsidRPr="00F4337E">
        <w:rPr>
          <w:rFonts w:ascii="Times New Roman" w:hAnsi="Times New Roman" w:cs="Times New Roman"/>
        </w:rPr>
        <w:t>DLI 4 - measures the extent to which participating MAs have implemented the Annual Infrastr</w:t>
      </w:r>
      <w:r>
        <w:rPr>
          <w:rFonts w:ascii="Times New Roman" w:hAnsi="Times New Roman" w:cs="Times New Roman"/>
        </w:rPr>
        <w:t>ucture Services Delivery Target;</w:t>
      </w:r>
    </w:p>
    <w:p w14:paraId="43D47C12" w14:textId="3CCFCA35" w:rsidR="00B1688C" w:rsidRPr="00B1688C" w:rsidRDefault="00B1688C" w:rsidP="00B1688C">
      <w:pPr>
        <w:pStyle w:val="ListParagraph"/>
        <w:numPr>
          <w:ilvl w:val="0"/>
          <w:numId w:val="44"/>
        </w:numPr>
        <w:rPr>
          <w:rFonts w:ascii="Times New Roman" w:hAnsi="Times New Roman" w:cs="Times New Roman"/>
        </w:rPr>
      </w:pPr>
      <w:r w:rsidRPr="00B1688C">
        <w:rPr>
          <w:rFonts w:ascii="Times New Roman" w:hAnsi="Times New Roman" w:cs="Times New Roman"/>
        </w:rPr>
        <w:t>DLI 5 – measures whether RCCs have adopted and implemented their Annual Capacity</w:t>
      </w:r>
      <w:r>
        <w:rPr>
          <w:rFonts w:ascii="Times New Roman" w:hAnsi="Times New Roman" w:cs="Times New Roman"/>
        </w:rPr>
        <w:t xml:space="preserve"> Support Plans (ACSP) for MAs;</w:t>
      </w:r>
    </w:p>
    <w:p w14:paraId="7D8DC4AA" w14:textId="77777777" w:rsidR="00B1688C" w:rsidRPr="00B1688C" w:rsidRDefault="00B1688C" w:rsidP="00B1688C">
      <w:pPr>
        <w:pStyle w:val="ListParagraph"/>
        <w:numPr>
          <w:ilvl w:val="0"/>
          <w:numId w:val="44"/>
        </w:numPr>
        <w:rPr>
          <w:rFonts w:ascii="Times New Roman" w:hAnsi="Times New Roman" w:cs="Times New Roman"/>
        </w:rPr>
      </w:pPr>
      <w:r w:rsidRPr="00B1688C">
        <w:rPr>
          <w:rFonts w:ascii="Times New Roman" w:hAnsi="Times New Roman" w:cs="Times New Roman"/>
        </w:rPr>
        <w:t>DLI 6 – measures whether DPAT/APA Results published by October 1 of each FY;</w:t>
      </w:r>
    </w:p>
    <w:p w14:paraId="42BE9BC1" w14:textId="77777777" w:rsidR="00B1688C" w:rsidRPr="00B1688C" w:rsidRDefault="00B1688C" w:rsidP="00B1688C">
      <w:pPr>
        <w:pStyle w:val="ListParagraph"/>
        <w:numPr>
          <w:ilvl w:val="0"/>
          <w:numId w:val="44"/>
        </w:numPr>
        <w:rPr>
          <w:rFonts w:ascii="Times New Roman" w:hAnsi="Times New Roman" w:cs="Times New Roman"/>
        </w:rPr>
      </w:pPr>
      <w:r w:rsidRPr="00B1688C">
        <w:rPr>
          <w:rFonts w:ascii="Times New Roman" w:hAnsi="Times New Roman" w:cs="Times New Roman"/>
        </w:rPr>
        <w:t>DLI 7 – measures timely allocation and release of Program Funds to MAs; and Implementation of MLGRD/MDAs Annual Workplan to support MAs;</w:t>
      </w:r>
    </w:p>
    <w:p w14:paraId="256A0778" w14:textId="635D7F86" w:rsidR="00B1688C" w:rsidRPr="00B1688C" w:rsidRDefault="00B1688C" w:rsidP="00B1688C">
      <w:pPr>
        <w:pStyle w:val="ListParagraph"/>
        <w:numPr>
          <w:ilvl w:val="0"/>
          <w:numId w:val="44"/>
        </w:numPr>
        <w:rPr>
          <w:rFonts w:ascii="Times New Roman" w:hAnsi="Times New Roman" w:cs="Times New Roman"/>
        </w:rPr>
      </w:pPr>
      <w:r w:rsidRPr="00B1688C">
        <w:rPr>
          <w:rFonts w:ascii="Times New Roman" w:hAnsi="Times New Roman" w:cs="Times New Roman"/>
        </w:rPr>
        <w:t>DLI 8 – measures whether key RCCs and MAs staff have been assigned and OHLGS Annual Capacity Building Plan (ACBP) to support MAs and RCCs has been implemented</w:t>
      </w:r>
      <w:r>
        <w:rPr>
          <w:rFonts w:ascii="Times New Roman" w:hAnsi="Times New Roman" w:cs="Times New Roman"/>
        </w:rPr>
        <w:t>.</w:t>
      </w:r>
    </w:p>
    <w:p w14:paraId="59DF166C" w14:textId="77777777" w:rsidR="004A2883" w:rsidRPr="00690227" w:rsidRDefault="004A2883" w:rsidP="004A2883">
      <w:pPr>
        <w:pStyle w:val="ListParagraph"/>
        <w:spacing w:before="240" w:after="240" w:line="240" w:lineRule="auto"/>
        <w:ind w:left="0"/>
        <w:jc w:val="both"/>
        <w:rPr>
          <w:rFonts w:ascii="Times New Roman" w:hAnsi="Times New Roman" w:cs="Times New Roman"/>
        </w:rPr>
      </w:pPr>
    </w:p>
    <w:p w14:paraId="5E6C19F4" w14:textId="18BF0B2B" w:rsidR="004A2883" w:rsidRPr="0084400D" w:rsidRDefault="004A2883" w:rsidP="00CB2188">
      <w:pPr>
        <w:pStyle w:val="ListParagraph"/>
        <w:spacing w:before="240" w:after="240" w:line="240" w:lineRule="auto"/>
        <w:ind w:left="0"/>
        <w:jc w:val="both"/>
        <w:rPr>
          <w:rFonts w:ascii="Times New Roman" w:hAnsi="Times New Roman" w:cs="Times New Roman"/>
        </w:rPr>
      </w:pPr>
      <w:r w:rsidRPr="0084400D">
        <w:rPr>
          <w:rFonts w:ascii="Times New Roman" w:hAnsi="Times New Roman" w:cs="Times New Roman"/>
          <w:b/>
        </w:rPr>
        <w:t>Disbursement Linked Indicators (DLIs)</w:t>
      </w:r>
      <w:r w:rsidRPr="0084400D">
        <w:rPr>
          <w:rFonts w:ascii="Times New Roman" w:hAnsi="Times New Roman" w:cs="Times New Roman"/>
        </w:rPr>
        <w:t>: (DLIs) 1 – 4 are focusing on performances of MAs; DLI 5 on performances of the RCCs and DLIs 6 and 7 on the performances of the MLGRD, while DLI 8 on the performances of OHLGS. All the DLIs 1 – 8 contribute to achievements of PDO Indicators (i) - (i</w:t>
      </w:r>
      <w:r w:rsidR="00B1688C">
        <w:rPr>
          <w:rFonts w:ascii="Times New Roman" w:hAnsi="Times New Roman" w:cs="Times New Roman"/>
        </w:rPr>
        <w:t>i</w:t>
      </w:r>
      <w:r w:rsidRPr="0084400D">
        <w:rPr>
          <w:rFonts w:ascii="Times New Roman" w:hAnsi="Times New Roman" w:cs="Times New Roman"/>
        </w:rPr>
        <w:t xml:space="preserve">). </w:t>
      </w:r>
    </w:p>
    <w:p w14:paraId="742C94FB" w14:textId="77777777" w:rsidR="004A2883" w:rsidRDefault="004A2883" w:rsidP="004A2883">
      <w:pPr>
        <w:pStyle w:val="ListParagraph"/>
        <w:spacing w:before="240" w:after="240"/>
        <w:ind w:left="0"/>
        <w:jc w:val="both"/>
        <w:rPr>
          <w:rFonts w:ascii="Times New Roman" w:hAnsi="Times New Roman" w:cs="Times New Roman"/>
        </w:rPr>
      </w:pPr>
      <w:r>
        <w:rPr>
          <w:rFonts w:ascii="Times New Roman" w:hAnsi="Times New Roman" w:cs="Times New Roman"/>
        </w:rPr>
        <w:t xml:space="preserve">The following </w:t>
      </w:r>
      <w:r w:rsidRPr="00855722">
        <w:rPr>
          <w:rFonts w:ascii="Times New Roman" w:hAnsi="Times New Roman" w:cs="Times New Roman"/>
        </w:rPr>
        <w:t>intermediate indicato</w:t>
      </w:r>
      <w:r>
        <w:rPr>
          <w:rFonts w:ascii="Times New Roman" w:hAnsi="Times New Roman" w:cs="Times New Roman"/>
        </w:rPr>
        <w:t>rs will me</w:t>
      </w:r>
      <w:r w:rsidRPr="00855722">
        <w:rPr>
          <w:rFonts w:ascii="Times New Roman" w:hAnsi="Times New Roman" w:cs="Times New Roman"/>
        </w:rPr>
        <w:t>asure behavior</w:t>
      </w:r>
      <w:r>
        <w:rPr>
          <w:rFonts w:ascii="Times New Roman" w:hAnsi="Times New Roman" w:cs="Times New Roman"/>
        </w:rPr>
        <w:t>al</w:t>
      </w:r>
      <w:r w:rsidRPr="00855722">
        <w:rPr>
          <w:rFonts w:ascii="Times New Roman" w:hAnsi="Times New Roman" w:cs="Times New Roman"/>
        </w:rPr>
        <w:t xml:space="preserve"> change</w:t>
      </w:r>
      <w:r>
        <w:rPr>
          <w:rFonts w:ascii="Times New Roman" w:hAnsi="Times New Roman" w:cs="Times New Roman"/>
        </w:rPr>
        <w:t xml:space="preserve"> at the local (MAs), Regional (RCCs) and national (MLGRD/MDAs) levels as they contribute to the achievement of the PDO</w:t>
      </w:r>
      <w:r w:rsidRPr="00855722">
        <w:rPr>
          <w:rFonts w:ascii="Times New Roman" w:hAnsi="Times New Roman" w:cs="Times New Roman"/>
        </w:rPr>
        <w:t>.</w:t>
      </w:r>
    </w:p>
    <w:p w14:paraId="6D5C5E3D" w14:textId="77777777" w:rsidR="004A2883" w:rsidRDefault="004A2883" w:rsidP="004A2883">
      <w:pPr>
        <w:pStyle w:val="ListParagraph"/>
        <w:spacing w:before="240" w:after="240"/>
        <w:ind w:left="0"/>
        <w:jc w:val="both"/>
        <w:rPr>
          <w:rFonts w:ascii="Times New Roman" w:hAnsi="Times New Roman" w:cs="Times New Roman"/>
        </w:rPr>
      </w:pPr>
    </w:p>
    <w:p w14:paraId="0B982A26" w14:textId="77777777" w:rsidR="004A2883" w:rsidRPr="0084400D" w:rsidRDefault="004A2883" w:rsidP="00CB2188">
      <w:pPr>
        <w:pStyle w:val="ListParagraph"/>
        <w:spacing w:before="240" w:after="240" w:line="276" w:lineRule="auto"/>
        <w:ind w:left="0"/>
        <w:jc w:val="both"/>
        <w:rPr>
          <w:rFonts w:ascii="Times New Roman" w:hAnsi="Times New Roman" w:cs="Times New Roman"/>
        </w:rPr>
      </w:pPr>
      <w:r w:rsidRPr="00086B0A">
        <w:rPr>
          <w:rFonts w:ascii="Times New Roman" w:hAnsi="Times New Roman" w:cs="Times New Roman"/>
          <w:b/>
        </w:rPr>
        <w:t>At local (MAs), the intermediate indicators are:</w:t>
      </w:r>
    </w:p>
    <w:p w14:paraId="05B9932D" w14:textId="77777777" w:rsidR="00B1688C" w:rsidRPr="00B1688C" w:rsidRDefault="00B1688C" w:rsidP="00B1688C">
      <w:pPr>
        <w:pStyle w:val="ListParagraph"/>
        <w:numPr>
          <w:ilvl w:val="0"/>
          <w:numId w:val="44"/>
        </w:numPr>
        <w:rPr>
          <w:rFonts w:ascii="Times New Roman" w:hAnsi="Times New Roman" w:cs="Times New Roman"/>
        </w:rPr>
      </w:pPr>
      <w:r w:rsidRPr="00B1688C">
        <w:rPr>
          <w:rFonts w:ascii="Times New Roman" w:hAnsi="Times New Roman" w:cs="Times New Roman"/>
        </w:rPr>
        <w:t>Number of MAs with Municipal Structure Plans (15years)</w:t>
      </w:r>
    </w:p>
    <w:p w14:paraId="3B4FD142" w14:textId="77777777" w:rsidR="00B1688C" w:rsidRPr="00B1688C" w:rsidRDefault="00B1688C" w:rsidP="00B1688C">
      <w:pPr>
        <w:pStyle w:val="ListParagraph"/>
        <w:numPr>
          <w:ilvl w:val="0"/>
          <w:numId w:val="44"/>
        </w:numPr>
        <w:spacing w:after="0"/>
        <w:rPr>
          <w:rFonts w:ascii="Times New Roman" w:hAnsi="Times New Roman" w:cs="Times New Roman"/>
        </w:rPr>
      </w:pPr>
      <w:r w:rsidRPr="00B1688C">
        <w:rPr>
          <w:rFonts w:ascii="Times New Roman" w:hAnsi="Times New Roman" w:cs="Times New Roman"/>
        </w:rPr>
        <w:t>Number of MAs with Municipal Local Plans covering at least 30 percent of the municipal area</w:t>
      </w:r>
    </w:p>
    <w:p w14:paraId="001B9564" w14:textId="77777777" w:rsidR="00B1688C" w:rsidRPr="00B1688C" w:rsidRDefault="00B1688C" w:rsidP="00B1688C">
      <w:pPr>
        <w:pStyle w:val="ListParagraph"/>
        <w:numPr>
          <w:ilvl w:val="0"/>
          <w:numId w:val="44"/>
        </w:numPr>
        <w:spacing w:after="0"/>
        <w:rPr>
          <w:rFonts w:ascii="Times New Roman" w:hAnsi="Times New Roman" w:cs="Times New Roman"/>
        </w:rPr>
      </w:pPr>
      <w:r w:rsidRPr="00B1688C">
        <w:rPr>
          <w:rFonts w:ascii="Times New Roman" w:hAnsi="Times New Roman" w:cs="Times New Roman"/>
        </w:rPr>
        <w:t>Number of MAs monitoring key municipal services</w:t>
      </w:r>
    </w:p>
    <w:p w14:paraId="3D3ECA96" w14:textId="77777777" w:rsidR="00B1688C" w:rsidRPr="00B1688C" w:rsidRDefault="00B1688C" w:rsidP="00B1688C">
      <w:pPr>
        <w:pStyle w:val="ListParagraph"/>
        <w:numPr>
          <w:ilvl w:val="0"/>
          <w:numId w:val="44"/>
        </w:numPr>
        <w:spacing w:after="0"/>
        <w:rPr>
          <w:rFonts w:ascii="Times New Roman" w:hAnsi="Times New Roman" w:cs="Times New Roman"/>
        </w:rPr>
      </w:pPr>
      <w:r w:rsidRPr="00B1688C">
        <w:rPr>
          <w:rFonts w:ascii="Times New Roman" w:hAnsi="Times New Roman" w:cs="Times New Roman"/>
        </w:rPr>
        <w:t xml:space="preserve">Number of MAs that execute at least 80 percent of their O&amp;M budget </w:t>
      </w:r>
    </w:p>
    <w:p w14:paraId="2CEEAB3F" w14:textId="77777777" w:rsidR="00B1688C" w:rsidRPr="00B1688C" w:rsidRDefault="00B1688C" w:rsidP="00B1688C">
      <w:pPr>
        <w:pStyle w:val="ListParagraph"/>
        <w:numPr>
          <w:ilvl w:val="0"/>
          <w:numId w:val="44"/>
        </w:numPr>
        <w:spacing w:after="0"/>
        <w:rPr>
          <w:rFonts w:ascii="Times New Roman" w:hAnsi="Times New Roman" w:cs="Times New Roman"/>
        </w:rPr>
      </w:pPr>
      <w:r w:rsidRPr="00B1688C">
        <w:rPr>
          <w:rFonts w:ascii="Times New Roman" w:hAnsi="Times New Roman" w:cs="Times New Roman"/>
        </w:rPr>
        <w:t>Number of MAs with improved and up to date revenue administration (computer based) systems</w:t>
      </w:r>
      <w:r w:rsidRPr="00B1688C">
        <w:rPr>
          <w:rFonts w:ascii="Times New Roman" w:hAnsi="Times New Roman" w:cs="Times New Roman"/>
          <w:vertAlign w:val="superscript"/>
        </w:rPr>
        <w:footnoteReference w:id="3"/>
      </w:r>
      <w:r w:rsidRPr="00B1688C">
        <w:rPr>
          <w:rFonts w:ascii="Times New Roman" w:hAnsi="Times New Roman" w:cs="Times New Roman"/>
        </w:rPr>
        <w:t xml:space="preserve"> </w:t>
      </w:r>
    </w:p>
    <w:p w14:paraId="5B2C4E13" w14:textId="77777777" w:rsidR="00B1688C" w:rsidRPr="00B1688C" w:rsidRDefault="00B1688C" w:rsidP="00B1688C">
      <w:pPr>
        <w:pStyle w:val="ListParagraph"/>
        <w:numPr>
          <w:ilvl w:val="0"/>
          <w:numId w:val="44"/>
        </w:numPr>
        <w:spacing w:after="0"/>
        <w:rPr>
          <w:rFonts w:ascii="Times New Roman" w:hAnsi="Times New Roman" w:cs="Times New Roman"/>
        </w:rPr>
      </w:pPr>
      <w:r w:rsidRPr="00B1688C">
        <w:rPr>
          <w:rFonts w:ascii="Times New Roman" w:hAnsi="Times New Roman" w:cs="Times New Roman"/>
        </w:rPr>
        <w:t>Number of MAs that satisfy at least 80 percent of the defined governance capacity criteria</w:t>
      </w:r>
      <w:r w:rsidRPr="00B1688C">
        <w:rPr>
          <w:rFonts w:ascii="Times New Roman" w:hAnsi="Times New Roman" w:cs="Times New Roman"/>
          <w:vertAlign w:val="superscript"/>
        </w:rPr>
        <w:footnoteReference w:id="4"/>
      </w:r>
    </w:p>
    <w:p w14:paraId="4DBC25F6" w14:textId="77777777" w:rsidR="00B1688C" w:rsidRPr="00B1688C" w:rsidRDefault="00B1688C" w:rsidP="00B1688C">
      <w:pPr>
        <w:pStyle w:val="ListParagraph"/>
        <w:numPr>
          <w:ilvl w:val="0"/>
          <w:numId w:val="44"/>
        </w:numPr>
        <w:spacing w:after="0"/>
        <w:rPr>
          <w:rFonts w:ascii="Times New Roman" w:hAnsi="Times New Roman" w:cs="Times New Roman"/>
        </w:rPr>
      </w:pPr>
      <w:r w:rsidRPr="00B1688C">
        <w:rPr>
          <w:rFonts w:ascii="Times New Roman" w:hAnsi="Times New Roman" w:cs="Times New Roman"/>
        </w:rPr>
        <w:t>Number of MAs that implement at least 80 percent of the planned gender programs as per the annual action plan</w:t>
      </w:r>
    </w:p>
    <w:p w14:paraId="46094042" w14:textId="77777777" w:rsidR="00B1688C" w:rsidRPr="00B1688C" w:rsidRDefault="00B1688C" w:rsidP="00B1688C">
      <w:pPr>
        <w:pStyle w:val="ListParagraph"/>
        <w:numPr>
          <w:ilvl w:val="0"/>
          <w:numId w:val="44"/>
        </w:numPr>
        <w:spacing w:after="0"/>
        <w:rPr>
          <w:rFonts w:ascii="Times New Roman" w:hAnsi="Times New Roman" w:cs="Times New Roman"/>
        </w:rPr>
      </w:pPr>
      <w:r w:rsidRPr="00B1688C">
        <w:rPr>
          <w:rFonts w:ascii="Times New Roman" w:hAnsi="Times New Roman" w:cs="Times New Roman"/>
        </w:rPr>
        <w:t>Composite annual average urban infrastructure delivery benchmarks percentage scores by Program MAs as per the annual work plan targets (to measure urban service delivery)</w:t>
      </w:r>
    </w:p>
    <w:p w14:paraId="6BF30169" w14:textId="77777777" w:rsidR="00B1688C" w:rsidRPr="00B1688C" w:rsidRDefault="00B1688C" w:rsidP="00B1688C">
      <w:pPr>
        <w:pStyle w:val="ListParagraph"/>
        <w:numPr>
          <w:ilvl w:val="0"/>
          <w:numId w:val="44"/>
        </w:numPr>
        <w:spacing w:after="0"/>
        <w:rPr>
          <w:rFonts w:ascii="Times New Roman" w:hAnsi="Times New Roman" w:cs="Times New Roman"/>
        </w:rPr>
      </w:pPr>
      <w:r w:rsidRPr="00B1688C">
        <w:rPr>
          <w:rFonts w:ascii="Times New Roman" w:hAnsi="Times New Roman" w:cs="Times New Roman"/>
        </w:rPr>
        <w:t>Km of Urban roads built or rehabilitate</w:t>
      </w:r>
    </w:p>
    <w:p w14:paraId="648A0663" w14:textId="77777777" w:rsidR="00B1688C" w:rsidRPr="00B1688C" w:rsidRDefault="00B1688C" w:rsidP="00B1688C">
      <w:pPr>
        <w:pStyle w:val="ListParagraph"/>
        <w:numPr>
          <w:ilvl w:val="0"/>
          <w:numId w:val="44"/>
        </w:numPr>
        <w:spacing w:after="0"/>
        <w:rPr>
          <w:rFonts w:ascii="Times New Roman" w:hAnsi="Times New Roman" w:cs="Times New Roman"/>
        </w:rPr>
      </w:pPr>
      <w:r w:rsidRPr="00B1688C">
        <w:rPr>
          <w:rFonts w:ascii="Times New Roman" w:hAnsi="Times New Roman" w:cs="Times New Roman"/>
        </w:rPr>
        <w:t>Number of municipal economic infrastructure built or rehabilitated</w:t>
      </w:r>
    </w:p>
    <w:p w14:paraId="1E23FDE0" w14:textId="77777777" w:rsidR="00B1688C" w:rsidRPr="00B1688C" w:rsidRDefault="00B1688C" w:rsidP="00B1688C">
      <w:pPr>
        <w:pStyle w:val="ListParagraph"/>
        <w:numPr>
          <w:ilvl w:val="0"/>
          <w:numId w:val="44"/>
        </w:numPr>
        <w:spacing w:after="0"/>
        <w:rPr>
          <w:rFonts w:ascii="Times New Roman" w:hAnsi="Times New Roman" w:cs="Times New Roman"/>
        </w:rPr>
      </w:pPr>
      <w:r w:rsidRPr="00B1688C">
        <w:rPr>
          <w:rFonts w:ascii="Times New Roman" w:hAnsi="Times New Roman" w:cs="Times New Roman"/>
        </w:rPr>
        <w:t>Km of drains built or rehabilitated</w:t>
      </w:r>
    </w:p>
    <w:p w14:paraId="65CF4228" w14:textId="77777777" w:rsidR="00B1688C" w:rsidRPr="00B1688C" w:rsidRDefault="00B1688C" w:rsidP="00B1688C">
      <w:pPr>
        <w:pStyle w:val="ListParagraph"/>
        <w:numPr>
          <w:ilvl w:val="0"/>
          <w:numId w:val="44"/>
        </w:numPr>
        <w:spacing w:after="0"/>
        <w:rPr>
          <w:rFonts w:ascii="Times New Roman" w:hAnsi="Times New Roman" w:cs="Times New Roman"/>
        </w:rPr>
      </w:pPr>
      <w:r w:rsidRPr="00B1688C">
        <w:rPr>
          <w:rFonts w:ascii="Times New Roman" w:hAnsi="Times New Roman" w:cs="Times New Roman"/>
        </w:rPr>
        <w:t>Hectares of public parks and greenery built or rehabilitated</w:t>
      </w:r>
    </w:p>
    <w:p w14:paraId="49F35533" w14:textId="77777777" w:rsidR="004A2883" w:rsidRDefault="004A2883" w:rsidP="004A2883">
      <w:pPr>
        <w:pStyle w:val="ListParagraph"/>
        <w:spacing w:after="0"/>
        <w:ind w:left="0"/>
        <w:jc w:val="both"/>
        <w:rPr>
          <w:rFonts w:ascii="Times New Roman" w:hAnsi="Times New Roman" w:cs="Times New Roman"/>
        </w:rPr>
      </w:pPr>
    </w:p>
    <w:p w14:paraId="171872ED" w14:textId="77777777" w:rsidR="004A2883" w:rsidRPr="0084400D" w:rsidRDefault="004A2883" w:rsidP="00CB2188">
      <w:pPr>
        <w:pStyle w:val="ListParagraph"/>
        <w:spacing w:after="0" w:line="240" w:lineRule="auto"/>
        <w:ind w:left="0"/>
        <w:jc w:val="both"/>
        <w:rPr>
          <w:rFonts w:ascii="Times New Roman" w:hAnsi="Times New Roman" w:cs="Times New Roman"/>
          <w:b/>
        </w:rPr>
      </w:pPr>
      <w:r w:rsidRPr="0084400D">
        <w:rPr>
          <w:rFonts w:ascii="Times New Roman" w:hAnsi="Times New Roman" w:cs="Times New Roman"/>
          <w:b/>
        </w:rPr>
        <w:t>At the regional level (RCCs), the intermediate indicators are:</w:t>
      </w:r>
    </w:p>
    <w:p w14:paraId="26330104" w14:textId="77777777" w:rsidR="00B1688C" w:rsidRPr="00B1688C" w:rsidRDefault="00B1688C" w:rsidP="00B1688C">
      <w:pPr>
        <w:numPr>
          <w:ilvl w:val="0"/>
          <w:numId w:val="44"/>
        </w:numPr>
        <w:spacing w:after="0" w:line="240" w:lineRule="auto"/>
        <w:jc w:val="both"/>
        <w:rPr>
          <w:rFonts w:ascii="Times New Roman" w:hAnsi="Times New Roman" w:cs="Times New Roman"/>
        </w:rPr>
      </w:pPr>
      <w:r w:rsidRPr="00B1688C">
        <w:rPr>
          <w:rFonts w:ascii="Times New Roman" w:hAnsi="Times New Roman" w:cs="Times New Roman"/>
        </w:rPr>
        <w:t xml:space="preserve">Percentage of RCCs Annual Capacity Support Plans for MAs implemented </w:t>
      </w:r>
    </w:p>
    <w:p w14:paraId="76548FBF" w14:textId="77777777" w:rsidR="004A2883" w:rsidRDefault="004A2883" w:rsidP="004A2883">
      <w:pPr>
        <w:spacing w:after="0" w:line="240" w:lineRule="auto"/>
        <w:jc w:val="both"/>
        <w:rPr>
          <w:rFonts w:ascii="Times New Roman" w:hAnsi="Times New Roman" w:cs="Times New Roman"/>
        </w:rPr>
      </w:pPr>
    </w:p>
    <w:p w14:paraId="251B7D9C" w14:textId="77777777" w:rsidR="004A2883" w:rsidRPr="0084400D" w:rsidRDefault="004A2883" w:rsidP="00CB2188">
      <w:pPr>
        <w:pStyle w:val="ListParagraph"/>
        <w:spacing w:after="0" w:line="240" w:lineRule="auto"/>
        <w:ind w:left="0"/>
        <w:jc w:val="both"/>
        <w:rPr>
          <w:rFonts w:ascii="Times New Roman" w:hAnsi="Times New Roman" w:cs="Times New Roman"/>
          <w:b/>
        </w:rPr>
      </w:pPr>
      <w:r w:rsidRPr="0084400D">
        <w:rPr>
          <w:rFonts w:ascii="Times New Roman" w:hAnsi="Times New Roman" w:cs="Times New Roman"/>
          <w:b/>
        </w:rPr>
        <w:t>At the national (MLGRD/MDDAs), the intermediate indicators are:</w:t>
      </w:r>
    </w:p>
    <w:p w14:paraId="26334F3B" w14:textId="77777777" w:rsidR="00B1688C" w:rsidRPr="00B1688C" w:rsidRDefault="00B1688C" w:rsidP="00B1688C">
      <w:pPr>
        <w:numPr>
          <w:ilvl w:val="0"/>
          <w:numId w:val="44"/>
        </w:numPr>
        <w:spacing w:after="0" w:line="240" w:lineRule="auto"/>
        <w:jc w:val="both"/>
        <w:rPr>
          <w:rFonts w:ascii="Times New Roman" w:hAnsi="Times New Roman" w:cs="Times New Roman"/>
        </w:rPr>
      </w:pPr>
      <w:r w:rsidRPr="00B1688C">
        <w:rPr>
          <w:rFonts w:ascii="Times New Roman" w:hAnsi="Times New Roman" w:cs="Times New Roman"/>
        </w:rPr>
        <w:t>Percentage of MLGRD/MDAs approved Annual Workplan implemented</w:t>
      </w:r>
    </w:p>
    <w:p w14:paraId="197358E3" w14:textId="77777777" w:rsidR="00B1688C" w:rsidRPr="00B1688C" w:rsidRDefault="00B1688C" w:rsidP="00B1688C">
      <w:pPr>
        <w:numPr>
          <w:ilvl w:val="0"/>
          <w:numId w:val="44"/>
        </w:numPr>
        <w:spacing w:after="0" w:line="240" w:lineRule="auto"/>
        <w:jc w:val="both"/>
        <w:rPr>
          <w:rFonts w:ascii="Times New Roman" w:hAnsi="Times New Roman" w:cs="Times New Roman"/>
        </w:rPr>
      </w:pPr>
      <w:r w:rsidRPr="00B1688C">
        <w:rPr>
          <w:rFonts w:ascii="Times New Roman" w:hAnsi="Times New Roman" w:cs="Times New Roman"/>
        </w:rPr>
        <w:t>Percentage of Annual Capacity Building Plan implemented by OHLGS</w:t>
      </w:r>
    </w:p>
    <w:p w14:paraId="7925B6C2" w14:textId="77777777" w:rsidR="00B1688C" w:rsidRPr="00B1688C" w:rsidRDefault="00B1688C" w:rsidP="00B1688C">
      <w:pPr>
        <w:numPr>
          <w:ilvl w:val="0"/>
          <w:numId w:val="44"/>
        </w:numPr>
        <w:spacing w:after="0" w:line="240" w:lineRule="auto"/>
        <w:jc w:val="both"/>
        <w:rPr>
          <w:rFonts w:ascii="Times New Roman" w:hAnsi="Times New Roman" w:cs="Times New Roman"/>
        </w:rPr>
      </w:pPr>
      <w:r w:rsidRPr="00B1688C">
        <w:rPr>
          <w:rFonts w:ascii="Times New Roman" w:hAnsi="Times New Roman" w:cs="Times New Roman"/>
        </w:rPr>
        <w:t xml:space="preserve">Improved Intergovernmental Fiscal Transfer System (IGFTS) adopted with timely allocation and publication of UDGs to MAs </w:t>
      </w:r>
    </w:p>
    <w:p w14:paraId="58C620A6" w14:textId="77777777" w:rsidR="004A2883" w:rsidRPr="00B65FDD" w:rsidRDefault="004A2883" w:rsidP="00CA0715">
      <w:pPr>
        <w:pStyle w:val="Heading2"/>
      </w:pPr>
      <w:bookmarkStart w:id="6" w:name="_Toc513481926"/>
      <w:r w:rsidRPr="00B65FDD">
        <w:t>PforR Program Scope</w:t>
      </w:r>
      <w:bookmarkEnd w:id="6"/>
    </w:p>
    <w:p w14:paraId="43DF6A7A" w14:textId="77777777" w:rsidR="004A2883" w:rsidRDefault="004A2883" w:rsidP="004A2883">
      <w:pPr>
        <w:pStyle w:val="NoSpacing"/>
        <w:rPr>
          <w:rFonts w:ascii="Times New Roman" w:hAnsi="Times New Roman"/>
        </w:rPr>
      </w:pPr>
    </w:p>
    <w:p w14:paraId="6D04B2EB" w14:textId="77777777" w:rsidR="004A2883" w:rsidRDefault="004A2883" w:rsidP="00CB2188">
      <w:pPr>
        <w:pStyle w:val="Header"/>
        <w:tabs>
          <w:tab w:val="clear" w:pos="4680"/>
          <w:tab w:val="clear" w:pos="9360"/>
        </w:tabs>
      </w:pPr>
      <w:r w:rsidRPr="00B879D7">
        <w:rPr>
          <w:b/>
        </w:rPr>
        <w:t>The Ghana Secondary Cities Support Program (SCSP) will be implemented over a period of five years (2019-2023) and will be financed through an IDA credit of US$100 million</w:t>
      </w:r>
      <w:r w:rsidRPr="00B879D7">
        <w:t xml:space="preserve">. The Program will constitute a slice of the Government’s broader decentralization support </w:t>
      </w:r>
      <w:r>
        <w:t>program</w:t>
      </w:r>
      <w:r w:rsidRPr="00B879D7">
        <w:t>, specifically focusing on M</w:t>
      </w:r>
      <w:r>
        <w:t>As</w:t>
      </w:r>
      <w:r w:rsidRPr="00B879D7">
        <w:t xml:space="preserve"> that manage urban development in secondary cities. SCSP will provide incentives for M</w:t>
      </w:r>
      <w:r>
        <w:t>As</w:t>
      </w:r>
      <w:r w:rsidRPr="00B879D7">
        <w:t xml:space="preserve"> to improve their performance as city managers and for regional and national institutions to provide MAs with the support needed for effective urban management and governance. </w:t>
      </w:r>
    </w:p>
    <w:p w14:paraId="6850D116" w14:textId="77777777" w:rsidR="004A2883" w:rsidRDefault="004A2883" w:rsidP="004A2883">
      <w:pPr>
        <w:pStyle w:val="Header"/>
        <w:tabs>
          <w:tab w:val="clear" w:pos="4680"/>
          <w:tab w:val="clear" w:pos="9360"/>
        </w:tabs>
      </w:pPr>
    </w:p>
    <w:p w14:paraId="7F723299" w14:textId="77777777" w:rsidR="004A2883" w:rsidRDefault="004A2883" w:rsidP="00CB2188">
      <w:pPr>
        <w:pStyle w:val="Header"/>
        <w:tabs>
          <w:tab w:val="clear" w:pos="4680"/>
          <w:tab w:val="clear" w:pos="9360"/>
        </w:tabs>
      </w:pPr>
      <w:r w:rsidRPr="006E27B2">
        <w:rPr>
          <w:b/>
        </w:rPr>
        <w:t>The program will have three windows, namely (i) local window, (ii) regional window, and (iii) national window</w:t>
      </w:r>
      <w:r>
        <w:t>.</w:t>
      </w:r>
    </w:p>
    <w:p w14:paraId="5B0C1037" w14:textId="77777777" w:rsidR="004A2883" w:rsidRPr="00B879D7" w:rsidRDefault="004A2883" w:rsidP="004A2883">
      <w:pPr>
        <w:pStyle w:val="Header"/>
        <w:tabs>
          <w:tab w:val="clear" w:pos="4680"/>
          <w:tab w:val="clear" w:pos="9360"/>
        </w:tabs>
        <w:rPr>
          <w:rFonts w:eastAsia="Times New Roman"/>
          <w:sz w:val="24"/>
          <w:szCs w:val="24"/>
        </w:rPr>
      </w:pPr>
    </w:p>
    <w:p w14:paraId="389C4A18" w14:textId="77777777" w:rsidR="00B1688C" w:rsidRPr="00CA0715" w:rsidRDefault="00B1688C" w:rsidP="00B1688C">
      <w:pPr>
        <w:pStyle w:val="ListParagraph"/>
        <w:numPr>
          <w:ilvl w:val="0"/>
          <w:numId w:val="44"/>
        </w:numPr>
        <w:spacing w:after="0" w:line="240" w:lineRule="auto"/>
        <w:jc w:val="both"/>
        <w:rPr>
          <w:rFonts w:ascii="Times New Roman" w:hAnsi="Times New Roman" w:cs="Times New Roman"/>
        </w:rPr>
      </w:pPr>
      <w:r w:rsidRPr="00CA0715">
        <w:rPr>
          <w:rFonts w:ascii="Times New Roman" w:hAnsi="Times New Roman" w:cs="Times New Roman"/>
          <w:b/>
        </w:rPr>
        <w:t xml:space="preserve">Local window - </w:t>
      </w:r>
      <w:r w:rsidRPr="00CA0715">
        <w:rPr>
          <w:rFonts w:ascii="Times New Roman" w:hAnsi="Times New Roman" w:cs="Times New Roman"/>
          <w:u w:val="single"/>
        </w:rPr>
        <w:t>US$ 90 million</w:t>
      </w:r>
      <w:r w:rsidRPr="00CA0715">
        <w:rPr>
          <w:rFonts w:ascii="Times New Roman" w:hAnsi="Times New Roman" w:cs="Times New Roman"/>
        </w:rPr>
        <w:t>, through which participating MAs will receive Urban Development Grants (UDGs) and Capacity Support Grants (CSGs). While UDGs will allow MAs to make investments in urban infrastructure and service delivery, CSGs will enable them to invest in institutional and capacity development initiatives aimed at enhancing their urban management performance. UDGs and CSGs will be supplementary to the Government grants under the RFG grants allocated to participating MAs.</w:t>
      </w:r>
    </w:p>
    <w:p w14:paraId="5ED3486B" w14:textId="77777777" w:rsidR="00B1688C" w:rsidRPr="00CA0715" w:rsidRDefault="00B1688C" w:rsidP="00B1688C">
      <w:pPr>
        <w:pStyle w:val="ListParagraph"/>
        <w:jc w:val="both"/>
        <w:rPr>
          <w:rFonts w:ascii="Times New Roman" w:hAnsi="Times New Roman" w:cs="Times New Roman"/>
        </w:rPr>
      </w:pPr>
    </w:p>
    <w:p w14:paraId="6A8E1892" w14:textId="77777777" w:rsidR="00B1688C" w:rsidRPr="00CA0715" w:rsidRDefault="00B1688C" w:rsidP="00B1688C">
      <w:pPr>
        <w:pStyle w:val="ListParagraph"/>
        <w:numPr>
          <w:ilvl w:val="0"/>
          <w:numId w:val="44"/>
        </w:numPr>
        <w:spacing w:after="0" w:line="240" w:lineRule="auto"/>
        <w:jc w:val="both"/>
        <w:rPr>
          <w:rFonts w:ascii="Times New Roman" w:hAnsi="Times New Roman" w:cs="Times New Roman"/>
        </w:rPr>
      </w:pPr>
      <w:r w:rsidRPr="00CA0715">
        <w:rPr>
          <w:rFonts w:ascii="Times New Roman" w:hAnsi="Times New Roman" w:cs="Times New Roman"/>
          <w:b/>
        </w:rPr>
        <w:t xml:space="preserve">Regional window - </w:t>
      </w:r>
      <w:r w:rsidRPr="00CA0715">
        <w:rPr>
          <w:rFonts w:ascii="Times New Roman" w:hAnsi="Times New Roman" w:cs="Times New Roman"/>
          <w:u w:val="single"/>
        </w:rPr>
        <w:t>US$ 3 million</w:t>
      </w:r>
      <w:r w:rsidRPr="00CA0715">
        <w:rPr>
          <w:rFonts w:ascii="Times New Roman" w:hAnsi="Times New Roman" w:cs="Times New Roman"/>
        </w:rPr>
        <w:t>, through which the ten RCCs will be provided with funds to backstop, mentor and monitor MAs within their respective regional jurisdictions and ensure that the MAs annual DPAT assessments results are up to national average scores.</w:t>
      </w:r>
    </w:p>
    <w:p w14:paraId="685181DD" w14:textId="77777777" w:rsidR="00B1688C" w:rsidRPr="00CA0715" w:rsidRDefault="00B1688C" w:rsidP="00B1688C">
      <w:pPr>
        <w:pStyle w:val="ListParagraph"/>
        <w:rPr>
          <w:rFonts w:ascii="Times New Roman" w:hAnsi="Times New Roman" w:cs="Times New Roman"/>
          <w:b/>
        </w:rPr>
      </w:pPr>
    </w:p>
    <w:p w14:paraId="19EFD98C" w14:textId="77777777" w:rsidR="00B1688C" w:rsidRPr="00CA0715" w:rsidRDefault="00B1688C" w:rsidP="00B1688C">
      <w:pPr>
        <w:pStyle w:val="ListParagraph"/>
        <w:numPr>
          <w:ilvl w:val="0"/>
          <w:numId w:val="44"/>
        </w:numPr>
        <w:spacing w:after="0" w:line="240" w:lineRule="auto"/>
        <w:jc w:val="both"/>
        <w:rPr>
          <w:rFonts w:ascii="Times New Roman" w:hAnsi="Times New Roman" w:cs="Times New Roman"/>
        </w:rPr>
      </w:pPr>
      <w:r w:rsidRPr="00CA0715">
        <w:rPr>
          <w:rFonts w:ascii="Times New Roman" w:hAnsi="Times New Roman" w:cs="Times New Roman"/>
          <w:b/>
        </w:rPr>
        <w:t xml:space="preserve">National window - </w:t>
      </w:r>
      <w:r w:rsidRPr="00CA0715">
        <w:rPr>
          <w:rFonts w:ascii="Times New Roman" w:hAnsi="Times New Roman" w:cs="Times New Roman"/>
          <w:u w:val="single"/>
        </w:rPr>
        <w:t>US$ 7 million</w:t>
      </w:r>
      <w:r w:rsidRPr="00CA0715">
        <w:rPr>
          <w:rFonts w:ascii="Times New Roman" w:hAnsi="Times New Roman" w:cs="Times New Roman"/>
        </w:rPr>
        <w:t>, through which a range of national-level institutions and agencies will access funding in order to strengthen their policy, support and monitoring functions with respect to urban management and development, as well as funding to manage annual performance assessments of participating MAs.</w:t>
      </w:r>
    </w:p>
    <w:p w14:paraId="06CEA86B" w14:textId="77777777" w:rsidR="00CB2188" w:rsidRDefault="00CB2188" w:rsidP="00CB2188">
      <w:pPr>
        <w:pStyle w:val="Header"/>
        <w:tabs>
          <w:tab w:val="clear" w:pos="4680"/>
          <w:tab w:val="clear" w:pos="9360"/>
        </w:tabs>
      </w:pPr>
    </w:p>
    <w:p w14:paraId="7923F1CD" w14:textId="4A92685F" w:rsidR="004A2883" w:rsidRDefault="004A2883" w:rsidP="004A2883">
      <w:pPr>
        <w:pStyle w:val="Header"/>
        <w:tabs>
          <w:tab w:val="clear" w:pos="4680"/>
          <w:tab w:val="clear" w:pos="9360"/>
        </w:tabs>
      </w:pPr>
      <w:r w:rsidRPr="00BE743B">
        <w:rPr>
          <w:b/>
        </w:rPr>
        <w:t xml:space="preserve">The </w:t>
      </w:r>
      <w:r>
        <w:rPr>
          <w:b/>
        </w:rPr>
        <w:t xml:space="preserve">Government </w:t>
      </w:r>
      <w:r w:rsidRPr="00BE743B">
        <w:rPr>
          <w:b/>
        </w:rPr>
        <w:t>RFG/DPAT system will be integral to the Program’s local window</w:t>
      </w:r>
      <w:r w:rsidRPr="00BE743B">
        <w:t xml:space="preserve">. Access to the Program’s UDGs will be conditional upon MAs complying with RFG/DPAT Minimum Conditions and obtaining a Performance Measure score that is </w:t>
      </w:r>
      <w:r>
        <w:t xml:space="preserve">equal to or above the </w:t>
      </w:r>
      <w:r w:rsidRPr="00BE743B">
        <w:t>national average. By satisfying RFG/DPAT MCs and scoring relatively well in terms of PMs, MAs will demonstrate basic management capacity and satisfy some key fiduciary and other requirements. Most importantly, compliance with RFG/DFAT MCs will indicate that MA financial management is satisfactory</w:t>
      </w:r>
      <w:r w:rsidRPr="00BE743B">
        <w:rPr>
          <w:vertAlign w:val="superscript"/>
        </w:rPr>
        <w:footnoteReference w:id="5"/>
      </w:r>
      <w:r>
        <w:t>.</w:t>
      </w:r>
      <w:r w:rsidRPr="00BE743B">
        <w:t xml:space="preserve"> The need to obtain </w:t>
      </w:r>
      <w:r>
        <w:t xml:space="preserve">at least the national </w:t>
      </w:r>
      <w:r w:rsidRPr="00BE743B">
        <w:t>average RFG/DPAT scores will indicate that qualifying MAs are among the better managed local governments in Ghana</w:t>
      </w:r>
      <w:r w:rsidRPr="00BE743B">
        <w:rPr>
          <w:vertAlign w:val="superscript"/>
        </w:rPr>
        <w:footnoteReference w:id="6"/>
      </w:r>
      <w:r w:rsidRPr="00BE743B">
        <w:t>.</w:t>
      </w:r>
    </w:p>
    <w:p w14:paraId="6DBAE791" w14:textId="77777777" w:rsidR="00CB2188" w:rsidRDefault="00CB2188" w:rsidP="004A2883">
      <w:pPr>
        <w:pStyle w:val="Header"/>
        <w:tabs>
          <w:tab w:val="clear" w:pos="4680"/>
          <w:tab w:val="clear" w:pos="9360"/>
        </w:tabs>
      </w:pPr>
    </w:p>
    <w:p w14:paraId="730039E9" w14:textId="77777777" w:rsidR="004A2883" w:rsidRPr="009268A2" w:rsidRDefault="004A2883" w:rsidP="00CB2188">
      <w:pPr>
        <w:pStyle w:val="Header"/>
        <w:tabs>
          <w:tab w:val="clear" w:pos="4680"/>
          <w:tab w:val="clear" w:pos="9360"/>
        </w:tabs>
      </w:pPr>
      <w:r w:rsidRPr="009268A2">
        <w:rPr>
          <w:b/>
        </w:rPr>
        <w:t xml:space="preserve">The determination of the universe of eligible MAs under the Program has been determined based on a two-stage approach. </w:t>
      </w:r>
      <w:r w:rsidRPr="009268A2">
        <w:t>The first stage is to agree on a set of criteria which must be met by an MA before it becomes eligible to benefit from the Program, and second to screen all the MAs using the same criteria and identify those that meet all the said criteria. The selection of Program MAs was therefore based on the following criteria which were considered to be robust enough to ensure the urban focus on secondary cities and the achievements of the PDO:</w:t>
      </w:r>
    </w:p>
    <w:p w14:paraId="6ABA83F9" w14:textId="77777777" w:rsidR="004A2883" w:rsidRDefault="004A2883" w:rsidP="004A2883">
      <w:pPr>
        <w:pStyle w:val="Header"/>
        <w:tabs>
          <w:tab w:val="clear" w:pos="4680"/>
          <w:tab w:val="clear" w:pos="9360"/>
        </w:tabs>
      </w:pPr>
    </w:p>
    <w:p w14:paraId="1065C9B1" w14:textId="77777777" w:rsidR="004A2883" w:rsidRDefault="004A2883" w:rsidP="00F273E1">
      <w:pPr>
        <w:pStyle w:val="Header"/>
        <w:numPr>
          <w:ilvl w:val="0"/>
          <w:numId w:val="44"/>
        </w:numPr>
        <w:tabs>
          <w:tab w:val="clear" w:pos="4680"/>
          <w:tab w:val="clear" w:pos="9360"/>
        </w:tabs>
      </w:pPr>
      <w:r>
        <w:t>Must not be within Greater Accra Region or a Metro – Metros are primary cities and not the focus of this operation</w:t>
      </w:r>
    </w:p>
    <w:p w14:paraId="2BF743CC" w14:textId="77777777" w:rsidR="004A2883" w:rsidRDefault="004A2883" w:rsidP="00F273E1">
      <w:pPr>
        <w:pStyle w:val="Header"/>
        <w:numPr>
          <w:ilvl w:val="0"/>
          <w:numId w:val="44"/>
        </w:numPr>
        <w:tabs>
          <w:tab w:val="clear" w:pos="4680"/>
          <w:tab w:val="clear" w:pos="9360"/>
        </w:tabs>
      </w:pPr>
      <w:r>
        <w:t>At least a MA from each of the remaining 9 regions</w:t>
      </w:r>
    </w:p>
    <w:p w14:paraId="47F0C14D" w14:textId="77777777" w:rsidR="004A2883" w:rsidRDefault="004A2883" w:rsidP="00F273E1">
      <w:pPr>
        <w:pStyle w:val="Header"/>
        <w:numPr>
          <w:ilvl w:val="0"/>
          <w:numId w:val="44"/>
        </w:numPr>
        <w:tabs>
          <w:tab w:val="clear" w:pos="4680"/>
          <w:tab w:val="clear" w:pos="9360"/>
        </w:tabs>
      </w:pPr>
      <w:r>
        <w:t>MAs with total population of 100,000 - 250,000 people – Secondary cities and focus of this operation</w:t>
      </w:r>
    </w:p>
    <w:p w14:paraId="7A3478CB" w14:textId="77777777" w:rsidR="004A2883" w:rsidRDefault="004A2883" w:rsidP="00F273E1">
      <w:pPr>
        <w:pStyle w:val="Header"/>
        <w:numPr>
          <w:ilvl w:val="0"/>
          <w:numId w:val="44"/>
        </w:numPr>
        <w:tabs>
          <w:tab w:val="clear" w:pos="4680"/>
          <w:tab w:val="clear" w:pos="9360"/>
        </w:tabs>
      </w:pPr>
      <w:r>
        <w:t>MAs with at least 60% urban population – since the Program is urban focus and MAs which have surpassed the national urbanization threshold of 52%.</w:t>
      </w:r>
    </w:p>
    <w:p w14:paraId="4A0AEB12" w14:textId="77777777" w:rsidR="004A2883" w:rsidRDefault="004A2883" w:rsidP="004A2883">
      <w:pPr>
        <w:pStyle w:val="Header"/>
        <w:tabs>
          <w:tab w:val="clear" w:pos="4680"/>
          <w:tab w:val="clear" w:pos="9360"/>
        </w:tabs>
      </w:pPr>
    </w:p>
    <w:p w14:paraId="1FE8FDF6" w14:textId="7A06A612" w:rsidR="004A2883" w:rsidRDefault="004A2883" w:rsidP="00CB2188">
      <w:pPr>
        <w:pStyle w:val="Header"/>
        <w:tabs>
          <w:tab w:val="clear" w:pos="4680"/>
          <w:tab w:val="clear" w:pos="9360"/>
        </w:tabs>
      </w:pPr>
      <w:r w:rsidRPr="007C3C09">
        <w:rPr>
          <w:b/>
        </w:rPr>
        <w:t xml:space="preserve">Using the above criteria to define the Program boundary, the following </w:t>
      </w:r>
      <w:r w:rsidR="00B1688C">
        <w:rPr>
          <w:b/>
        </w:rPr>
        <w:t>19</w:t>
      </w:r>
      <w:r>
        <w:rPr>
          <w:b/>
        </w:rPr>
        <w:t xml:space="preserve"> </w:t>
      </w:r>
      <w:r w:rsidRPr="007C3C09">
        <w:rPr>
          <w:b/>
        </w:rPr>
        <w:t>MAs</w:t>
      </w:r>
      <w:r w:rsidRPr="007C3C09">
        <w:rPr>
          <w:rStyle w:val="FootnoteReference"/>
          <w:b/>
        </w:rPr>
        <w:footnoteReference w:id="7"/>
      </w:r>
      <w:r w:rsidRPr="007C3C09">
        <w:rPr>
          <w:b/>
        </w:rPr>
        <w:t xml:space="preserve"> have met the requirements to participate under the Program. </w:t>
      </w:r>
      <w:r w:rsidRPr="007C3C09">
        <w:t>In order to become fully eligible, the Chief Executives of selected MAs will need to sign an official Memorandum of Understanding (MoU) with MLGRD.</w:t>
      </w:r>
      <w:r w:rsidRPr="00AA7E1F">
        <w:rPr>
          <w:b/>
        </w:rPr>
        <w:t xml:space="preserve"> </w:t>
      </w:r>
      <w:r w:rsidRPr="00AA7E1F">
        <w:t>The MoU will formally commit the MA to the use of agreed SCSP procedures (as defined in the Program Operations Manual).</w:t>
      </w:r>
    </w:p>
    <w:p w14:paraId="486399D6" w14:textId="77777777" w:rsidR="004A2883" w:rsidRDefault="004A2883" w:rsidP="004A2883">
      <w:pPr>
        <w:pStyle w:val="Header"/>
        <w:tabs>
          <w:tab w:val="clear" w:pos="4680"/>
          <w:tab w:val="clear" w:pos="9360"/>
        </w:tabs>
      </w:pPr>
    </w:p>
    <w:p w14:paraId="30118DEB" w14:textId="77777777" w:rsidR="004A2883" w:rsidRDefault="004A2883" w:rsidP="00CB2188">
      <w:pPr>
        <w:pStyle w:val="Header"/>
        <w:tabs>
          <w:tab w:val="clear" w:pos="4680"/>
          <w:tab w:val="clear" w:pos="9360"/>
        </w:tabs>
      </w:pPr>
      <w:r w:rsidRPr="009268A2">
        <w:rPr>
          <w:b/>
        </w:rPr>
        <w:t xml:space="preserve">Eligible MAs will be able to access UDGs and CSGs on the basis of their compliance with Minimum Conditions (MCs) and the extent to which they meet Performance Measures (urban performance benchmarks). </w:t>
      </w:r>
      <w:r w:rsidRPr="009268A2">
        <w:t>MC compliance and performance on the part of eligible MAs will be assessed on an annual basis, through annual performance assessments, which will be undertaken by independent verification agencies (IVAs) (consultancy firms), procured and supervised by MLGRD</w:t>
      </w:r>
      <w:r w:rsidRPr="00AA7E1F">
        <w:rPr>
          <w:vertAlign w:val="superscript"/>
        </w:rPr>
        <w:footnoteReference w:id="8"/>
      </w:r>
      <w:r w:rsidRPr="009268A2">
        <w:t>.</w:t>
      </w:r>
    </w:p>
    <w:p w14:paraId="2C7E4EC8" w14:textId="77777777" w:rsidR="004A2883" w:rsidRPr="009268A2" w:rsidRDefault="004A2883" w:rsidP="004A2883">
      <w:pPr>
        <w:spacing w:after="0" w:line="240" w:lineRule="auto"/>
        <w:rPr>
          <w:rFonts w:ascii="Times New Roman" w:hAnsi="Times New Roman" w:cs="Times New Roman"/>
        </w:rPr>
      </w:pPr>
    </w:p>
    <w:p w14:paraId="04A12367" w14:textId="77777777" w:rsidR="004A2883" w:rsidRPr="009268A2" w:rsidRDefault="004A2883" w:rsidP="00CB2188">
      <w:pPr>
        <w:pStyle w:val="Header"/>
        <w:tabs>
          <w:tab w:val="clear" w:pos="4680"/>
          <w:tab w:val="clear" w:pos="9360"/>
        </w:tabs>
      </w:pPr>
      <w:r w:rsidRPr="009268A2">
        <w:rPr>
          <w:b/>
        </w:rPr>
        <w:t>Subject to compliance with Minimum Conditions (MCs), each eligible MA will have access to an annual CSG, set at a flat rate of US$50,000 per MA and made available for three years</w:t>
      </w:r>
      <w:r w:rsidRPr="009268A2">
        <w:t>. In total, then, each eligible MA would be able to benefit from a total of US$150,000 in the form of CSGs. In order to qualify for their CSGs, eligible MAs will need to comply with the MCs indicated in the table below. Compliance with these MCs will signal that the MA in question intends to engage actively in the development of its urban areas, has drawn up an action plan for this purpose, and has demonstrated progress in implementing its action plan.</w:t>
      </w:r>
    </w:p>
    <w:p w14:paraId="34D7EA9B" w14:textId="77777777" w:rsidR="004A2883" w:rsidRPr="00617B3C" w:rsidRDefault="004A2883" w:rsidP="004A2883">
      <w:pPr>
        <w:pStyle w:val="Header"/>
        <w:tabs>
          <w:tab w:val="clear" w:pos="4680"/>
          <w:tab w:val="clear" w:pos="9360"/>
        </w:tabs>
      </w:pPr>
    </w:p>
    <w:p w14:paraId="5A4FFB06" w14:textId="77777777" w:rsidR="004A2883" w:rsidRPr="00C01613" w:rsidRDefault="004A2883" w:rsidP="004A2883">
      <w:pPr>
        <w:contextualSpacing/>
        <w:rPr>
          <w:rFonts w:ascii="Times New Roman" w:eastAsia="Times New Roman" w:hAnsi="Times New Roman" w:cs="Times New Roman"/>
          <w:b/>
          <w:sz w:val="24"/>
          <w:szCs w:val="24"/>
        </w:rPr>
      </w:pPr>
      <w:r w:rsidRPr="00C01613">
        <w:rPr>
          <w:rFonts w:ascii="Times New Roman" w:eastAsia="Times New Roman" w:hAnsi="Times New Roman" w:cs="Times New Roman"/>
          <w:b/>
          <w:sz w:val="24"/>
          <w:szCs w:val="24"/>
        </w:rPr>
        <w:t xml:space="preserve">Table </w:t>
      </w:r>
      <w:r>
        <w:rPr>
          <w:rFonts w:ascii="Times New Roman" w:eastAsia="Times New Roman" w:hAnsi="Times New Roman" w:cs="Times New Roman"/>
          <w:b/>
          <w:sz w:val="24"/>
          <w:szCs w:val="24"/>
        </w:rPr>
        <w:t>1</w:t>
      </w:r>
      <w:r w:rsidRPr="00C0161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Pr="00C01613">
        <w:rPr>
          <w:rFonts w:ascii="Times New Roman" w:eastAsia="Times New Roman" w:hAnsi="Times New Roman" w:cs="Times New Roman"/>
          <w:b/>
          <w:sz w:val="24"/>
          <w:szCs w:val="24"/>
        </w:rPr>
        <w:t>CSGs – Minimum Conditions</w:t>
      </w:r>
    </w:p>
    <w:p w14:paraId="495DF04B" w14:textId="77777777" w:rsidR="004A2883" w:rsidRPr="00617B3C" w:rsidRDefault="004A2883" w:rsidP="004A2883">
      <w:pPr>
        <w:contextualSpacing/>
        <w:jc w:val="both"/>
        <w:rPr>
          <w:rFonts w:ascii="Times New Roman" w:eastAsia="Times New Roman" w:hAnsi="Times New Roman" w:cs="Times New Roman"/>
          <w:sz w:val="24"/>
          <w:szCs w:val="24"/>
        </w:rPr>
      </w:pPr>
    </w:p>
    <w:tbl>
      <w:tblPr>
        <w:tblStyle w:val="TableGrid2"/>
        <w:tblW w:w="0" w:type="auto"/>
        <w:tblLook w:val="04A0" w:firstRow="1" w:lastRow="0" w:firstColumn="1" w:lastColumn="0" w:noHBand="0" w:noVBand="1"/>
      </w:tblPr>
      <w:tblGrid>
        <w:gridCol w:w="4747"/>
        <w:gridCol w:w="4747"/>
      </w:tblGrid>
      <w:tr w:rsidR="004A2883" w:rsidRPr="00617B3C" w14:paraId="1CEF2226" w14:textId="77777777" w:rsidTr="004A2883">
        <w:trPr>
          <w:trHeight w:val="397"/>
        </w:trPr>
        <w:tc>
          <w:tcPr>
            <w:tcW w:w="4788" w:type="dxa"/>
            <w:shd w:val="clear" w:color="auto" w:fill="538135" w:themeFill="accent6" w:themeFillShade="BF"/>
            <w:vAlign w:val="center"/>
          </w:tcPr>
          <w:p w14:paraId="33D8424A" w14:textId="77777777" w:rsidR="004A2883" w:rsidRPr="00617B3C" w:rsidRDefault="004A2883" w:rsidP="004A2883">
            <w:pPr>
              <w:contextualSpacing/>
              <w:jc w:val="center"/>
              <w:rPr>
                <w:rFonts w:ascii="Times New Roman" w:eastAsia="Times New Roman" w:hAnsi="Times New Roman" w:cs="Times New Roman"/>
                <w:b/>
              </w:rPr>
            </w:pPr>
            <w:r w:rsidRPr="00617B3C">
              <w:rPr>
                <w:rFonts w:ascii="Times New Roman" w:eastAsia="Times New Roman" w:hAnsi="Times New Roman" w:cs="Times New Roman"/>
                <w:b/>
              </w:rPr>
              <w:t>Minimum Condition</w:t>
            </w:r>
          </w:p>
        </w:tc>
        <w:tc>
          <w:tcPr>
            <w:tcW w:w="4788" w:type="dxa"/>
            <w:shd w:val="clear" w:color="auto" w:fill="538135" w:themeFill="accent6" w:themeFillShade="BF"/>
            <w:vAlign w:val="center"/>
          </w:tcPr>
          <w:p w14:paraId="0A73F0F2" w14:textId="77777777" w:rsidR="004A2883" w:rsidRPr="00617B3C" w:rsidRDefault="004A2883" w:rsidP="004A2883">
            <w:pPr>
              <w:contextualSpacing/>
              <w:jc w:val="center"/>
              <w:rPr>
                <w:rFonts w:ascii="Times New Roman" w:eastAsia="Times New Roman" w:hAnsi="Times New Roman" w:cs="Times New Roman"/>
                <w:b/>
              </w:rPr>
            </w:pPr>
            <w:r w:rsidRPr="00617B3C">
              <w:rPr>
                <w:rFonts w:ascii="Times New Roman" w:eastAsia="Times New Roman" w:hAnsi="Times New Roman" w:cs="Times New Roman"/>
                <w:b/>
              </w:rPr>
              <w:t>Indicator</w:t>
            </w:r>
          </w:p>
        </w:tc>
      </w:tr>
      <w:tr w:rsidR="004A2883" w:rsidRPr="00617B3C" w14:paraId="26F1CF83" w14:textId="77777777" w:rsidTr="004A2883">
        <w:tc>
          <w:tcPr>
            <w:tcW w:w="4788" w:type="dxa"/>
          </w:tcPr>
          <w:p w14:paraId="1CFDC20E" w14:textId="77777777" w:rsidR="004A2883" w:rsidRPr="00617B3C" w:rsidRDefault="004A2883" w:rsidP="004A2883">
            <w:pPr>
              <w:contextualSpacing/>
              <w:rPr>
                <w:rFonts w:ascii="Times New Roman" w:eastAsia="Times New Roman" w:hAnsi="Times New Roman" w:cs="Times New Roman"/>
                <w:b/>
              </w:rPr>
            </w:pPr>
            <w:r w:rsidRPr="00617B3C">
              <w:rPr>
                <w:rFonts w:ascii="Times New Roman" w:eastAsia="Times New Roman" w:hAnsi="Times New Roman" w:cs="Times New Roman"/>
                <w:b/>
              </w:rPr>
              <w:t>CSG MC1:</w:t>
            </w:r>
          </w:p>
          <w:p w14:paraId="4E0A5A0B" w14:textId="77777777" w:rsidR="004A2883" w:rsidRPr="00617B3C" w:rsidRDefault="004A2883" w:rsidP="004A2883">
            <w:pPr>
              <w:contextualSpacing/>
              <w:rPr>
                <w:rFonts w:ascii="Times New Roman" w:eastAsia="Times New Roman" w:hAnsi="Times New Roman" w:cs="Times New Roman"/>
              </w:rPr>
            </w:pPr>
            <w:r w:rsidRPr="00617B3C">
              <w:rPr>
                <w:rFonts w:ascii="Times New Roman" w:eastAsia="Times New Roman" w:hAnsi="Times New Roman" w:cs="Times New Roman"/>
              </w:rPr>
              <w:t>MA has drawn up (and reviewed implementation of) an Urban Development Action Plan (UDAP)</w:t>
            </w:r>
          </w:p>
        </w:tc>
        <w:tc>
          <w:tcPr>
            <w:tcW w:w="4788" w:type="dxa"/>
          </w:tcPr>
          <w:p w14:paraId="7E2D325B" w14:textId="77777777" w:rsidR="004A2883" w:rsidRPr="00617B3C" w:rsidRDefault="004A2883" w:rsidP="004A2883">
            <w:pPr>
              <w:contextualSpacing/>
              <w:rPr>
                <w:rFonts w:ascii="Times New Roman" w:eastAsia="Times New Roman" w:hAnsi="Times New Roman" w:cs="Times New Roman"/>
              </w:rPr>
            </w:pPr>
            <w:r w:rsidRPr="00617B3C">
              <w:rPr>
                <w:rFonts w:ascii="Times New Roman" w:eastAsia="Times New Roman" w:hAnsi="Times New Roman" w:cs="Times New Roman"/>
              </w:rPr>
              <w:t>UDAP is drafted by MA on basis of SCSP template and reviewed UDAP implementation on an annual basis</w:t>
            </w:r>
          </w:p>
        </w:tc>
      </w:tr>
      <w:tr w:rsidR="004A2883" w:rsidRPr="00617B3C" w14:paraId="071ADE99" w14:textId="77777777" w:rsidTr="004A2883">
        <w:tc>
          <w:tcPr>
            <w:tcW w:w="4788" w:type="dxa"/>
          </w:tcPr>
          <w:p w14:paraId="25B29135" w14:textId="77777777" w:rsidR="004A2883" w:rsidRPr="00617B3C" w:rsidRDefault="004A2883" w:rsidP="004A2883">
            <w:pPr>
              <w:contextualSpacing/>
              <w:rPr>
                <w:rFonts w:ascii="Times New Roman" w:eastAsia="Times New Roman" w:hAnsi="Times New Roman" w:cs="Times New Roman"/>
                <w:b/>
              </w:rPr>
            </w:pPr>
            <w:r w:rsidRPr="00617B3C">
              <w:rPr>
                <w:rFonts w:ascii="Times New Roman" w:eastAsia="Times New Roman" w:hAnsi="Times New Roman" w:cs="Times New Roman"/>
                <w:b/>
              </w:rPr>
              <w:t>CSG MC2:</w:t>
            </w:r>
          </w:p>
          <w:p w14:paraId="4E797612" w14:textId="77777777" w:rsidR="004A2883" w:rsidRPr="00617B3C" w:rsidRDefault="004A2883" w:rsidP="004A2883">
            <w:pPr>
              <w:contextualSpacing/>
              <w:rPr>
                <w:rFonts w:ascii="Times New Roman" w:eastAsia="Times New Roman" w:hAnsi="Times New Roman" w:cs="Times New Roman"/>
              </w:rPr>
            </w:pPr>
            <w:r w:rsidRPr="00617B3C">
              <w:rPr>
                <w:rFonts w:ascii="Times New Roman" w:eastAsia="Times New Roman" w:hAnsi="Times New Roman" w:cs="Times New Roman"/>
                <w:u w:val="single"/>
              </w:rPr>
              <w:t>From Year 2 onwards</w:t>
            </w:r>
            <w:r w:rsidRPr="00617B3C">
              <w:rPr>
                <w:rFonts w:ascii="Times New Roman" w:eastAsia="Times New Roman" w:hAnsi="Times New Roman" w:cs="Times New Roman"/>
              </w:rPr>
              <w:t>:</w:t>
            </w:r>
          </w:p>
          <w:p w14:paraId="24B365E2" w14:textId="77777777" w:rsidR="004A2883" w:rsidRPr="00617B3C" w:rsidRDefault="004A2883" w:rsidP="004A2883">
            <w:pPr>
              <w:contextualSpacing/>
              <w:rPr>
                <w:rFonts w:ascii="Times New Roman" w:eastAsia="Times New Roman" w:hAnsi="Times New Roman" w:cs="Times New Roman"/>
              </w:rPr>
            </w:pPr>
            <w:r w:rsidRPr="00617B3C">
              <w:rPr>
                <w:rFonts w:ascii="Times New Roman" w:eastAsia="Times New Roman" w:hAnsi="Times New Roman" w:cs="Times New Roman"/>
              </w:rPr>
              <w:t xml:space="preserve">MA use of previous year’s CSG has been </w:t>
            </w:r>
            <w:r>
              <w:rPr>
                <w:rFonts w:ascii="Times New Roman" w:eastAsia="Times New Roman" w:hAnsi="Times New Roman" w:cs="Times New Roman"/>
              </w:rPr>
              <w:t xml:space="preserve">as per approved UDAP and </w:t>
            </w:r>
            <w:r w:rsidRPr="00617B3C">
              <w:rPr>
                <w:rFonts w:ascii="Times New Roman" w:eastAsia="Times New Roman" w:hAnsi="Times New Roman" w:cs="Times New Roman"/>
              </w:rPr>
              <w:t>consistent with guidelines in SCSP Operations Manual</w:t>
            </w:r>
          </w:p>
        </w:tc>
        <w:tc>
          <w:tcPr>
            <w:tcW w:w="4788" w:type="dxa"/>
          </w:tcPr>
          <w:p w14:paraId="115864AC" w14:textId="77777777" w:rsidR="004A2883" w:rsidRPr="00617B3C" w:rsidRDefault="004A2883" w:rsidP="004A2883">
            <w:pPr>
              <w:contextualSpacing/>
              <w:rPr>
                <w:rFonts w:ascii="Times New Roman" w:eastAsia="Times New Roman" w:hAnsi="Times New Roman" w:cs="Times New Roman"/>
              </w:rPr>
            </w:pPr>
            <w:r w:rsidRPr="00617B3C">
              <w:rPr>
                <w:rFonts w:ascii="Times New Roman" w:eastAsia="Times New Roman" w:hAnsi="Times New Roman" w:cs="Times New Roman"/>
              </w:rPr>
              <w:t xml:space="preserve">Annual MA expenditure statement shows that MA has followed </w:t>
            </w:r>
            <w:r>
              <w:rPr>
                <w:rFonts w:ascii="Times New Roman" w:eastAsia="Times New Roman" w:hAnsi="Times New Roman" w:cs="Times New Roman"/>
              </w:rPr>
              <w:t xml:space="preserve">approved annual UDAP work plan and </w:t>
            </w:r>
            <w:r w:rsidRPr="00617B3C">
              <w:rPr>
                <w:rFonts w:ascii="Times New Roman" w:eastAsia="Times New Roman" w:hAnsi="Times New Roman" w:cs="Times New Roman"/>
              </w:rPr>
              <w:t>CSG expenditure guidelines</w:t>
            </w:r>
          </w:p>
        </w:tc>
      </w:tr>
    </w:tbl>
    <w:p w14:paraId="2CDA4B55" w14:textId="77777777" w:rsidR="004A2883" w:rsidRPr="00617B3C" w:rsidRDefault="004A2883" w:rsidP="004A2883">
      <w:pPr>
        <w:spacing w:after="0"/>
        <w:contextualSpacing/>
        <w:jc w:val="both"/>
        <w:rPr>
          <w:rFonts w:ascii="Times New Roman" w:eastAsia="Times New Roman" w:hAnsi="Times New Roman" w:cs="Times New Roman"/>
          <w:sz w:val="24"/>
          <w:szCs w:val="24"/>
        </w:rPr>
      </w:pPr>
    </w:p>
    <w:p w14:paraId="4D88B4C0" w14:textId="77777777" w:rsidR="004A2883" w:rsidRPr="009268A2" w:rsidRDefault="004A2883" w:rsidP="00CB2188">
      <w:pPr>
        <w:pStyle w:val="ListParagraph"/>
        <w:spacing w:after="0" w:line="240" w:lineRule="auto"/>
        <w:ind w:left="0"/>
        <w:jc w:val="both"/>
        <w:rPr>
          <w:rFonts w:ascii="Times New Roman" w:hAnsi="Times New Roman" w:cs="Times New Roman"/>
        </w:rPr>
      </w:pPr>
      <w:r w:rsidRPr="009268A2">
        <w:rPr>
          <w:rFonts w:ascii="Times New Roman" w:hAnsi="Times New Roman" w:cs="Times New Roman"/>
          <w:b/>
        </w:rPr>
        <w:t>Urban development action plans - In order to access their CSGs, eligible MAs will need to draw up an Urban Development Action Plan (UDAP).</w:t>
      </w:r>
      <w:r w:rsidRPr="009268A2">
        <w:rPr>
          <w:rFonts w:ascii="Times New Roman" w:hAnsi="Times New Roman" w:cs="Times New Roman"/>
        </w:rPr>
        <w:t xml:space="preserve"> The text box below provides a brief outline of the UDAP framework. The </w:t>
      </w:r>
      <w:r w:rsidRPr="009268A2">
        <w:rPr>
          <w:rFonts w:ascii="Times New Roman" w:hAnsi="Times New Roman" w:cs="Times New Roman"/>
          <w:sz w:val="20"/>
          <w:szCs w:val="20"/>
        </w:rPr>
        <w:t>Program Operations Manual will provide MAs with a comprehensive UDAP explanatory note and simple template</w:t>
      </w:r>
    </w:p>
    <w:p w14:paraId="108AFE6C" w14:textId="77777777" w:rsidR="004A2883" w:rsidRDefault="004A2883" w:rsidP="004A2883">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4A2883" w14:paraId="5C4F4EFA" w14:textId="77777777" w:rsidTr="004A2883">
        <w:tc>
          <w:tcPr>
            <w:tcW w:w="9350" w:type="dxa"/>
            <w:shd w:val="clear" w:color="auto" w:fill="C5E0B3" w:themeFill="accent6" w:themeFillTint="66"/>
          </w:tcPr>
          <w:p w14:paraId="3F4F3273" w14:textId="77777777" w:rsidR="004A2883" w:rsidRDefault="004A2883" w:rsidP="004A2883">
            <w:pPr>
              <w:jc w:val="center"/>
              <w:rPr>
                <w:rFonts w:ascii="Times New Roman" w:hAnsi="Times New Roman"/>
              </w:rPr>
            </w:pPr>
            <w:r w:rsidRPr="00617B3C">
              <w:rPr>
                <w:rFonts w:ascii="Times New Roman" w:hAnsi="Times New Roman"/>
                <w:b/>
                <w:sz w:val="20"/>
                <w:szCs w:val="20"/>
              </w:rPr>
              <w:t>UDAP outline</w:t>
            </w:r>
          </w:p>
        </w:tc>
      </w:tr>
      <w:tr w:rsidR="004A2883" w14:paraId="14F4B496" w14:textId="77777777" w:rsidTr="004A2883">
        <w:tc>
          <w:tcPr>
            <w:tcW w:w="9350" w:type="dxa"/>
          </w:tcPr>
          <w:p w14:paraId="6995A78E" w14:textId="77777777" w:rsidR="004A2883" w:rsidRDefault="004A2883" w:rsidP="004A2883">
            <w:pPr>
              <w:rPr>
                <w:rFonts w:ascii="Times New Roman" w:hAnsi="Times New Roman"/>
                <w:sz w:val="20"/>
                <w:szCs w:val="20"/>
              </w:rPr>
            </w:pPr>
            <w:r w:rsidRPr="00617B3C">
              <w:rPr>
                <w:rFonts w:ascii="Times New Roman" w:hAnsi="Times New Roman"/>
                <w:sz w:val="20"/>
                <w:szCs w:val="20"/>
              </w:rPr>
              <w:t>Municipal Assemblies will be expected to draft a short UDAP, which will include the following elements</w:t>
            </w:r>
            <w:r>
              <w:rPr>
                <w:rFonts w:ascii="Times New Roman" w:hAnsi="Times New Roman"/>
                <w:sz w:val="20"/>
                <w:szCs w:val="20"/>
              </w:rPr>
              <w:t>:</w:t>
            </w:r>
          </w:p>
          <w:p w14:paraId="2D49F184" w14:textId="77777777" w:rsidR="004A2883" w:rsidRDefault="004A2883" w:rsidP="004A2883">
            <w:pPr>
              <w:rPr>
                <w:rFonts w:ascii="Times New Roman" w:hAnsi="Times New Roman"/>
                <w:sz w:val="20"/>
                <w:szCs w:val="20"/>
              </w:rPr>
            </w:pPr>
          </w:p>
          <w:p w14:paraId="08C32342" w14:textId="77777777" w:rsidR="004A2883" w:rsidRDefault="004A2883" w:rsidP="00F273E1">
            <w:pPr>
              <w:pStyle w:val="ListParagraph"/>
              <w:numPr>
                <w:ilvl w:val="0"/>
                <w:numId w:val="47"/>
              </w:numPr>
              <w:rPr>
                <w:rFonts w:ascii="Times New Roman" w:hAnsi="Times New Roman"/>
              </w:rPr>
            </w:pPr>
            <w:r>
              <w:rPr>
                <w:rFonts w:ascii="Times New Roman" w:hAnsi="Times New Roman"/>
              </w:rPr>
              <w:t>Diagnostic</w:t>
            </w:r>
          </w:p>
          <w:p w14:paraId="412C4756" w14:textId="77777777" w:rsidR="004A2883" w:rsidRPr="009D775E" w:rsidRDefault="004A2883" w:rsidP="00F273E1">
            <w:pPr>
              <w:pStyle w:val="ListParagraph"/>
              <w:numPr>
                <w:ilvl w:val="0"/>
                <w:numId w:val="44"/>
              </w:numPr>
              <w:rPr>
                <w:rFonts w:ascii="Times New Roman" w:hAnsi="Times New Roman"/>
              </w:rPr>
            </w:pPr>
            <w:r w:rsidRPr="00617B3C">
              <w:rPr>
                <w:rFonts w:ascii="Times New Roman" w:hAnsi="Times New Roman"/>
                <w:sz w:val="20"/>
                <w:szCs w:val="20"/>
              </w:rPr>
              <w:t>Description of the urban area(s) in the MA’s jurisdiction, providing basic information on population, urban morphology, and socio-economic characteristics</w:t>
            </w:r>
          </w:p>
          <w:p w14:paraId="5AB97619" w14:textId="77777777" w:rsidR="004A2883" w:rsidRPr="009D775E" w:rsidRDefault="004A2883" w:rsidP="00F273E1">
            <w:pPr>
              <w:pStyle w:val="ListParagraph"/>
              <w:numPr>
                <w:ilvl w:val="0"/>
                <w:numId w:val="44"/>
              </w:numPr>
              <w:rPr>
                <w:rFonts w:ascii="Times New Roman" w:hAnsi="Times New Roman"/>
              </w:rPr>
            </w:pPr>
            <w:r w:rsidRPr="00617B3C">
              <w:rPr>
                <w:rFonts w:ascii="Times New Roman" w:hAnsi="Times New Roman"/>
                <w:sz w:val="20"/>
                <w:szCs w:val="20"/>
              </w:rPr>
              <w:t>Adaptation of the National Urban Policy Framework (NUPF) to MA specificities</w:t>
            </w:r>
          </w:p>
          <w:p w14:paraId="17F47E57" w14:textId="77777777" w:rsidR="004A2883" w:rsidRPr="009D775E" w:rsidRDefault="004A2883" w:rsidP="00F273E1">
            <w:pPr>
              <w:pStyle w:val="ListParagraph"/>
              <w:numPr>
                <w:ilvl w:val="0"/>
                <w:numId w:val="44"/>
              </w:numPr>
              <w:rPr>
                <w:rFonts w:ascii="Times New Roman" w:hAnsi="Times New Roman"/>
              </w:rPr>
            </w:pPr>
            <w:r w:rsidRPr="00617B3C">
              <w:rPr>
                <w:rFonts w:ascii="Times New Roman" w:hAnsi="Times New Roman"/>
                <w:sz w:val="20"/>
                <w:szCs w:val="20"/>
              </w:rPr>
              <w:t>Analysis of the urban development challenges in the urban area(s</w:t>
            </w:r>
            <w:r>
              <w:rPr>
                <w:rFonts w:ascii="Times New Roman" w:hAnsi="Times New Roman"/>
                <w:sz w:val="20"/>
                <w:szCs w:val="20"/>
              </w:rPr>
              <w:t>)</w:t>
            </w:r>
          </w:p>
          <w:p w14:paraId="199FA09B" w14:textId="77777777" w:rsidR="004A2883" w:rsidRPr="009D775E" w:rsidRDefault="004A2883" w:rsidP="00F273E1">
            <w:pPr>
              <w:pStyle w:val="ListParagraph"/>
              <w:numPr>
                <w:ilvl w:val="0"/>
                <w:numId w:val="44"/>
              </w:numPr>
              <w:rPr>
                <w:rFonts w:ascii="Times New Roman" w:hAnsi="Times New Roman"/>
              </w:rPr>
            </w:pPr>
            <w:r w:rsidRPr="00617B3C">
              <w:rPr>
                <w:rFonts w:ascii="Times New Roman" w:hAnsi="Times New Roman"/>
                <w:sz w:val="20"/>
                <w:szCs w:val="20"/>
              </w:rPr>
              <w:t>Inventory of existing urban management instruments (spatial plans, development control mechanisms, municipal service delivery, etc.)</w:t>
            </w:r>
          </w:p>
          <w:p w14:paraId="1BE11B59" w14:textId="77777777" w:rsidR="004A2883" w:rsidRDefault="004A2883" w:rsidP="004A2883">
            <w:pPr>
              <w:ind w:left="360"/>
              <w:rPr>
                <w:rFonts w:ascii="Times New Roman" w:hAnsi="Times New Roman"/>
              </w:rPr>
            </w:pPr>
          </w:p>
          <w:p w14:paraId="25E2F249" w14:textId="77777777" w:rsidR="004A2883" w:rsidRDefault="004A2883" w:rsidP="00F273E1">
            <w:pPr>
              <w:pStyle w:val="ListParagraph"/>
              <w:numPr>
                <w:ilvl w:val="0"/>
                <w:numId w:val="47"/>
              </w:numPr>
              <w:rPr>
                <w:rFonts w:ascii="Times New Roman" w:hAnsi="Times New Roman"/>
              </w:rPr>
            </w:pPr>
            <w:r>
              <w:rPr>
                <w:rFonts w:ascii="Times New Roman" w:hAnsi="Times New Roman"/>
              </w:rPr>
              <w:t>Actions</w:t>
            </w:r>
          </w:p>
          <w:p w14:paraId="0E75A2E7" w14:textId="77777777" w:rsidR="004A2883" w:rsidRPr="00B058C0" w:rsidRDefault="004A2883" w:rsidP="00F273E1">
            <w:pPr>
              <w:pStyle w:val="ListParagraph"/>
              <w:numPr>
                <w:ilvl w:val="0"/>
                <w:numId w:val="44"/>
              </w:numPr>
              <w:rPr>
                <w:rFonts w:ascii="Times New Roman" w:hAnsi="Times New Roman"/>
              </w:rPr>
            </w:pPr>
            <w:r w:rsidRPr="00617B3C">
              <w:rPr>
                <w:rFonts w:ascii="Times New Roman" w:hAnsi="Times New Roman"/>
                <w:sz w:val="20"/>
                <w:szCs w:val="20"/>
              </w:rPr>
              <w:t>Three-year prioritized MA action plan aimed at addressing key urban development challenges</w:t>
            </w:r>
          </w:p>
          <w:p w14:paraId="51F73D3A" w14:textId="77777777" w:rsidR="004A2883" w:rsidRPr="00B058C0" w:rsidRDefault="004A2883" w:rsidP="00F273E1">
            <w:pPr>
              <w:pStyle w:val="ListParagraph"/>
              <w:numPr>
                <w:ilvl w:val="0"/>
                <w:numId w:val="44"/>
              </w:numPr>
              <w:rPr>
                <w:rFonts w:ascii="Times New Roman" w:hAnsi="Times New Roman"/>
              </w:rPr>
            </w:pPr>
            <w:r w:rsidRPr="00617B3C">
              <w:rPr>
                <w:rFonts w:ascii="Times New Roman" w:hAnsi="Times New Roman"/>
                <w:sz w:val="20"/>
                <w:szCs w:val="20"/>
              </w:rPr>
              <w:t>Annual work plan and budget</w:t>
            </w:r>
          </w:p>
        </w:tc>
      </w:tr>
    </w:tbl>
    <w:p w14:paraId="0AC0A228" w14:textId="77777777" w:rsidR="004A2883" w:rsidRDefault="004A2883" w:rsidP="004A2883">
      <w:pPr>
        <w:spacing w:after="0"/>
        <w:rPr>
          <w:rFonts w:ascii="Times New Roman" w:hAnsi="Times New Roman" w:cs="Times New Roman"/>
        </w:rPr>
      </w:pPr>
    </w:p>
    <w:p w14:paraId="1B198CD5" w14:textId="77777777" w:rsidR="004A2883" w:rsidRPr="009E133D" w:rsidRDefault="004A2883" w:rsidP="00CB2188">
      <w:pPr>
        <w:pStyle w:val="Header"/>
        <w:tabs>
          <w:tab w:val="clear" w:pos="4680"/>
          <w:tab w:val="clear" w:pos="9360"/>
        </w:tabs>
      </w:pPr>
      <w:r w:rsidRPr="00B058C0">
        <w:rPr>
          <w:b/>
        </w:rPr>
        <w:t xml:space="preserve">Program </w:t>
      </w:r>
      <w:r>
        <w:rPr>
          <w:b/>
        </w:rPr>
        <w:t xml:space="preserve">CSG </w:t>
      </w:r>
      <w:r w:rsidRPr="00B058C0">
        <w:rPr>
          <w:b/>
        </w:rPr>
        <w:t>expenditure menu - MAs that qualify for CSGs will use their grants to finance a wide range of capacity development initiatives related to urban management</w:t>
      </w:r>
      <w:r w:rsidRPr="00B058C0">
        <w:t>. In particular, CSGs will be used by M</w:t>
      </w:r>
      <w:r>
        <w:t>As</w:t>
      </w:r>
      <w:r w:rsidRPr="00B058C0">
        <w:t xml:space="preserve"> to finance activities that enable them to meet the Program’s </w:t>
      </w:r>
      <w:r>
        <w:t xml:space="preserve">urban </w:t>
      </w:r>
      <w:r w:rsidRPr="00B058C0">
        <w:t>Performance Benchmarks – and thus qualify for larger UDGs. However, certain categories of expenditure will not be permitted</w:t>
      </w:r>
      <w:r>
        <w:t xml:space="preserve"> under the CSG</w:t>
      </w:r>
      <w:r w:rsidRPr="00B058C0">
        <w:t xml:space="preserve">. </w:t>
      </w:r>
      <w:r>
        <w:t xml:space="preserve">The CSG will be released at one tranche to qualifying MAs at the beginning of the financial year. </w:t>
      </w:r>
      <w:r w:rsidRPr="00617B3C">
        <w:rPr>
          <w:rFonts w:eastAsia="Times New Roman"/>
          <w:sz w:val="20"/>
          <w:szCs w:val="20"/>
        </w:rPr>
        <w:t>A maximum of 20% of CSG annual allocations can be used to finance the purchase of IT equipment</w:t>
      </w:r>
      <w:r>
        <w:rPr>
          <w:rFonts w:eastAsia="Times New Roman"/>
          <w:sz w:val="20"/>
          <w:szCs w:val="20"/>
        </w:rPr>
        <w:t xml:space="preserve"> by MAs. The t</w:t>
      </w:r>
      <w:r w:rsidRPr="00B058C0">
        <w:t>able below provides an indicative listing of positive and negative expenditures for CSGs.</w:t>
      </w:r>
      <w:r>
        <w:t xml:space="preserve"> </w:t>
      </w:r>
      <w:r w:rsidRPr="009E133D">
        <w:t>A full and exhaustive CSG expenditure menu will be included in the Program Operations Manual.</w:t>
      </w:r>
    </w:p>
    <w:p w14:paraId="3E3C98FA" w14:textId="77777777" w:rsidR="004A2883" w:rsidRPr="00B058C0" w:rsidRDefault="004A2883" w:rsidP="004A2883">
      <w:pPr>
        <w:spacing w:after="0" w:line="240" w:lineRule="auto"/>
        <w:jc w:val="both"/>
        <w:rPr>
          <w:rFonts w:ascii="Times New Roman" w:hAnsi="Times New Roman" w:cs="Times New Roman"/>
        </w:rPr>
      </w:pPr>
    </w:p>
    <w:p w14:paraId="35C5813E" w14:textId="77777777" w:rsidR="004A2883" w:rsidRPr="00C01613" w:rsidRDefault="004A2883" w:rsidP="004A2883">
      <w:pPr>
        <w:spacing w:after="0" w:line="240" w:lineRule="auto"/>
        <w:contextualSpacing/>
        <w:rPr>
          <w:rFonts w:ascii="Times New Roman" w:eastAsia="Times New Roman" w:hAnsi="Times New Roman" w:cs="Times New Roman"/>
          <w:b/>
          <w:sz w:val="24"/>
          <w:szCs w:val="24"/>
        </w:rPr>
      </w:pPr>
      <w:r w:rsidRPr="00C01613">
        <w:rPr>
          <w:rFonts w:ascii="Times New Roman" w:eastAsia="Times New Roman" w:hAnsi="Times New Roman" w:cs="Times New Roman"/>
          <w:b/>
          <w:sz w:val="24"/>
          <w:szCs w:val="24"/>
        </w:rPr>
        <w:t xml:space="preserve">Table </w:t>
      </w: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r>
      <w:r w:rsidRPr="00C01613">
        <w:rPr>
          <w:rFonts w:ascii="Times New Roman" w:eastAsia="Times New Roman" w:hAnsi="Times New Roman" w:cs="Times New Roman"/>
          <w:b/>
          <w:sz w:val="24"/>
          <w:szCs w:val="24"/>
        </w:rPr>
        <w:t>CSG eligible and non-eligible expenditure menu</w:t>
      </w:r>
    </w:p>
    <w:p w14:paraId="74FBF9DE" w14:textId="77777777" w:rsidR="004A2883" w:rsidRDefault="004A2883" w:rsidP="004A2883">
      <w:pPr>
        <w:spacing w:after="0" w:line="240" w:lineRule="auto"/>
        <w:contextualSpacing/>
        <w:rPr>
          <w:rFonts w:ascii="Times New Roman" w:eastAsia="Times New Roman" w:hAnsi="Times New Roman" w:cs="Times New Roman"/>
          <w:sz w:val="24"/>
          <w:szCs w:val="24"/>
        </w:rPr>
      </w:pPr>
    </w:p>
    <w:tbl>
      <w:tblPr>
        <w:tblStyle w:val="TableGrid"/>
        <w:tblW w:w="9445" w:type="dxa"/>
        <w:tblLook w:val="04A0" w:firstRow="1" w:lastRow="0" w:firstColumn="1" w:lastColumn="0" w:noHBand="0" w:noVBand="1"/>
      </w:tblPr>
      <w:tblGrid>
        <w:gridCol w:w="535"/>
        <w:gridCol w:w="2970"/>
        <w:gridCol w:w="5940"/>
      </w:tblGrid>
      <w:tr w:rsidR="004A2883" w:rsidRPr="001C19FC" w14:paraId="7E94EAF9" w14:textId="77777777" w:rsidTr="004A2883">
        <w:tc>
          <w:tcPr>
            <w:tcW w:w="9445" w:type="dxa"/>
            <w:gridSpan w:val="3"/>
            <w:shd w:val="clear" w:color="auto" w:fill="C5E0B3" w:themeFill="accent6" w:themeFillTint="66"/>
          </w:tcPr>
          <w:p w14:paraId="01ADAB65" w14:textId="77777777" w:rsidR="004A2883" w:rsidRPr="001C19FC" w:rsidRDefault="004A2883" w:rsidP="00F273E1">
            <w:pPr>
              <w:pStyle w:val="ListParagraph"/>
              <w:numPr>
                <w:ilvl w:val="0"/>
                <w:numId w:val="49"/>
              </w:numPr>
              <w:jc w:val="center"/>
              <w:rPr>
                <w:rFonts w:ascii="Times New Roman" w:hAnsi="Times New Roman"/>
                <w:sz w:val="20"/>
                <w:szCs w:val="20"/>
              </w:rPr>
            </w:pPr>
            <w:r w:rsidRPr="001C19FC">
              <w:rPr>
                <w:rFonts w:ascii="Times New Roman" w:hAnsi="Times New Roman"/>
                <w:sz w:val="20"/>
                <w:szCs w:val="20"/>
              </w:rPr>
              <w:t>ELIGIBLE EXPENDITURES</w:t>
            </w:r>
          </w:p>
        </w:tc>
      </w:tr>
      <w:tr w:rsidR="004A2883" w:rsidRPr="001C19FC" w14:paraId="50B9BFF2" w14:textId="77777777" w:rsidTr="004A2883">
        <w:tc>
          <w:tcPr>
            <w:tcW w:w="535" w:type="dxa"/>
            <w:shd w:val="clear" w:color="auto" w:fill="C5E0B3" w:themeFill="accent6" w:themeFillTint="66"/>
          </w:tcPr>
          <w:p w14:paraId="320755E3"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No</w:t>
            </w:r>
          </w:p>
        </w:tc>
        <w:tc>
          <w:tcPr>
            <w:tcW w:w="2970" w:type="dxa"/>
            <w:shd w:val="clear" w:color="auto" w:fill="C5E0B3" w:themeFill="accent6" w:themeFillTint="66"/>
          </w:tcPr>
          <w:p w14:paraId="5E76A095"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Functional area</w:t>
            </w:r>
          </w:p>
        </w:tc>
        <w:tc>
          <w:tcPr>
            <w:tcW w:w="5940" w:type="dxa"/>
            <w:shd w:val="clear" w:color="auto" w:fill="C5E0B3" w:themeFill="accent6" w:themeFillTint="66"/>
          </w:tcPr>
          <w:p w14:paraId="07FB5A09"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Indicative expenditures</w:t>
            </w:r>
          </w:p>
        </w:tc>
      </w:tr>
      <w:tr w:rsidR="004A2883" w:rsidRPr="001C19FC" w14:paraId="6B2081DD" w14:textId="77777777" w:rsidTr="004A2883">
        <w:tc>
          <w:tcPr>
            <w:tcW w:w="535" w:type="dxa"/>
          </w:tcPr>
          <w:p w14:paraId="010574FE"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1</w:t>
            </w:r>
          </w:p>
        </w:tc>
        <w:tc>
          <w:tcPr>
            <w:tcW w:w="2970" w:type="dxa"/>
          </w:tcPr>
          <w:p w14:paraId="4965F217"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Urban planning &amp; services</w:t>
            </w:r>
          </w:p>
        </w:tc>
        <w:tc>
          <w:tcPr>
            <w:tcW w:w="5940" w:type="dxa"/>
          </w:tcPr>
          <w:p w14:paraId="67053093"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Spatial planning activities</w:t>
            </w:r>
          </w:p>
          <w:p w14:paraId="4D256300"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GIS mapping instruments</w:t>
            </w:r>
          </w:p>
          <w:p w14:paraId="2E53CA8C"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Service delivery monitoring</w:t>
            </w:r>
          </w:p>
          <w:p w14:paraId="5F8E24A4"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Investment planning improvements</w:t>
            </w:r>
          </w:p>
        </w:tc>
      </w:tr>
      <w:tr w:rsidR="004A2883" w:rsidRPr="001C19FC" w14:paraId="6E3A1C9E" w14:textId="77777777" w:rsidTr="004A2883">
        <w:tc>
          <w:tcPr>
            <w:tcW w:w="535" w:type="dxa"/>
          </w:tcPr>
          <w:p w14:paraId="5922F6C4"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2</w:t>
            </w:r>
          </w:p>
        </w:tc>
        <w:tc>
          <w:tcPr>
            <w:tcW w:w="2970" w:type="dxa"/>
          </w:tcPr>
          <w:p w14:paraId="2D61A43B"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Urban economic development and competitiveness</w:t>
            </w:r>
          </w:p>
        </w:tc>
        <w:tc>
          <w:tcPr>
            <w:tcW w:w="5940" w:type="dxa"/>
          </w:tcPr>
          <w:p w14:paraId="15E63BE9"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Workshops and consultative meetings between MA and private sector</w:t>
            </w:r>
          </w:p>
          <w:p w14:paraId="3C951045"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Mapping of economic activities and private sector actors</w:t>
            </w:r>
          </w:p>
          <w:p w14:paraId="3D9DEA81"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Surveys of local business environment</w:t>
            </w:r>
          </w:p>
        </w:tc>
      </w:tr>
      <w:tr w:rsidR="004A2883" w:rsidRPr="001C19FC" w14:paraId="0938341F" w14:textId="77777777" w:rsidTr="004A2883">
        <w:tc>
          <w:tcPr>
            <w:tcW w:w="535" w:type="dxa"/>
          </w:tcPr>
          <w:p w14:paraId="4668DDB9"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3</w:t>
            </w:r>
          </w:p>
        </w:tc>
        <w:tc>
          <w:tcPr>
            <w:tcW w:w="2970" w:type="dxa"/>
          </w:tcPr>
          <w:p w14:paraId="400ED3A8"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Sustainable urban systems – revenues</w:t>
            </w:r>
          </w:p>
        </w:tc>
        <w:tc>
          <w:tcPr>
            <w:tcW w:w="5940" w:type="dxa"/>
          </w:tcPr>
          <w:p w14:paraId="13DA9885"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Development of revenue databases</w:t>
            </w:r>
          </w:p>
          <w:p w14:paraId="4419DA8B"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Development of modernized billing systems</w:t>
            </w:r>
          </w:p>
          <w:p w14:paraId="2EE1D120"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Street and property addressing</w:t>
            </w:r>
          </w:p>
          <w:p w14:paraId="28208F2B"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Property valuation updates</w:t>
            </w:r>
          </w:p>
          <w:p w14:paraId="04213699"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User fee analyses</w:t>
            </w:r>
          </w:p>
        </w:tc>
      </w:tr>
      <w:tr w:rsidR="004A2883" w:rsidRPr="001C19FC" w14:paraId="159D318E" w14:textId="77777777" w:rsidTr="004A2883">
        <w:tc>
          <w:tcPr>
            <w:tcW w:w="535" w:type="dxa"/>
          </w:tcPr>
          <w:p w14:paraId="4C344701"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4</w:t>
            </w:r>
          </w:p>
        </w:tc>
        <w:tc>
          <w:tcPr>
            <w:tcW w:w="2970" w:type="dxa"/>
          </w:tcPr>
          <w:p w14:paraId="0C94BE9E"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Sustainable urban systems – maintenance</w:t>
            </w:r>
          </w:p>
        </w:tc>
        <w:tc>
          <w:tcPr>
            <w:tcW w:w="5940" w:type="dxa"/>
          </w:tcPr>
          <w:p w14:paraId="4161714A"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Asset mapping and inventories</w:t>
            </w:r>
          </w:p>
          <w:p w14:paraId="5243FF12"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Maintenance costing analyses</w:t>
            </w:r>
          </w:p>
        </w:tc>
      </w:tr>
      <w:tr w:rsidR="004A2883" w:rsidRPr="001C19FC" w14:paraId="78906996" w14:textId="77777777" w:rsidTr="004A2883">
        <w:tc>
          <w:tcPr>
            <w:tcW w:w="535" w:type="dxa"/>
          </w:tcPr>
          <w:p w14:paraId="4A82CA29"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5</w:t>
            </w:r>
          </w:p>
        </w:tc>
        <w:tc>
          <w:tcPr>
            <w:tcW w:w="2970" w:type="dxa"/>
          </w:tcPr>
          <w:p w14:paraId="16925BDE"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Other</w:t>
            </w:r>
          </w:p>
        </w:tc>
        <w:tc>
          <w:tcPr>
            <w:tcW w:w="5940" w:type="dxa"/>
          </w:tcPr>
          <w:p w14:paraId="07DB0661"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Training in the above areas</w:t>
            </w:r>
          </w:p>
        </w:tc>
      </w:tr>
      <w:tr w:rsidR="004A2883" w:rsidRPr="001C19FC" w14:paraId="596A3D45" w14:textId="77777777" w:rsidTr="004A2883">
        <w:tc>
          <w:tcPr>
            <w:tcW w:w="9445" w:type="dxa"/>
            <w:gridSpan w:val="3"/>
            <w:shd w:val="clear" w:color="auto" w:fill="C5E0B3" w:themeFill="accent6" w:themeFillTint="66"/>
          </w:tcPr>
          <w:p w14:paraId="572FA217" w14:textId="77777777" w:rsidR="004A2883" w:rsidRPr="001C19FC" w:rsidRDefault="004A2883" w:rsidP="00F273E1">
            <w:pPr>
              <w:pStyle w:val="ListParagraph"/>
              <w:numPr>
                <w:ilvl w:val="0"/>
                <w:numId w:val="48"/>
              </w:numPr>
              <w:jc w:val="center"/>
              <w:rPr>
                <w:rFonts w:ascii="Times New Roman" w:hAnsi="Times New Roman"/>
                <w:sz w:val="20"/>
                <w:szCs w:val="20"/>
              </w:rPr>
            </w:pPr>
            <w:r w:rsidRPr="001C19FC">
              <w:rPr>
                <w:rFonts w:ascii="Times New Roman" w:hAnsi="Times New Roman"/>
                <w:sz w:val="20"/>
                <w:szCs w:val="20"/>
              </w:rPr>
              <w:t>NON-ELIGIBLE EXPENDITURES</w:t>
            </w:r>
          </w:p>
        </w:tc>
      </w:tr>
      <w:tr w:rsidR="004A2883" w:rsidRPr="001C19FC" w14:paraId="4E1D8907" w14:textId="77777777" w:rsidTr="004A2883">
        <w:tc>
          <w:tcPr>
            <w:tcW w:w="535" w:type="dxa"/>
          </w:tcPr>
          <w:p w14:paraId="5BBD7601"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a</w:t>
            </w:r>
          </w:p>
        </w:tc>
        <w:tc>
          <w:tcPr>
            <w:tcW w:w="8910" w:type="dxa"/>
            <w:gridSpan w:val="2"/>
          </w:tcPr>
          <w:p w14:paraId="0E64DA76"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Means of transport (vehicles, motorcycles)</w:t>
            </w:r>
          </w:p>
        </w:tc>
      </w:tr>
      <w:tr w:rsidR="004A2883" w:rsidRPr="001C19FC" w14:paraId="6B2A92B3" w14:textId="77777777" w:rsidTr="004A2883">
        <w:tc>
          <w:tcPr>
            <w:tcW w:w="535" w:type="dxa"/>
          </w:tcPr>
          <w:p w14:paraId="5E1EB92B"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b</w:t>
            </w:r>
          </w:p>
        </w:tc>
        <w:tc>
          <w:tcPr>
            <w:tcW w:w="8910" w:type="dxa"/>
            <w:gridSpan w:val="2"/>
          </w:tcPr>
          <w:p w14:paraId="5BB2887A"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International travel and associated costs</w:t>
            </w:r>
          </w:p>
        </w:tc>
      </w:tr>
      <w:tr w:rsidR="004A2883" w:rsidRPr="001C19FC" w14:paraId="6DB8AD84" w14:textId="77777777" w:rsidTr="004A2883">
        <w:tc>
          <w:tcPr>
            <w:tcW w:w="535" w:type="dxa"/>
          </w:tcPr>
          <w:p w14:paraId="5B4AC9D2"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C</w:t>
            </w:r>
          </w:p>
        </w:tc>
        <w:tc>
          <w:tcPr>
            <w:tcW w:w="8910" w:type="dxa"/>
            <w:gridSpan w:val="2"/>
          </w:tcPr>
          <w:p w14:paraId="5F2D7399" w14:textId="77777777" w:rsidR="004A2883" w:rsidRPr="001C19FC" w:rsidRDefault="004A2883" w:rsidP="004A2883">
            <w:pPr>
              <w:contextualSpacing/>
              <w:rPr>
                <w:rFonts w:ascii="Times New Roman" w:hAnsi="Times New Roman"/>
                <w:sz w:val="20"/>
                <w:szCs w:val="20"/>
              </w:rPr>
            </w:pPr>
            <w:r w:rsidRPr="001C19FC">
              <w:rPr>
                <w:rFonts w:ascii="Times New Roman" w:hAnsi="Times New Roman"/>
                <w:sz w:val="20"/>
                <w:szCs w:val="20"/>
              </w:rPr>
              <w:t>Long term training costs (for example, university degree programs)</w:t>
            </w:r>
          </w:p>
        </w:tc>
      </w:tr>
      <w:tr w:rsidR="004A2883" w:rsidRPr="001C19FC" w14:paraId="75C947BA" w14:textId="77777777" w:rsidTr="004A2883">
        <w:tc>
          <w:tcPr>
            <w:tcW w:w="535" w:type="dxa"/>
          </w:tcPr>
          <w:p w14:paraId="60E5813C"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d</w:t>
            </w:r>
          </w:p>
        </w:tc>
        <w:tc>
          <w:tcPr>
            <w:tcW w:w="8910" w:type="dxa"/>
            <w:gridSpan w:val="2"/>
          </w:tcPr>
          <w:p w14:paraId="5F9BC45F" w14:textId="77777777" w:rsidR="004A2883" w:rsidRPr="001C19FC" w:rsidRDefault="004A2883" w:rsidP="004A2883">
            <w:pPr>
              <w:rPr>
                <w:rFonts w:ascii="Times New Roman" w:hAnsi="Times New Roman"/>
                <w:sz w:val="20"/>
                <w:szCs w:val="20"/>
              </w:rPr>
            </w:pPr>
            <w:r w:rsidRPr="001C19FC">
              <w:rPr>
                <w:rFonts w:ascii="Times New Roman" w:hAnsi="Times New Roman"/>
                <w:sz w:val="20"/>
                <w:szCs w:val="20"/>
              </w:rPr>
              <w:t>Recurrent costs (for example, salaries, utilities, and the like)</w:t>
            </w:r>
          </w:p>
        </w:tc>
      </w:tr>
    </w:tbl>
    <w:p w14:paraId="45D194E5" w14:textId="77777777" w:rsidR="004A2883" w:rsidRPr="007F56B2" w:rsidRDefault="004A2883" w:rsidP="004A2883">
      <w:pPr>
        <w:spacing w:after="0" w:line="240" w:lineRule="auto"/>
        <w:jc w:val="both"/>
        <w:rPr>
          <w:rFonts w:ascii="Times New Roman" w:eastAsia="Times New Roman" w:hAnsi="Times New Roman" w:cs="Times New Roman"/>
        </w:rPr>
      </w:pPr>
    </w:p>
    <w:p w14:paraId="1449E571" w14:textId="77777777" w:rsidR="004A2883" w:rsidRPr="007F56B2" w:rsidRDefault="004A2883" w:rsidP="004A2883">
      <w:pPr>
        <w:spacing w:line="240" w:lineRule="auto"/>
        <w:jc w:val="both"/>
        <w:rPr>
          <w:rFonts w:ascii="Times New Roman" w:hAnsi="Times New Roman" w:cs="Times New Roman"/>
          <w:b/>
          <w:color w:val="0070C0"/>
        </w:rPr>
      </w:pPr>
      <w:r w:rsidRPr="007F56B2">
        <w:rPr>
          <w:rFonts w:ascii="Times New Roman" w:hAnsi="Times New Roman" w:cs="Times New Roman"/>
          <w:b/>
          <w:color w:val="0070C0"/>
        </w:rPr>
        <w:t>Urban Development Grants (UDGs)</w:t>
      </w:r>
    </w:p>
    <w:p w14:paraId="71F3E821" w14:textId="77777777" w:rsidR="004A2883" w:rsidRDefault="004A2883" w:rsidP="00CB2188">
      <w:pPr>
        <w:pStyle w:val="ListParagraph"/>
        <w:spacing w:after="200" w:line="240" w:lineRule="auto"/>
        <w:ind w:left="0"/>
        <w:jc w:val="both"/>
        <w:rPr>
          <w:rFonts w:ascii="Times New Roman" w:hAnsi="Times New Roman" w:cs="Times New Roman"/>
        </w:rPr>
      </w:pPr>
      <w:r w:rsidRPr="009268A2">
        <w:rPr>
          <w:rFonts w:ascii="Times New Roman" w:hAnsi="Times New Roman" w:cs="Times New Roman"/>
          <w:b/>
        </w:rPr>
        <w:t xml:space="preserve">Allocations - The size of each MA’s UDG allocation will be set at a </w:t>
      </w:r>
      <w:r w:rsidRPr="009268A2">
        <w:rPr>
          <w:rFonts w:ascii="Times New Roman" w:hAnsi="Times New Roman" w:cs="Times New Roman"/>
          <w:b/>
          <w:u w:val="single"/>
        </w:rPr>
        <w:t>maximum</w:t>
      </w:r>
      <w:r w:rsidRPr="009268A2">
        <w:rPr>
          <w:rFonts w:ascii="Times New Roman" w:hAnsi="Times New Roman" w:cs="Times New Roman"/>
          <w:b/>
        </w:rPr>
        <w:t xml:space="preserve"> annual rate of US$15 per capita.</w:t>
      </w:r>
      <w:r w:rsidRPr="009268A2">
        <w:rPr>
          <w:rFonts w:ascii="Times New Roman" w:hAnsi="Times New Roman" w:cs="Times New Roman"/>
        </w:rPr>
        <w:t xml:space="preserve"> However, actual annual UDG disbursements to MAs will depend on the MA’s compliance with a number of Minimum Conditions (scoring up to the DPAT national average score) and will vary according to the MA’s annual urban benchmark performance score. Maximum annual UDG for MAs will be based on the urban population of each MA and allocated on the basis of US$15 per urban capita. The details of the annual UDG indicative planning figure (IPF) for each MA will be included in the Program Operations Manual.</w:t>
      </w:r>
    </w:p>
    <w:p w14:paraId="351D3027" w14:textId="77777777" w:rsidR="004A2883" w:rsidRDefault="004A2883" w:rsidP="004A2883">
      <w:pPr>
        <w:pStyle w:val="ListParagraph"/>
        <w:spacing w:line="240" w:lineRule="auto"/>
        <w:ind w:left="0"/>
        <w:jc w:val="both"/>
        <w:rPr>
          <w:rFonts w:ascii="Times New Roman" w:hAnsi="Times New Roman" w:cs="Times New Roman"/>
        </w:rPr>
      </w:pPr>
    </w:p>
    <w:p w14:paraId="3BCD0CE1" w14:textId="77777777" w:rsidR="004A2883" w:rsidRPr="009268A2" w:rsidRDefault="004A2883" w:rsidP="00CB2188">
      <w:pPr>
        <w:pStyle w:val="ListParagraph"/>
        <w:spacing w:after="0" w:line="240" w:lineRule="auto"/>
        <w:ind w:left="0"/>
        <w:jc w:val="both"/>
        <w:rPr>
          <w:rFonts w:ascii="Times New Roman" w:hAnsi="Times New Roman" w:cs="Times New Roman"/>
        </w:rPr>
      </w:pPr>
      <w:r w:rsidRPr="009268A2">
        <w:rPr>
          <w:rFonts w:ascii="Times New Roman" w:hAnsi="Times New Roman" w:cs="Times New Roman"/>
          <w:b/>
        </w:rPr>
        <w:t xml:space="preserve">It is important to note that these UDG IPFs are the </w:t>
      </w:r>
      <w:r w:rsidRPr="009268A2">
        <w:rPr>
          <w:rFonts w:ascii="Times New Roman" w:hAnsi="Times New Roman" w:cs="Times New Roman"/>
          <w:b/>
          <w:u w:val="single"/>
        </w:rPr>
        <w:t>maximum</w:t>
      </w:r>
      <w:r w:rsidRPr="009268A2">
        <w:rPr>
          <w:rFonts w:ascii="Times New Roman" w:hAnsi="Times New Roman" w:cs="Times New Roman"/>
          <w:b/>
        </w:rPr>
        <w:t xml:space="preserve"> that a given MA will access. </w:t>
      </w:r>
      <w:r w:rsidRPr="009268A2">
        <w:rPr>
          <w:rFonts w:ascii="Times New Roman" w:hAnsi="Times New Roman" w:cs="Times New Roman"/>
        </w:rPr>
        <w:t>To access their maximum UDG allocations, MAs will need to: (a) comply fully with all UDG Minimum Conditions; and (b) fully achieve all UDG Performance Benchmarks. If all eligible MAs were to qualify (by complying with Minimum Conditions) and all qualifying MAs were to score 100% in terms of their Performance Benchmarks, then the total annual UDG disbursement by the Program would be approximately US</w:t>
      </w:r>
      <w:r>
        <w:rPr>
          <w:rFonts w:ascii="Times New Roman" w:hAnsi="Times New Roman" w:cs="Times New Roman"/>
        </w:rPr>
        <w:t>$ 37.68</w:t>
      </w:r>
      <w:r w:rsidRPr="009268A2">
        <w:rPr>
          <w:rFonts w:ascii="Times New Roman" w:hAnsi="Times New Roman" w:cs="Times New Roman"/>
        </w:rPr>
        <w:t xml:space="preserve"> million.</w:t>
      </w:r>
    </w:p>
    <w:p w14:paraId="4473DCDE" w14:textId="77777777" w:rsidR="004A2883" w:rsidRPr="007F56B2" w:rsidRDefault="004A2883" w:rsidP="004A2883">
      <w:pPr>
        <w:pStyle w:val="Header"/>
        <w:tabs>
          <w:tab w:val="clear" w:pos="4680"/>
          <w:tab w:val="clear" w:pos="9360"/>
        </w:tabs>
      </w:pPr>
    </w:p>
    <w:p w14:paraId="2BED1547" w14:textId="77777777" w:rsidR="004A2883" w:rsidRDefault="004A2883" w:rsidP="004A2883">
      <w:pPr>
        <w:spacing w:after="0" w:line="240" w:lineRule="auto"/>
        <w:jc w:val="both"/>
        <w:rPr>
          <w:rFonts w:ascii="Times New Roman" w:hAnsi="Times New Roman" w:cs="Times New Roman"/>
          <w:b/>
        </w:rPr>
      </w:pPr>
      <w:r w:rsidRPr="009268A2">
        <w:rPr>
          <w:rFonts w:ascii="Times New Roman" w:hAnsi="Times New Roman" w:cs="Times New Roman"/>
          <w:b/>
        </w:rPr>
        <w:t>Table</w:t>
      </w:r>
      <w:r>
        <w:rPr>
          <w:rFonts w:ascii="Times New Roman" w:hAnsi="Times New Roman" w:cs="Times New Roman"/>
          <w:b/>
        </w:rPr>
        <w:t xml:space="preserve"> 3</w:t>
      </w:r>
      <w:r w:rsidRPr="009268A2">
        <w:rPr>
          <w:rFonts w:ascii="Times New Roman" w:hAnsi="Times New Roman" w:cs="Times New Roman"/>
          <w:b/>
        </w:rPr>
        <w:t>: Maximum annual UDG allocations to eligible MAs (US$)</w:t>
      </w:r>
    </w:p>
    <w:p w14:paraId="41561C76" w14:textId="77777777" w:rsidR="004A2883" w:rsidRPr="009268A2" w:rsidRDefault="004A2883" w:rsidP="004A2883">
      <w:pPr>
        <w:spacing w:after="0" w:line="240" w:lineRule="auto"/>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308"/>
        <w:gridCol w:w="1899"/>
        <w:gridCol w:w="1775"/>
        <w:gridCol w:w="1194"/>
        <w:gridCol w:w="1251"/>
        <w:gridCol w:w="1388"/>
      </w:tblGrid>
      <w:tr w:rsidR="006426BB" w:rsidRPr="006426BB" w14:paraId="20E4A0A0" w14:textId="77777777" w:rsidTr="006426BB">
        <w:tc>
          <w:tcPr>
            <w:tcW w:w="357" w:type="pct"/>
            <w:shd w:val="clear" w:color="auto" w:fill="C5E0B3"/>
            <w:vAlign w:val="center"/>
          </w:tcPr>
          <w:p w14:paraId="70E7D6B7" w14:textId="77777777" w:rsidR="006426BB" w:rsidRPr="006426BB" w:rsidRDefault="006426BB" w:rsidP="006426BB">
            <w:pPr>
              <w:widowControl w:val="0"/>
              <w:autoSpaceDE w:val="0"/>
              <w:autoSpaceDN w:val="0"/>
              <w:adjustRightInd w:val="0"/>
              <w:spacing w:after="0" w:line="240" w:lineRule="auto"/>
              <w:jc w:val="center"/>
              <w:rPr>
                <w:rFonts w:ascii="Calibri" w:eastAsia="Malgun Gothic" w:hAnsi="Calibri" w:cs="Calibri"/>
                <w:b/>
                <w:color w:val="000000"/>
                <w:sz w:val="20"/>
                <w:szCs w:val="20"/>
              </w:rPr>
            </w:pPr>
            <w:bookmarkStart w:id="7" w:name="_Hlk517955207"/>
            <w:r w:rsidRPr="006426BB">
              <w:rPr>
                <w:rFonts w:ascii="Calibri" w:eastAsia="Malgun Gothic" w:hAnsi="Calibri" w:cs="Calibri"/>
                <w:b/>
                <w:color w:val="000000"/>
                <w:sz w:val="20"/>
                <w:szCs w:val="20"/>
              </w:rPr>
              <w:t>No</w:t>
            </w:r>
          </w:p>
        </w:tc>
        <w:tc>
          <w:tcPr>
            <w:tcW w:w="689" w:type="pct"/>
            <w:shd w:val="clear" w:color="auto" w:fill="C5E0B3"/>
            <w:vAlign w:val="center"/>
          </w:tcPr>
          <w:p w14:paraId="092522E5" w14:textId="77777777" w:rsidR="006426BB" w:rsidRPr="006426BB" w:rsidRDefault="006426BB" w:rsidP="006426BB">
            <w:pPr>
              <w:widowControl w:val="0"/>
              <w:autoSpaceDE w:val="0"/>
              <w:autoSpaceDN w:val="0"/>
              <w:adjustRightInd w:val="0"/>
              <w:spacing w:after="0" w:line="240" w:lineRule="auto"/>
              <w:jc w:val="center"/>
              <w:rPr>
                <w:rFonts w:ascii="Calibri" w:eastAsia="Malgun Gothic" w:hAnsi="Calibri" w:cs="Calibri"/>
                <w:b/>
                <w:color w:val="000000"/>
                <w:sz w:val="20"/>
                <w:szCs w:val="20"/>
              </w:rPr>
            </w:pPr>
            <w:r w:rsidRPr="006426BB">
              <w:rPr>
                <w:rFonts w:ascii="Calibri" w:eastAsia="Malgun Gothic" w:hAnsi="Calibri" w:cs="Calibri"/>
                <w:b/>
                <w:color w:val="000000"/>
                <w:sz w:val="20"/>
                <w:szCs w:val="20"/>
              </w:rPr>
              <w:t>Region</w:t>
            </w:r>
          </w:p>
        </w:tc>
        <w:tc>
          <w:tcPr>
            <w:tcW w:w="1000" w:type="pct"/>
            <w:shd w:val="clear" w:color="auto" w:fill="C5E0B3"/>
            <w:vAlign w:val="center"/>
          </w:tcPr>
          <w:p w14:paraId="70B85AC5" w14:textId="77777777" w:rsidR="006426BB" w:rsidRPr="006426BB" w:rsidRDefault="006426BB" w:rsidP="006426BB">
            <w:pPr>
              <w:widowControl w:val="0"/>
              <w:autoSpaceDE w:val="0"/>
              <w:autoSpaceDN w:val="0"/>
              <w:adjustRightInd w:val="0"/>
              <w:spacing w:after="0" w:line="240" w:lineRule="auto"/>
              <w:jc w:val="center"/>
              <w:rPr>
                <w:rFonts w:ascii="Calibri" w:eastAsia="Malgun Gothic" w:hAnsi="Calibri" w:cs="Calibri"/>
                <w:b/>
                <w:color w:val="000000"/>
                <w:sz w:val="20"/>
                <w:szCs w:val="20"/>
              </w:rPr>
            </w:pPr>
            <w:r w:rsidRPr="006426BB">
              <w:rPr>
                <w:rFonts w:ascii="Calibri" w:eastAsia="Malgun Gothic" w:hAnsi="Calibri" w:cs="Calibri"/>
                <w:b/>
                <w:color w:val="000000"/>
                <w:sz w:val="20"/>
                <w:szCs w:val="20"/>
              </w:rPr>
              <w:t>Municipal Assembly (MA)</w:t>
            </w:r>
          </w:p>
        </w:tc>
        <w:tc>
          <w:tcPr>
            <w:tcW w:w="935" w:type="pct"/>
            <w:shd w:val="clear" w:color="auto" w:fill="C5E0B3"/>
            <w:vAlign w:val="center"/>
          </w:tcPr>
          <w:p w14:paraId="6B7F1E84" w14:textId="77777777" w:rsidR="006426BB" w:rsidRPr="006426BB" w:rsidRDefault="006426BB" w:rsidP="006426BB">
            <w:pPr>
              <w:widowControl w:val="0"/>
              <w:autoSpaceDE w:val="0"/>
              <w:autoSpaceDN w:val="0"/>
              <w:adjustRightInd w:val="0"/>
              <w:spacing w:after="0" w:line="240" w:lineRule="auto"/>
              <w:jc w:val="center"/>
              <w:rPr>
                <w:rFonts w:ascii="Calibri" w:eastAsia="Malgun Gothic" w:hAnsi="Calibri" w:cs="Calibri"/>
                <w:b/>
                <w:color w:val="000000"/>
                <w:sz w:val="20"/>
                <w:szCs w:val="20"/>
              </w:rPr>
            </w:pPr>
            <w:r w:rsidRPr="006426BB">
              <w:rPr>
                <w:rFonts w:ascii="Calibri" w:eastAsia="Malgun Gothic" w:hAnsi="Calibri" w:cs="Calibri"/>
                <w:b/>
                <w:color w:val="000000"/>
                <w:sz w:val="20"/>
                <w:szCs w:val="20"/>
              </w:rPr>
              <w:t>Population projection (2018)</w:t>
            </w:r>
          </w:p>
        </w:tc>
        <w:tc>
          <w:tcPr>
            <w:tcW w:w="629" w:type="pct"/>
            <w:shd w:val="clear" w:color="auto" w:fill="C5E0B3"/>
            <w:vAlign w:val="center"/>
          </w:tcPr>
          <w:p w14:paraId="06C29DFA" w14:textId="77777777" w:rsidR="006426BB" w:rsidRPr="006426BB" w:rsidRDefault="006426BB" w:rsidP="006426BB">
            <w:pPr>
              <w:widowControl w:val="0"/>
              <w:autoSpaceDE w:val="0"/>
              <w:autoSpaceDN w:val="0"/>
              <w:adjustRightInd w:val="0"/>
              <w:spacing w:after="0" w:line="240" w:lineRule="auto"/>
              <w:jc w:val="center"/>
              <w:rPr>
                <w:rFonts w:ascii="Calibri" w:eastAsia="Malgun Gothic" w:hAnsi="Calibri" w:cs="Calibri"/>
                <w:b/>
                <w:color w:val="000000"/>
                <w:sz w:val="20"/>
                <w:szCs w:val="20"/>
              </w:rPr>
            </w:pPr>
            <w:r w:rsidRPr="006426BB">
              <w:rPr>
                <w:rFonts w:ascii="Calibri" w:eastAsia="Malgun Gothic" w:hAnsi="Calibri" w:cs="Calibri"/>
                <w:b/>
                <w:color w:val="000000"/>
                <w:sz w:val="20"/>
                <w:szCs w:val="20"/>
              </w:rPr>
              <w:t>Urban Population</w:t>
            </w:r>
          </w:p>
        </w:tc>
        <w:tc>
          <w:tcPr>
            <w:tcW w:w="659" w:type="pct"/>
            <w:shd w:val="clear" w:color="auto" w:fill="C5E0B3"/>
            <w:vAlign w:val="center"/>
          </w:tcPr>
          <w:p w14:paraId="73332236" w14:textId="77777777" w:rsidR="006426BB" w:rsidRPr="006426BB" w:rsidRDefault="006426BB" w:rsidP="006426BB">
            <w:pPr>
              <w:widowControl w:val="0"/>
              <w:autoSpaceDE w:val="0"/>
              <w:autoSpaceDN w:val="0"/>
              <w:adjustRightInd w:val="0"/>
              <w:spacing w:after="0" w:line="240" w:lineRule="auto"/>
              <w:jc w:val="center"/>
              <w:rPr>
                <w:rFonts w:ascii="Calibri" w:eastAsia="Malgun Gothic" w:hAnsi="Calibri" w:cs="Calibri"/>
                <w:b/>
                <w:color w:val="000000"/>
                <w:sz w:val="20"/>
                <w:szCs w:val="20"/>
              </w:rPr>
            </w:pPr>
            <w:r w:rsidRPr="006426BB">
              <w:rPr>
                <w:rFonts w:ascii="Calibri" w:eastAsia="Malgun Gothic" w:hAnsi="Calibri" w:cs="Calibri"/>
                <w:b/>
                <w:color w:val="000000"/>
                <w:sz w:val="20"/>
                <w:szCs w:val="20"/>
              </w:rPr>
              <w:t>Percentage Urban (%)</w:t>
            </w:r>
          </w:p>
        </w:tc>
        <w:tc>
          <w:tcPr>
            <w:tcW w:w="732" w:type="pct"/>
            <w:shd w:val="clear" w:color="auto" w:fill="C5E0B3"/>
            <w:vAlign w:val="center"/>
          </w:tcPr>
          <w:p w14:paraId="0BB459C5" w14:textId="77777777" w:rsidR="006426BB" w:rsidRPr="006426BB" w:rsidRDefault="006426BB" w:rsidP="006426BB">
            <w:pPr>
              <w:widowControl w:val="0"/>
              <w:autoSpaceDE w:val="0"/>
              <w:autoSpaceDN w:val="0"/>
              <w:adjustRightInd w:val="0"/>
              <w:spacing w:after="0" w:line="240" w:lineRule="auto"/>
              <w:jc w:val="center"/>
              <w:rPr>
                <w:rFonts w:ascii="Calibri" w:eastAsia="Malgun Gothic" w:hAnsi="Calibri" w:cs="Calibri"/>
                <w:b/>
                <w:color w:val="000000"/>
                <w:sz w:val="20"/>
                <w:szCs w:val="20"/>
              </w:rPr>
            </w:pPr>
            <w:r w:rsidRPr="006426BB">
              <w:rPr>
                <w:rFonts w:ascii="Calibri" w:eastAsia="Malgun Gothic" w:hAnsi="Calibri" w:cs="Calibri"/>
                <w:b/>
                <w:color w:val="000000"/>
                <w:sz w:val="20"/>
                <w:szCs w:val="20"/>
              </w:rPr>
              <w:t>Annual UDG IPFs (Maximum)</w:t>
            </w:r>
          </w:p>
        </w:tc>
      </w:tr>
      <w:tr w:rsidR="006426BB" w:rsidRPr="006426BB" w14:paraId="157A197B" w14:textId="77777777" w:rsidTr="006426BB">
        <w:tc>
          <w:tcPr>
            <w:tcW w:w="357" w:type="pct"/>
          </w:tcPr>
          <w:p w14:paraId="7DF2ED97"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1</w:t>
            </w:r>
          </w:p>
        </w:tc>
        <w:tc>
          <w:tcPr>
            <w:tcW w:w="689" w:type="pct"/>
            <w:vAlign w:val="bottom"/>
          </w:tcPr>
          <w:p w14:paraId="6B91C765"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Ashanti</w:t>
            </w:r>
          </w:p>
        </w:tc>
        <w:tc>
          <w:tcPr>
            <w:tcW w:w="1000" w:type="pct"/>
            <w:vAlign w:val="bottom"/>
          </w:tcPr>
          <w:p w14:paraId="529B4C2D"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 xml:space="preserve">Suame </w:t>
            </w:r>
          </w:p>
        </w:tc>
        <w:tc>
          <w:tcPr>
            <w:tcW w:w="935" w:type="pct"/>
            <w:vAlign w:val="bottom"/>
          </w:tcPr>
          <w:p w14:paraId="2AC63623"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191,649</w:t>
            </w:r>
          </w:p>
        </w:tc>
        <w:tc>
          <w:tcPr>
            <w:tcW w:w="629" w:type="pct"/>
            <w:vAlign w:val="bottom"/>
          </w:tcPr>
          <w:p w14:paraId="1117A3C0"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191,649</w:t>
            </w:r>
          </w:p>
        </w:tc>
        <w:tc>
          <w:tcPr>
            <w:tcW w:w="659" w:type="pct"/>
            <w:vAlign w:val="bottom"/>
          </w:tcPr>
          <w:p w14:paraId="52F1B7B8"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100%</w:t>
            </w:r>
          </w:p>
        </w:tc>
        <w:tc>
          <w:tcPr>
            <w:tcW w:w="732" w:type="pct"/>
            <w:vAlign w:val="bottom"/>
          </w:tcPr>
          <w:p w14:paraId="1E21E5D0" w14:textId="77777777" w:rsidR="006426BB" w:rsidRPr="006426BB" w:rsidRDefault="006426BB" w:rsidP="006426BB">
            <w:pPr>
              <w:widowControl w:val="0"/>
              <w:autoSpaceDE w:val="0"/>
              <w:autoSpaceDN w:val="0"/>
              <w:adjustRightInd w:val="0"/>
              <w:spacing w:after="0" w:line="240" w:lineRule="auto"/>
              <w:jc w:val="right"/>
              <w:rPr>
                <w:rFonts w:ascii="Calibri" w:eastAsia="Times New Roman" w:hAnsi="Calibri" w:cs="Calibri"/>
                <w:color w:val="000000"/>
                <w:sz w:val="20"/>
                <w:szCs w:val="20"/>
              </w:rPr>
            </w:pPr>
            <w:r w:rsidRPr="006426BB">
              <w:rPr>
                <w:rFonts w:ascii="Calibri" w:eastAsia="Malgun Gothic" w:hAnsi="Calibri" w:cs="Calibri"/>
                <w:color w:val="000000"/>
                <w:sz w:val="20"/>
                <w:szCs w:val="20"/>
              </w:rPr>
              <w:t xml:space="preserve">2,874,735 </w:t>
            </w:r>
          </w:p>
        </w:tc>
      </w:tr>
      <w:tr w:rsidR="006426BB" w:rsidRPr="006426BB" w14:paraId="261FFF35" w14:textId="77777777" w:rsidTr="006426BB">
        <w:tc>
          <w:tcPr>
            <w:tcW w:w="357" w:type="pct"/>
          </w:tcPr>
          <w:p w14:paraId="08305103"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2</w:t>
            </w:r>
          </w:p>
        </w:tc>
        <w:tc>
          <w:tcPr>
            <w:tcW w:w="689" w:type="pct"/>
            <w:vAlign w:val="bottom"/>
          </w:tcPr>
          <w:p w14:paraId="40A0A4F3"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Ashanti</w:t>
            </w:r>
          </w:p>
        </w:tc>
        <w:tc>
          <w:tcPr>
            <w:tcW w:w="1000" w:type="pct"/>
            <w:vAlign w:val="bottom"/>
          </w:tcPr>
          <w:p w14:paraId="6DE4D557"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 xml:space="preserve">Old Tafo </w:t>
            </w:r>
          </w:p>
        </w:tc>
        <w:tc>
          <w:tcPr>
            <w:tcW w:w="935" w:type="pct"/>
            <w:vAlign w:val="bottom"/>
          </w:tcPr>
          <w:p w14:paraId="7ED96D5A"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173,607</w:t>
            </w:r>
          </w:p>
        </w:tc>
        <w:tc>
          <w:tcPr>
            <w:tcW w:w="629" w:type="pct"/>
            <w:vAlign w:val="bottom"/>
          </w:tcPr>
          <w:p w14:paraId="7645148C"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173,607</w:t>
            </w:r>
          </w:p>
        </w:tc>
        <w:tc>
          <w:tcPr>
            <w:tcW w:w="659" w:type="pct"/>
            <w:vAlign w:val="bottom"/>
          </w:tcPr>
          <w:p w14:paraId="53322CA1"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100%</w:t>
            </w:r>
          </w:p>
        </w:tc>
        <w:tc>
          <w:tcPr>
            <w:tcW w:w="732" w:type="pct"/>
            <w:vAlign w:val="bottom"/>
          </w:tcPr>
          <w:p w14:paraId="46E6FA60" w14:textId="77777777" w:rsidR="006426BB" w:rsidRPr="006426BB" w:rsidRDefault="006426BB" w:rsidP="006426BB">
            <w:pPr>
              <w:widowControl w:val="0"/>
              <w:autoSpaceDE w:val="0"/>
              <w:autoSpaceDN w:val="0"/>
              <w:adjustRightInd w:val="0"/>
              <w:spacing w:after="0" w:line="240" w:lineRule="auto"/>
              <w:jc w:val="right"/>
              <w:rPr>
                <w:rFonts w:ascii="Calibri" w:eastAsia="Times New Roman" w:hAnsi="Calibri" w:cs="Calibri"/>
                <w:color w:val="000000"/>
                <w:sz w:val="20"/>
                <w:szCs w:val="20"/>
              </w:rPr>
            </w:pPr>
            <w:r w:rsidRPr="006426BB">
              <w:rPr>
                <w:rFonts w:ascii="Calibri" w:eastAsia="Malgun Gothic" w:hAnsi="Calibri" w:cs="Calibri"/>
                <w:color w:val="000000"/>
                <w:sz w:val="20"/>
                <w:szCs w:val="20"/>
              </w:rPr>
              <w:t xml:space="preserve">2,604,105 </w:t>
            </w:r>
          </w:p>
        </w:tc>
      </w:tr>
      <w:tr w:rsidR="006426BB" w:rsidRPr="006426BB" w14:paraId="081F9D5E" w14:textId="77777777" w:rsidTr="006426BB">
        <w:tc>
          <w:tcPr>
            <w:tcW w:w="357" w:type="pct"/>
          </w:tcPr>
          <w:p w14:paraId="348E4EEC"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3</w:t>
            </w:r>
          </w:p>
        </w:tc>
        <w:tc>
          <w:tcPr>
            <w:tcW w:w="689" w:type="pct"/>
            <w:vAlign w:val="bottom"/>
          </w:tcPr>
          <w:p w14:paraId="52769630"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Ashanti</w:t>
            </w:r>
          </w:p>
        </w:tc>
        <w:tc>
          <w:tcPr>
            <w:tcW w:w="1000" w:type="pct"/>
            <w:vAlign w:val="bottom"/>
          </w:tcPr>
          <w:p w14:paraId="2A6CA334"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 xml:space="preserve">Asokwa </w:t>
            </w:r>
          </w:p>
        </w:tc>
        <w:tc>
          <w:tcPr>
            <w:tcW w:w="935" w:type="pct"/>
            <w:vAlign w:val="bottom"/>
          </w:tcPr>
          <w:p w14:paraId="24BDCDB8"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166,637</w:t>
            </w:r>
          </w:p>
        </w:tc>
        <w:tc>
          <w:tcPr>
            <w:tcW w:w="629" w:type="pct"/>
            <w:vAlign w:val="bottom"/>
          </w:tcPr>
          <w:p w14:paraId="2089DECB"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166,637</w:t>
            </w:r>
          </w:p>
        </w:tc>
        <w:tc>
          <w:tcPr>
            <w:tcW w:w="659" w:type="pct"/>
            <w:vAlign w:val="bottom"/>
          </w:tcPr>
          <w:p w14:paraId="6434C824"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100%</w:t>
            </w:r>
          </w:p>
        </w:tc>
        <w:tc>
          <w:tcPr>
            <w:tcW w:w="732" w:type="pct"/>
            <w:vAlign w:val="bottom"/>
          </w:tcPr>
          <w:p w14:paraId="57EF0856" w14:textId="77777777" w:rsidR="006426BB" w:rsidRPr="006426BB" w:rsidRDefault="006426BB" w:rsidP="006426BB">
            <w:pPr>
              <w:widowControl w:val="0"/>
              <w:autoSpaceDE w:val="0"/>
              <w:autoSpaceDN w:val="0"/>
              <w:adjustRightInd w:val="0"/>
              <w:spacing w:after="0" w:line="240" w:lineRule="auto"/>
              <w:jc w:val="right"/>
              <w:rPr>
                <w:rFonts w:ascii="Calibri" w:eastAsia="Times New Roman" w:hAnsi="Calibri" w:cs="Calibri"/>
                <w:color w:val="000000"/>
                <w:sz w:val="20"/>
                <w:szCs w:val="20"/>
              </w:rPr>
            </w:pPr>
            <w:r w:rsidRPr="006426BB">
              <w:rPr>
                <w:rFonts w:ascii="Calibri" w:eastAsia="Malgun Gothic" w:hAnsi="Calibri" w:cs="Calibri"/>
                <w:color w:val="000000"/>
                <w:sz w:val="20"/>
                <w:szCs w:val="20"/>
              </w:rPr>
              <w:t xml:space="preserve">2,499,555 </w:t>
            </w:r>
          </w:p>
        </w:tc>
      </w:tr>
      <w:tr w:rsidR="006426BB" w:rsidRPr="006426BB" w14:paraId="4D6E4358" w14:textId="77777777" w:rsidTr="006426BB">
        <w:tc>
          <w:tcPr>
            <w:tcW w:w="357" w:type="pct"/>
          </w:tcPr>
          <w:p w14:paraId="3FE4D59F"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4</w:t>
            </w:r>
          </w:p>
        </w:tc>
        <w:tc>
          <w:tcPr>
            <w:tcW w:w="689" w:type="pct"/>
            <w:vAlign w:val="bottom"/>
          </w:tcPr>
          <w:p w14:paraId="48E410A0"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Western</w:t>
            </w:r>
          </w:p>
        </w:tc>
        <w:tc>
          <w:tcPr>
            <w:tcW w:w="1000" w:type="pct"/>
            <w:vAlign w:val="bottom"/>
          </w:tcPr>
          <w:p w14:paraId="705E981F"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Effia-Kwesimintsim</w:t>
            </w:r>
          </w:p>
        </w:tc>
        <w:tc>
          <w:tcPr>
            <w:tcW w:w="935" w:type="pct"/>
            <w:vAlign w:val="bottom"/>
          </w:tcPr>
          <w:p w14:paraId="77FEE0D5"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232,617</w:t>
            </w:r>
          </w:p>
        </w:tc>
        <w:tc>
          <w:tcPr>
            <w:tcW w:w="629" w:type="pct"/>
            <w:vAlign w:val="bottom"/>
          </w:tcPr>
          <w:p w14:paraId="08044A16"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225,638</w:t>
            </w:r>
          </w:p>
        </w:tc>
        <w:tc>
          <w:tcPr>
            <w:tcW w:w="659" w:type="pct"/>
            <w:vAlign w:val="bottom"/>
          </w:tcPr>
          <w:p w14:paraId="279AE777"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97%</w:t>
            </w:r>
          </w:p>
        </w:tc>
        <w:tc>
          <w:tcPr>
            <w:tcW w:w="732" w:type="pct"/>
            <w:vAlign w:val="bottom"/>
          </w:tcPr>
          <w:p w14:paraId="7CAE7FEB" w14:textId="77777777" w:rsidR="006426BB" w:rsidRPr="006426BB" w:rsidRDefault="006426BB" w:rsidP="006426BB">
            <w:pPr>
              <w:widowControl w:val="0"/>
              <w:autoSpaceDE w:val="0"/>
              <w:autoSpaceDN w:val="0"/>
              <w:adjustRightInd w:val="0"/>
              <w:spacing w:after="0" w:line="240" w:lineRule="auto"/>
              <w:jc w:val="right"/>
              <w:rPr>
                <w:rFonts w:ascii="Calibri" w:eastAsia="Times New Roman" w:hAnsi="Calibri" w:cs="Calibri"/>
                <w:color w:val="000000"/>
                <w:sz w:val="20"/>
                <w:szCs w:val="20"/>
              </w:rPr>
            </w:pPr>
            <w:r w:rsidRPr="006426BB">
              <w:rPr>
                <w:rFonts w:ascii="Calibri" w:eastAsia="Malgun Gothic" w:hAnsi="Calibri" w:cs="Calibri"/>
                <w:color w:val="000000"/>
                <w:sz w:val="20"/>
                <w:szCs w:val="20"/>
              </w:rPr>
              <w:t xml:space="preserve">3,384,577 </w:t>
            </w:r>
          </w:p>
        </w:tc>
      </w:tr>
      <w:tr w:rsidR="006426BB" w:rsidRPr="006426BB" w14:paraId="518A2A78" w14:textId="77777777" w:rsidTr="006426BB">
        <w:tc>
          <w:tcPr>
            <w:tcW w:w="357" w:type="pct"/>
          </w:tcPr>
          <w:p w14:paraId="1A1A733E"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5</w:t>
            </w:r>
          </w:p>
        </w:tc>
        <w:tc>
          <w:tcPr>
            <w:tcW w:w="689" w:type="pct"/>
            <w:vAlign w:val="bottom"/>
          </w:tcPr>
          <w:p w14:paraId="03C3D710"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Central</w:t>
            </w:r>
          </w:p>
        </w:tc>
        <w:tc>
          <w:tcPr>
            <w:tcW w:w="1000" w:type="pct"/>
            <w:vAlign w:val="bottom"/>
          </w:tcPr>
          <w:p w14:paraId="0B1E2382"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 xml:space="preserve">Awutu Senya East </w:t>
            </w:r>
          </w:p>
        </w:tc>
        <w:tc>
          <w:tcPr>
            <w:tcW w:w="935" w:type="pct"/>
            <w:vAlign w:val="bottom"/>
          </w:tcPr>
          <w:p w14:paraId="1E44E987"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127,689</w:t>
            </w:r>
          </w:p>
        </w:tc>
        <w:tc>
          <w:tcPr>
            <w:tcW w:w="629" w:type="pct"/>
            <w:vAlign w:val="bottom"/>
          </w:tcPr>
          <w:p w14:paraId="54BF9577"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120,028</w:t>
            </w:r>
          </w:p>
        </w:tc>
        <w:tc>
          <w:tcPr>
            <w:tcW w:w="659" w:type="pct"/>
            <w:vAlign w:val="bottom"/>
          </w:tcPr>
          <w:p w14:paraId="54D5E3A0"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94%</w:t>
            </w:r>
          </w:p>
        </w:tc>
        <w:tc>
          <w:tcPr>
            <w:tcW w:w="732" w:type="pct"/>
            <w:vAlign w:val="bottom"/>
          </w:tcPr>
          <w:p w14:paraId="2C8A5275" w14:textId="77777777" w:rsidR="006426BB" w:rsidRPr="006426BB" w:rsidRDefault="006426BB" w:rsidP="006426BB">
            <w:pPr>
              <w:widowControl w:val="0"/>
              <w:autoSpaceDE w:val="0"/>
              <w:autoSpaceDN w:val="0"/>
              <w:adjustRightInd w:val="0"/>
              <w:spacing w:after="0" w:line="240" w:lineRule="auto"/>
              <w:jc w:val="right"/>
              <w:rPr>
                <w:rFonts w:ascii="Calibri" w:eastAsia="Times New Roman" w:hAnsi="Calibri" w:cs="Calibri"/>
                <w:color w:val="000000"/>
                <w:sz w:val="20"/>
                <w:szCs w:val="20"/>
              </w:rPr>
            </w:pPr>
            <w:r w:rsidRPr="006426BB">
              <w:rPr>
                <w:rFonts w:ascii="Calibri" w:eastAsia="Malgun Gothic" w:hAnsi="Calibri" w:cs="Calibri"/>
                <w:color w:val="000000"/>
                <w:sz w:val="20"/>
                <w:szCs w:val="20"/>
              </w:rPr>
              <w:t xml:space="preserve">1,800,415 </w:t>
            </w:r>
          </w:p>
        </w:tc>
      </w:tr>
      <w:tr w:rsidR="006426BB" w:rsidRPr="006426BB" w14:paraId="7CE076D2" w14:textId="77777777" w:rsidTr="006426BB">
        <w:tc>
          <w:tcPr>
            <w:tcW w:w="357" w:type="pct"/>
          </w:tcPr>
          <w:p w14:paraId="3C8C20E0"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6</w:t>
            </w:r>
          </w:p>
        </w:tc>
        <w:tc>
          <w:tcPr>
            <w:tcW w:w="689" w:type="pct"/>
            <w:vAlign w:val="bottom"/>
          </w:tcPr>
          <w:p w14:paraId="66D5FEB3"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Eastern</w:t>
            </w:r>
          </w:p>
        </w:tc>
        <w:tc>
          <w:tcPr>
            <w:tcW w:w="1000" w:type="pct"/>
            <w:vAlign w:val="bottom"/>
          </w:tcPr>
          <w:p w14:paraId="3A990440"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 xml:space="preserve">New Juaben South </w:t>
            </w:r>
          </w:p>
        </w:tc>
        <w:tc>
          <w:tcPr>
            <w:tcW w:w="935" w:type="pct"/>
            <w:vAlign w:val="bottom"/>
          </w:tcPr>
          <w:p w14:paraId="1B44E252"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222,459</w:t>
            </w:r>
          </w:p>
        </w:tc>
        <w:tc>
          <w:tcPr>
            <w:tcW w:w="629" w:type="pct"/>
            <w:vAlign w:val="bottom"/>
          </w:tcPr>
          <w:p w14:paraId="3CAB19D0"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206,887</w:t>
            </w:r>
          </w:p>
        </w:tc>
        <w:tc>
          <w:tcPr>
            <w:tcW w:w="659" w:type="pct"/>
            <w:vAlign w:val="bottom"/>
          </w:tcPr>
          <w:p w14:paraId="0B0A18FB"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93%</w:t>
            </w:r>
          </w:p>
        </w:tc>
        <w:tc>
          <w:tcPr>
            <w:tcW w:w="732" w:type="pct"/>
            <w:vAlign w:val="bottom"/>
          </w:tcPr>
          <w:p w14:paraId="1D6D158D" w14:textId="77777777" w:rsidR="006426BB" w:rsidRPr="006426BB" w:rsidRDefault="006426BB" w:rsidP="006426BB">
            <w:pPr>
              <w:widowControl w:val="0"/>
              <w:autoSpaceDE w:val="0"/>
              <w:autoSpaceDN w:val="0"/>
              <w:adjustRightInd w:val="0"/>
              <w:spacing w:after="0" w:line="240" w:lineRule="auto"/>
              <w:jc w:val="right"/>
              <w:rPr>
                <w:rFonts w:ascii="Calibri" w:eastAsia="Times New Roman" w:hAnsi="Calibri" w:cs="Calibri"/>
                <w:color w:val="000000"/>
                <w:sz w:val="20"/>
                <w:szCs w:val="20"/>
              </w:rPr>
            </w:pPr>
            <w:r w:rsidRPr="006426BB">
              <w:rPr>
                <w:rFonts w:ascii="Calibri" w:eastAsia="Malgun Gothic" w:hAnsi="Calibri" w:cs="Calibri"/>
                <w:color w:val="000000"/>
                <w:sz w:val="20"/>
                <w:szCs w:val="20"/>
              </w:rPr>
              <w:t xml:space="preserve">3,103,303 </w:t>
            </w:r>
          </w:p>
        </w:tc>
      </w:tr>
      <w:tr w:rsidR="006426BB" w:rsidRPr="006426BB" w14:paraId="5B45091E" w14:textId="77777777" w:rsidTr="006426BB">
        <w:tc>
          <w:tcPr>
            <w:tcW w:w="357" w:type="pct"/>
          </w:tcPr>
          <w:p w14:paraId="4A3B43C2"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7</w:t>
            </w:r>
          </w:p>
        </w:tc>
        <w:tc>
          <w:tcPr>
            <w:tcW w:w="689" w:type="pct"/>
            <w:vAlign w:val="bottom"/>
          </w:tcPr>
          <w:p w14:paraId="5EA351DA"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Ashanti</w:t>
            </w:r>
          </w:p>
        </w:tc>
        <w:tc>
          <w:tcPr>
            <w:tcW w:w="1000" w:type="pct"/>
            <w:vAlign w:val="bottom"/>
          </w:tcPr>
          <w:p w14:paraId="3A87F302"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 xml:space="preserve">Obuasi </w:t>
            </w:r>
          </w:p>
        </w:tc>
        <w:tc>
          <w:tcPr>
            <w:tcW w:w="935" w:type="pct"/>
            <w:vAlign w:val="bottom"/>
          </w:tcPr>
          <w:p w14:paraId="0C827343"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198,904</w:t>
            </w:r>
          </w:p>
        </w:tc>
        <w:tc>
          <w:tcPr>
            <w:tcW w:w="629" w:type="pct"/>
            <w:vAlign w:val="bottom"/>
          </w:tcPr>
          <w:p w14:paraId="038C9B86"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169,068</w:t>
            </w:r>
          </w:p>
        </w:tc>
        <w:tc>
          <w:tcPr>
            <w:tcW w:w="659" w:type="pct"/>
            <w:vAlign w:val="bottom"/>
          </w:tcPr>
          <w:p w14:paraId="44371069"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85%</w:t>
            </w:r>
          </w:p>
        </w:tc>
        <w:tc>
          <w:tcPr>
            <w:tcW w:w="732" w:type="pct"/>
            <w:vAlign w:val="bottom"/>
          </w:tcPr>
          <w:p w14:paraId="0F7D76D9" w14:textId="77777777" w:rsidR="006426BB" w:rsidRPr="006426BB" w:rsidRDefault="006426BB" w:rsidP="006426BB">
            <w:pPr>
              <w:widowControl w:val="0"/>
              <w:autoSpaceDE w:val="0"/>
              <w:autoSpaceDN w:val="0"/>
              <w:adjustRightInd w:val="0"/>
              <w:spacing w:after="0" w:line="240" w:lineRule="auto"/>
              <w:jc w:val="right"/>
              <w:rPr>
                <w:rFonts w:ascii="Calibri" w:eastAsia="Times New Roman" w:hAnsi="Calibri" w:cs="Calibri"/>
                <w:color w:val="000000"/>
                <w:sz w:val="20"/>
                <w:szCs w:val="20"/>
              </w:rPr>
            </w:pPr>
            <w:r w:rsidRPr="006426BB">
              <w:rPr>
                <w:rFonts w:ascii="Calibri" w:eastAsia="Malgun Gothic" w:hAnsi="Calibri" w:cs="Calibri"/>
                <w:color w:val="000000"/>
                <w:sz w:val="20"/>
                <w:szCs w:val="20"/>
              </w:rPr>
              <w:t xml:space="preserve">2,536,026 </w:t>
            </w:r>
          </w:p>
        </w:tc>
      </w:tr>
      <w:tr w:rsidR="006426BB" w:rsidRPr="006426BB" w14:paraId="24CBBDF9" w14:textId="77777777" w:rsidTr="006426BB">
        <w:tc>
          <w:tcPr>
            <w:tcW w:w="357" w:type="pct"/>
          </w:tcPr>
          <w:p w14:paraId="027BBD23"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8</w:t>
            </w:r>
          </w:p>
        </w:tc>
        <w:tc>
          <w:tcPr>
            <w:tcW w:w="689" w:type="pct"/>
            <w:vAlign w:val="bottom"/>
          </w:tcPr>
          <w:p w14:paraId="60139725"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Eastern</w:t>
            </w:r>
          </w:p>
        </w:tc>
        <w:tc>
          <w:tcPr>
            <w:tcW w:w="1000" w:type="pct"/>
            <w:vAlign w:val="bottom"/>
          </w:tcPr>
          <w:p w14:paraId="6A9A3F75"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Lower Manya</w:t>
            </w:r>
          </w:p>
        </w:tc>
        <w:tc>
          <w:tcPr>
            <w:tcW w:w="935" w:type="pct"/>
            <w:vAlign w:val="bottom"/>
          </w:tcPr>
          <w:p w14:paraId="3A815441"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108,049</w:t>
            </w:r>
          </w:p>
        </w:tc>
        <w:tc>
          <w:tcPr>
            <w:tcW w:w="629" w:type="pct"/>
            <w:vAlign w:val="bottom"/>
          </w:tcPr>
          <w:p w14:paraId="0E8A18E8"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90,761</w:t>
            </w:r>
          </w:p>
        </w:tc>
        <w:tc>
          <w:tcPr>
            <w:tcW w:w="659" w:type="pct"/>
            <w:vAlign w:val="bottom"/>
          </w:tcPr>
          <w:p w14:paraId="62EA4735"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84%</w:t>
            </w:r>
          </w:p>
        </w:tc>
        <w:tc>
          <w:tcPr>
            <w:tcW w:w="732" w:type="pct"/>
            <w:vAlign w:val="bottom"/>
          </w:tcPr>
          <w:p w14:paraId="50BAAEAB" w14:textId="77777777" w:rsidR="006426BB" w:rsidRPr="006426BB" w:rsidRDefault="006426BB" w:rsidP="006426BB">
            <w:pPr>
              <w:widowControl w:val="0"/>
              <w:autoSpaceDE w:val="0"/>
              <w:autoSpaceDN w:val="0"/>
              <w:adjustRightInd w:val="0"/>
              <w:spacing w:after="0" w:line="240" w:lineRule="auto"/>
              <w:jc w:val="right"/>
              <w:rPr>
                <w:rFonts w:ascii="Calibri" w:eastAsia="Times New Roman" w:hAnsi="Calibri" w:cs="Calibri"/>
                <w:color w:val="000000"/>
                <w:sz w:val="20"/>
                <w:szCs w:val="20"/>
              </w:rPr>
            </w:pPr>
            <w:r w:rsidRPr="006426BB">
              <w:rPr>
                <w:rFonts w:ascii="Calibri" w:eastAsia="Malgun Gothic" w:hAnsi="Calibri" w:cs="Calibri"/>
                <w:color w:val="000000"/>
                <w:sz w:val="20"/>
                <w:szCs w:val="20"/>
              </w:rPr>
              <w:t xml:space="preserve">1,361,417 </w:t>
            </w:r>
          </w:p>
        </w:tc>
      </w:tr>
      <w:tr w:rsidR="006426BB" w:rsidRPr="006426BB" w14:paraId="1F472418" w14:textId="77777777" w:rsidTr="006426BB">
        <w:tc>
          <w:tcPr>
            <w:tcW w:w="357" w:type="pct"/>
          </w:tcPr>
          <w:p w14:paraId="3743C9DB"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9</w:t>
            </w:r>
          </w:p>
        </w:tc>
        <w:tc>
          <w:tcPr>
            <w:tcW w:w="689" w:type="pct"/>
            <w:vAlign w:val="bottom"/>
          </w:tcPr>
          <w:p w14:paraId="3EA3AC94"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Brong Ahafo</w:t>
            </w:r>
          </w:p>
        </w:tc>
        <w:tc>
          <w:tcPr>
            <w:tcW w:w="1000" w:type="pct"/>
            <w:vAlign w:val="bottom"/>
          </w:tcPr>
          <w:p w14:paraId="28207153"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 xml:space="preserve">Sunyani </w:t>
            </w:r>
          </w:p>
        </w:tc>
        <w:tc>
          <w:tcPr>
            <w:tcW w:w="935" w:type="pct"/>
            <w:vAlign w:val="bottom"/>
          </w:tcPr>
          <w:p w14:paraId="7FA84288"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147,982</w:t>
            </w:r>
          </w:p>
        </w:tc>
        <w:tc>
          <w:tcPr>
            <w:tcW w:w="629" w:type="pct"/>
            <w:vAlign w:val="bottom"/>
          </w:tcPr>
          <w:p w14:paraId="750D6340"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122,825</w:t>
            </w:r>
          </w:p>
        </w:tc>
        <w:tc>
          <w:tcPr>
            <w:tcW w:w="659" w:type="pct"/>
            <w:vAlign w:val="bottom"/>
          </w:tcPr>
          <w:p w14:paraId="1DA5743B"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83%</w:t>
            </w:r>
          </w:p>
        </w:tc>
        <w:tc>
          <w:tcPr>
            <w:tcW w:w="732" w:type="pct"/>
            <w:vAlign w:val="bottom"/>
          </w:tcPr>
          <w:p w14:paraId="6F68B726" w14:textId="77777777" w:rsidR="006426BB" w:rsidRPr="006426BB" w:rsidRDefault="006426BB" w:rsidP="006426BB">
            <w:pPr>
              <w:widowControl w:val="0"/>
              <w:autoSpaceDE w:val="0"/>
              <w:autoSpaceDN w:val="0"/>
              <w:adjustRightInd w:val="0"/>
              <w:spacing w:after="0" w:line="240" w:lineRule="auto"/>
              <w:jc w:val="right"/>
              <w:rPr>
                <w:rFonts w:ascii="Calibri" w:eastAsia="Times New Roman" w:hAnsi="Calibri" w:cs="Calibri"/>
                <w:color w:val="000000"/>
                <w:sz w:val="20"/>
                <w:szCs w:val="20"/>
              </w:rPr>
            </w:pPr>
            <w:r w:rsidRPr="006426BB">
              <w:rPr>
                <w:rFonts w:ascii="Calibri" w:eastAsia="Malgun Gothic" w:hAnsi="Calibri" w:cs="Calibri"/>
                <w:color w:val="000000"/>
                <w:sz w:val="20"/>
                <w:szCs w:val="20"/>
              </w:rPr>
              <w:t xml:space="preserve">1,842,376 </w:t>
            </w:r>
          </w:p>
        </w:tc>
      </w:tr>
      <w:tr w:rsidR="006426BB" w:rsidRPr="006426BB" w14:paraId="384AF0BE" w14:textId="77777777" w:rsidTr="006426BB">
        <w:tc>
          <w:tcPr>
            <w:tcW w:w="357" w:type="pct"/>
          </w:tcPr>
          <w:p w14:paraId="074066CB"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10</w:t>
            </w:r>
          </w:p>
        </w:tc>
        <w:tc>
          <w:tcPr>
            <w:tcW w:w="689" w:type="pct"/>
            <w:vAlign w:val="bottom"/>
          </w:tcPr>
          <w:p w14:paraId="4CB42474"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Central</w:t>
            </w:r>
          </w:p>
        </w:tc>
        <w:tc>
          <w:tcPr>
            <w:tcW w:w="1000" w:type="pct"/>
            <w:vAlign w:val="bottom"/>
          </w:tcPr>
          <w:p w14:paraId="35E76483"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 xml:space="preserve">Agona West </w:t>
            </w:r>
          </w:p>
        </w:tc>
        <w:tc>
          <w:tcPr>
            <w:tcW w:w="935" w:type="pct"/>
            <w:vAlign w:val="bottom"/>
          </w:tcPr>
          <w:p w14:paraId="0907BE6C"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134,245</w:t>
            </w:r>
          </w:p>
        </w:tc>
        <w:tc>
          <w:tcPr>
            <w:tcW w:w="629" w:type="pct"/>
            <w:vAlign w:val="bottom"/>
          </w:tcPr>
          <w:p w14:paraId="0920FDFE"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103,369</w:t>
            </w:r>
          </w:p>
        </w:tc>
        <w:tc>
          <w:tcPr>
            <w:tcW w:w="659" w:type="pct"/>
            <w:vAlign w:val="bottom"/>
          </w:tcPr>
          <w:p w14:paraId="51BCBB0F"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77%</w:t>
            </w:r>
          </w:p>
        </w:tc>
        <w:tc>
          <w:tcPr>
            <w:tcW w:w="732" w:type="pct"/>
            <w:vAlign w:val="bottom"/>
          </w:tcPr>
          <w:p w14:paraId="50611AB8" w14:textId="77777777" w:rsidR="006426BB" w:rsidRPr="006426BB" w:rsidRDefault="006426BB" w:rsidP="006426BB">
            <w:pPr>
              <w:widowControl w:val="0"/>
              <w:autoSpaceDE w:val="0"/>
              <w:autoSpaceDN w:val="0"/>
              <w:adjustRightInd w:val="0"/>
              <w:spacing w:after="0" w:line="240" w:lineRule="auto"/>
              <w:jc w:val="right"/>
              <w:rPr>
                <w:rFonts w:ascii="Calibri" w:eastAsia="Times New Roman" w:hAnsi="Calibri" w:cs="Calibri"/>
                <w:color w:val="000000"/>
                <w:sz w:val="20"/>
                <w:szCs w:val="20"/>
              </w:rPr>
            </w:pPr>
            <w:r w:rsidRPr="006426BB">
              <w:rPr>
                <w:rFonts w:ascii="Calibri" w:eastAsia="Malgun Gothic" w:hAnsi="Calibri" w:cs="Calibri"/>
                <w:color w:val="000000"/>
                <w:sz w:val="20"/>
                <w:szCs w:val="20"/>
              </w:rPr>
              <w:t xml:space="preserve">1,550,530 </w:t>
            </w:r>
          </w:p>
        </w:tc>
      </w:tr>
      <w:tr w:rsidR="006426BB" w:rsidRPr="006426BB" w14:paraId="0C4FCDC3" w14:textId="77777777" w:rsidTr="006426BB">
        <w:tc>
          <w:tcPr>
            <w:tcW w:w="357" w:type="pct"/>
          </w:tcPr>
          <w:p w14:paraId="2E027214"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11</w:t>
            </w:r>
          </w:p>
        </w:tc>
        <w:tc>
          <w:tcPr>
            <w:tcW w:w="689" w:type="pct"/>
            <w:vAlign w:val="bottom"/>
          </w:tcPr>
          <w:p w14:paraId="2EDF46ED"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Eastern</w:t>
            </w:r>
          </w:p>
        </w:tc>
        <w:tc>
          <w:tcPr>
            <w:tcW w:w="1000" w:type="pct"/>
            <w:vAlign w:val="bottom"/>
          </w:tcPr>
          <w:p w14:paraId="46B0CDE2"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Birim Central</w:t>
            </w:r>
          </w:p>
        </w:tc>
        <w:tc>
          <w:tcPr>
            <w:tcW w:w="935" w:type="pct"/>
            <w:vAlign w:val="bottom"/>
          </w:tcPr>
          <w:p w14:paraId="07D74480"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174,807</w:t>
            </w:r>
          </w:p>
        </w:tc>
        <w:tc>
          <w:tcPr>
            <w:tcW w:w="629" w:type="pct"/>
            <w:vAlign w:val="bottom"/>
          </w:tcPr>
          <w:p w14:paraId="686B9D77"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118,869</w:t>
            </w:r>
          </w:p>
        </w:tc>
        <w:tc>
          <w:tcPr>
            <w:tcW w:w="659" w:type="pct"/>
            <w:vAlign w:val="bottom"/>
          </w:tcPr>
          <w:p w14:paraId="0384DC90"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68%</w:t>
            </w:r>
          </w:p>
        </w:tc>
        <w:tc>
          <w:tcPr>
            <w:tcW w:w="732" w:type="pct"/>
            <w:vAlign w:val="bottom"/>
          </w:tcPr>
          <w:p w14:paraId="1B0E3D3B" w14:textId="77777777" w:rsidR="006426BB" w:rsidRPr="006426BB" w:rsidRDefault="006426BB" w:rsidP="006426BB">
            <w:pPr>
              <w:widowControl w:val="0"/>
              <w:autoSpaceDE w:val="0"/>
              <w:autoSpaceDN w:val="0"/>
              <w:adjustRightInd w:val="0"/>
              <w:spacing w:after="0" w:line="240" w:lineRule="auto"/>
              <w:jc w:val="right"/>
              <w:rPr>
                <w:rFonts w:ascii="Calibri" w:eastAsia="Times New Roman" w:hAnsi="Calibri" w:cs="Calibri"/>
                <w:color w:val="000000"/>
                <w:sz w:val="20"/>
                <w:szCs w:val="20"/>
              </w:rPr>
            </w:pPr>
            <w:r w:rsidRPr="006426BB">
              <w:rPr>
                <w:rFonts w:ascii="Calibri" w:eastAsia="Malgun Gothic" w:hAnsi="Calibri" w:cs="Calibri"/>
                <w:color w:val="000000"/>
                <w:sz w:val="20"/>
                <w:szCs w:val="20"/>
              </w:rPr>
              <w:t xml:space="preserve">1,783,031 </w:t>
            </w:r>
          </w:p>
        </w:tc>
      </w:tr>
      <w:tr w:rsidR="006426BB" w:rsidRPr="006426BB" w14:paraId="09D5C253" w14:textId="77777777" w:rsidTr="006426BB">
        <w:tc>
          <w:tcPr>
            <w:tcW w:w="357" w:type="pct"/>
          </w:tcPr>
          <w:p w14:paraId="6C9576B2"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12</w:t>
            </w:r>
          </w:p>
        </w:tc>
        <w:tc>
          <w:tcPr>
            <w:tcW w:w="689" w:type="pct"/>
            <w:vAlign w:val="bottom"/>
          </w:tcPr>
          <w:p w14:paraId="3CF78818"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Brong Ahafo</w:t>
            </w:r>
          </w:p>
        </w:tc>
        <w:tc>
          <w:tcPr>
            <w:tcW w:w="1000" w:type="pct"/>
            <w:vAlign w:val="bottom"/>
          </w:tcPr>
          <w:p w14:paraId="7F2CDD40"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 xml:space="preserve">Berekum </w:t>
            </w:r>
          </w:p>
        </w:tc>
        <w:tc>
          <w:tcPr>
            <w:tcW w:w="935" w:type="pct"/>
            <w:vAlign w:val="bottom"/>
          </w:tcPr>
          <w:p w14:paraId="7730ECF6"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156,349</w:t>
            </w:r>
          </w:p>
        </w:tc>
        <w:tc>
          <w:tcPr>
            <w:tcW w:w="629" w:type="pct"/>
            <w:vAlign w:val="bottom"/>
          </w:tcPr>
          <w:p w14:paraId="2AFF9E5E"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103,190</w:t>
            </w:r>
          </w:p>
        </w:tc>
        <w:tc>
          <w:tcPr>
            <w:tcW w:w="659" w:type="pct"/>
            <w:vAlign w:val="bottom"/>
          </w:tcPr>
          <w:p w14:paraId="2B6B3F83"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66%</w:t>
            </w:r>
          </w:p>
        </w:tc>
        <w:tc>
          <w:tcPr>
            <w:tcW w:w="732" w:type="pct"/>
            <w:vAlign w:val="bottom"/>
          </w:tcPr>
          <w:p w14:paraId="4C704361" w14:textId="77777777" w:rsidR="006426BB" w:rsidRPr="006426BB" w:rsidRDefault="006426BB" w:rsidP="006426BB">
            <w:pPr>
              <w:widowControl w:val="0"/>
              <w:autoSpaceDE w:val="0"/>
              <w:autoSpaceDN w:val="0"/>
              <w:adjustRightInd w:val="0"/>
              <w:spacing w:after="0" w:line="240" w:lineRule="auto"/>
              <w:jc w:val="right"/>
              <w:rPr>
                <w:rFonts w:ascii="Calibri" w:eastAsia="Times New Roman" w:hAnsi="Calibri" w:cs="Calibri"/>
                <w:color w:val="000000"/>
                <w:sz w:val="20"/>
                <w:szCs w:val="20"/>
              </w:rPr>
            </w:pPr>
            <w:r w:rsidRPr="006426BB">
              <w:rPr>
                <w:rFonts w:ascii="Calibri" w:eastAsia="Malgun Gothic" w:hAnsi="Calibri" w:cs="Calibri"/>
                <w:color w:val="000000"/>
                <w:sz w:val="20"/>
                <w:szCs w:val="20"/>
              </w:rPr>
              <w:t xml:space="preserve">1,547,855 </w:t>
            </w:r>
          </w:p>
        </w:tc>
      </w:tr>
      <w:tr w:rsidR="006426BB" w:rsidRPr="006426BB" w14:paraId="14961781" w14:textId="77777777" w:rsidTr="006426BB">
        <w:tc>
          <w:tcPr>
            <w:tcW w:w="357" w:type="pct"/>
          </w:tcPr>
          <w:p w14:paraId="688C94B6"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13</w:t>
            </w:r>
          </w:p>
        </w:tc>
        <w:tc>
          <w:tcPr>
            <w:tcW w:w="689" w:type="pct"/>
            <w:vAlign w:val="bottom"/>
          </w:tcPr>
          <w:p w14:paraId="7431EA8C"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Upper West</w:t>
            </w:r>
          </w:p>
        </w:tc>
        <w:tc>
          <w:tcPr>
            <w:tcW w:w="1000" w:type="pct"/>
            <w:vAlign w:val="bottom"/>
          </w:tcPr>
          <w:p w14:paraId="39FFF44C"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 xml:space="preserve">Wa </w:t>
            </w:r>
          </w:p>
        </w:tc>
        <w:tc>
          <w:tcPr>
            <w:tcW w:w="935" w:type="pct"/>
            <w:vAlign w:val="bottom"/>
          </w:tcPr>
          <w:p w14:paraId="2B4BCFC4"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126,609</w:t>
            </w:r>
          </w:p>
        </w:tc>
        <w:tc>
          <w:tcPr>
            <w:tcW w:w="629" w:type="pct"/>
            <w:vAlign w:val="bottom"/>
          </w:tcPr>
          <w:p w14:paraId="166E68F9"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83,562</w:t>
            </w:r>
          </w:p>
        </w:tc>
        <w:tc>
          <w:tcPr>
            <w:tcW w:w="659" w:type="pct"/>
            <w:vAlign w:val="bottom"/>
          </w:tcPr>
          <w:p w14:paraId="24BDD8F9"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66%</w:t>
            </w:r>
          </w:p>
        </w:tc>
        <w:tc>
          <w:tcPr>
            <w:tcW w:w="732" w:type="pct"/>
            <w:vAlign w:val="bottom"/>
          </w:tcPr>
          <w:p w14:paraId="22398AFF" w14:textId="77777777" w:rsidR="006426BB" w:rsidRPr="006426BB" w:rsidRDefault="006426BB" w:rsidP="006426BB">
            <w:pPr>
              <w:widowControl w:val="0"/>
              <w:autoSpaceDE w:val="0"/>
              <w:autoSpaceDN w:val="0"/>
              <w:adjustRightInd w:val="0"/>
              <w:spacing w:after="0" w:line="240" w:lineRule="auto"/>
              <w:jc w:val="right"/>
              <w:rPr>
                <w:rFonts w:ascii="Calibri" w:eastAsia="Times New Roman" w:hAnsi="Calibri" w:cs="Calibri"/>
                <w:color w:val="000000"/>
                <w:sz w:val="20"/>
                <w:szCs w:val="20"/>
              </w:rPr>
            </w:pPr>
            <w:r w:rsidRPr="006426BB">
              <w:rPr>
                <w:rFonts w:ascii="Calibri" w:eastAsia="Malgun Gothic" w:hAnsi="Calibri" w:cs="Calibri"/>
                <w:color w:val="000000"/>
                <w:sz w:val="20"/>
                <w:szCs w:val="20"/>
              </w:rPr>
              <w:t xml:space="preserve">1,253,429 </w:t>
            </w:r>
          </w:p>
        </w:tc>
      </w:tr>
      <w:tr w:rsidR="006426BB" w:rsidRPr="006426BB" w14:paraId="2ADE4BEF" w14:textId="77777777" w:rsidTr="006426BB">
        <w:tc>
          <w:tcPr>
            <w:tcW w:w="357" w:type="pct"/>
          </w:tcPr>
          <w:p w14:paraId="5D10728C"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14</w:t>
            </w:r>
          </w:p>
        </w:tc>
        <w:tc>
          <w:tcPr>
            <w:tcW w:w="689" w:type="pct"/>
            <w:vAlign w:val="bottom"/>
          </w:tcPr>
          <w:p w14:paraId="5B075806"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Central</w:t>
            </w:r>
          </w:p>
        </w:tc>
        <w:tc>
          <w:tcPr>
            <w:tcW w:w="1000" w:type="pct"/>
            <w:vAlign w:val="bottom"/>
          </w:tcPr>
          <w:p w14:paraId="43C8BEFD"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Mfantsiman</w:t>
            </w:r>
          </w:p>
        </w:tc>
        <w:tc>
          <w:tcPr>
            <w:tcW w:w="935" w:type="pct"/>
            <w:vAlign w:val="bottom"/>
          </w:tcPr>
          <w:p w14:paraId="0753BD77"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158,033</w:t>
            </w:r>
          </w:p>
        </w:tc>
        <w:tc>
          <w:tcPr>
            <w:tcW w:w="629" w:type="pct"/>
            <w:vAlign w:val="bottom"/>
          </w:tcPr>
          <w:p w14:paraId="329831A2"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102,721</w:t>
            </w:r>
          </w:p>
        </w:tc>
        <w:tc>
          <w:tcPr>
            <w:tcW w:w="659" w:type="pct"/>
            <w:vAlign w:val="bottom"/>
          </w:tcPr>
          <w:p w14:paraId="13B4DE8F"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65%</w:t>
            </w:r>
          </w:p>
        </w:tc>
        <w:tc>
          <w:tcPr>
            <w:tcW w:w="732" w:type="pct"/>
            <w:vAlign w:val="bottom"/>
          </w:tcPr>
          <w:p w14:paraId="1CCACB19" w14:textId="77777777" w:rsidR="006426BB" w:rsidRPr="006426BB" w:rsidRDefault="006426BB" w:rsidP="006426BB">
            <w:pPr>
              <w:widowControl w:val="0"/>
              <w:autoSpaceDE w:val="0"/>
              <w:autoSpaceDN w:val="0"/>
              <w:adjustRightInd w:val="0"/>
              <w:spacing w:after="0" w:line="240" w:lineRule="auto"/>
              <w:jc w:val="right"/>
              <w:rPr>
                <w:rFonts w:ascii="Calibri" w:eastAsia="Times New Roman" w:hAnsi="Calibri" w:cs="Calibri"/>
                <w:color w:val="000000"/>
                <w:sz w:val="20"/>
                <w:szCs w:val="20"/>
              </w:rPr>
            </w:pPr>
            <w:r w:rsidRPr="006426BB">
              <w:rPr>
                <w:rFonts w:ascii="Calibri" w:eastAsia="Malgun Gothic" w:hAnsi="Calibri" w:cs="Calibri"/>
                <w:color w:val="000000"/>
                <w:sz w:val="20"/>
                <w:szCs w:val="20"/>
              </w:rPr>
              <w:t xml:space="preserve">1,540,822 </w:t>
            </w:r>
          </w:p>
        </w:tc>
      </w:tr>
      <w:tr w:rsidR="006426BB" w:rsidRPr="006426BB" w14:paraId="690B9031" w14:textId="77777777" w:rsidTr="006426BB">
        <w:tc>
          <w:tcPr>
            <w:tcW w:w="357" w:type="pct"/>
          </w:tcPr>
          <w:p w14:paraId="2D13DF1A"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15</w:t>
            </w:r>
          </w:p>
        </w:tc>
        <w:tc>
          <w:tcPr>
            <w:tcW w:w="689" w:type="pct"/>
            <w:vAlign w:val="bottom"/>
          </w:tcPr>
          <w:p w14:paraId="6E62A2A9"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Brong Ahafo</w:t>
            </w:r>
          </w:p>
        </w:tc>
        <w:tc>
          <w:tcPr>
            <w:tcW w:w="1000" w:type="pct"/>
            <w:vAlign w:val="bottom"/>
          </w:tcPr>
          <w:p w14:paraId="590732C4"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 xml:space="preserve">Techiman </w:t>
            </w:r>
          </w:p>
        </w:tc>
        <w:tc>
          <w:tcPr>
            <w:tcW w:w="935" w:type="pct"/>
            <w:vAlign w:val="bottom"/>
          </w:tcPr>
          <w:p w14:paraId="04336F56"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178,691</w:t>
            </w:r>
          </w:p>
        </w:tc>
        <w:tc>
          <w:tcPr>
            <w:tcW w:w="629" w:type="pct"/>
            <w:vAlign w:val="bottom"/>
          </w:tcPr>
          <w:p w14:paraId="4442D975"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114,362</w:t>
            </w:r>
          </w:p>
        </w:tc>
        <w:tc>
          <w:tcPr>
            <w:tcW w:w="659" w:type="pct"/>
            <w:vAlign w:val="bottom"/>
          </w:tcPr>
          <w:p w14:paraId="539D4594"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64%</w:t>
            </w:r>
          </w:p>
        </w:tc>
        <w:tc>
          <w:tcPr>
            <w:tcW w:w="732" w:type="pct"/>
            <w:vAlign w:val="bottom"/>
          </w:tcPr>
          <w:p w14:paraId="53832411" w14:textId="77777777" w:rsidR="006426BB" w:rsidRPr="006426BB" w:rsidRDefault="006426BB" w:rsidP="006426BB">
            <w:pPr>
              <w:widowControl w:val="0"/>
              <w:autoSpaceDE w:val="0"/>
              <w:autoSpaceDN w:val="0"/>
              <w:adjustRightInd w:val="0"/>
              <w:spacing w:after="0" w:line="240" w:lineRule="auto"/>
              <w:jc w:val="right"/>
              <w:rPr>
                <w:rFonts w:ascii="Calibri" w:eastAsia="Times New Roman" w:hAnsi="Calibri" w:cs="Calibri"/>
                <w:color w:val="000000"/>
                <w:sz w:val="20"/>
                <w:szCs w:val="20"/>
              </w:rPr>
            </w:pPr>
            <w:r w:rsidRPr="006426BB">
              <w:rPr>
                <w:rFonts w:ascii="Calibri" w:eastAsia="Malgun Gothic" w:hAnsi="Calibri" w:cs="Calibri"/>
                <w:color w:val="000000"/>
                <w:sz w:val="20"/>
                <w:szCs w:val="20"/>
              </w:rPr>
              <w:t xml:space="preserve">1,715,434 </w:t>
            </w:r>
          </w:p>
        </w:tc>
      </w:tr>
      <w:tr w:rsidR="006426BB" w:rsidRPr="006426BB" w14:paraId="0869D802" w14:textId="77777777" w:rsidTr="006426BB">
        <w:tc>
          <w:tcPr>
            <w:tcW w:w="357" w:type="pct"/>
          </w:tcPr>
          <w:p w14:paraId="7BA796D7"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16</w:t>
            </w:r>
          </w:p>
        </w:tc>
        <w:tc>
          <w:tcPr>
            <w:tcW w:w="689" w:type="pct"/>
            <w:vAlign w:val="bottom"/>
          </w:tcPr>
          <w:p w14:paraId="6752BDA6"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Upper East</w:t>
            </w:r>
          </w:p>
        </w:tc>
        <w:tc>
          <w:tcPr>
            <w:tcW w:w="1000" w:type="pct"/>
            <w:vAlign w:val="bottom"/>
          </w:tcPr>
          <w:p w14:paraId="6C4279C5"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 xml:space="preserve">Bawku </w:t>
            </w:r>
          </w:p>
        </w:tc>
        <w:tc>
          <w:tcPr>
            <w:tcW w:w="935" w:type="pct"/>
            <w:vAlign w:val="bottom"/>
          </w:tcPr>
          <w:p w14:paraId="4D466D0E"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116,912</w:t>
            </w:r>
          </w:p>
        </w:tc>
        <w:tc>
          <w:tcPr>
            <w:tcW w:w="629" w:type="pct"/>
            <w:vAlign w:val="bottom"/>
          </w:tcPr>
          <w:p w14:paraId="21D2A0E8"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74,824</w:t>
            </w:r>
          </w:p>
        </w:tc>
        <w:tc>
          <w:tcPr>
            <w:tcW w:w="659" w:type="pct"/>
            <w:vAlign w:val="bottom"/>
          </w:tcPr>
          <w:p w14:paraId="2873B08F"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64%</w:t>
            </w:r>
          </w:p>
        </w:tc>
        <w:tc>
          <w:tcPr>
            <w:tcW w:w="732" w:type="pct"/>
            <w:vAlign w:val="bottom"/>
          </w:tcPr>
          <w:p w14:paraId="79493457" w14:textId="77777777" w:rsidR="006426BB" w:rsidRPr="006426BB" w:rsidRDefault="006426BB" w:rsidP="006426BB">
            <w:pPr>
              <w:widowControl w:val="0"/>
              <w:autoSpaceDE w:val="0"/>
              <w:autoSpaceDN w:val="0"/>
              <w:adjustRightInd w:val="0"/>
              <w:spacing w:after="0" w:line="240" w:lineRule="auto"/>
              <w:jc w:val="right"/>
              <w:rPr>
                <w:rFonts w:ascii="Calibri" w:eastAsia="Times New Roman" w:hAnsi="Calibri" w:cs="Calibri"/>
                <w:color w:val="000000"/>
                <w:sz w:val="20"/>
                <w:szCs w:val="20"/>
              </w:rPr>
            </w:pPr>
            <w:r w:rsidRPr="006426BB">
              <w:rPr>
                <w:rFonts w:ascii="Calibri" w:eastAsia="Malgun Gothic" w:hAnsi="Calibri" w:cs="Calibri"/>
                <w:color w:val="000000"/>
                <w:sz w:val="20"/>
                <w:szCs w:val="20"/>
              </w:rPr>
              <w:t xml:space="preserve">1,122,355 </w:t>
            </w:r>
          </w:p>
        </w:tc>
      </w:tr>
      <w:tr w:rsidR="006426BB" w:rsidRPr="006426BB" w14:paraId="25ADC471" w14:textId="77777777" w:rsidTr="006426BB">
        <w:tc>
          <w:tcPr>
            <w:tcW w:w="357" w:type="pct"/>
          </w:tcPr>
          <w:p w14:paraId="5F907581"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17</w:t>
            </w:r>
          </w:p>
        </w:tc>
        <w:tc>
          <w:tcPr>
            <w:tcW w:w="689" w:type="pct"/>
            <w:vAlign w:val="bottom"/>
          </w:tcPr>
          <w:p w14:paraId="43F8B938"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Northern</w:t>
            </w:r>
          </w:p>
        </w:tc>
        <w:tc>
          <w:tcPr>
            <w:tcW w:w="1000" w:type="pct"/>
            <w:vAlign w:val="bottom"/>
          </w:tcPr>
          <w:p w14:paraId="37E66DA4"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 xml:space="preserve">Sagnerigu </w:t>
            </w:r>
          </w:p>
        </w:tc>
        <w:tc>
          <w:tcPr>
            <w:tcW w:w="935" w:type="pct"/>
            <w:vAlign w:val="bottom"/>
          </w:tcPr>
          <w:p w14:paraId="1E08ED52"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175,321</w:t>
            </w:r>
          </w:p>
        </w:tc>
        <w:tc>
          <w:tcPr>
            <w:tcW w:w="629" w:type="pct"/>
            <w:vAlign w:val="bottom"/>
          </w:tcPr>
          <w:p w14:paraId="578513DE"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110,452</w:t>
            </w:r>
          </w:p>
        </w:tc>
        <w:tc>
          <w:tcPr>
            <w:tcW w:w="659" w:type="pct"/>
            <w:vAlign w:val="bottom"/>
          </w:tcPr>
          <w:p w14:paraId="27580484"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63%</w:t>
            </w:r>
          </w:p>
        </w:tc>
        <w:tc>
          <w:tcPr>
            <w:tcW w:w="732" w:type="pct"/>
            <w:vAlign w:val="bottom"/>
          </w:tcPr>
          <w:p w14:paraId="76B1FFC3" w14:textId="77777777" w:rsidR="006426BB" w:rsidRPr="006426BB" w:rsidRDefault="006426BB" w:rsidP="006426BB">
            <w:pPr>
              <w:widowControl w:val="0"/>
              <w:autoSpaceDE w:val="0"/>
              <w:autoSpaceDN w:val="0"/>
              <w:adjustRightInd w:val="0"/>
              <w:spacing w:after="0" w:line="240" w:lineRule="auto"/>
              <w:jc w:val="right"/>
              <w:rPr>
                <w:rFonts w:ascii="Calibri" w:eastAsia="Times New Roman" w:hAnsi="Calibri" w:cs="Calibri"/>
                <w:color w:val="000000"/>
                <w:sz w:val="20"/>
                <w:szCs w:val="20"/>
              </w:rPr>
            </w:pPr>
            <w:r w:rsidRPr="006426BB">
              <w:rPr>
                <w:rFonts w:ascii="Calibri" w:eastAsia="Malgun Gothic" w:hAnsi="Calibri" w:cs="Calibri"/>
                <w:color w:val="000000"/>
                <w:sz w:val="20"/>
                <w:szCs w:val="20"/>
              </w:rPr>
              <w:t xml:space="preserve">1,656,783 </w:t>
            </w:r>
          </w:p>
        </w:tc>
      </w:tr>
      <w:tr w:rsidR="006426BB" w:rsidRPr="006426BB" w14:paraId="33308465" w14:textId="77777777" w:rsidTr="006426BB">
        <w:tc>
          <w:tcPr>
            <w:tcW w:w="357" w:type="pct"/>
          </w:tcPr>
          <w:p w14:paraId="1655EC69"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18</w:t>
            </w:r>
          </w:p>
        </w:tc>
        <w:tc>
          <w:tcPr>
            <w:tcW w:w="689" w:type="pct"/>
            <w:vAlign w:val="bottom"/>
          </w:tcPr>
          <w:p w14:paraId="795B24F3"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Volta</w:t>
            </w:r>
          </w:p>
        </w:tc>
        <w:tc>
          <w:tcPr>
            <w:tcW w:w="1000" w:type="pct"/>
            <w:vAlign w:val="bottom"/>
          </w:tcPr>
          <w:p w14:paraId="38A56FF2"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Ho</w:t>
            </w:r>
          </w:p>
        </w:tc>
        <w:tc>
          <w:tcPr>
            <w:tcW w:w="935" w:type="pct"/>
            <w:vAlign w:val="bottom"/>
          </w:tcPr>
          <w:p w14:paraId="3DC45F85"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213,960</w:t>
            </w:r>
          </w:p>
        </w:tc>
        <w:tc>
          <w:tcPr>
            <w:tcW w:w="629" w:type="pct"/>
            <w:vAlign w:val="bottom"/>
          </w:tcPr>
          <w:p w14:paraId="31914B88"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132,655</w:t>
            </w:r>
          </w:p>
        </w:tc>
        <w:tc>
          <w:tcPr>
            <w:tcW w:w="659" w:type="pct"/>
            <w:vAlign w:val="bottom"/>
          </w:tcPr>
          <w:p w14:paraId="2E0B6E8F"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62%</w:t>
            </w:r>
          </w:p>
        </w:tc>
        <w:tc>
          <w:tcPr>
            <w:tcW w:w="732" w:type="pct"/>
            <w:vAlign w:val="bottom"/>
          </w:tcPr>
          <w:p w14:paraId="079D28BD" w14:textId="77777777" w:rsidR="006426BB" w:rsidRPr="006426BB" w:rsidRDefault="006426BB" w:rsidP="006426BB">
            <w:pPr>
              <w:widowControl w:val="0"/>
              <w:autoSpaceDE w:val="0"/>
              <w:autoSpaceDN w:val="0"/>
              <w:adjustRightInd w:val="0"/>
              <w:spacing w:after="0" w:line="240" w:lineRule="auto"/>
              <w:jc w:val="right"/>
              <w:rPr>
                <w:rFonts w:ascii="Calibri" w:eastAsia="Times New Roman" w:hAnsi="Calibri" w:cs="Calibri"/>
                <w:color w:val="000000"/>
                <w:sz w:val="20"/>
                <w:szCs w:val="20"/>
              </w:rPr>
            </w:pPr>
            <w:r w:rsidRPr="006426BB">
              <w:rPr>
                <w:rFonts w:ascii="Calibri" w:eastAsia="Malgun Gothic" w:hAnsi="Calibri" w:cs="Calibri"/>
                <w:color w:val="000000"/>
                <w:sz w:val="20"/>
                <w:szCs w:val="20"/>
              </w:rPr>
              <w:t xml:space="preserve">1,989,828 </w:t>
            </w:r>
          </w:p>
        </w:tc>
      </w:tr>
      <w:tr w:rsidR="006426BB" w:rsidRPr="006426BB" w14:paraId="5F7FFEB7" w14:textId="77777777" w:rsidTr="006426BB">
        <w:tc>
          <w:tcPr>
            <w:tcW w:w="357" w:type="pct"/>
          </w:tcPr>
          <w:p w14:paraId="6753F732"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19</w:t>
            </w:r>
          </w:p>
        </w:tc>
        <w:tc>
          <w:tcPr>
            <w:tcW w:w="689" w:type="pct"/>
            <w:vAlign w:val="bottom"/>
          </w:tcPr>
          <w:p w14:paraId="1B3F3792"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Eastern</w:t>
            </w:r>
          </w:p>
        </w:tc>
        <w:tc>
          <w:tcPr>
            <w:tcW w:w="1000" w:type="pct"/>
            <w:vAlign w:val="bottom"/>
          </w:tcPr>
          <w:p w14:paraId="63439FEC"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color w:val="000000"/>
                <w:sz w:val="20"/>
                <w:szCs w:val="20"/>
              </w:rPr>
            </w:pPr>
            <w:r w:rsidRPr="006426BB">
              <w:rPr>
                <w:rFonts w:ascii="Calibri" w:eastAsia="Malgun Gothic" w:hAnsi="Calibri" w:cs="Calibri"/>
                <w:color w:val="000000"/>
                <w:sz w:val="20"/>
                <w:szCs w:val="20"/>
              </w:rPr>
              <w:t>East Akim (Abuakwa South)</w:t>
            </w:r>
          </w:p>
        </w:tc>
        <w:tc>
          <w:tcPr>
            <w:tcW w:w="935" w:type="pct"/>
            <w:vAlign w:val="bottom"/>
          </w:tcPr>
          <w:p w14:paraId="345B104E"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203,403</w:t>
            </w:r>
          </w:p>
        </w:tc>
        <w:tc>
          <w:tcPr>
            <w:tcW w:w="629" w:type="pct"/>
            <w:vAlign w:val="bottom"/>
          </w:tcPr>
          <w:p w14:paraId="248D4592"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122,042</w:t>
            </w:r>
          </w:p>
        </w:tc>
        <w:tc>
          <w:tcPr>
            <w:tcW w:w="659" w:type="pct"/>
            <w:vAlign w:val="bottom"/>
          </w:tcPr>
          <w:p w14:paraId="5AB2C595"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color w:val="000000"/>
                <w:sz w:val="20"/>
                <w:szCs w:val="20"/>
              </w:rPr>
            </w:pPr>
            <w:r w:rsidRPr="006426BB">
              <w:rPr>
                <w:rFonts w:ascii="Calibri" w:eastAsia="Malgun Gothic" w:hAnsi="Calibri" w:cs="Calibri"/>
                <w:color w:val="000000"/>
                <w:sz w:val="20"/>
                <w:szCs w:val="20"/>
              </w:rPr>
              <w:t>60%</w:t>
            </w:r>
          </w:p>
        </w:tc>
        <w:tc>
          <w:tcPr>
            <w:tcW w:w="732" w:type="pct"/>
            <w:vAlign w:val="bottom"/>
          </w:tcPr>
          <w:p w14:paraId="1752D347" w14:textId="77777777" w:rsidR="006426BB" w:rsidRPr="006426BB" w:rsidRDefault="006426BB" w:rsidP="006426BB">
            <w:pPr>
              <w:widowControl w:val="0"/>
              <w:autoSpaceDE w:val="0"/>
              <w:autoSpaceDN w:val="0"/>
              <w:adjustRightInd w:val="0"/>
              <w:spacing w:after="0" w:line="240" w:lineRule="auto"/>
              <w:jc w:val="right"/>
              <w:rPr>
                <w:rFonts w:ascii="Calibri" w:eastAsia="Times New Roman" w:hAnsi="Calibri" w:cs="Calibri"/>
                <w:color w:val="000000"/>
                <w:sz w:val="20"/>
                <w:szCs w:val="20"/>
              </w:rPr>
            </w:pPr>
            <w:r w:rsidRPr="006426BB">
              <w:rPr>
                <w:rFonts w:ascii="Calibri" w:eastAsia="Malgun Gothic" w:hAnsi="Calibri" w:cs="Calibri"/>
                <w:color w:val="000000"/>
                <w:sz w:val="20"/>
                <w:szCs w:val="20"/>
              </w:rPr>
              <w:t xml:space="preserve">1,830,627 </w:t>
            </w:r>
          </w:p>
        </w:tc>
      </w:tr>
      <w:tr w:rsidR="006426BB" w:rsidRPr="006426BB" w14:paraId="5C7FF758" w14:textId="77777777" w:rsidTr="006426BB">
        <w:tc>
          <w:tcPr>
            <w:tcW w:w="357" w:type="pct"/>
            <w:shd w:val="clear" w:color="auto" w:fill="C5E0B3"/>
          </w:tcPr>
          <w:p w14:paraId="4C5BADF6" w14:textId="77777777" w:rsidR="006426BB" w:rsidRPr="006426BB" w:rsidRDefault="006426BB" w:rsidP="006426BB">
            <w:pPr>
              <w:widowControl w:val="0"/>
              <w:autoSpaceDE w:val="0"/>
              <w:autoSpaceDN w:val="0"/>
              <w:adjustRightInd w:val="0"/>
              <w:spacing w:after="0" w:line="240" w:lineRule="auto"/>
              <w:jc w:val="both"/>
              <w:rPr>
                <w:rFonts w:ascii="Calibri" w:eastAsia="Malgun Gothic" w:hAnsi="Calibri" w:cs="Calibri"/>
                <w:b/>
                <w:color w:val="000000"/>
                <w:sz w:val="20"/>
                <w:szCs w:val="20"/>
              </w:rPr>
            </w:pPr>
            <w:r w:rsidRPr="006426BB">
              <w:rPr>
                <w:rFonts w:ascii="Calibri" w:eastAsia="Malgun Gothic" w:hAnsi="Calibri" w:cs="Calibri"/>
                <w:b/>
                <w:color w:val="000000"/>
                <w:sz w:val="20"/>
                <w:szCs w:val="20"/>
              </w:rPr>
              <w:t>Total</w:t>
            </w:r>
          </w:p>
        </w:tc>
        <w:tc>
          <w:tcPr>
            <w:tcW w:w="689" w:type="pct"/>
            <w:shd w:val="clear" w:color="auto" w:fill="C5E0B3"/>
          </w:tcPr>
          <w:p w14:paraId="742D9D64"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b/>
                <w:color w:val="000000"/>
                <w:sz w:val="20"/>
                <w:szCs w:val="20"/>
              </w:rPr>
            </w:pPr>
            <w:r w:rsidRPr="006426BB">
              <w:rPr>
                <w:rFonts w:ascii="Calibri" w:eastAsia="Malgun Gothic" w:hAnsi="Calibri" w:cs="Calibri"/>
                <w:b/>
                <w:color w:val="000000"/>
                <w:sz w:val="20"/>
                <w:szCs w:val="20"/>
              </w:rPr>
              <w:t>9</w:t>
            </w:r>
          </w:p>
        </w:tc>
        <w:tc>
          <w:tcPr>
            <w:tcW w:w="1000" w:type="pct"/>
            <w:shd w:val="clear" w:color="auto" w:fill="C5E0B3"/>
          </w:tcPr>
          <w:p w14:paraId="14FBFC2B"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b/>
                <w:color w:val="000000"/>
                <w:sz w:val="20"/>
                <w:szCs w:val="20"/>
              </w:rPr>
            </w:pPr>
            <w:r w:rsidRPr="006426BB">
              <w:rPr>
                <w:rFonts w:ascii="Calibri" w:eastAsia="Malgun Gothic" w:hAnsi="Calibri" w:cs="Calibri"/>
                <w:b/>
                <w:color w:val="000000"/>
                <w:sz w:val="20"/>
                <w:szCs w:val="20"/>
              </w:rPr>
              <w:t>19</w:t>
            </w:r>
          </w:p>
        </w:tc>
        <w:tc>
          <w:tcPr>
            <w:tcW w:w="935" w:type="pct"/>
            <w:shd w:val="clear" w:color="auto" w:fill="C5E0B3"/>
          </w:tcPr>
          <w:p w14:paraId="2205B465"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b/>
                <w:color w:val="000000"/>
                <w:sz w:val="20"/>
                <w:szCs w:val="20"/>
              </w:rPr>
            </w:pPr>
            <w:r w:rsidRPr="006426BB">
              <w:rPr>
                <w:rFonts w:ascii="Calibri" w:eastAsia="Malgun Gothic" w:hAnsi="Calibri" w:cs="Calibri"/>
                <w:b/>
                <w:color w:val="000000"/>
                <w:sz w:val="20"/>
                <w:szCs w:val="20"/>
              </w:rPr>
              <w:fldChar w:fldCharType="begin"/>
            </w:r>
            <w:r w:rsidRPr="006426BB">
              <w:rPr>
                <w:rFonts w:ascii="Calibri" w:eastAsia="Malgun Gothic" w:hAnsi="Calibri" w:cs="Calibri"/>
                <w:b/>
                <w:color w:val="000000"/>
                <w:sz w:val="20"/>
                <w:szCs w:val="20"/>
              </w:rPr>
              <w:instrText xml:space="preserve"> =SUM(ABOVE) </w:instrText>
            </w:r>
            <w:r w:rsidRPr="006426BB">
              <w:rPr>
                <w:rFonts w:ascii="Calibri" w:eastAsia="Malgun Gothic" w:hAnsi="Calibri" w:cs="Calibri"/>
                <w:b/>
                <w:color w:val="000000"/>
                <w:sz w:val="20"/>
                <w:szCs w:val="20"/>
              </w:rPr>
              <w:fldChar w:fldCharType="separate"/>
            </w:r>
            <w:r w:rsidRPr="006426BB">
              <w:rPr>
                <w:rFonts w:ascii="Calibri" w:eastAsia="Malgun Gothic" w:hAnsi="Calibri" w:cs="Calibri"/>
                <w:b/>
                <w:noProof/>
                <w:color w:val="000000"/>
                <w:sz w:val="20"/>
                <w:szCs w:val="20"/>
              </w:rPr>
              <w:t>3,207,923</w:t>
            </w:r>
            <w:r w:rsidRPr="006426BB">
              <w:rPr>
                <w:rFonts w:ascii="Calibri" w:eastAsia="Malgun Gothic" w:hAnsi="Calibri" w:cs="Calibri"/>
                <w:b/>
                <w:color w:val="000000"/>
                <w:sz w:val="20"/>
                <w:szCs w:val="20"/>
              </w:rPr>
              <w:fldChar w:fldCharType="end"/>
            </w:r>
          </w:p>
        </w:tc>
        <w:tc>
          <w:tcPr>
            <w:tcW w:w="629" w:type="pct"/>
            <w:shd w:val="clear" w:color="auto" w:fill="C5E0B3"/>
          </w:tcPr>
          <w:p w14:paraId="4FE65810"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b/>
                <w:color w:val="000000"/>
                <w:sz w:val="20"/>
                <w:szCs w:val="20"/>
              </w:rPr>
            </w:pPr>
            <w:r w:rsidRPr="006426BB">
              <w:rPr>
                <w:rFonts w:ascii="Calibri" w:eastAsia="Malgun Gothic" w:hAnsi="Calibri" w:cs="Calibri"/>
                <w:b/>
                <w:color w:val="000000"/>
                <w:sz w:val="20"/>
                <w:szCs w:val="20"/>
              </w:rPr>
              <w:fldChar w:fldCharType="begin"/>
            </w:r>
            <w:r w:rsidRPr="006426BB">
              <w:rPr>
                <w:rFonts w:ascii="Calibri" w:eastAsia="Malgun Gothic" w:hAnsi="Calibri" w:cs="Calibri"/>
                <w:b/>
                <w:color w:val="000000"/>
                <w:sz w:val="20"/>
                <w:szCs w:val="20"/>
              </w:rPr>
              <w:instrText xml:space="preserve"> =SUM(ABOVE) </w:instrText>
            </w:r>
            <w:r w:rsidRPr="006426BB">
              <w:rPr>
                <w:rFonts w:ascii="Calibri" w:eastAsia="Malgun Gothic" w:hAnsi="Calibri" w:cs="Calibri"/>
                <w:b/>
                <w:color w:val="000000"/>
                <w:sz w:val="20"/>
                <w:szCs w:val="20"/>
              </w:rPr>
              <w:fldChar w:fldCharType="separate"/>
            </w:r>
            <w:r w:rsidRPr="006426BB">
              <w:rPr>
                <w:rFonts w:ascii="Calibri" w:eastAsia="Malgun Gothic" w:hAnsi="Calibri" w:cs="Calibri"/>
                <w:b/>
                <w:noProof/>
                <w:color w:val="000000"/>
                <w:sz w:val="20"/>
                <w:szCs w:val="20"/>
              </w:rPr>
              <w:t>2,533,146</w:t>
            </w:r>
            <w:r w:rsidRPr="006426BB">
              <w:rPr>
                <w:rFonts w:ascii="Calibri" w:eastAsia="Malgun Gothic" w:hAnsi="Calibri" w:cs="Calibri"/>
                <w:b/>
                <w:color w:val="000000"/>
                <w:sz w:val="20"/>
                <w:szCs w:val="20"/>
              </w:rPr>
              <w:fldChar w:fldCharType="end"/>
            </w:r>
          </w:p>
        </w:tc>
        <w:tc>
          <w:tcPr>
            <w:tcW w:w="659" w:type="pct"/>
            <w:shd w:val="clear" w:color="auto" w:fill="C5E0B3"/>
          </w:tcPr>
          <w:p w14:paraId="52CD41B1"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b/>
                <w:color w:val="000000"/>
                <w:sz w:val="20"/>
                <w:szCs w:val="20"/>
              </w:rPr>
            </w:pPr>
          </w:p>
        </w:tc>
        <w:tc>
          <w:tcPr>
            <w:tcW w:w="732" w:type="pct"/>
            <w:shd w:val="clear" w:color="auto" w:fill="C5E0B3"/>
          </w:tcPr>
          <w:p w14:paraId="275E0203" w14:textId="77777777" w:rsidR="006426BB" w:rsidRPr="006426BB" w:rsidRDefault="006426BB" w:rsidP="006426BB">
            <w:pPr>
              <w:widowControl w:val="0"/>
              <w:autoSpaceDE w:val="0"/>
              <w:autoSpaceDN w:val="0"/>
              <w:adjustRightInd w:val="0"/>
              <w:spacing w:after="0" w:line="240" w:lineRule="auto"/>
              <w:jc w:val="right"/>
              <w:rPr>
                <w:rFonts w:ascii="Calibri" w:eastAsia="Malgun Gothic" w:hAnsi="Calibri" w:cs="Calibri"/>
                <w:b/>
                <w:color w:val="000000"/>
                <w:sz w:val="20"/>
                <w:szCs w:val="20"/>
              </w:rPr>
            </w:pPr>
            <w:r w:rsidRPr="006426BB">
              <w:rPr>
                <w:rFonts w:ascii="Calibri" w:eastAsia="Malgun Gothic" w:hAnsi="Calibri" w:cs="Calibri"/>
                <w:b/>
                <w:color w:val="000000"/>
                <w:sz w:val="20"/>
                <w:szCs w:val="20"/>
              </w:rPr>
              <w:fldChar w:fldCharType="begin"/>
            </w:r>
            <w:r w:rsidRPr="006426BB">
              <w:rPr>
                <w:rFonts w:ascii="Calibri" w:eastAsia="Malgun Gothic" w:hAnsi="Calibri" w:cs="Calibri"/>
                <w:b/>
                <w:color w:val="000000"/>
                <w:sz w:val="20"/>
                <w:szCs w:val="20"/>
              </w:rPr>
              <w:instrText xml:space="preserve"> =SUM(ABOVE) </w:instrText>
            </w:r>
            <w:r w:rsidRPr="006426BB">
              <w:rPr>
                <w:rFonts w:ascii="Calibri" w:eastAsia="Malgun Gothic" w:hAnsi="Calibri" w:cs="Calibri"/>
                <w:b/>
                <w:color w:val="000000"/>
                <w:sz w:val="20"/>
                <w:szCs w:val="20"/>
              </w:rPr>
              <w:fldChar w:fldCharType="separate"/>
            </w:r>
            <w:r w:rsidRPr="006426BB">
              <w:rPr>
                <w:rFonts w:ascii="Calibri" w:eastAsia="Malgun Gothic" w:hAnsi="Calibri" w:cs="Calibri"/>
                <w:b/>
                <w:noProof/>
                <w:color w:val="000000"/>
                <w:sz w:val="20"/>
                <w:szCs w:val="20"/>
              </w:rPr>
              <w:t>37,997,203</w:t>
            </w:r>
            <w:r w:rsidRPr="006426BB">
              <w:rPr>
                <w:rFonts w:ascii="Calibri" w:eastAsia="Malgun Gothic" w:hAnsi="Calibri" w:cs="Calibri"/>
                <w:b/>
                <w:color w:val="000000"/>
                <w:sz w:val="20"/>
                <w:szCs w:val="20"/>
              </w:rPr>
              <w:fldChar w:fldCharType="end"/>
            </w:r>
          </w:p>
        </w:tc>
      </w:tr>
      <w:bookmarkEnd w:id="7"/>
    </w:tbl>
    <w:p w14:paraId="0800B57E" w14:textId="77777777" w:rsidR="006426BB" w:rsidRPr="00A33BE6" w:rsidRDefault="006426BB" w:rsidP="004A2883">
      <w:pPr>
        <w:spacing w:after="0" w:line="240" w:lineRule="auto"/>
        <w:jc w:val="both"/>
        <w:rPr>
          <w:rFonts w:ascii="Times New Roman" w:hAnsi="Times New Roman" w:cs="Times New Roman"/>
        </w:rPr>
      </w:pPr>
    </w:p>
    <w:p w14:paraId="1D236FA0" w14:textId="77777777" w:rsidR="004A2883" w:rsidRPr="00C30A6B" w:rsidRDefault="004A2883" w:rsidP="00CB2188">
      <w:pPr>
        <w:pStyle w:val="ListParagraph"/>
        <w:spacing w:after="200" w:line="240" w:lineRule="auto"/>
        <w:ind w:left="0"/>
        <w:jc w:val="both"/>
        <w:rPr>
          <w:rFonts w:ascii="Times New Roman" w:hAnsi="Times New Roman" w:cs="Times New Roman"/>
        </w:rPr>
      </w:pPr>
      <w:r w:rsidRPr="00C30A6B">
        <w:rPr>
          <w:rFonts w:ascii="Times New Roman" w:hAnsi="Times New Roman" w:cs="Times New Roman"/>
          <w:b/>
        </w:rPr>
        <w:t xml:space="preserve">Minimum Conditions (MCs) </w:t>
      </w:r>
      <w:r w:rsidRPr="00C30A6B">
        <w:rPr>
          <w:rFonts w:ascii="Times New Roman" w:hAnsi="Times New Roman" w:cs="Times New Roman"/>
          <w:b/>
          <w:i/>
        </w:rPr>
        <w:t xml:space="preserve">- </w:t>
      </w:r>
      <w:r w:rsidRPr="00C30A6B">
        <w:rPr>
          <w:rFonts w:ascii="Times New Roman" w:hAnsi="Times New Roman" w:cs="Times New Roman"/>
          <w:b/>
        </w:rPr>
        <w:t>In order to qualify for UDG, eligible MAs will need to comply with UDG MCs, which set basic benchmarks for qualification</w:t>
      </w:r>
      <w:r w:rsidRPr="00C30A6B">
        <w:rPr>
          <w:rFonts w:ascii="Times New Roman" w:hAnsi="Times New Roman" w:cs="Times New Roman"/>
        </w:rPr>
        <w:t xml:space="preserve">. There are two MCs that need to be complied with, as shown in the table below. Eligible MAs will need to comply with all three MCs in order to qualify for their annual UDGs. </w:t>
      </w:r>
      <w:r w:rsidRPr="00C30A6B">
        <w:rPr>
          <w:rFonts w:ascii="Times New Roman" w:hAnsi="Times New Roman" w:cs="Times New Roman"/>
          <w:color w:val="000000" w:themeColor="text1"/>
        </w:rPr>
        <w:t>MAs that meet the MCs will get 20 percent of their UDG IPF.</w:t>
      </w:r>
    </w:p>
    <w:p w14:paraId="737E10DB" w14:textId="77777777" w:rsidR="004A2883" w:rsidRPr="00C01613" w:rsidRDefault="004A2883" w:rsidP="004A2883">
      <w:pPr>
        <w:spacing w:after="0" w:line="240" w:lineRule="auto"/>
        <w:rPr>
          <w:rFonts w:ascii="Times New Roman" w:hAnsi="Times New Roman" w:cs="Times New Roman"/>
          <w:b/>
        </w:rPr>
      </w:pPr>
      <w:r w:rsidRPr="00C01613">
        <w:rPr>
          <w:rFonts w:ascii="Times New Roman" w:hAnsi="Times New Roman" w:cs="Times New Roman"/>
          <w:b/>
        </w:rPr>
        <w:t>Table</w:t>
      </w:r>
      <w:r>
        <w:rPr>
          <w:rFonts w:ascii="Times New Roman" w:hAnsi="Times New Roman" w:cs="Times New Roman"/>
          <w:b/>
        </w:rPr>
        <w:t xml:space="preserve"> 4:</w:t>
      </w:r>
      <w:r>
        <w:rPr>
          <w:rFonts w:ascii="Times New Roman" w:hAnsi="Times New Roman" w:cs="Times New Roman"/>
          <w:b/>
        </w:rPr>
        <w:tab/>
      </w:r>
      <w:r w:rsidRPr="00C01613">
        <w:rPr>
          <w:rFonts w:ascii="Times New Roman" w:hAnsi="Times New Roman" w:cs="Times New Roman"/>
          <w:b/>
        </w:rPr>
        <w:t>UDGs – Minimum Conditions</w:t>
      </w:r>
    </w:p>
    <w:p w14:paraId="4659A98E" w14:textId="77777777" w:rsidR="004A2883" w:rsidRPr="00A33BE6" w:rsidRDefault="004A2883" w:rsidP="004A2883">
      <w:pPr>
        <w:spacing w:after="0" w:line="240" w:lineRule="auto"/>
        <w:rPr>
          <w:rFonts w:ascii="Times New Roman" w:hAnsi="Times New Roman" w:cs="Times New Roman"/>
        </w:rPr>
      </w:pPr>
    </w:p>
    <w:tbl>
      <w:tblPr>
        <w:tblStyle w:val="TableGrid2"/>
        <w:tblW w:w="0" w:type="auto"/>
        <w:tblLook w:val="04A0" w:firstRow="1" w:lastRow="0" w:firstColumn="1" w:lastColumn="0" w:noHBand="0" w:noVBand="1"/>
      </w:tblPr>
      <w:tblGrid>
        <w:gridCol w:w="4669"/>
        <w:gridCol w:w="4681"/>
      </w:tblGrid>
      <w:tr w:rsidR="004A2883" w:rsidRPr="002056F4" w14:paraId="794DBB89" w14:textId="77777777" w:rsidTr="004A2883">
        <w:trPr>
          <w:trHeight w:val="397"/>
        </w:trPr>
        <w:tc>
          <w:tcPr>
            <w:tcW w:w="4669" w:type="dxa"/>
            <w:shd w:val="clear" w:color="auto" w:fill="538135" w:themeFill="accent6" w:themeFillShade="BF"/>
            <w:vAlign w:val="center"/>
          </w:tcPr>
          <w:p w14:paraId="78CA7A22" w14:textId="77777777" w:rsidR="004A2883" w:rsidRPr="002056F4" w:rsidRDefault="004A2883" w:rsidP="004A2883">
            <w:pPr>
              <w:contextualSpacing/>
              <w:jc w:val="center"/>
              <w:rPr>
                <w:rFonts w:ascii="Times New Roman" w:eastAsia="Times New Roman" w:hAnsi="Times New Roman" w:cs="Times New Roman"/>
                <w:b/>
                <w:sz w:val="20"/>
                <w:szCs w:val="20"/>
              </w:rPr>
            </w:pPr>
            <w:r w:rsidRPr="002056F4">
              <w:rPr>
                <w:rFonts w:ascii="Times New Roman" w:eastAsia="Times New Roman" w:hAnsi="Times New Roman" w:cs="Times New Roman"/>
                <w:b/>
                <w:sz w:val="20"/>
                <w:szCs w:val="20"/>
              </w:rPr>
              <w:t>Minimum Condition</w:t>
            </w:r>
          </w:p>
        </w:tc>
        <w:tc>
          <w:tcPr>
            <w:tcW w:w="4681" w:type="dxa"/>
            <w:shd w:val="clear" w:color="auto" w:fill="538135" w:themeFill="accent6" w:themeFillShade="BF"/>
            <w:vAlign w:val="center"/>
          </w:tcPr>
          <w:p w14:paraId="0ABC6A7C" w14:textId="77777777" w:rsidR="004A2883" w:rsidRPr="002056F4" w:rsidRDefault="004A2883" w:rsidP="004A2883">
            <w:pPr>
              <w:contextualSpacing/>
              <w:jc w:val="center"/>
              <w:rPr>
                <w:rFonts w:ascii="Times New Roman" w:eastAsia="Times New Roman" w:hAnsi="Times New Roman" w:cs="Times New Roman"/>
                <w:b/>
                <w:sz w:val="20"/>
                <w:szCs w:val="20"/>
              </w:rPr>
            </w:pPr>
            <w:r w:rsidRPr="002056F4">
              <w:rPr>
                <w:rFonts w:ascii="Times New Roman" w:eastAsia="Times New Roman" w:hAnsi="Times New Roman" w:cs="Times New Roman"/>
                <w:b/>
                <w:sz w:val="20"/>
                <w:szCs w:val="20"/>
              </w:rPr>
              <w:t>Indicators</w:t>
            </w:r>
          </w:p>
        </w:tc>
      </w:tr>
      <w:tr w:rsidR="004A2883" w:rsidRPr="002056F4" w14:paraId="6EE3362D" w14:textId="77777777" w:rsidTr="004A2883">
        <w:tc>
          <w:tcPr>
            <w:tcW w:w="4669" w:type="dxa"/>
          </w:tcPr>
          <w:p w14:paraId="36206238" w14:textId="77777777" w:rsidR="004A2883" w:rsidRPr="002056F4" w:rsidRDefault="004A2883" w:rsidP="004A2883">
            <w:pPr>
              <w:contextualSpacing/>
              <w:jc w:val="both"/>
              <w:rPr>
                <w:rFonts w:ascii="Times New Roman" w:eastAsia="Times New Roman" w:hAnsi="Times New Roman" w:cs="Times New Roman"/>
                <w:b/>
                <w:sz w:val="20"/>
                <w:szCs w:val="20"/>
              </w:rPr>
            </w:pPr>
            <w:r w:rsidRPr="002056F4">
              <w:rPr>
                <w:rFonts w:ascii="Times New Roman" w:eastAsia="Times New Roman" w:hAnsi="Times New Roman" w:cs="Times New Roman"/>
                <w:b/>
                <w:sz w:val="20"/>
                <w:szCs w:val="20"/>
              </w:rPr>
              <w:t>UDG MC1:</w:t>
            </w:r>
          </w:p>
          <w:p w14:paraId="1364C41B" w14:textId="77777777" w:rsidR="004A2883" w:rsidRPr="002056F4" w:rsidRDefault="004A2883" w:rsidP="004A2883">
            <w:pPr>
              <w:contextualSpacing/>
              <w:jc w:val="both"/>
              <w:rPr>
                <w:rFonts w:ascii="Times New Roman" w:eastAsia="Times New Roman" w:hAnsi="Times New Roman" w:cs="Times New Roman"/>
                <w:sz w:val="20"/>
                <w:szCs w:val="20"/>
              </w:rPr>
            </w:pPr>
            <w:r w:rsidRPr="002056F4">
              <w:rPr>
                <w:rFonts w:ascii="Times New Roman" w:eastAsia="Times New Roman" w:hAnsi="Times New Roman" w:cs="Times New Roman"/>
                <w:sz w:val="20"/>
                <w:szCs w:val="20"/>
              </w:rPr>
              <w:t>MA qualifies for DACF Responsiveness Factor Grant (RFG) by scoring at least the national average DPAT score</w:t>
            </w:r>
          </w:p>
        </w:tc>
        <w:tc>
          <w:tcPr>
            <w:tcW w:w="4681" w:type="dxa"/>
          </w:tcPr>
          <w:p w14:paraId="1BC3F768" w14:textId="77777777" w:rsidR="004A2883" w:rsidRPr="002056F4" w:rsidRDefault="004A2883" w:rsidP="00F273E1">
            <w:pPr>
              <w:numPr>
                <w:ilvl w:val="0"/>
                <w:numId w:val="46"/>
              </w:numPr>
              <w:contextualSpacing/>
              <w:jc w:val="both"/>
              <w:rPr>
                <w:rFonts w:ascii="Times New Roman" w:eastAsia="Times New Roman" w:hAnsi="Times New Roman" w:cs="Times New Roman"/>
                <w:sz w:val="20"/>
                <w:szCs w:val="20"/>
              </w:rPr>
            </w:pPr>
            <w:r w:rsidRPr="002056F4">
              <w:rPr>
                <w:rFonts w:ascii="Times New Roman" w:eastAsia="Times New Roman" w:hAnsi="Times New Roman" w:cs="Times New Roman"/>
                <w:sz w:val="20"/>
                <w:szCs w:val="20"/>
              </w:rPr>
              <w:t>MA compliance with all RFG Minimum Conditions</w:t>
            </w:r>
          </w:p>
          <w:p w14:paraId="47F72214" w14:textId="77777777" w:rsidR="004A2883" w:rsidRPr="002056F4" w:rsidRDefault="004A2883" w:rsidP="00F273E1">
            <w:pPr>
              <w:numPr>
                <w:ilvl w:val="0"/>
                <w:numId w:val="46"/>
              </w:numPr>
              <w:contextualSpacing/>
              <w:jc w:val="both"/>
              <w:rPr>
                <w:rFonts w:ascii="Times New Roman" w:eastAsia="Times New Roman" w:hAnsi="Times New Roman" w:cs="Times New Roman"/>
                <w:sz w:val="20"/>
                <w:szCs w:val="20"/>
              </w:rPr>
            </w:pPr>
            <w:r w:rsidRPr="002056F4">
              <w:rPr>
                <w:rFonts w:ascii="Times New Roman" w:eastAsia="Times New Roman" w:hAnsi="Times New Roman" w:cs="Times New Roman"/>
                <w:sz w:val="20"/>
                <w:szCs w:val="20"/>
              </w:rPr>
              <w:t>MA performance score, measured through the Annual DPAT assessment of all MMDAs, is equal to or greater than the average performance score of all MMDAs</w:t>
            </w:r>
          </w:p>
        </w:tc>
      </w:tr>
      <w:tr w:rsidR="004A2883" w:rsidRPr="002056F4" w14:paraId="1246E030" w14:textId="77777777" w:rsidTr="004A2883">
        <w:tc>
          <w:tcPr>
            <w:tcW w:w="4669" w:type="dxa"/>
          </w:tcPr>
          <w:p w14:paraId="1DA23F2E" w14:textId="77777777" w:rsidR="004A2883" w:rsidRPr="002056F4" w:rsidRDefault="004A2883" w:rsidP="004A2883">
            <w:pPr>
              <w:contextualSpacing/>
              <w:jc w:val="both"/>
              <w:rPr>
                <w:rFonts w:ascii="Times New Roman" w:eastAsia="Times New Roman" w:hAnsi="Times New Roman" w:cs="Times New Roman"/>
                <w:b/>
                <w:sz w:val="20"/>
                <w:szCs w:val="20"/>
              </w:rPr>
            </w:pPr>
            <w:r w:rsidRPr="002056F4">
              <w:rPr>
                <w:rFonts w:ascii="Times New Roman" w:eastAsia="Times New Roman" w:hAnsi="Times New Roman" w:cs="Times New Roman"/>
                <w:b/>
                <w:sz w:val="20"/>
                <w:szCs w:val="20"/>
              </w:rPr>
              <w:t>UDG MC2:</w:t>
            </w:r>
          </w:p>
          <w:p w14:paraId="745E91AA" w14:textId="77777777" w:rsidR="004A2883" w:rsidRPr="002056F4" w:rsidRDefault="004A2883" w:rsidP="004A2883">
            <w:pPr>
              <w:contextualSpacing/>
              <w:jc w:val="both"/>
              <w:rPr>
                <w:rFonts w:ascii="Times New Roman" w:eastAsia="Times New Roman" w:hAnsi="Times New Roman" w:cs="Times New Roman"/>
                <w:sz w:val="20"/>
                <w:szCs w:val="20"/>
              </w:rPr>
            </w:pPr>
            <w:r w:rsidRPr="002056F4">
              <w:rPr>
                <w:rFonts w:ascii="Times New Roman" w:eastAsia="Times New Roman" w:hAnsi="Times New Roman" w:cs="Times New Roman"/>
                <w:sz w:val="20"/>
                <w:szCs w:val="20"/>
                <w:u w:val="single"/>
              </w:rPr>
              <w:t>From Year 2 onwards</w:t>
            </w:r>
            <w:r w:rsidRPr="002056F4">
              <w:rPr>
                <w:rFonts w:ascii="Times New Roman" w:eastAsia="Times New Roman" w:hAnsi="Times New Roman" w:cs="Times New Roman"/>
                <w:sz w:val="20"/>
                <w:szCs w:val="20"/>
              </w:rPr>
              <w:t>:</w:t>
            </w:r>
          </w:p>
          <w:p w14:paraId="6B070B4F" w14:textId="77777777" w:rsidR="004A2883" w:rsidRPr="002056F4" w:rsidRDefault="004A2883" w:rsidP="004A2883">
            <w:pPr>
              <w:jc w:val="both"/>
              <w:rPr>
                <w:rFonts w:ascii="Times New Roman" w:hAnsi="Times New Roman" w:cs="Times New Roman"/>
                <w:sz w:val="20"/>
                <w:szCs w:val="20"/>
              </w:rPr>
            </w:pPr>
            <w:r w:rsidRPr="002056F4">
              <w:rPr>
                <w:rFonts w:ascii="Times New Roman" w:hAnsi="Times New Roman" w:cs="Times New Roman"/>
                <w:sz w:val="20"/>
                <w:szCs w:val="20"/>
              </w:rPr>
              <w:t>MA use of previous year’s UDG has been consistent with guidelines in SCSP Operations Manual</w:t>
            </w:r>
          </w:p>
        </w:tc>
        <w:tc>
          <w:tcPr>
            <w:tcW w:w="4681" w:type="dxa"/>
          </w:tcPr>
          <w:p w14:paraId="0849CCEA" w14:textId="77777777" w:rsidR="004A2883" w:rsidRPr="002056F4" w:rsidRDefault="004A2883" w:rsidP="00F273E1">
            <w:pPr>
              <w:numPr>
                <w:ilvl w:val="0"/>
                <w:numId w:val="50"/>
              </w:numPr>
              <w:contextualSpacing/>
              <w:jc w:val="both"/>
              <w:rPr>
                <w:rFonts w:ascii="Times New Roman" w:eastAsia="Times New Roman" w:hAnsi="Times New Roman" w:cs="Times New Roman"/>
                <w:sz w:val="20"/>
                <w:szCs w:val="20"/>
              </w:rPr>
            </w:pPr>
            <w:r w:rsidRPr="002056F4">
              <w:rPr>
                <w:rFonts w:ascii="Times New Roman" w:eastAsia="Times New Roman" w:hAnsi="Times New Roman" w:cs="Times New Roman"/>
                <w:sz w:val="20"/>
                <w:szCs w:val="20"/>
              </w:rPr>
              <w:t>Annual MA expenditure report/statement shows that MA has followed UDG expenditure guidelines. Any expenditure on non-eligible items will mean failure to comply with this UDG Minimum Condition.</w:t>
            </w:r>
          </w:p>
        </w:tc>
      </w:tr>
    </w:tbl>
    <w:p w14:paraId="4413473C" w14:textId="77777777" w:rsidR="004A2883" w:rsidRPr="0091067E" w:rsidRDefault="004A2883" w:rsidP="004A2883">
      <w:pPr>
        <w:pStyle w:val="Header"/>
        <w:tabs>
          <w:tab w:val="clear" w:pos="4680"/>
          <w:tab w:val="clear" w:pos="9360"/>
        </w:tabs>
        <w:rPr>
          <w:b/>
        </w:rPr>
      </w:pPr>
    </w:p>
    <w:p w14:paraId="32A0B2AC" w14:textId="77777777" w:rsidR="004A2883" w:rsidRDefault="004A2883" w:rsidP="00CB2188">
      <w:pPr>
        <w:pStyle w:val="ListParagraph"/>
        <w:spacing w:after="0" w:line="240" w:lineRule="auto"/>
        <w:ind w:left="0"/>
        <w:jc w:val="both"/>
        <w:rPr>
          <w:rFonts w:ascii="Times New Roman" w:hAnsi="Times New Roman" w:cs="Times New Roman"/>
        </w:rPr>
      </w:pPr>
      <w:r w:rsidRPr="006E4C83">
        <w:rPr>
          <w:rFonts w:ascii="Times New Roman" w:hAnsi="Times New Roman" w:cs="Times New Roman"/>
          <w:b/>
        </w:rPr>
        <w:t>The wider DPAT process – under the Government program - will assess (and incentivize) the general (institutional) performance of MAs (and all other local governments in Ghana</w:t>
      </w:r>
      <w:r w:rsidRPr="006E4C83">
        <w:rPr>
          <w:rFonts w:ascii="Times New Roman" w:hAnsi="Times New Roman" w:cs="Times New Roman"/>
        </w:rPr>
        <w:t xml:space="preserve">). Given the relatively comprehensive nature of the RFG/DPAT process, generic aspects of local government performance (such as financial management, human resource management, general planning, disclosure and transparency, participation, etc.) will </w:t>
      </w:r>
      <w:r w:rsidRPr="006E4C83">
        <w:rPr>
          <w:rFonts w:ascii="Times New Roman" w:hAnsi="Times New Roman" w:cs="Times New Roman"/>
          <w:u w:val="single"/>
        </w:rPr>
        <w:t>not</w:t>
      </w:r>
      <w:r w:rsidRPr="006E4C83">
        <w:rPr>
          <w:rFonts w:ascii="Times New Roman" w:hAnsi="Times New Roman" w:cs="Times New Roman"/>
        </w:rPr>
        <w:t xml:space="preserve"> be assessed (in any more detail) through SCSP. However, results from the DPAT annual assessments will be factored into SCSP through the Program’s Minimum Conditions (see above), such that only those MAs which satisfy DPAT MCs and obtain a DPAT performance score greater than the national average will qualify for UDG allocations. </w:t>
      </w:r>
    </w:p>
    <w:p w14:paraId="59F33D36" w14:textId="77777777" w:rsidR="004A2883" w:rsidRDefault="004A2883" w:rsidP="004A2883">
      <w:pPr>
        <w:pStyle w:val="ListParagraph"/>
        <w:spacing w:after="0" w:line="240" w:lineRule="auto"/>
        <w:ind w:left="0"/>
        <w:jc w:val="both"/>
        <w:rPr>
          <w:rFonts w:ascii="Times New Roman" w:hAnsi="Times New Roman" w:cs="Times New Roman"/>
        </w:rPr>
      </w:pPr>
    </w:p>
    <w:p w14:paraId="63801A74" w14:textId="77777777" w:rsidR="004A2883" w:rsidRPr="006E4C83" w:rsidRDefault="004A2883" w:rsidP="00CB2188">
      <w:pPr>
        <w:pStyle w:val="ListParagraph"/>
        <w:spacing w:after="0" w:line="240" w:lineRule="auto"/>
        <w:ind w:left="0"/>
        <w:jc w:val="both"/>
        <w:rPr>
          <w:rFonts w:ascii="Times New Roman" w:hAnsi="Times New Roman" w:cs="Times New Roman"/>
        </w:rPr>
      </w:pPr>
      <w:r w:rsidRPr="006E4C83">
        <w:rPr>
          <w:rFonts w:ascii="Times New Roman" w:hAnsi="Times New Roman" w:cs="Times New Roman"/>
          <w:b/>
          <w:color w:val="000000" w:themeColor="text1"/>
        </w:rPr>
        <w:t>Performance Benchmarks (PB</w:t>
      </w:r>
      <w:r>
        <w:rPr>
          <w:rFonts w:ascii="Times New Roman" w:hAnsi="Times New Roman" w:cs="Times New Roman"/>
          <w:b/>
          <w:color w:val="000000" w:themeColor="text1"/>
        </w:rPr>
        <w:t>s</w:t>
      </w:r>
      <w:r w:rsidRPr="006E4C83">
        <w:rPr>
          <w:rFonts w:ascii="Times New Roman" w:hAnsi="Times New Roman" w:cs="Times New Roman"/>
          <w:b/>
          <w:color w:val="000000" w:themeColor="text1"/>
        </w:rPr>
        <w:t>)</w:t>
      </w:r>
      <w:r w:rsidRPr="006E4C83">
        <w:rPr>
          <w:rFonts w:ascii="Times New Roman" w:hAnsi="Times New Roman" w:cs="Times New Roman"/>
          <w:b/>
          <w:i/>
          <w:color w:val="000000" w:themeColor="text1"/>
        </w:rPr>
        <w:t xml:space="preserve"> – </w:t>
      </w:r>
      <w:r w:rsidRPr="006E4C83">
        <w:rPr>
          <w:rFonts w:ascii="Times New Roman" w:hAnsi="Times New Roman" w:cs="Times New Roman"/>
          <w:b/>
          <w:color w:val="000000" w:themeColor="text1"/>
        </w:rPr>
        <w:t xml:space="preserve">MAs that meet the MC will qualify to </w:t>
      </w:r>
      <w:r w:rsidRPr="006E4C83">
        <w:rPr>
          <w:rFonts w:ascii="Times New Roman" w:hAnsi="Times New Roman" w:cs="Times New Roman"/>
          <w:b/>
        </w:rPr>
        <w:t xml:space="preserve">receive additional UDGs based on their performance, as measured against a specific set of </w:t>
      </w:r>
      <w:r w:rsidRPr="006E4C83">
        <w:rPr>
          <w:rFonts w:ascii="Times New Roman" w:hAnsi="Times New Roman" w:cs="Times New Roman"/>
          <w:b/>
          <w:u w:val="single"/>
        </w:rPr>
        <w:t>urban management</w:t>
      </w:r>
      <w:r w:rsidRPr="006E4C83">
        <w:rPr>
          <w:rFonts w:ascii="Times New Roman" w:hAnsi="Times New Roman" w:cs="Times New Roman"/>
          <w:b/>
        </w:rPr>
        <w:t xml:space="preserve"> performance benchmarks (PB</w:t>
      </w:r>
      <w:r>
        <w:rPr>
          <w:rFonts w:ascii="Times New Roman" w:hAnsi="Times New Roman" w:cs="Times New Roman"/>
          <w:b/>
        </w:rPr>
        <w:t>s</w:t>
      </w:r>
      <w:r w:rsidRPr="006E4C83">
        <w:rPr>
          <w:rFonts w:ascii="Times New Roman" w:hAnsi="Times New Roman" w:cs="Times New Roman"/>
          <w:b/>
        </w:rPr>
        <w:t xml:space="preserve">). </w:t>
      </w:r>
      <w:r w:rsidRPr="006E4C83">
        <w:rPr>
          <w:rFonts w:ascii="Times New Roman" w:hAnsi="Times New Roman" w:cs="Times New Roman"/>
        </w:rPr>
        <w:t>The remaining 80 percent of the UDG IPF will be accessed based on the urban performance benchmarks scores obtained by each MAs in the four thematic areas, namely:</w:t>
      </w:r>
    </w:p>
    <w:p w14:paraId="4483CC2D" w14:textId="77777777" w:rsidR="004A2883" w:rsidRDefault="004A2883" w:rsidP="004A2883">
      <w:pPr>
        <w:spacing w:after="0" w:line="240" w:lineRule="auto"/>
        <w:jc w:val="both"/>
        <w:rPr>
          <w:rFonts w:ascii="Times New Roman" w:hAnsi="Times New Roman" w:cs="Times New Roman"/>
        </w:rPr>
      </w:pPr>
    </w:p>
    <w:p w14:paraId="0F3CB3BE" w14:textId="77777777" w:rsidR="004A2883" w:rsidRDefault="004A2883" w:rsidP="00F273E1">
      <w:pPr>
        <w:pStyle w:val="ListParagraph"/>
        <w:numPr>
          <w:ilvl w:val="0"/>
          <w:numId w:val="44"/>
        </w:numPr>
        <w:spacing w:after="0" w:line="240" w:lineRule="auto"/>
        <w:jc w:val="both"/>
        <w:rPr>
          <w:rFonts w:ascii="Times New Roman" w:hAnsi="Times New Roman" w:cs="Times New Roman"/>
        </w:rPr>
      </w:pPr>
      <w:r>
        <w:rPr>
          <w:rFonts w:ascii="Times New Roman" w:hAnsi="Times New Roman" w:cs="Times New Roman"/>
        </w:rPr>
        <w:t>Urban planning and services – 25%</w:t>
      </w:r>
    </w:p>
    <w:p w14:paraId="26C827E3" w14:textId="77777777" w:rsidR="004A2883" w:rsidRDefault="004A2883" w:rsidP="00F273E1">
      <w:pPr>
        <w:pStyle w:val="ListParagraph"/>
        <w:numPr>
          <w:ilvl w:val="0"/>
          <w:numId w:val="44"/>
        </w:numPr>
        <w:spacing w:after="0" w:line="240" w:lineRule="auto"/>
        <w:jc w:val="both"/>
        <w:rPr>
          <w:rFonts w:ascii="Times New Roman" w:hAnsi="Times New Roman" w:cs="Times New Roman"/>
        </w:rPr>
      </w:pPr>
      <w:r>
        <w:rPr>
          <w:rFonts w:ascii="Times New Roman" w:hAnsi="Times New Roman" w:cs="Times New Roman"/>
        </w:rPr>
        <w:t>Urban economic development and competitiveness – 12.5%.</w:t>
      </w:r>
    </w:p>
    <w:p w14:paraId="67AEFB37" w14:textId="77777777" w:rsidR="004A2883" w:rsidRDefault="004A2883" w:rsidP="00F273E1">
      <w:pPr>
        <w:pStyle w:val="ListParagraph"/>
        <w:numPr>
          <w:ilvl w:val="0"/>
          <w:numId w:val="44"/>
        </w:numPr>
        <w:spacing w:after="0" w:line="240" w:lineRule="auto"/>
        <w:jc w:val="both"/>
        <w:rPr>
          <w:rFonts w:ascii="Times New Roman" w:hAnsi="Times New Roman" w:cs="Times New Roman"/>
        </w:rPr>
      </w:pPr>
      <w:r>
        <w:rPr>
          <w:rFonts w:ascii="Times New Roman" w:hAnsi="Times New Roman" w:cs="Times New Roman"/>
        </w:rPr>
        <w:t>Sustainable urban system – 37.5%</w:t>
      </w:r>
    </w:p>
    <w:p w14:paraId="3EE85F52" w14:textId="77777777" w:rsidR="004A2883" w:rsidRPr="00646544" w:rsidRDefault="004A2883" w:rsidP="00F273E1">
      <w:pPr>
        <w:pStyle w:val="ListParagraph"/>
        <w:numPr>
          <w:ilvl w:val="0"/>
          <w:numId w:val="44"/>
        </w:numPr>
        <w:spacing w:after="0" w:line="240" w:lineRule="auto"/>
        <w:jc w:val="both"/>
        <w:rPr>
          <w:rFonts w:ascii="Times New Roman" w:hAnsi="Times New Roman" w:cs="Times New Roman"/>
        </w:rPr>
      </w:pPr>
      <w:r>
        <w:rPr>
          <w:rFonts w:ascii="Times New Roman" w:hAnsi="Times New Roman" w:cs="Times New Roman"/>
        </w:rPr>
        <w:t>Urban infrastructure delivery (from year 2) – 25%</w:t>
      </w:r>
      <w:r w:rsidRPr="00646544">
        <w:rPr>
          <w:rFonts w:ascii="Times New Roman" w:hAnsi="Times New Roman" w:cs="Times New Roman"/>
        </w:rPr>
        <w:t>.</w:t>
      </w:r>
    </w:p>
    <w:p w14:paraId="739DADAB" w14:textId="77777777" w:rsidR="004A2883" w:rsidRPr="00705A6C" w:rsidRDefault="004A2883" w:rsidP="004A2883">
      <w:pPr>
        <w:spacing w:after="0" w:line="240" w:lineRule="auto"/>
        <w:jc w:val="both"/>
        <w:rPr>
          <w:rFonts w:ascii="Times New Roman" w:hAnsi="Times New Roman" w:cs="Times New Roman"/>
          <w:b/>
          <w:i/>
          <w:color w:val="000000" w:themeColor="text1"/>
        </w:rPr>
      </w:pPr>
    </w:p>
    <w:p w14:paraId="031C7402" w14:textId="77777777" w:rsidR="004A2883" w:rsidRDefault="004A2883" w:rsidP="00CB2188">
      <w:pPr>
        <w:pStyle w:val="ListParagraph"/>
        <w:spacing w:after="0" w:line="240" w:lineRule="auto"/>
        <w:ind w:left="0"/>
        <w:jc w:val="both"/>
        <w:rPr>
          <w:rFonts w:ascii="Times New Roman" w:hAnsi="Times New Roman" w:cs="Times New Roman"/>
        </w:rPr>
      </w:pPr>
      <w:r w:rsidRPr="006E4C83">
        <w:rPr>
          <w:rFonts w:ascii="Times New Roman" w:hAnsi="Times New Roman" w:cs="Times New Roman"/>
          <w:b/>
        </w:rPr>
        <w:t xml:space="preserve">It is important to note that PBs are </w:t>
      </w:r>
      <w:r w:rsidRPr="006E4C83">
        <w:rPr>
          <w:rFonts w:ascii="Times New Roman" w:hAnsi="Times New Roman" w:cs="Times New Roman"/>
          <w:b/>
          <w:u w:val="single"/>
        </w:rPr>
        <w:t>not</w:t>
      </w:r>
      <w:r w:rsidRPr="006E4C83">
        <w:rPr>
          <w:rFonts w:ascii="Times New Roman" w:hAnsi="Times New Roman" w:cs="Times New Roman"/>
          <w:b/>
        </w:rPr>
        <w:t xml:space="preserve"> generic local government performance measures, against which MAs are assessed and then scored.</w:t>
      </w:r>
      <w:r w:rsidRPr="006E4C83">
        <w:rPr>
          <w:rFonts w:ascii="Times New Roman" w:hAnsi="Times New Roman" w:cs="Times New Roman"/>
        </w:rPr>
        <w:t xml:space="preserve"> Measuring and scoring generic local government performance (and incentivizing local governments to improve their overall institutional performance by linking grant allocations to scores) is the principal purpose of the DPAT process, which applies to all MMDAs. For eligible MAs to qualify for access to UDGs requires them to achieve at least the national average performance score as measured by DPAT assessments. </w:t>
      </w:r>
    </w:p>
    <w:p w14:paraId="759B2001" w14:textId="77777777" w:rsidR="004A2883" w:rsidRDefault="004A2883" w:rsidP="004A2883">
      <w:pPr>
        <w:pStyle w:val="ListParagraph"/>
        <w:spacing w:after="0" w:line="240" w:lineRule="auto"/>
        <w:ind w:left="0"/>
        <w:jc w:val="both"/>
        <w:rPr>
          <w:rFonts w:ascii="Times New Roman" w:hAnsi="Times New Roman" w:cs="Times New Roman"/>
        </w:rPr>
      </w:pPr>
    </w:p>
    <w:p w14:paraId="5B27B7CE" w14:textId="77777777" w:rsidR="004A2883" w:rsidRDefault="004A2883" w:rsidP="00CB2188">
      <w:pPr>
        <w:pStyle w:val="ListParagraph"/>
        <w:spacing w:after="0" w:line="240" w:lineRule="auto"/>
        <w:ind w:left="0"/>
        <w:jc w:val="both"/>
        <w:rPr>
          <w:rFonts w:ascii="Times New Roman" w:hAnsi="Times New Roman" w:cs="Times New Roman"/>
        </w:rPr>
      </w:pPr>
      <w:r w:rsidRPr="006E4C83">
        <w:rPr>
          <w:rFonts w:ascii="Times New Roman" w:hAnsi="Times New Roman" w:cs="Times New Roman"/>
          <w:b/>
        </w:rPr>
        <w:t>UDG Performance Benchmarks are best conceptualized as providing Municipal Assemblies with a set of “waypoints” on an urban management roadmap</w:t>
      </w:r>
      <w:r w:rsidRPr="006E4C83">
        <w:rPr>
          <w:rFonts w:ascii="Times New Roman" w:hAnsi="Times New Roman" w:cs="Times New Roman"/>
        </w:rPr>
        <w:t>. Achieving PBs implies that MAs are becoming more active and more effective as urban managers and engaging with issues such as long term spatial planning, the provision of municipal services, facilitation of local economic development (and job creation), maintaining municipal assets and ensuring financial sustainability. In addition, a sub-set of PBs provides MAs with some benchmarks with respect to the delivery of urban infrastructure.</w:t>
      </w:r>
    </w:p>
    <w:p w14:paraId="1DC34AE8" w14:textId="77777777" w:rsidR="004A2883" w:rsidRPr="006E4C83" w:rsidRDefault="004A2883" w:rsidP="004A2883">
      <w:pPr>
        <w:spacing w:after="0" w:line="240" w:lineRule="auto"/>
        <w:rPr>
          <w:rFonts w:ascii="Times New Roman" w:hAnsi="Times New Roman" w:cs="Times New Roman"/>
        </w:rPr>
      </w:pPr>
    </w:p>
    <w:p w14:paraId="681D5D6D" w14:textId="77777777" w:rsidR="004A2883" w:rsidRDefault="004A2883" w:rsidP="00CB2188">
      <w:pPr>
        <w:pStyle w:val="ListParagraph"/>
        <w:spacing w:after="0" w:line="240" w:lineRule="auto"/>
        <w:ind w:left="0"/>
        <w:jc w:val="both"/>
        <w:rPr>
          <w:rFonts w:ascii="Times New Roman" w:hAnsi="Times New Roman" w:cs="Times New Roman"/>
        </w:rPr>
      </w:pPr>
      <w:r w:rsidRPr="006E4C83">
        <w:rPr>
          <w:rFonts w:ascii="Times New Roman" w:hAnsi="Times New Roman" w:cs="Times New Roman"/>
          <w:b/>
        </w:rPr>
        <w:t>In principle, MAs can access up to US$ 15 per urban capita as UDGs. However, the actual amount allocated in any given year will depend on MA performance, as measured by their achievement of PBs</w:t>
      </w:r>
      <w:r w:rsidRPr="006E4C83">
        <w:rPr>
          <w:rFonts w:ascii="Times New Roman" w:hAnsi="Times New Roman" w:cs="Times New Roman"/>
        </w:rPr>
        <w:t xml:space="preserve">. The more PBs that an MA achieves, the greater will be its annual UDG allocation. UDGs thus act as tangible fiscal incentives for MAs to improve their urban management performance. </w:t>
      </w:r>
    </w:p>
    <w:p w14:paraId="499612D0" w14:textId="77777777" w:rsidR="004A2883" w:rsidRPr="006E4C83" w:rsidRDefault="004A2883" w:rsidP="004A2883">
      <w:pPr>
        <w:spacing w:after="0" w:line="240" w:lineRule="auto"/>
        <w:rPr>
          <w:rFonts w:ascii="Times New Roman" w:hAnsi="Times New Roman" w:cs="Times New Roman"/>
        </w:rPr>
      </w:pPr>
    </w:p>
    <w:p w14:paraId="1D5C84D7" w14:textId="77777777" w:rsidR="004A2883" w:rsidRDefault="004A2883" w:rsidP="00CB2188">
      <w:pPr>
        <w:pStyle w:val="ListParagraph"/>
        <w:spacing w:after="0" w:line="240" w:lineRule="auto"/>
        <w:ind w:left="0"/>
        <w:jc w:val="both"/>
        <w:rPr>
          <w:rFonts w:ascii="Times New Roman" w:hAnsi="Times New Roman" w:cs="Times New Roman"/>
        </w:rPr>
      </w:pPr>
      <w:r w:rsidRPr="006E4C83">
        <w:rPr>
          <w:rFonts w:ascii="Times New Roman" w:hAnsi="Times New Roman" w:cs="Times New Roman"/>
          <w:b/>
        </w:rPr>
        <w:t>The PB</w:t>
      </w:r>
      <w:r>
        <w:rPr>
          <w:rFonts w:ascii="Times New Roman" w:hAnsi="Times New Roman" w:cs="Times New Roman"/>
          <w:b/>
        </w:rPr>
        <w:t>s</w:t>
      </w:r>
      <w:r w:rsidRPr="006E4C83">
        <w:rPr>
          <w:rFonts w:ascii="Times New Roman" w:hAnsi="Times New Roman" w:cs="Times New Roman"/>
          <w:b/>
        </w:rPr>
        <w:t xml:space="preserve"> assessments are explicitly designed to incentivize MAs to engage more actively with urban development issues and to improve the quality of the urban public goods and services that they provide</w:t>
      </w:r>
      <w:r w:rsidRPr="006E4C83">
        <w:rPr>
          <w:rFonts w:ascii="Times New Roman" w:hAnsi="Times New Roman" w:cs="Times New Roman"/>
        </w:rPr>
        <w:t>. The maximum Performance Benchmark score for any MA is 100 percent. UDGs will thus be allocated on a pro rata basis</w:t>
      </w:r>
      <w:r w:rsidRPr="0023108C">
        <w:rPr>
          <w:rStyle w:val="FootnoteReference"/>
          <w:rFonts w:ascii="Times New Roman" w:hAnsi="Times New Roman"/>
        </w:rPr>
        <w:footnoteReference w:id="9"/>
      </w:r>
      <w:r w:rsidRPr="006E4C83">
        <w:rPr>
          <w:rFonts w:ascii="Times New Roman" w:hAnsi="Times New Roman" w:cs="Times New Roman"/>
        </w:rPr>
        <w:t>: an MA, for example, that scores 50 percent (out of a total 100 percent) in terms of Performance Benchmarks will access 50% of 80% its maximum UDG allocation on top of the 20% it would have earned by meeting the MCs. The details of the urban performance benchmarks and the scores are provided in the Technical Annex 4.</w:t>
      </w:r>
    </w:p>
    <w:p w14:paraId="0160E654" w14:textId="77777777" w:rsidR="004A2883" w:rsidRPr="006E4C83" w:rsidRDefault="004A2883" w:rsidP="004A2883">
      <w:pPr>
        <w:spacing w:after="0" w:line="240" w:lineRule="auto"/>
        <w:rPr>
          <w:rFonts w:ascii="Times New Roman" w:hAnsi="Times New Roman" w:cs="Times New Roman"/>
        </w:rPr>
      </w:pPr>
    </w:p>
    <w:p w14:paraId="7D70DD28" w14:textId="77777777" w:rsidR="004A2883" w:rsidRPr="006E4C83" w:rsidRDefault="004A2883" w:rsidP="00CB2188">
      <w:pPr>
        <w:pStyle w:val="ListParagraph"/>
        <w:spacing w:after="0" w:line="240" w:lineRule="auto"/>
        <w:ind w:left="0"/>
        <w:jc w:val="both"/>
        <w:rPr>
          <w:rFonts w:ascii="Times New Roman" w:hAnsi="Times New Roman" w:cs="Times New Roman"/>
        </w:rPr>
      </w:pPr>
      <w:r w:rsidRPr="006E4C83">
        <w:rPr>
          <w:rFonts w:ascii="Times New Roman" w:hAnsi="Times New Roman" w:cs="Times New Roman"/>
          <w:b/>
        </w:rPr>
        <w:t xml:space="preserve">UDG Investment menu - an MA will be able to use its UDG to finance investments in five key areas of urban infrastructure and service delivery. </w:t>
      </w:r>
      <w:r w:rsidRPr="006E4C83">
        <w:rPr>
          <w:rFonts w:ascii="Times New Roman" w:hAnsi="Times New Roman" w:cs="Times New Roman"/>
        </w:rPr>
        <w:t>The services, which</w:t>
      </w:r>
      <w:r w:rsidRPr="006E4C83">
        <w:rPr>
          <w:rFonts w:ascii="Times New Roman" w:hAnsi="Times New Roman" w:cs="Times New Roman"/>
          <w:b/>
        </w:rPr>
        <w:t xml:space="preserve"> </w:t>
      </w:r>
      <w:r w:rsidRPr="006E4C83">
        <w:rPr>
          <w:rFonts w:ascii="Times New Roman" w:hAnsi="Times New Roman" w:cs="Times New Roman"/>
        </w:rPr>
        <w:t xml:space="preserve">are commonly understood to be typically municipal mandates and are consistent with the provisions of the Local Governance Act (2017) are: </w:t>
      </w:r>
    </w:p>
    <w:p w14:paraId="6DE15405" w14:textId="77777777" w:rsidR="004A2883" w:rsidRDefault="004A2883" w:rsidP="004A2883">
      <w:pPr>
        <w:pStyle w:val="Header"/>
        <w:tabs>
          <w:tab w:val="clear" w:pos="4680"/>
          <w:tab w:val="clear" w:pos="9360"/>
        </w:tabs>
      </w:pPr>
    </w:p>
    <w:p w14:paraId="78613F5F" w14:textId="77777777" w:rsidR="004A2883" w:rsidRDefault="004A2883" w:rsidP="00F273E1">
      <w:pPr>
        <w:pStyle w:val="Header"/>
        <w:numPr>
          <w:ilvl w:val="0"/>
          <w:numId w:val="44"/>
        </w:numPr>
        <w:tabs>
          <w:tab w:val="clear" w:pos="4680"/>
          <w:tab w:val="clear" w:pos="9360"/>
        </w:tabs>
      </w:pPr>
      <w:r>
        <w:t>W</w:t>
      </w:r>
      <w:r w:rsidRPr="0023108C">
        <w:t xml:space="preserve">aste management (liquid and solid), </w:t>
      </w:r>
    </w:p>
    <w:p w14:paraId="45C90D95" w14:textId="77777777" w:rsidR="004A2883" w:rsidRDefault="004A2883" w:rsidP="00F273E1">
      <w:pPr>
        <w:pStyle w:val="Header"/>
        <w:numPr>
          <w:ilvl w:val="0"/>
          <w:numId w:val="44"/>
        </w:numPr>
        <w:tabs>
          <w:tab w:val="clear" w:pos="4680"/>
          <w:tab w:val="clear" w:pos="9360"/>
        </w:tabs>
      </w:pPr>
      <w:r>
        <w:t>S</w:t>
      </w:r>
      <w:r w:rsidRPr="0023108C">
        <w:t xml:space="preserve">torm water drainage, </w:t>
      </w:r>
    </w:p>
    <w:p w14:paraId="4D1AE086" w14:textId="52D2BC01" w:rsidR="004A2883" w:rsidRDefault="004A2883" w:rsidP="00F273E1">
      <w:pPr>
        <w:pStyle w:val="Header"/>
        <w:numPr>
          <w:ilvl w:val="0"/>
          <w:numId w:val="44"/>
        </w:numPr>
        <w:tabs>
          <w:tab w:val="clear" w:pos="4680"/>
          <w:tab w:val="clear" w:pos="9360"/>
        </w:tabs>
      </w:pPr>
      <w:r>
        <w:t>R</w:t>
      </w:r>
      <w:r w:rsidRPr="0023108C">
        <w:t>oads, non-motorized transport facilities, and street lights</w:t>
      </w:r>
    </w:p>
    <w:p w14:paraId="1B2454E4" w14:textId="77777777" w:rsidR="004A2883" w:rsidRDefault="004A2883" w:rsidP="00F273E1">
      <w:pPr>
        <w:pStyle w:val="Header"/>
        <w:numPr>
          <w:ilvl w:val="0"/>
          <w:numId w:val="44"/>
        </w:numPr>
        <w:tabs>
          <w:tab w:val="clear" w:pos="4680"/>
          <w:tab w:val="clear" w:pos="9360"/>
        </w:tabs>
      </w:pPr>
      <w:r>
        <w:t>U</w:t>
      </w:r>
      <w:r w:rsidRPr="0023108C">
        <w:t xml:space="preserve">rban economic infrastructure, and </w:t>
      </w:r>
    </w:p>
    <w:p w14:paraId="5BD96AFF" w14:textId="0C0CBC21" w:rsidR="004A2883" w:rsidRDefault="00B1688C" w:rsidP="00F273E1">
      <w:pPr>
        <w:pStyle w:val="Header"/>
        <w:numPr>
          <w:ilvl w:val="0"/>
          <w:numId w:val="44"/>
        </w:numPr>
        <w:tabs>
          <w:tab w:val="clear" w:pos="4680"/>
          <w:tab w:val="clear" w:pos="9360"/>
        </w:tabs>
      </w:pPr>
      <w:r>
        <w:t>D</w:t>
      </w:r>
      <w:r w:rsidR="004A2883" w:rsidRPr="0023108C">
        <w:t xml:space="preserve">isaster management. </w:t>
      </w:r>
    </w:p>
    <w:p w14:paraId="3EEA8D02" w14:textId="77777777" w:rsidR="004A2883" w:rsidRDefault="004A2883" w:rsidP="004A2883">
      <w:pPr>
        <w:pStyle w:val="Header"/>
        <w:tabs>
          <w:tab w:val="clear" w:pos="4680"/>
          <w:tab w:val="clear" w:pos="9360"/>
        </w:tabs>
      </w:pPr>
    </w:p>
    <w:p w14:paraId="47304D6F" w14:textId="77777777" w:rsidR="004A2883" w:rsidRDefault="004A2883" w:rsidP="00CB2188">
      <w:pPr>
        <w:pStyle w:val="Header"/>
        <w:tabs>
          <w:tab w:val="clear" w:pos="4680"/>
          <w:tab w:val="clear" w:pos="9360"/>
        </w:tabs>
      </w:pPr>
      <w:r w:rsidRPr="0023108C">
        <w:rPr>
          <w:b/>
        </w:rPr>
        <w:t>Non-eligible expenditures</w:t>
      </w:r>
      <w:r>
        <w:t xml:space="preserve"> - </w:t>
      </w:r>
      <w:r w:rsidRPr="00F86F16">
        <w:rPr>
          <w:b/>
        </w:rPr>
        <w:t>MAs will not use their UDGs under the Program to finance a number of expenditure items, which are considered to be on the negative list</w:t>
      </w:r>
      <w:r>
        <w:t>.</w:t>
      </w:r>
      <w:r w:rsidRPr="0023108C">
        <w:t xml:space="preserve"> Because UDGs are</w:t>
      </w:r>
      <w:r>
        <w:t xml:space="preserve"> urban </w:t>
      </w:r>
      <w:r w:rsidRPr="0023108C">
        <w:rPr>
          <w:u w:val="single"/>
        </w:rPr>
        <w:t>conditional</w:t>
      </w:r>
      <w:r w:rsidRPr="0023108C">
        <w:t xml:space="preserve"> grants, MAs will not </w:t>
      </w:r>
      <w:r>
        <w:t xml:space="preserve">use the UDG </w:t>
      </w:r>
      <w:r w:rsidRPr="0023108C">
        <w:t>to finance expenditures in sectors that are not specifically urban, even though such sectors may be an integral element of their functional mandate (as spelled out in the Local Governance Act). Thus, expenditures in the education, health, agriculture, livestock, and natural resources are not eligible. In addition, UDGs will not be used to finance investment projects that trigger the World Bank’s Safeguards Category A policies.</w:t>
      </w:r>
    </w:p>
    <w:p w14:paraId="23176EA6" w14:textId="77777777" w:rsidR="004A2883" w:rsidRDefault="004A2883" w:rsidP="004A2883">
      <w:pPr>
        <w:pStyle w:val="Header"/>
        <w:tabs>
          <w:tab w:val="clear" w:pos="4680"/>
          <w:tab w:val="clear" w:pos="9360"/>
        </w:tabs>
      </w:pPr>
    </w:p>
    <w:p w14:paraId="54FC892E" w14:textId="77777777" w:rsidR="004A2883" w:rsidRPr="006E4C83" w:rsidRDefault="004A2883" w:rsidP="00CB2188">
      <w:pPr>
        <w:pStyle w:val="Header"/>
        <w:tabs>
          <w:tab w:val="clear" w:pos="4680"/>
          <w:tab w:val="clear" w:pos="9360"/>
        </w:tabs>
      </w:pPr>
      <w:r w:rsidRPr="006E4C83">
        <w:rPr>
          <w:b/>
        </w:rPr>
        <w:t>Regional Window</w:t>
      </w:r>
      <w:r w:rsidRPr="006E4C83">
        <w:t xml:space="preserve"> – </w:t>
      </w:r>
      <w:r w:rsidRPr="006E4C83">
        <w:rPr>
          <w:b/>
        </w:rPr>
        <w:t xml:space="preserve">GSCSP’s regional window will provide funding to all the 10 RCCs. </w:t>
      </w:r>
      <w:r w:rsidRPr="006E4C83">
        <w:t xml:space="preserve">Subject to compliance with MCs, each RCC will be able to access fund set at a flat rate of US$ 40,000 per annum per RCC and made available for five years. In total, then each RCC would be able to benefit from a total of US$ 200,000 for Program period. RCCs need to comply with the MCs indicated in the table below. MC compliance will be assessed on an annual basis, and will be undertaken by independent consultancy firms, procured and supervised by MLGRD. </w:t>
      </w:r>
    </w:p>
    <w:p w14:paraId="7727905C" w14:textId="77777777" w:rsidR="004A2883" w:rsidRPr="00C01613" w:rsidRDefault="004A2883" w:rsidP="004A2883">
      <w:pPr>
        <w:pStyle w:val="ListParagraph"/>
        <w:spacing w:before="240" w:after="240" w:line="240" w:lineRule="auto"/>
        <w:ind w:left="0"/>
        <w:rPr>
          <w:rFonts w:ascii="Times New Roman" w:hAnsi="Times New Roman" w:cs="Times New Roman"/>
          <w:b/>
        </w:rPr>
      </w:pPr>
      <w:r w:rsidRPr="00C01613">
        <w:rPr>
          <w:rFonts w:ascii="Times New Roman" w:hAnsi="Times New Roman" w:cs="Times New Roman"/>
          <w:b/>
        </w:rPr>
        <w:t>Table</w:t>
      </w:r>
      <w:r>
        <w:rPr>
          <w:rFonts w:ascii="Times New Roman" w:hAnsi="Times New Roman" w:cs="Times New Roman"/>
          <w:b/>
        </w:rPr>
        <w:t xml:space="preserve"> 5</w:t>
      </w:r>
      <w:r w:rsidRPr="00C01613">
        <w:rPr>
          <w:rFonts w:ascii="Times New Roman" w:hAnsi="Times New Roman" w:cs="Times New Roman"/>
          <w:b/>
        </w:rPr>
        <w:t>:</w:t>
      </w:r>
      <w:r w:rsidRPr="00C01613">
        <w:rPr>
          <w:rFonts w:ascii="Times New Roman" w:hAnsi="Times New Roman" w:cs="Times New Roman"/>
          <w:b/>
        </w:rPr>
        <w:tab/>
        <w:t>RCC annual grants – Minimum Conditions</w:t>
      </w:r>
    </w:p>
    <w:p w14:paraId="43DA13C8" w14:textId="77777777" w:rsidR="004A2883" w:rsidRPr="00BC11D6" w:rsidRDefault="004A2883" w:rsidP="004A2883">
      <w:pPr>
        <w:pStyle w:val="ListParagraph"/>
        <w:spacing w:before="240" w:after="240" w:line="240" w:lineRule="auto"/>
        <w:ind w:left="0"/>
        <w:jc w:val="both"/>
        <w:rPr>
          <w:rFonts w:ascii="Times New Roman" w:hAnsi="Times New Roman" w:cs="Times New Roman"/>
        </w:rPr>
      </w:pPr>
    </w:p>
    <w:tbl>
      <w:tblPr>
        <w:tblStyle w:val="TableGrid"/>
        <w:tblW w:w="9445" w:type="dxa"/>
        <w:tblLook w:val="04A0" w:firstRow="1" w:lastRow="0" w:firstColumn="1" w:lastColumn="0" w:noHBand="0" w:noVBand="1"/>
      </w:tblPr>
      <w:tblGrid>
        <w:gridCol w:w="3595"/>
        <w:gridCol w:w="5850"/>
      </w:tblGrid>
      <w:tr w:rsidR="004A2883" w:rsidRPr="004E1BF3" w14:paraId="195AB5CD" w14:textId="77777777" w:rsidTr="004A2883">
        <w:trPr>
          <w:trHeight w:val="397"/>
        </w:trPr>
        <w:tc>
          <w:tcPr>
            <w:tcW w:w="3595"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2035AAF6" w14:textId="77777777" w:rsidR="004A2883" w:rsidRPr="004E1BF3" w:rsidRDefault="004A2883" w:rsidP="004A2883">
            <w:pPr>
              <w:pStyle w:val="ListParagraph"/>
              <w:ind w:left="0"/>
              <w:jc w:val="center"/>
              <w:rPr>
                <w:rFonts w:ascii="Times New Roman" w:hAnsi="Times New Roman"/>
                <w:b/>
                <w:sz w:val="20"/>
                <w:szCs w:val="20"/>
                <w:lang w:eastAsia="ko-KR"/>
              </w:rPr>
            </w:pPr>
            <w:r w:rsidRPr="004E1BF3">
              <w:rPr>
                <w:rFonts w:ascii="Times New Roman" w:hAnsi="Times New Roman"/>
                <w:b/>
                <w:sz w:val="20"/>
                <w:szCs w:val="20"/>
              </w:rPr>
              <w:t>Minimum Condition</w:t>
            </w:r>
          </w:p>
        </w:tc>
        <w:tc>
          <w:tcPr>
            <w:tcW w:w="5850"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45EC67E6" w14:textId="77777777" w:rsidR="004A2883" w:rsidRPr="004E1BF3" w:rsidRDefault="004A2883" w:rsidP="004A2883">
            <w:pPr>
              <w:pStyle w:val="ListParagraph"/>
              <w:ind w:left="0"/>
              <w:jc w:val="center"/>
              <w:rPr>
                <w:rFonts w:ascii="Times New Roman" w:hAnsi="Times New Roman"/>
                <w:b/>
                <w:sz w:val="20"/>
                <w:szCs w:val="20"/>
                <w:lang w:eastAsia="ko-KR"/>
              </w:rPr>
            </w:pPr>
            <w:r w:rsidRPr="004E1BF3">
              <w:rPr>
                <w:rFonts w:ascii="Times New Roman" w:hAnsi="Times New Roman"/>
                <w:b/>
                <w:sz w:val="20"/>
                <w:szCs w:val="20"/>
              </w:rPr>
              <w:t>Indicator</w:t>
            </w:r>
          </w:p>
        </w:tc>
      </w:tr>
      <w:tr w:rsidR="004A2883" w:rsidRPr="004E1BF3" w14:paraId="19253FBB" w14:textId="77777777" w:rsidTr="004A2883">
        <w:tc>
          <w:tcPr>
            <w:tcW w:w="3595" w:type="dxa"/>
            <w:tcBorders>
              <w:top w:val="single" w:sz="4" w:space="0" w:color="auto"/>
              <w:left w:val="single" w:sz="4" w:space="0" w:color="auto"/>
              <w:bottom w:val="single" w:sz="4" w:space="0" w:color="auto"/>
              <w:right w:val="single" w:sz="4" w:space="0" w:color="auto"/>
            </w:tcBorders>
          </w:tcPr>
          <w:p w14:paraId="47FD4BBE" w14:textId="77777777" w:rsidR="004A2883" w:rsidRPr="004E1BF3" w:rsidRDefault="004A2883" w:rsidP="004A2883">
            <w:pPr>
              <w:pStyle w:val="ListParagraph"/>
              <w:ind w:left="0"/>
              <w:rPr>
                <w:rFonts w:ascii="Times New Roman" w:hAnsi="Times New Roman"/>
                <w:sz w:val="20"/>
                <w:szCs w:val="20"/>
                <w:lang w:eastAsia="ko-KR"/>
              </w:rPr>
            </w:pPr>
            <w:r w:rsidRPr="004E1BF3">
              <w:rPr>
                <w:rFonts w:ascii="Times New Roman" w:hAnsi="Times New Roman"/>
                <w:b/>
                <w:sz w:val="20"/>
                <w:szCs w:val="20"/>
              </w:rPr>
              <w:t xml:space="preserve">MC1: </w:t>
            </w:r>
            <w:r>
              <w:rPr>
                <w:rFonts w:ascii="Times New Roman" w:hAnsi="Times New Roman"/>
                <w:b/>
                <w:sz w:val="20"/>
                <w:szCs w:val="20"/>
              </w:rPr>
              <w:t xml:space="preserve">- </w:t>
            </w:r>
            <w:r w:rsidRPr="004E1BF3">
              <w:rPr>
                <w:rFonts w:ascii="Times New Roman" w:hAnsi="Times New Roman"/>
                <w:sz w:val="20"/>
                <w:szCs w:val="20"/>
              </w:rPr>
              <w:t>Annual work plan with M&amp;E and CB activities for MAs</w:t>
            </w:r>
          </w:p>
        </w:tc>
        <w:tc>
          <w:tcPr>
            <w:tcW w:w="5850" w:type="dxa"/>
            <w:tcBorders>
              <w:top w:val="single" w:sz="4" w:space="0" w:color="auto"/>
              <w:left w:val="single" w:sz="4" w:space="0" w:color="auto"/>
              <w:bottom w:val="single" w:sz="4" w:space="0" w:color="auto"/>
              <w:right w:val="single" w:sz="4" w:space="0" w:color="auto"/>
            </w:tcBorders>
            <w:hideMark/>
          </w:tcPr>
          <w:p w14:paraId="5B4FA2CB" w14:textId="77777777" w:rsidR="004A2883" w:rsidRPr="004E1BF3" w:rsidRDefault="004A2883" w:rsidP="004A2883">
            <w:pPr>
              <w:pStyle w:val="ListParagraph"/>
              <w:ind w:left="0"/>
              <w:rPr>
                <w:rFonts w:ascii="Times New Roman" w:hAnsi="Times New Roman"/>
                <w:sz w:val="20"/>
                <w:szCs w:val="20"/>
                <w:lang w:eastAsia="ko-KR"/>
              </w:rPr>
            </w:pPr>
            <w:r w:rsidRPr="004E1BF3">
              <w:rPr>
                <w:rFonts w:ascii="Times New Roman" w:hAnsi="Times New Roman"/>
                <w:sz w:val="20"/>
                <w:szCs w:val="20"/>
              </w:rPr>
              <w:t>RCC to prepare annual workplan which includes monitoring and capacity building activities for MAs in its jurisdiction</w:t>
            </w:r>
          </w:p>
        </w:tc>
      </w:tr>
      <w:tr w:rsidR="004A2883" w:rsidRPr="004E1BF3" w14:paraId="00A15B76" w14:textId="77777777" w:rsidTr="004A2883">
        <w:tc>
          <w:tcPr>
            <w:tcW w:w="3595" w:type="dxa"/>
            <w:tcBorders>
              <w:top w:val="single" w:sz="4" w:space="0" w:color="auto"/>
              <w:left w:val="single" w:sz="4" w:space="0" w:color="auto"/>
              <w:bottom w:val="single" w:sz="4" w:space="0" w:color="auto"/>
              <w:right w:val="single" w:sz="4" w:space="0" w:color="auto"/>
            </w:tcBorders>
            <w:hideMark/>
          </w:tcPr>
          <w:p w14:paraId="450AB7AF" w14:textId="77777777" w:rsidR="004A2883" w:rsidRPr="004E1BF3" w:rsidRDefault="004A2883" w:rsidP="004A2883">
            <w:pPr>
              <w:pStyle w:val="ListParagraph"/>
              <w:ind w:left="0"/>
              <w:rPr>
                <w:rFonts w:ascii="Times New Roman" w:hAnsi="Times New Roman"/>
                <w:sz w:val="20"/>
                <w:szCs w:val="20"/>
              </w:rPr>
            </w:pPr>
            <w:r w:rsidRPr="004E1BF3">
              <w:rPr>
                <w:rFonts w:ascii="Times New Roman" w:hAnsi="Times New Roman"/>
                <w:b/>
                <w:sz w:val="20"/>
                <w:szCs w:val="20"/>
              </w:rPr>
              <w:t>MC2:</w:t>
            </w:r>
            <w:r>
              <w:rPr>
                <w:rFonts w:ascii="Times New Roman" w:hAnsi="Times New Roman"/>
                <w:b/>
                <w:sz w:val="20"/>
                <w:szCs w:val="20"/>
              </w:rPr>
              <w:t xml:space="preserve"> - </w:t>
            </w:r>
            <w:r w:rsidRPr="004E1BF3">
              <w:rPr>
                <w:rFonts w:ascii="Times New Roman" w:hAnsi="Times New Roman"/>
                <w:sz w:val="20"/>
                <w:szCs w:val="20"/>
                <w:u w:val="single"/>
              </w:rPr>
              <w:t>From Year 2 onwards</w:t>
            </w:r>
            <w:r w:rsidRPr="004E1BF3">
              <w:rPr>
                <w:rFonts w:ascii="Times New Roman" w:hAnsi="Times New Roman"/>
                <w:sz w:val="20"/>
                <w:szCs w:val="20"/>
              </w:rPr>
              <w:t>:</w:t>
            </w:r>
          </w:p>
          <w:p w14:paraId="47358ABE" w14:textId="77777777" w:rsidR="004A2883" w:rsidRPr="004E1BF3" w:rsidRDefault="004A2883" w:rsidP="004A2883">
            <w:pPr>
              <w:pStyle w:val="ListParagraph"/>
              <w:ind w:left="0"/>
              <w:rPr>
                <w:rFonts w:ascii="Times New Roman" w:hAnsi="Times New Roman"/>
                <w:sz w:val="20"/>
                <w:szCs w:val="20"/>
                <w:lang w:eastAsia="ko-KR"/>
              </w:rPr>
            </w:pPr>
            <w:r w:rsidRPr="004E1BF3">
              <w:rPr>
                <w:rFonts w:ascii="Times New Roman" w:hAnsi="Times New Roman"/>
                <w:sz w:val="20"/>
                <w:szCs w:val="20"/>
              </w:rPr>
              <w:t>Regular report to MLGRD and OHLGS</w:t>
            </w:r>
          </w:p>
        </w:tc>
        <w:tc>
          <w:tcPr>
            <w:tcW w:w="5850" w:type="dxa"/>
            <w:tcBorders>
              <w:top w:val="single" w:sz="4" w:space="0" w:color="auto"/>
              <w:left w:val="single" w:sz="4" w:space="0" w:color="auto"/>
              <w:bottom w:val="single" w:sz="4" w:space="0" w:color="auto"/>
              <w:right w:val="single" w:sz="4" w:space="0" w:color="auto"/>
            </w:tcBorders>
            <w:hideMark/>
          </w:tcPr>
          <w:p w14:paraId="6C187084" w14:textId="77777777" w:rsidR="004A2883" w:rsidRPr="004E1BF3" w:rsidRDefault="004A2883" w:rsidP="004A2883">
            <w:pPr>
              <w:pStyle w:val="ListParagraph"/>
              <w:ind w:left="0"/>
              <w:rPr>
                <w:rFonts w:ascii="Times New Roman" w:hAnsi="Times New Roman"/>
                <w:sz w:val="20"/>
                <w:szCs w:val="20"/>
                <w:lang w:eastAsia="ko-KR"/>
              </w:rPr>
            </w:pPr>
            <w:r w:rsidRPr="004E1BF3">
              <w:rPr>
                <w:rFonts w:ascii="Times New Roman" w:hAnsi="Times New Roman"/>
                <w:sz w:val="20"/>
                <w:szCs w:val="20"/>
                <w:u w:val="single"/>
              </w:rPr>
              <w:t>From Year 2 onwards</w:t>
            </w:r>
            <w:r w:rsidRPr="004E1BF3">
              <w:rPr>
                <w:rFonts w:ascii="Times New Roman" w:hAnsi="Times New Roman"/>
                <w:sz w:val="20"/>
                <w:szCs w:val="20"/>
              </w:rPr>
              <w:t>:</w:t>
            </w:r>
            <w:r>
              <w:rPr>
                <w:rFonts w:ascii="Times New Roman" w:hAnsi="Times New Roman"/>
                <w:sz w:val="20"/>
                <w:szCs w:val="20"/>
              </w:rPr>
              <w:t xml:space="preserve"> - </w:t>
            </w:r>
            <w:r w:rsidRPr="004E1BF3">
              <w:rPr>
                <w:rFonts w:ascii="Times New Roman" w:hAnsi="Times New Roman"/>
                <w:sz w:val="20"/>
                <w:szCs w:val="20"/>
              </w:rPr>
              <w:t>RCC to submit quarterly M&amp;E report and annual progress report to OHLGS and MLGRD on a timely basis</w:t>
            </w:r>
          </w:p>
        </w:tc>
      </w:tr>
    </w:tbl>
    <w:p w14:paraId="493E79BC" w14:textId="77777777" w:rsidR="004A2883" w:rsidRDefault="004A2883" w:rsidP="004A2883">
      <w:pPr>
        <w:spacing w:after="0" w:line="240" w:lineRule="auto"/>
        <w:jc w:val="both"/>
        <w:rPr>
          <w:rFonts w:ascii="Times New Roman" w:hAnsi="Times New Roman" w:cs="Times New Roman"/>
          <w:lang w:eastAsia="ko-KR"/>
        </w:rPr>
      </w:pPr>
    </w:p>
    <w:p w14:paraId="7CD10027" w14:textId="71F9BC4F" w:rsidR="004A2883" w:rsidRDefault="004A2883" w:rsidP="004A2883">
      <w:pPr>
        <w:spacing w:after="0" w:line="240" w:lineRule="auto"/>
        <w:jc w:val="both"/>
        <w:rPr>
          <w:rFonts w:ascii="Times New Roman" w:hAnsi="Times New Roman" w:cs="Times New Roman"/>
        </w:rPr>
      </w:pPr>
      <w:r>
        <w:rPr>
          <w:rFonts w:ascii="Times New Roman" w:hAnsi="Times New Roman" w:cs="Times New Roman"/>
          <w:b/>
        </w:rPr>
        <w:t xml:space="preserve">RCCs </w:t>
      </w:r>
      <w:r w:rsidRPr="00BC11D6">
        <w:rPr>
          <w:rFonts w:ascii="Times New Roman" w:hAnsi="Times New Roman" w:cs="Times New Roman"/>
          <w:b/>
        </w:rPr>
        <w:t>will be able to use these grants to finance a wide range of capacity development initiatives and expenditure items</w:t>
      </w:r>
      <w:r w:rsidRPr="00BC11D6">
        <w:rPr>
          <w:rFonts w:ascii="Times New Roman" w:hAnsi="Times New Roman" w:cs="Times New Roman"/>
        </w:rPr>
        <w:t>. In particular, the grant will be used to finance activities for monitoring</w:t>
      </w:r>
      <w:r>
        <w:rPr>
          <w:rFonts w:ascii="Times New Roman" w:hAnsi="Times New Roman" w:cs="Times New Roman"/>
        </w:rPr>
        <w:t xml:space="preserve"> and </w:t>
      </w:r>
      <w:r w:rsidRPr="00BC11D6">
        <w:rPr>
          <w:rFonts w:ascii="Times New Roman" w:hAnsi="Times New Roman" w:cs="Times New Roman"/>
        </w:rPr>
        <w:t>technical back-up support to MAs</w:t>
      </w:r>
      <w:r>
        <w:rPr>
          <w:rFonts w:ascii="Times New Roman" w:hAnsi="Times New Roman" w:cs="Times New Roman"/>
        </w:rPr>
        <w:t xml:space="preserve"> to improve their DPAT as well as performance benchmarks</w:t>
      </w:r>
      <w:r w:rsidRPr="00BC11D6">
        <w:rPr>
          <w:rFonts w:ascii="Times New Roman" w:hAnsi="Times New Roman" w:cs="Times New Roman"/>
        </w:rPr>
        <w:t xml:space="preserve">. However, certain categories of expenditure </w:t>
      </w:r>
      <w:r>
        <w:rPr>
          <w:rFonts w:ascii="Times New Roman" w:hAnsi="Times New Roman" w:cs="Times New Roman"/>
        </w:rPr>
        <w:t xml:space="preserve">such as vehicles and salaries </w:t>
      </w:r>
      <w:r w:rsidRPr="00BC11D6">
        <w:rPr>
          <w:rFonts w:ascii="Times New Roman" w:hAnsi="Times New Roman" w:cs="Times New Roman"/>
        </w:rPr>
        <w:t>will not be permitted</w:t>
      </w:r>
      <w:r>
        <w:rPr>
          <w:rFonts w:ascii="Times New Roman" w:hAnsi="Times New Roman" w:cs="Times New Roman"/>
        </w:rPr>
        <w:t xml:space="preserve"> under the window.</w:t>
      </w:r>
    </w:p>
    <w:p w14:paraId="78FFE22F" w14:textId="77777777" w:rsidR="004A2883" w:rsidRDefault="004A2883" w:rsidP="004A2883">
      <w:pPr>
        <w:spacing w:after="0" w:line="240" w:lineRule="auto"/>
        <w:jc w:val="both"/>
        <w:rPr>
          <w:rFonts w:ascii="Times New Roman" w:hAnsi="Times New Roman" w:cs="Times New Roman"/>
        </w:rPr>
      </w:pPr>
    </w:p>
    <w:p w14:paraId="0B951565" w14:textId="0065F940" w:rsidR="004A2883" w:rsidRPr="00F0779A" w:rsidRDefault="004A2883" w:rsidP="004A2883">
      <w:pPr>
        <w:spacing w:after="0" w:line="240" w:lineRule="auto"/>
        <w:jc w:val="both"/>
        <w:rPr>
          <w:rFonts w:ascii="Times New Roman" w:hAnsi="Times New Roman" w:cs="Times New Roman"/>
          <w:highlight w:val="yellow"/>
        </w:rPr>
      </w:pPr>
      <w:r w:rsidRPr="00732B33">
        <w:rPr>
          <w:rFonts w:ascii="Times New Roman" w:hAnsi="Times New Roman" w:cs="Times New Roman"/>
          <w:b/>
        </w:rPr>
        <w:t>National Window</w:t>
      </w:r>
      <w:r>
        <w:rPr>
          <w:rFonts w:ascii="Times New Roman" w:hAnsi="Times New Roman" w:cs="Times New Roman"/>
        </w:rPr>
        <w:t xml:space="preserve"> – </w:t>
      </w:r>
      <w:r w:rsidRPr="004526DC">
        <w:rPr>
          <w:rFonts w:ascii="Times New Roman" w:hAnsi="Times New Roman" w:cs="Times New Roman"/>
          <w:b/>
        </w:rPr>
        <w:t xml:space="preserve">the proposed Program will provide support to MLGRD and to OHLGS to undertake a number of key activities related to MAs. </w:t>
      </w:r>
      <w:r w:rsidRPr="004526DC">
        <w:rPr>
          <w:rFonts w:ascii="Times New Roman" w:hAnsi="Times New Roman" w:cs="Times New Roman"/>
        </w:rPr>
        <w:t>These activities will be financed through three DLIs.</w:t>
      </w:r>
    </w:p>
    <w:p w14:paraId="716281F4" w14:textId="77777777" w:rsidR="004A2883" w:rsidRPr="004526DC" w:rsidRDefault="004A2883" w:rsidP="004A2883">
      <w:pPr>
        <w:pStyle w:val="Header"/>
        <w:rPr>
          <w:b/>
        </w:rPr>
      </w:pPr>
    </w:p>
    <w:p w14:paraId="6B206BAB" w14:textId="3101E632" w:rsidR="004A2883" w:rsidRDefault="004A2883" w:rsidP="004A2883">
      <w:pPr>
        <w:pStyle w:val="Header"/>
        <w:tabs>
          <w:tab w:val="clear" w:pos="4680"/>
          <w:tab w:val="clear" w:pos="9360"/>
        </w:tabs>
        <w:rPr>
          <w:b/>
        </w:rPr>
      </w:pPr>
      <w:r w:rsidRPr="004526DC">
        <w:rPr>
          <w:b/>
        </w:rPr>
        <w:t xml:space="preserve">MLGRD will be the Program </w:t>
      </w:r>
      <w:r>
        <w:rPr>
          <w:b/>
        </w:rPr>
        <w:t>Executing Ministry</w:t>
      </w:r>
      <w:r w:rsidRPr="004526DC">
        <w:rPr>
          <w:b/>
        </w:rPr>
        <w:t xml:space="preserve">, responsible for monitoring, evaluation and reporting. </w:t>
      </w:r>
      <w:r w:rsidRPr="00D302B9">
        <w:t>It will therefore be responsible for coordinating</w:t>
      </w:r>
      <w:r>
        <w:t xml:space="preserve"> other</w:t>
      </w:r>
      <w:r w:rsidRPr="00D302B9">
        <w:t xml:space="preserve"> MDA</w:t>
      </w:r>
      <w:r>
        <w:t>s</w:t>
      </w:r>
      <w:r w:rsidRPr="00D302B9">
        <w:t xml:space="preserve"> polic</w:t>
      </w:r>
      <w:r>
        <w:t>ies</w:t>
      </w:r>
      <w:r w:rsidRPr="00D302B9">
        <w:t xml:space="preserve"> and technical support to </w:t>
      </w:r>
      <w:r>
        <w:t xml:space="preserve">Program </w:t>
      </w:r>
      <w:r w:rsidRPr="00D302B9">
        <w:t>MAs and for providing MAs and RCCs with national level backstopping and capacity development support.</w:t>
      </w:r>
      <w:r w:rsidRPr="004526DC">
        <w:t xml:space="preserve"> This will require that MLGRD coordinates support from national level ministries and agencies, and establishes an annual work plan for the deployment of such support. Key national level MDAs from whom support will be required include: The Ministry of Finance (FDU and other departments), the Local Government Service (LGS), the Land Use &amp; Spatial Planning Authority (LUSPA), the Environmental Protection Agency (EPA), and the </w:t>
      </w:r>
      <w:r w:rsidR="00887529">
        <w:t>Land Valuation Division</w:t>
      </w:r>
      <w:r w:rsidRPr="004526DC">
        <w:t xml:space="preserve"> (LV</w:t>
      </w:r>
      <w:r w:rsidR="00887529">
        <w:t>D</w:t>
      </w:r>
      <w:r w:rsidRPr="004526DC">
        <w:t xml:space="preserve">). </w:t>
      </w:r>
    </w:p>
    <w:p w14:paraId="55CF6D0A" w14:textId="77777777" w:rsidR="004A2883" w:rsidRDefault="004A2883" w:rsidP="004A2883">
      <w:pPr>
        <w:pStyle w:val="Header"/>
        <w:tabs>
          <w:tab w:val="clear" w:pos="4680"/>
          <w:tab w:val="clear" w:pos="9360"/>
        </w:tabs>
        <w:rPr>
          <w:b/>
        </w:rPr>
      </w:pPr>
    </w:p>
    <w:p w14:paraId="11970475" w14:textId="77777777" w:rsidR="004A2883" w:rsidRPr="00F0779A" w:rsidRDefault="004A2883" w:rsidP="00CB2188">
      <w:pPr>
        <w:pStyle w:val="Header"/>
        <w:tabs>
          <w:tab w:val="clear" w:pos="4680"/>
          <w:tab w:val="clear" w:pos="9360"/>
        </w:tabs>
        <w:rPr>
          <w:b/>
        </w:rPr>
      </w:pPr>
      <w:r w:rsidRPr="004526DC">
        <w:rPr>
          <w:b/>
        </w:rPr>
        <w:t xml:space="preserve">MLGRD will be responsible for ensuring that DPAT and UDG annual assessments are carried out. </w:t>
      </w:r>
      <w:r w:rsidRPr="004526DC">
        <w:t xml:space="preserve">Both MMDA performance assessments are fundamental to GSCSP and will determine the level of funding that will be provided to eligible MAs. MLGRD will procure the services of independent consulting firms </w:t>
      </w:r>
      <w:r>
        <w:t xml:space="preserve">(independent verification agency – IVA) </w:t>
      </w:r>
      <w:r w:rsidRPr="004526DC">
        <w:t>for both assessments, using GoG procurement procedures.</w:t>
      </w:r>
    </w:p>
    <w:p w14:paraId="6992BE97" w14:textId="77777777" w:rsidR="004A2883" w:rsidRDefault="004A2883" w:rsidP="004A2883">
      <w:pPr>
        <w:pStyle w:val="Header"/>
        <w:tabs>
          <w:tab w:val="clear" w:pos="4680"/>
          <w:tab w:val="clear" w:pos="9360"/>
        </w:tabs>
        <w:rPr>
          <w:b/>
        </w:rPr>
      </w:pPr>
    </w:p>
    <w:p w14:paraId="3DA688A3" w14:textId="77777777" w:rsidR="004A2883" w:rsidRDefault="004A2883" w:rsidP="00CB2188">
      <w:pPr>
        <w:pStyle w:val="Header"/>
        <w:tabs>
          <w:tab w:val="clear" w:pos="4680"/>
          <w:tab w:val="clear" w:pos="9360"/>
        </w:tabs>
        <w:rPr>
          <w:b/>
        </w:rPr>
      </w:pPr>
      <w:r w:rsidRPr="00F0779A">
        <w:rPr>
          <w:b/>
        </w:rPr>
        <w:t xml:space="preserve">The Office of the Head of Local Government Services (OHLGS) will provide MAs with training and capacity support services. </w:t>
      </w:r>
      <w:r w:rsidRPr="00F0779A">
        <w:t>This will include basic training in general local government procedures, but will also cover more specialized and specific areas – such as improved revenue administration, computerization and the use of ICT, monitoring of municipal services, and local economic development.</w:t>
      </w:r>
    </w:p>
    <w:p w14:paraId="38D4B0A1" w14:textId="77777777" w:rsidR="004A2883" w:rsidRPr="00F0779A" w:rsidRDefault="004A2883" w:rsidP="004A2883">
      <w:pPr>
        <w:spacing w:after="0"/>
        <w:rPr>
          <w:rFonts w:ascii="Times New Roman" w:hAnsi="Times New Roman" w:cs="Times New Roman"/>
          <w:b/>
        </w:rPr>
      </w:pPr>
    </w:p>
    <w:p w14:paraId="5288DB0B" w14:textId="77777777" w:rsidR="004A2883" w:rsidRPr="00F0779A" w:rsidRDefault="004A2883" w:rsidP="00CB2188">
      <w:pPr>
        <w:pStyle w:val="Header"/>
        <w:tabs>
          <w:tab w:val="clear" w:pos="4680"/>
          <w:tab w:val="clear" w:pos="9360"/>
        </w:tabs>
        <w:rPr>
          <w:b/>
        </w:rPr>
      </w:pPr>
      <w:r w:rsidRPr="00F0779A">
        <w:rPr>
          <w:b/>
        </w:rPr>
        <w:t xml:space="preserve">In addition, OHLGS will be responsible for ensuring that key staff are in place in MAs and RCCs. </w:t>
      </w:r>
      <w:r w:rsidRPr="00F0779A">
        <w:t>The following table lists the key staff at each level that must be posted by OHLGS to RCCs and MAs (staffing minimum condition) to enable them to qualify to receive funding under the Program.</w:t>
      </w:r>
    </w:p>
    <w:p w14:paraId="67480491" w14:textId="77777777" w:rsidR="004A2883" w:rsidRPr="006779CF" w:rsidRDefault="004A2883" w:rsidP="004A2883">
      <w:pPr>
        <w:pStyle w:val="Header"/>
        <w:tabs>
          <w:tab w:val="clear" w:pos="4680"/>
          <w:tab w:val="clear" w:pos="9360"/>
        </w:tabs>
      </w:pPr>
    </w:p>
    <w:p w14:paraId="50E42B22" w14:textId="77777777" w:rsidR="004A2883" w:rsidRPr="00C01613" w:rsidRDefault="004A2883" w:rsidP="004A2883">
      <w:pPr>
        <w:pStyle w:val="Header"/>
        <w:tabs>
          <w:tab w:val="left" w:pos="1980"/>
        </w:tabs>
        <w:rPr>
          <w:b/>
        </w:rPr>
      </w:pPr>
      <w:r w:rsidRPr="00C01613">
        <w:rPr>
          <w:b/>
        </w:rPr>
        <w:t>Table</w:t>
      </w:r>
      <w:r>
        <w:rPr>
          <w:b/>
        </w:rPr>
        <w:t xml:space="preserve"> 6:</w:t>
      </w:r>
      <w:r>
        <w:rPr>
          <w:b/>
        </w:rPr>
        <w:tab/>
        <w:t>K</w:t>
      </w:r>
      <w:r w:rsidRPr="00C01613">
        <w:rPr>
          <w:b/>
        </w:rPr>
        <w:t>ey staffing positions in RCCs and MAs</w:t>
      </w:r>
    </w:p>
    <w:p w14:paraId="5C5785E0" w14:textId="77777777" w:rsidR="004A2883" w:rsidRPr="004526DC" w:rsidRDefault="004A2883" w:rsidP="004A2883">
      <w:pPr>
        <w:pStyle w:val="Header"/>
        <w:ind w:left="567"/>
        <w:jc w:val="center"/>
      </w:pPr>
    </w:p>
    <w:tbl>
      <w:tblPr>
        <w:tblStyle w:val="TableGrid"/>
        <w:tblW w:w="9337" w:type="dxa"/>
        <w:tblInd w:w="108" w:type="dxa"/>
        <w:tblLook w:val="04A0" w:firstRow="1" w:lastRow="0" w:firstColumn="1" w:lastColumn="0" w:noHBand="0" w:noVBand="1"/>
      </w:tblPr>
      <w:tblGrid>
        <w:gridCol w:w="456"/>
        <w:gridCol w:w="4291"/>
        <w:gridCol w:w="4590"/>
      </w:tblGrid>
      <w:tr w:rsidR="004A2883" w:rsidRPr="004526DC" w14:paraId="2CFD85FC" w14:textId="77777777" w:rsidTr="00CA0715">
        <w:trPr>
          <w:trHeight w:val="397"/>
        </w:trPr>
        <w:tc>
          <w:tcPr>
            <w:tcW w:w="456" w:type="dxa"/>
            <w:shd w:val="clear" w:color="auto" w:fill="538135" w:themeFill="accent6" w:themeFillShade="BF"/>
          </w:tcPr>
          <w:p w14:paraId="24B7CA01" w14:textId="77777777" w:rsidR="004A2883" w:rsidRPr="004526DC" w:rsidRDefault="004A2883" w:rsidP="004A2883">
            <w:pPr>
              <w:pStyle w:val="Header"/>
              <w:jc w:val="center"/>
              <w:rPr>
                <w:b/>
              </w:rPr>
            </w:pPr>
            <w:r>
              <w:rPr>
                <w:b/>
              </w:rPr>
              <w:t>#</w:t>
            </w:r>
          </w:p>
        </w:tc>
        <w:tc>
          <w:tcPr>
            <w:tcW w:w="4291" w:type="dxa"/>
            <w:shd w:val="clear" w:color="auto" w:fill="538135" w:themeFill="accent6" w:themeFillShade="BF"/>
            <w:vAlign w:val="center"/>
          </w:tcPr>
          <w:p w14:paraId="39CD43DB" w14:textId="77777777" w:rsidR="004A2883" w:rsidRPr="004526DC" w:rsidRDefault="004A2883" w:rsidP="004A2883">
            <w:pPr>
              <w:pStyle w:val="Header"/>
              <w:jc w:val="center"/>
              <w:rPr>
                <w:b/>
              </w:rPr>
            </w:pPr>
            <w:r w:rsidRPr="004526DC">
              <w:rPr>
                <w:b/>
              </w:rPr>
              <w:t>Regional Coordinating Councils</w:t>
            </w:r>
          </w:p>
        </w:tc>
        <w:tc>
          <w:tcPr>
            <w:tcW w:w="4590" w:type="dxa"/>
            <w:shd w:val="clear" w:color="auto" w:fill="538135" w:themeFill="accent6" w:themeFillShade="BF"/>
            <w:vAlign w:val="center"/>
          </w:tcPr>
          <w:p w14:paraId="12B10AF1" w14:textId="77777777" w:rsidR="004A2883" w:rsidRPr="004526DC" w:rsidRDefault="004A2883" w:rsidP="004A2883">
            <w:pPr>
              <w:pStyle w:val="Header"/>
              <w:jc w:val="center"/>
              <w:rPr>
                <w:b/>
              </w:rPr>
            </w:pPr>
            <w:r w:rsidRPr="004526DC">
              <w:rPr>
                <w:b/>
              </w:rPr>
              <w:t>Municipal Assemblies</w:t>
            </w:r>
          </w:p>
        </w:tc>
      </w:tr>
      <w:tr w:rsidR="00CA0715" w:rsidRPr="004526DC" w14:paraId="6DDBE0C4" w14:textId="77777777" w:rsidTr="00CA0715">
        <w:tc>
          <w:tcPr>
            <w:tcW w:w="456" w:type="dxa"/>
          </w:tcPr>
          <w:p w14:paraId="1509E480" w14:textId="77777777" w:rsidR="00CA0715" w:rsidRPr="004526DC" w:rsidRDefault="00CA0715" w:rsidP="00CA0715">
            <w:pPr>
              <w:rPr>
                <w:rFonts w:ascii="Times New Roman" w:hAnsi="Times New Roman"/>
              </w:rPr>
            </w:pPr>
            <w:r>
              <w:rPr>
                <w:rFonts w:ascii="Times New Roman" w:hAnsi="Times New Roman"/>
              </w:rPr>
              <w:t>1</w:t>
            </w:r>
          </w:p>
        </w:tc>
        <w:tc>
          <w:tcPr>
            <w:tcW w:w="4291" w:type="dxa"/>
          </w:tcPr>
          <w:p w14:paraId="378FAEB5" w14:textId="07454BAA" w:rsidR="00CA0715" w:rsidRPr="00CA0715" w:rsidRDefault="00CA0715" w:rsidP="00CA0715">
            <w:pPr>
              <w:rPr>
                <w:rFonts w:ascii="Times New Roman" w:hAnsi="Times New Roman"/>
              </w:rPr>
            </w:pPr>
            <w:r w:rsidRPr="00CA0715">
              <w:rPr>
                <w:rFonts w:ascii="Times New Roman" w:hAnsi="Times New Roman"/>
              </w:rPr>
              <w:t>Regional Planning Officer</w:t>
            </w:r>
          </w:p>
        </w:tc>
        <w:tc>
          <w:tcPr>
            <w:tcW w:w="4590" w:type="dxa"/>
            <w:vAlign w:val="center"/>
          </w:tcPr>
          <w:p w14:paraId="1E2E360A" w14:textId="77777777" w:rsidR="00CA0715" w:rsidRPr="004526DC" w:rsidRDefault="00CA0715" w:rsidP="00CA0715">
            <w:pPr>
              <w:pStyle w:val="NoSpacing"/>
              <w:rPr>
                <w:rFonts w:ascii="Times New Roman" w:hAnsi="Times New Roman"/>
              </w:rPr>
            </w:pPr>
            <w:r w:rsidRPr="004526DC">
              <w:rPr>
                <w:rFonts w:ascii="Times New Roman" w:hAnsi="Times New Roman"/>
              </w:rPr>
              <w:t>Municipal Coordinating Director</w:t>
            </w:r>
          </w:p>
        </w:tc>
      </w:tr>
      <w:tr w:rsidR="00CA0715" w:rsidRPr="004526DC" w14:paraId="6B0288B7" w14:textId="77777777" w:rsidTr="00CA0715">
        <w:tc>
          <w:tcPr>
            <w:tcW w:w="456" w:type="dxa"/>
          </w:tcPr>
          <w:p w14:paraId="274AB5D1" w14:textId="77777777" w:rsidR="00CA0715" w:rsidRPr="004526DC" w:rsidRDefault="00CA0715" w:rsidP="00CA0715">
            <w:pPr>
              <w:rPr>
                <w:rFonts w:ascii="Times New Roman" w:hAnsi="Times New Roman"/>
              </w:rPr>
            </w:pPr>
            <w:r>
              <w:rPr>
                <w:rFonts w:ascii="Times New Roman" w:hAnsi="Times New Roman"/>
              </w:rPr>
              <w:t>2</w:t>
            </w:r>
          </w:p>
        </w:tc>
        <w:tc>
          <w:tcPr>
            <w:tcW w:w="4291" w:type="dxa"/>
          </w:tcPr>
          <w:p w14:paraId="782DDB14" w14:textId="783A8B01" w:rsidR="00CA0715" w:rsidRPr="00CA0715" w:rsidRDefault="00CA0715" w:rsidP="00CA0715">
            <w:pPr>
              <w:rPr>
                <w:rFonts w:ascii="Times New Roman" w:hAnsi="Times New Roman"/>
              </w:rPr>
            </w:pPr>
            <w:r w:rsidRPr="00CA0715">
              <w:rPr>
                <w:rFonts w:ascii="Times New Roman" w:hAnsi="Times New Roman"/>
              </w:rPr>
              <w:t>Regional Finance Officer</w:t>
            </w:r>
          </w:p>
        </w:tc>
        <w:tc>
          <w:tcPr>
            <w:tcW w:w="4590" w:type="dxa"/>
            <w:vAlign w:val="center"/>
          </w:tcPr>
          <w:p w14:paraId="123A8B66" w14:textId="77777777" w:rsidR="00CA0715" w:rsidRPr="004526DC" w:rsidRDefault="00CA0715" w:rsidP="00CA0715">
            <w:pPr>
              <w:pStyle w:val="NoSpacing"/>
              <w:rPr>
                <w:rFonts w:ascii="Times New Roman" w:hAnsi="Times New Roman"/>
              </w:rPr>
            </w:pPr>
            <w:r w:rsidRPr="004526DC">
              <w:rPr>
                <w:rFonts w:ascii="Times New Roman" w:hAnsi="Times New Roman"/>
              </w:rPr>
              <w:t>Municipal Planning Officer</w:t>
            </w:r>
          </w:p>
        </w:tc>
      </w:tr>
      <w:tr w:rsidR="00CA0715" w:rsidRPr="004526DC" w14:paraId="5D2FC574" w14:textId="77777777" w:rsidTr="00CA0715">
        <w:tc>
          <w:tcPr>
            <w:tcW w:w="456" w:type="dxa"/>
          </w:tcPr>
          <w:p w14:paraId="5B43CB51" w14:textId="77777777" w:rsidR="00CA0715" w:rsidRPr="004526DC" w:rsidRDefault="00CA0715" w:rsidP="00CA0715">
            <w:pPr>
              <w:rPr>
                <w:rFonts w:ascii="Times New Roman" w:hAnsi="Times New Roman"/>
              </w:rPr>
            </w:pPr>
            <w:r>
              <w:rPr>
                <w:rFonts w:ascii="Times New Roman" w:hAnsi="Times New Roman"/>
              </w:rPr>
              <w:t>3</w:t>
            </w:r>
          </w:p>
        </w:tc>
        <w:tc>
          <w:tcPr>
            <w:tcW w:w="4291" w:type="dxa"/>
          </w:tcPr>
          <w:p w14:paraId="52DBBF90" w14:textId="3648DBAB" w:rsidR="00CA0715" w:rsidRPr="00CA0715" w:rsidRDefault="00CA0715" w:rsidP="00CA0715">
            <w:pPr>
              <w:rPr>
                <w:rFonts w:ascii="Times New Roman" w:hAnsi="Times New Roman"/>
              </w:rPr>
            </w:pPr>
            <w:r w:rsidRPr="00CA0715">
              <w:rPr>
                <w:rFonts w:ascii="Times New Roman" w:hAnsi="Times New Roman"/>
              </w:rPr>
              <w:t>Regional Budget Officer</w:t>
            </w:r>
          </w:p>
        </w:tc>
        <w:tc>
          <w:tcPr>
            <w:tcW w:w="4590" w:type="dxa"/>
            <w:vAlign w:val="center"/>
          </w:tcPr>
          <w:p w14:paraId="5350C8AF" w14:textId="77777777" w:rsidR="00CA0715" w:rsidRPr="004526DC" w:rsidRDefault="00CA0715" w:rsidP="00CA0715">
            <w:pPr>
              <w:pStyle w:val="NoSpacing"/>
              <w:rPr>
                <w:rFonts w:ascii="Times New Roman" w:hAnsi="Times New Roman"/>
              </w:rPr>
            </w:pPr>
            <w:r w:rsidRPr="004526DC">
              <w:rPr>
                <w:rFonts w:ascii="Times New Roman" w:hAnsi="Times New Roman"/>
              </w:rPr>
              <w:t>Municipal Finance Officer</w:t>
            </w:r>
          </w:p>
        </w:tc>
      </w:tr>
      <w:tr w:rsidR="00CA0715" w:rsidRPr="004526DC" w14:paraId="7324B1AE" w14:textId="77777777" w:rsidTr="00CA0715">
        <w:tc>
          <w:tcPr>
            <w:tcW w:w="456" w:type="dxa"/>
          </w:tcPr>
          <w:p w14:paraId="0CB6D1DA" w14:textId="77777777" w:rsidR="00CA0715" w:rsidRPr="004526DC" w:rsidRDefault="00CA0715" w:rsidP="00CA0715">
            <w:pPr>
              <w:rPr>
                <w:rFonts w:ascii="Times New Roman" w:hAnsi="Times New Roman"/>
              </w:rPr>
            </w:pPr>
            <w:r>
              <w:rPr>
                <w:rFonts w:ascii="Times New Roman" w:hAnsi="Times New Roman"/>
              </w:rPr>
              <w:t>4</w:t>
            </w:r>
          </w:p>
        </w:tc>
        <w:tc>
          <w:tcPr>
            <w:tcW w:w="4291" w:type="dxa"/>
          </w:tcPr>
          <w:p w14:paraId="5C9D6273" w14:textId="79AEB1F0" w:rsidR="00CA0715" w:rsidRPr="00CA0715" w:rsidRDefault="00CA0715" w:rsidP="00CA0715">
            <w:pPr>
              <w:rPr>
                <w:rFonts w:ascii="Times New Roman" w:hAnsi="Times New Roman"/>
              </w:rPr>
            </w:pPr>
            <w:r w:rsidRPr="00CA0715">
              <w:rPr>
                <w:rFonts w:ascii="Times New Roman" w:hAnsi="Times New Roman"/>
              </w:rPr>
              <w:t>Regional Internal Auditor</w:t>
            </w:r>
          </w:p>
        </w:tc>
        <w:tc>
          <w:tcPr>
            <w:tcW w:w="4590" w:type="dxa"/>
            <w:vAlign w:val="center"/>
          </w:tcPr>
          <w:p w14:paraId="1CD6AFD8" w14:textId="77777777" w:rsidR="00CA0715" w:rsidRPr="004526DC" w:rsidRDefault="00CA0715" w:rsidP="00CA0715">
            <w:pPr>
              <w:pStyle w:val="NoSpacing"/>
              <w:rPr>
                <w:rFonts w:ascii="Times New Roman" w:hAnsi="Times New Roman"/>
              </w:rPr>
            </w:pPr>
            <w:r w:rsidRPr="004526DC">
              <w:rPr>
                <w:rFonts w:ascii="Times New Roman" w:hAnsi="Times New Roman"/>
              </w:rPr>
              <w:t>Municipal Budget Analyst</w:t>
            </w:r>
          </w:p>
        </w:tc>
      </w:tr>
      <w:tr w:rsidR="00CA0715" w:rsidRPr="004526DC" w14:paraId="0DAB5B00" w14:textId="77777777" w:rsidTr="00CA0715">
        <w:tc>
          <w:tcPr>
            <w:tcW w:w="456" w:type="dxa"/>
          </w:tcPr>
          <w:p w14:paraId="61C15399" w14:textId="77777777" w:rsidR="00CA0715" w:rsidRPr="004526DC" w:rsidRDefault="00CA0715" w:rsidP="00CA0715">
            <w:pPr>
              <w:rPr>
                <w:rFonts w:ascii="Times New Roman" w:hAnsi="Times New Roman"/>
              </w:rPr>
            </w:pPr>
            <w:r>
              <w:rPr>
                <w:rFonts w:ascii="Times New Roman" w:hAnsi="Times New Roman"/>
              </w:rPr>
              <w:t>5</w:t>
            </w:r>
          </w:p>
        </w:tc>
        <w:tc>
          <w:tcPr>
            <w:tcW w:w="4291" w:type="dxa"/>
          </w:tcPr>
          <w:p w14:paraId="50B10A4B" w14:textId="4E8E6E4E" w:rsidR="00CA0715" w:rsidRPr="00CA0715" w:rsidRDefault="00CA0715" w:rsidP="00CA0715">
            <w:pPr>
              <w:rPr>
                <w:rFonts w:ascii="Times New Roman" w:hAnsi="Times New Roman"/>
              </w:rPr>
            </w:pPr>
            <w:r w:rsidRPr="00CA0715">
              <w:rPr>
                <w:rFonts w:ascii="Times New Roman" w:hAnsi="Times New Roman"/>
              </w:rPr>
              <w:t>Regional Head, Public Works</w:t>
            </w:r>
          </w:p>
        </w:tc>
        <w:tc>
          <w:tcPr>
            <w:tcW w:w="4590" w:type="dxa"/>
            <w:vAlign w:val="center"/>
          </w:tcPr>
          <w:p w14:paraId="32E4C6CC" w14:textId="77777777" w:rsidR="00CA0715" w:rsidRPr="004526DC" w:rsidRDefault="00CA0715" w:rsidP="00CA0715">
            <w:pPr>
              <w:pStyle w:val="NoSpacing"/>
              <w:rPr>
                <w:rFonts w:ascii="Times New Roman" w:hAnsi="Times New Roman"/>
              </w:rPr>
            </w:pPr>
            <w:r w:rsidRPr="004526DC">
              <w:rPr>
                <w:rFonts w:ascii="Times New Roman" w:hAnsi="Times New Roman"/>
              </w:rPr>
              <w:t>Municipal Internal Audit Officer</w:t>
            </w:r>
          </w:p>
        </w:tc>
      </w:tr>
      <w:tr w:rsidR="00CA0715" w:rsidRPr="004526DC" w14:paraId="17156155" w14:textId="77777777" w:rsidTr="00CA0715">
        <w:tc>
          <w:tcPr>
            <w:tcW w:w="456" w:type="dxa"/>
          </w:tcPr>
          <w:p w14:paraId="01CECF25" w14:textId="77777777" w:rsidR="00CA0715" w:rsidRPr="004526DC" w:rsidRDefault="00CA0715" w:rsidP="00CA0715">
            <w:pPr>
              <w:rPr>
                <w:rFonts w:ascii="Times New Roman" w:hAnsi="Times New Roman"/>
              </w:rPr>
            </w:pPr>
            <w:r>
              <w:rPr>
                <w:rFonts w:ascii="Times New Roman" w:hAnsi="Times New Roman"/>
              </w:rPr>
              <w:t>6</w:t>
            </w:r>
          </w:p>
        </w:tc>
        <w:tc>
          <w:tcPr>
            <w:tcW w:w="4291" w:type="dxa"/>
          </w:tcPr>
          <w:p w14:paraId="75ED5E22" w14:textId="7DFCF618" w:rsidR="00CA0715" w:rsidRPr="00CA0715" w:rsidRDefault="00CA0715" w:rsidP="00CA0715">
            <w:pPr>
              <w:rPr>
                <w:rFonts w:ascii="Times New Roman" w:hAnsi="Times New Roman"/>
              </w:rPr>
            </w:pPr>
            <w:r w:rsidRPr="00CA0715">
              <w:rPr>
                <w:rFonts w:ascii="Times New Roman" w:hAnsi="Times New Roman"/>
              </w:rPr>
              <w:t>Regional Head, Community Development</w:t>
            </w:r>
          </w:p>
        </w:tc>
        <w:tc>
          <w:tcPr>
            <w:tcW w:w="4590" w:type="dxa"/>
            <w:vAlign w:val="center"/>
          </w:tcPr>
          <w:p w14:paraId="2E413830" w14:textId="77777777" w:rsidR="00CA0715" w:rsidRPr="004526DC" w:rsidRDefault="00CA0715" w:rsidP="00CA0715">
            <w:pPr>
              <w:pStyle w:val="NoSpacing"/>
              <w:rPr>
                <w:rFonts w:ascii="Times New Roman" w:hAnsi="Times New Roman"/>
              </w:rPr>
            </w:pPr>
            <w:r w:rsidRPr="004526DC">
              <w:rPr>
                <w:rFonts w:ascii="Times New Roman" w:hAnsi="Times New Roman"/>
              </w:rPr>
              <w:t>Municipal Works Engineer</w:t>
            </w:r>
          </w:p>
        </w:tc>
      </w:tr>
      <w:tr w:rsidR="00CA0715" w:rsidRPr="004526DC" w14:paraId="1BC60D13" w14:textId="77777777" w:rsidTr="00CA0715">
        <w:tc>
          <w:tcPr>
            <w:tcW w:w="456" w:type="dxa"/>
          </w:tcPr>
          <w:p w14:paraId="2A43AFD4" w14:textId="77777777" w:rsidR="00CA0715" w:rsidRPr="004526DC" w:rsidRDefault="00CA0715" w:rsidP="00CA0715">
            <w:pPr>
              <w:rPr>
                <w:rFonts w:ascii="Times New Roman" w:hAnsi="Times New Roman"/>
              </w:rPr>
            </w:pPr>
            <w:r>
              <w:rPr>
                <w:rFonts w:ascii="Times New Roman" w:hAnsi="Times New Roman"/>
              </w:rPr>
              <w:t>7</w:t>
            </w:r>
          </w:p>
        </w:tc>
        <w:tc>
          <w:tcPr>
            <w:tcW w:w="4291" w:type="dxa"/>
          </w:tcPr>
          <w:p w14:paraId="01BD2978" w14:textId="1E392B1A" w:rsidR="00CA0715" w:rsidRPr="00CA0715" w:rsidRDefault="00CA0715" w:rsidP="00CA0715">
            <w:pPr>
              <w:rPr>
                <w:rFonts w:ascii="Times New Roman" w:hAnsi="Times New Roman"/>
              </w:rPr>
            </w:pPr>
            <w:r w:rsidRPr="00CA0715">
              <w:rPr>
                <w:rFonts w:ascii="Times New Roman" w:hAnsi="Times New Roman"/>
              </w:rPr>
              <w:t>Regional Head, Social Welfare</w:t>
            </w:r>
          </w:p>
        </w:tc>
        <w:tc>
          <w:tcPr>
            <w:tcW w:w="4590" w:type="dxa"/>
            <w:vAlign w:val="center"/>
          </w:tcPr>
          <w:p w14:paraId="50EC7EB7" w14:textId="77777777" w:rsidR="00CA0715" w:rsidRPr="004526DC" w:rsidRDefault="00CA0715" w:rsidP="00CA0715">
            <w:pPr>
              <w:pStyle w:val="NoSpacing"/>
              <w:rPr>
                <w:rFonts w:ascii="Times New Roman" w:hAnsi="Times New Roman"/>
              </w:rPr>
            </w:pPr>
            <w:r w:rsidRPr="004526DC">
              <w:rPr>
                <w:rFonts w:ascii="Times New Roman" w:hAnsi="Times New Roman"/>
              </w:rPr>
              <w:t>Municipal Physical Planning Officer</w:t>
            </w:r>
          </w:p>
        </w:tc>
      </w:tr>
      <w:tr w:rsidR="004A2883" w:rsidRPr="004526DC" w14:paraId="1605F3A9" w14:textId="77777777" w:rsidTr="00CA0715">
        <w:tc>
          <w:tcPr>
            <w:tcW w:w="456" w:type="dxa"/>
          </w:tcPr>
          <w:p w14:paraId="17F04D2C" w14:textId="77777777" w:rsidR="004A2883" w:rsidRPr="004526DC" w:rsidRDefault="004A2883" w:rsidP="004A2883">
            <w:pPr>
              <w:rPr>
                <w:rFonts w:ascii="Times New Roman" w:hAnsi="Times New Roman"/>
              </w:rPr>
            </w:pPr>
            <w:r>
              <w:rPr>
                <w:rFonts w:ascii="Times New Roman" w:hAnsi="Times New Roman"/>
              </w:rPr>
              <w:t>8</w:t>
            </w:r>
          </w:p>
        </w:tc>
        <w:tc>
          <w:tcPr>
            <w:tcW w:w="4291" w:type="dxa"/>
            <w:vAlign w:val="center"/>
          </w:tcPr>
          <w:p w14:paraId="78CD5E75" w14:textId="77777777" w:rsidR="004A2883" w:rsidRPr="004526DC" w:rsidRDefault="004A2883" w:rsidP="004A2883">
            <w:pPr>
              <w:rPr>
                <w:rFonts w:ascii="Times New Roman" w:hAnsi="Times New Roman"/>
              </w:rPr>
            </w:pPr>
          </w:p>
        </w:tc>
        <w:tc>
          <w:tcPr>
            <w:tcW w:w="4590" w:type="dxa"/>
            <w:vAlign w:val="center"/>
          </w:tcPr>
          <w:p w14:paraId="79ADA7A9" w14:textId="77777777" w:rsidR="004A2883" w:rsidRPr="004526DC" w:rsidRDefault="004A2883" w:rsidP="004A2883">
            <w:pPr>
              <w:pStyle w:val="NoSpacing"/>
              <w:rPr>
                <w:rFonts w:ascii="Times New Roman" w:hAnsi="Times New Roman"/>
              </w:rPr>
            </w:pPr>
            <w:r w:rsidRPr="004526DC">
              <w:rPr>
                <w:rFonts w:ascii="Times New Roman" w:hAnsi="Times New Roman"/>
              </w:rPr>
              <w:t>Municipal Procurement Officer</w:t>
            </w:r>
          </w:p>
        </w:tc>
      </w:tr>
      <w:tr w:rsidR="004A2883" w:rsidRPr="004526DC" w14:paraId="37DA34F0" w14:textId="77777777" w:rsidTr="00CA0715">
        <w:tc>
          <w:tcPr>
            <w:tcW w:w="456" w:type="dxa"/>
          </w:tcPr>
          <w:p w14:paraId="7D615835" w14:textId="77777777" w:rsidR="004A2883" w:rsidRPr="004526DC" w:rsidRDefault="004A2883" w:rsidP="004A2883">
            <w:pPr>
              <w:rPr>
                <w:rFonts w:ascii="Times New Roman" w:hAnsi="Times New Roman"/>
              </w:rPr>
            </w:pPr>
            <w:r>
              <w:rPr>
                <w:rFonts w:ascii="Times New Roman" w:hAnsi="Times New Roman"/>
              </w:rPr>
              <w:t>9</w:t>
            </w:r>
          </w:p>
        </w:tc>
        <w:tc>
          <w:tcPr>
            <w:tcW w:w="4291" w:type="dxa"/>
            <w:vAlign w:val="center"/>
          </w:tcPr>
          <w:p w14:paraId="1A81E3D7" w14:textId="77777777" w:rsidR="004A2883" w:rsidRPr="004526DC" w:rsidRDefault="004A2883" w:rsidP="004A2883">
            <w:pPr>
              <w:rPr>
                <w:rFonts w:ascii="Times New Roman" w:hAnsi="Times New Roman"/>
              </w:rPr>
            </w:pPr>
          </w:p>
        </w:tc>
        <w:tc>
          <w:tcPr>
            <w:tcW w:w="4590" w:type="dxa"/>
            <w:vAlign w:val="center"/>
          </w:tcPr>
          <w:p w14:paraId="040E68E1" w14:textId="55C52CD7" w:rsidR="004A2883" w:rsidRPr="004526DC" w:rsidRDefault="004A2883" w:rsidP="004A2883">
            <w:pPr>
              <w:pStyle w:val="NoSpacing"/>
              <w:rPr>
                <w:rFonts w:ascii="Times New Roman" w:hAnsi="Times New Roman"/>
              </w:rPr>
            </w:pPr>
            <w:r w:rsidRPr="004526DC">
              <w:rPr>
                <w:rFonts w:ascii="Times New Roman" w:hAnsi="Times New Roman"/>
              </w:rPr>
              <w:t>Environmental &amp;</w:t>
            </w:r>
            <w:r w:rsidR="00CB2188">
              <w:rPr>
                <w:rFonts w:ascii="Times New Roman" w:hAnsi="Times New Roman"/>
              </w:rPr>
              <w:t xml:space="preserve"> </w:t>
            </w:r>
            <w:r w:rsidRPr="004526DC">
              <w:rPr>
                <w:rFonts w:ascii="Times New Roman" w:hAnsi="Times New Roman"/>
              </w:rPr>
              <w:t>Social Safeguards Focal Person</w:t>
            </w:r>
            <w:r>
              <w:rPr>
                <w:rStyle w:val="FootnoteReference"/>
                <w:rFonts w:ascii="Times New Roman" w:hAnsi="Times New Roman"/>
              </w:rPr>
              <w:footnoteReference w:id="10"/>
            </w:r>
          </w:p>
        </w:tc>
      </w:tr>
      <w:tr w:rsidR="004A2883" w:rsidRPr="004526DC" w14:paraId="46E69929" w14:textId="77777777" w:rsidTr="00CA0715">
        <w:tc>
          <w:tcPr>
            <w:tcW w:w="456" w:type="dxa"/>
          </w:tcPr>
          <w:p w14:paraId="492DB3AD" w14:textId="77777777" w:rsidR="004A2883" w:rsidRPr="004526DC" w:rsidRDefault="004A2883" w:rsidP="004A2883">
            <w:pPr>
              <w:rPr>
                <w:rFonts w:ascii="Times New Roman" w:hAnsi="Times New Roman"/>
              </w:rPr>
            </w:pPr>
            <w:r>
              <w:rPr>
                <w:rFonts w:ascii="Times New Roman" w:hAnsi="Times New Roman"/>
              </w:rPr>
              <w:t>10</w:t>
            </w:r>
          </w:p>
        </w:tc>
        <w:tc>
          <w:tcPr>
            <w:tcW w:w="4291" w:type="dxa"/>
            <w:vAlign w:val="center"/>
          </w:tcPr>
          <w:p w14:paraId="7952E18A" w14:textId="77777777" w:rsidR="004A2883" w:rsidRPr="004526DC" w:rsidRDefault="004A2883" w:rsidP="004A2883">
            <w:pPr>
              <w:rPr>
                <w:rFonts w:ascii="Times New Roman" w:hAnsi="Times New Roman"/>
              </w:rPr>
            </w:pPr>
          </w:p>
        </w:tc>
        <w:tc>
          <w:tcPr>
            <w:tcW w:w="4590" w:type="dxa"/>
            <w:vAlign w:val="center"/>
          </w:tcPr>
          <w:p w14:paraId="7BA36856" w14:textId="77777777" w:rsidR="004A2883" w:rsidRPr="004526DC" w:rsidRDefault="004A2883" w:rsidP="004A2883">
            <w:pPr>
              <w:pStyle w:val="NoSpacing"/>
              <w:rPr>
                <w:rFonts w:ascii="Times New Roman" w:hAnsi="Times New Roman"/>
              </w:rPr>
            </w:pPr>
            <w:r w:rsidRPr="004526DC">
              <w:rPr>
                <w:rFonts w:ascii="Times New Roman" w:hAnsi="Times New Roman"/>
              </w:rPr>
              <w:t>Client Service Officer</w:t>
            </w:r>
          </w:p>
        </w:tc>
      </w:tr>
      <w:tr w:rsidR="004A2883" w:rsidRPr="004526DC" w14:paraId="5AE02EEF" w14:textId="77777777" w:rsidTr="00CA0715">
        <w:tc>
          <w:tcPr>
            <w:tcW w:w="456" w:type="dxa"/>
          </w:tcPr>
          <w:p w14:paraId="178EA5B8" w14:textId="77777777" w:rsidR="004A2883" w:rsidRPr="004526DC" w:rsidRDefault="004A2883" w:rsidP="004A2883">
            <w:pPr>
              <w:rPr>
                <w:rFonts w:ascii="Times New Roman" w:hAnsi="Times New Roman"/>
              </w:rPr>
            </w:pPr>
            <w:r>
              <w:rPr>
                <w:rFonts w:ascii="Times New Roman" w:hAnsi="Times New Roman"/>
              </w:rPr>
              <w:t>11</w:t>
            </w:r>
          </w:p>
        </w:tc>
        <w:tc>
          <w:tcPr>
            <w:tcW w:w="4291" w:type="dxa"/>
            <w:vAlign w:val="center"/>
          </w:tcPr>
          <w:p w14:paraId="567845EE" w14:textId="77777777" w:rsidR="004A2883" w:rsidRPr="004526DC" w:rsidRDefault="004A2883" w:rsidP="004A2883">
            <w:pPr>
              <w:rPr>
                <w:rFonts w:ascii="Times New Roman" w:hAnsi="Times New Roman"/>
              </w:rPr>
            </w:pPr>
          </w:p>
        </w:tc>
        <w:tc>
          <w:tcPr>
            <w:tcW w:w="4590" w:type="dxa"/>
            <w:vAlign w:val="center"/>
          </w:tcPr>
          <w:p w14:paraId="5F1F9D3E" w14:textId="77777777" w:rsidR="004A2883" w:rsidRPr="004526DC" w:rsidRDefault="004A2883" w:rsidP="004A2883">
            <w:pPr>
              <w:pStyle w:val="NoSpacing"/>
              <w:rPr>
                <w:rFonts w:ascii="Times New Roman" w:hAnsi="Times New Roman"/>
              </w:rPr>
            </w:pPr>
            <w:r w:rsidRPr="004526DC">
              <w:rPr>
                <w:rFonts w:ascii="Times New Roman" w:hAnsi="Times New Roman"/>
              </w:rPr>
              <w:t>Social Welfare and Community Development Officer</w:t>
            </w:r>
          </w:p>
        </w:tc>
      </w:tr>
    </w:tbl>
    <w:p w14:paraId="3F7AD55D" w14:textId="77777777" w:rsidR="00CB2188" w:rsidRDefault="00CB2188" w:rsidP="00CB2188">
      <w:pPr>
        <w:pStyle w:val="Header"/>
        <w:tabs>
          <w:tab w:val="clear" w:pos="4680"/>
          <w:tab w:val="clear" w:pos="9360"/>
        </w:tabs>
      </w:pPr>
    </w:p>
    <w:p w14:paraId="667F8398" w14:textId="19D946B9" w:rsidR="004A2883" w:rsidRDefault="004A2883" w:rsidP="00CB2188">
      <w:pPr>
        <w:pStyle w:val="Header"/>
        <w:tabs>
          <w:tab w:val="clear" w:pos="4680"/>
          <w:tab w:val="clear" w:pos="9360"/>
        </w:tabs>
      </w:pPr>
      <w:r w:rsidRPr="001B0814">
        <w:rPr>
          <w:b/>
        </w:rPr>
        <w:t>Expenditure frame work - the Program will provide support to the Government’s overall program of inter-governmental fiscal transfers (IGFTs) to MMDAs, as well as to the Government’s technical and policy support for MMDAs.</w:t>
      </w:r>
      <w:r w:rsidRPr="006433AE">
        <w:t xml:space="preserve"> Specifically, GSCSP will provide US$90 million as CSGs and UDGs to eligible Municipal Assemblies, and a further US$10 million to RCCs, MLGRD and </w:t>
      </w:r>
      <w:r>
        <w:t>OH</w:t>
      </w:r>
      <w:r w:rsidRPr="006433AE">
        <w:t>LGS to manage MA grants, provide capacity development support to MAs, and monitor MA activities.</w:t>
      </w:r>
    </w:p>
    <w:p w14:paraId="44E85AAD" w14:textId="77777777" w:rsidR="004A2883" w:rsidRDefault="004A2883" w:rsidP="004A2883">
      <w:pPr>
        <w:pStyle w:val="Header"/>
        <w:tabs>
          <w:tab w:val="clear" w:pos="4680"/>
          <w:tab w:val="clear" w:pos="9360"/>
        </w:tabs>
      </w:pPr>
    </w:p>
    <w:p w14:paraId="20EB6D60" w14:textId="77777777" w:rsidR="004A2883" w:rsidRPr="00F0779A" w:rsidRDefault="004A2883" w:rsidP="00CB2188">
      <w:pPr>
        <w:pStyle w:val="Header"/>
        <w:tabs>
          <w:tab w:val="clear" w:pos="4680"/>
          <w:tab w:val="clear" w:pos="9360"/>
        </w:tabs>
      </w:pPr>
      <w:r w:rsidRPr="00F0779A">
        <w:rPr>
          <w:b/>
        </w:rPr>
        <w:t>The Government’s larger program budget of support for MMDAs is made up of the following</w:t>
      </w:r>
      <w:r w:rsidRPr="00F0779A">
        <w:t>:</w:t>
      </w:r>
    </w:p>
    <w:p w14:paraId="02CFBD24" w14:textId="77777777" w:rsidR="004A2883" w:rsidRPr="006433AE" w:rsidRDefault="004A2883" w:rsidP="004A2883">
      <w:pPr>
        <w:spacing w:after="0" w:line="240" w:lineRule="auto"/>
        <w:jc w:val="both"/>
        <w:rPr>
          <w:rFonts w:ascii="Times New Roman" w:hAnsi="Times New Roman" w:cs="Times New Roman"/>
        </w:rPr>
      </w:pPr>
    </w:p>
    <w:p w14:paraId="7697C991" w14:textId="77777777" w:rsidR="004A2883" w:rsidRPr="006433AE" w:rsidRDefault="004A2883" w:rsidP="00F273E1">
      <w:pPr>
        <w:pStyle w:val="ListParagraph"/>
        <w:numPr>
          <w:ilvl w:val="0"/>
          <w:numId w:val="51"/>
        </w:numPr>
        <w:spacing w:after="0" w:line="240" w:lineRule="auto"/>
        <w:jc w:val="both"/>
        <w:rPr>
          <w:rFonts w:ascii="Times New Roman" w:hAnsi="Times New Roman" w:cs="Times New Roman"/>
        </w:rPr>
      </w:pPr>
      <w:r w:rsidRPr="006433AE">
        <w:rPr>
          <w:rFonts w:ascii="Times New Roman" w:hAnsi="Times New Roman" w:cs="Times New Roman"/>
        </w:rPr>
        <w:t>inter-governmental fiscal transfers, which consists principally of:</w:t>
      </w:r>
    </w:p>
    <w:p w14:paraId="381CC86C" w14:textId="77777777" w:rsidR="004A2883" w:rsidRPr="006433AE" w:rsidRDefault="004A2883" w:rsidP="004A2883">
      <w:pPr>
        <w:pStyle w:val="ListParagraph"/>
        <w:spacing w:after="0" w:line="240" w:lineRule="auto"/>
        <w:ind w:left="510"/>
        <w:jc w:val="both"/>
        <w:rPr>
          <w:rFonts w:ascii="Times New Roman" w:hAnsi="Times New Roman" w:cs="Times New Roman"/>
        </w:rPr>
      </w:pPr>
    </w:p>
    <w:p w14:paraId="4ABCF15E" w14:textId="4B4CCFE8" w:rsidR="004A2883" w:rsidRPr="00CA0715" w:rsidRDefault="004A2883" w:rsidP="004A2883">
      <w:pPr>
        <w:pStyle w:val="ListParagraph"/>
        <w:numPr>
          <w:ilvl w:val="0"/>
          <w:numId w:val="52"/>
        </w:numPr>
        <w:spacing w:after="0" w:line="240" w:lineRule="auto"/>
        <w:jc w:val="both"/>
        <w:rPr>
          <w:rFonts w:ascii="Times New Roman" w:hAnsi="Times New Roman" w:cs="Times New Roman"/>
        </w:rPr>
      </w:pPr>
      <w:r w:rsidRPr="00CA0715">
        <w:rPr>
          <w:rFonts w:ascii="Times New Roman" w:hAnsi="Times New Roman" w:cs="Times New Roman"/>
        </w:rPr>
        <w:t>GoG allocations for devolved sectors (feeder roads, social welfare, town &amp; country planning, etc.), which include the payroll costs, goods and services and capital expenditures for the concerned sectors. These sector allocations are currently included as a part of the Local Government Service’s overall budget.</w:t>
      </w:r>
    </w:p>
    <w:p w14:paraId="4D84768B" w14:textId="77777777" w:rsidR="004A2883" w:rsidRPr="006433AE" w:rsidRDefault="004A2883" w:rsidP="00F273E1">
      <w:pPr>
        <w:pStyle w:val="ListParagraph"/>
        <w:numPr>
          <w:ilvl w:val="0"/>
          <w:numId w:val="52"/>
        </w:numPr>
        <w:spacing w:after="0" w:line="240" w:lineRule="auto"/>
        <w:jc w:val="both"/>
        <w:rPr>
          <w:rFonts w:ascii="Times New Roman" w:hAnsi="Times New Roman" w:cs="Times New Roman"/>
        </w:rPr>
      </w:pPr>
      <w:r w:rsidRPr="006433AE">
        <w:rPr>
          <w:rFonts w:ascii="Times New Roman" w:hAnsi="Times New Roman" w:cs="Times New Roman"/>
        </w:rPr>
        <w:t>DACF allocations to MMDAs: the DACF’s annual budget ceiling is set by Parliament</w:t>
      </w:r>
      <w:r w:rsidRPr="006433AE">
        <w:rPr>
          <w:rStyle w:val="FootnoteReference"/>
          <w:rFonts w:ascii="Times New Roman" w:hAnsi="Times New Roman"/>
        </w:rPr>
        <w:footnoteReference w:id="11"/>
      </w:r>
      <w:r>
        <w:rPr>
          <w:rFonts w:ascii="Times New Roman" w:hAnsi="Times New Roman" w:cs="Times New Roman"/>
        </w:rPr>
        <w:t>.</w:t>
      </w:r>
      <w:r w:rsidRPr="006433AE">
        <w:rPr>
          <w:rFonts w:ascii="Times New Roman" w:hAnsi="Times New Roman" w:cs="Times New Roman"/>
        </w:rPr>
        <w:t xml:space="preserve"> Of the total DACF allocation, it is estimated that about 60% is directly transferred to MMDAs in the form of block grants; of this, approximately 12% is the Responsiveness Factor Grant (RFG)</w:t>
      </w:r>
      <w:r w:rsidRPr="006433AE">
        <w:rPr>
          <w:rStyle w:val="FootnoteReference"/>
          <w:rFonts w:ascii="Times New Roman" w:hAnsi="Times New Roman"/>
        </w:rPr>
        <w:footnoteReference w:id="12"/>
      </w:r>
      <w:r>
        <w:rPr>
          <w:rFonts w:ascii="Times New Roman" w:hAnsi="Times New Roman" w:cs="Times New Roman"/>
        </w:rPr>
        <w:t>.</w:t>
      </w:r>
    </w:p>
    <w:p w14:paraId="6DC492B4" w14:textId="77777777" w:rsidR="004A2883" w:rsidRPr="006433AE" w:rsidRDefault="004A2883" w:rsidP="00F273E1">
      <w:pPr>
        <w:pStyle w:val="ListParagraph"/>
        <w:numPr>
          <w:ilvl w:val="0"/>
          <w:numId w:val="51"/>
        </w:numPr>
        <w:spacing w:after="0" w:line="240" w:lineRule="auto"/>
        <w:jc w:val="both"/>
        <w:rPr>
          <w:rFonts w:ascii="Times New Roman" w:hAnsi="Times New Roman" w:cs="Times New Roman"/>
        </w:rPr>
      </w:pPr>
      <w:r w:rsidRPr="006433AE">
        <w:rPr>
          <w:rFonts w:ascii="Times New Roman" w:hAnsi="Times New Roman" w:cs="Times New Roman"/>
        </w:rPr>
        <w:t xml:space="preserve">the overall MLGRD and LGS budgetary frameworks, which finance capacity development, monitoring and policy functions. Included in the </w:t>
      </w:r>
      <w:r>
        <w:rPr>
          <w:rFonts w:ascii="Times New Roman" w:hAnsi="Times New Roman" w:cs="Times New Roman"/>
        </w:rPr>
        <w:t>OH</w:t>
      </w:r>
      <w:r w:rsidRPr="006433AE">
        <w:rPr>
          <w:rFonts w:ascii="Times New Roman" w:hAnsi="Times New Roman" w:cs="Times New Roman"/>
        </w:rPr>
        <w:t>LGS budgetary framework are the budgets for RCCs.</w:t>
      </w:r>
    </w:p>
    <w:p w14:paraId="293CE5EC" w14:textId="77777777" w:rsidR="004A2883" w:rsidRPr="001B0814" w:rsidRDefault="004A2883" w:rsidP="004A2883">
      <w:pPr>
        <w:spacing w:after="0" w:line="240" w:lineRule="auto"/>
        <w:jc w:val="both"/>
        <w:rPr>
          <w:rFonts w:ascii="Times New Roman" w:hAnsi="Times New Roman" w:cs="Times New Roman"/>
        </w:rPr>
      </w:pPr>
    </w:p>
    <w:p w14:paraId="204D632E" w14:textId="77777777" w:rsidR="004A2883" w:rsidRDefault="004A2883" w:rsidP="00CB2188">
      <w:pPr>
        <w:pStyle w:val="ListParagraph"/>
        <w:spacing w:after="0" w:line="240" w:lineRule="auto"/>
        <w:ind w:left="0"/>
        <w:jc w:val="both"/>
        <w:rPr>
          <w:rFonts w:ascii="Times New Roman" w:hAnsi="Times New Roman" w:cs="Times New Roman"/>
        </w:rPr>
      </w:pPr>
      <w:r w:rsidRPr="00F0779A">
        <w:rPr>
          <w:rFonts w:ascii="Times New Roman" w:hAnsi="Times New Roman" w:cs="Times New Roman"/>
          <w:b/>
        </w:rPr>
        <w:t>The table below provides a summary of the Government’s overall program budget</w:t>
      </w:r>
      <w:r w:rsidRPr="00F0779A">
        <w:rPr>
          <w:rFonts w:ascii="Times New Roman" w:hAnsi="Times New Roman" w:cs="Times New Roman"/>
        </w:rPr>
        <w:t>, along with the GSCSP expenditure framework.</w:t>
      </w:r>
    </w:p>
    <w:p w14:paraId="53E2AA62" w14:textId="77777777" w:rsidR="004A2883" w:rsidRDefault="004A2883" w:rsidP="004A2883">
      <w:pPr>
        <w:pStyle w:val="ListParagraph"/>
        <w:spacing w:after="0" w:line="240" w:lineRule="auto"/>
        <w:ind w:left="0"/>
        <w:jc w:val="both"/>
        <w:rPr>
          <w:rFonts w:ascii="Times New Roman" w:hAnsi="Times New Roman" w:cs="Times New Roman"/>
        </w:rPr>
      </w:pPr>
    </w:p>
    <w:p w14:paraId="39AF672A" w14:textId="77777777" w:rsidR="004A2883" w:rsidRPr="00710621" w:rsidRDefault="004A2883" w:rsidP="00CB2188">
      <w:pPr>
        <w:pStyle w:val="ListParagraph"/>
        <w:spacing w:after="0" w:line="240" w:lineRule="auto"/>
        <w:ind w:left="0"/>
        <w:jc w:val="both"/>
        <w:rPr>
          <w:rFonts w:ascii="Times New Roman" w:hAnsi="Times New Roman" w:cs="Times New Roman"/>
        </w:rPr>
      </w:pPr>
      <w:r w:rsidRPr="00710621">
        <w:rPr>
          <w:rFonts w:ascii="Times New Roman" w:hAnsi="Times New Roman" w:cs="Times New Roman"/>
          <w:b/>
        </w:rPr>
        <w:t>GSCSP will provide additional resources for this overall Government program, specifically aimed at increasing RFG allocations to selected Municipal Assemblies</w:t>
      </w:r>
      <w:r w:rsidRPr="00710621">
        <w:rPr>
          <w:rFonts w:ascii="Times New Roman" w:hAnsi="Times New Roman" w:cs="Times New Roman"/>
        </w:rPr>
        <w:t>. In addition, the GSCSP will provide eligible MAs with appropriate capacity building activities, technical assistance and policy support.</w:t>
      </w:r>
    </w:p>
    <w:p w14:paraId="19158FE0" w14:textId="77777777" w:rsidR="004A2883" w:rsidRPr="006433AE" w:rsidRDefault="004A2883" w:rsidP="004A2883">
      <w:pPr>
        <w:spacing w:after="0" w:line="240" w:lineRule="auto"/>
        <w:jc w:val="both"/>
        <w:rPr>
          <w:rFonts w:ascii="Times New Roman" w:hAnsi="Times New Roman" w:cs="Times New Roman"/>
        </w:rPr>
      </w:pPr>
    </w:p>
    <w:p w14:paraId="6B3D4124" w14:textId="77777777" w:rsidR="004A2883" w:rsidRPr="00C01613" w:rsidRDefault="004A2883" w:rsidP="004A2883">
      <w:pPr>
        <w:spacing w:after="0" w:line="240" w:lineRule="auto"/>
        <w:jc w:val="both"/>
        <w:rPr>
          <w:rFonts w:ascii="Times New Roman" w:hAnsi="Times New Roman" w:cs="Times New Roman"/>
          <w:b/>
        </w:rPr>
      </w:pPr>
      <w:r w:rsidRPr="00C01613">
        <w:rPr>
          <w:rFonts w:ascii="Times New Roman" w:hAnsi="Times New Roman" w:cs="Times New Roman"/>
          <w:b/>
        </w:rPr>
        <w:t xml:space="preserve">Table </w:t>
      </w:r>
      <w:r>
        <w:rPr>
          <w:rFonts w:ascii="Times New Roman" w:hAnsi="Times New Roman" w:cs="Times New Roman"/>
          <w:b/>
        </w:rPr>
        <w:t>7</w:t>
      </w:r>
      <w:r w:rsidRPr="00C01613">
        <w:rPr>
          <w:rFonts w:ascii="Times New Roman" w:hAnsi="Times New Roman" w:cs="Times New Roman"/>
          <w:b/>
        </w:rPr>
        <w:t>:</w:t>
      </w:r>
      <w:r>
        <w:rPr>
          <w:rFonts w:ascii="Times New Roman" w:hAnsi="Times New Roman" w:cs="Times New Roman"/>
          <w:b/>
        </w:rPr>
        <w:tab/>
      </w:r>
      <w:r w:rsidRPr="00C01613">
        <w:rPr>
          <w:rFonts w:ascii="Times New Roman" w:hAnsi="Times New Roman" w:cs="Times New Roman"/>
          <w:b/>
        </w:rPr>
        <w:t>GoG and GSCSP expenditure framework</w:t>
      </w:r>
    </w:p>
    <w:p w14:paraId="27F8E7D5" w14:textId="77777777" w:rsidR="004A2883" w:rsidRDefault="004A2883" w:rsidP="004A2883">
      <w:pPr>
        <w:spacing w:after="0" w:line="240" w:lineRule="auto"/>
        <w:jc w:val="both"/>
        <w:rPr>
          <w:rFonts w:ascii="Times New Roman" w:hAnsi="Times New Roman" w:cs="Times New Roman"/>
        </w:rPr>
      </w:pPr>
    </w:p>
    <w:tbl>
      <w:tblPr>
        <w:tblW w:w="10440" w:type="dxa"/>
        <w:tblInd w:w="-545" w:type="dxa"/>
        <w:tblLayout w:type="fixed"/>
        <w:tblLook w:val="04A0" w:firstRow="1" w:lastRow="0" w:firstColumn="1" w:lastColumn="0" w:noHBand="0" w:noVBand="1"/>
      </w:tblPr>
      <w:tblGrid>
        <w:gridCol w:w="2874"/>
        <w:gridCol w:w="1247"/>
        <w:gridCol w:w="1248"/>
        <w:gridCol w:w="1251"/>
        <w:gridCol w:w="1248"/>
        <w:gridCol w:w="1248"/>
        <w:gridCol w:w="1324"/>
      </w:tblGrid>
      <w:tr w:rsidR="004A2883" w:rsidRPr="006433AE" w14:paraId="1BAC3BBF" w14:textId="77777777" w:rsidTr="004A2883">
        <w:trPr>
          <w:trHeight w:val="300"/>
        </w:trPr>
        <w:tc>
          <w:tcPr>
            <w:tcW w:w="1044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2A3A2" w14:textId="77777777" w:rsidR="004A2883" w:rsidRPr="005D1A2E" w:rsidRDefault="004A2883" w:rsidP="004A2883">
            <w:pPr>
              <w:spacing w:after="0" w:line="240" w:lineRule="auto"/>
              <w:jc w:val="both"/>
              <w:rPr>
                <w:rFonts w:ascii="Times New Roman" w:eastAsia="Times New Roman" w:hAnsi="Times New Roman" w:cs="Times New Roman"/>
                <w:b/>
                <w:bCs/>
                <w:color w:val="000000"/>
                <w:sz w:val="18"/>
                <w:szCs w:val="18"/>
              </w:rPr>
            </w:pPr>
            <w:r w:rsidRPr="005D1A2E">
              <w:rPr>
                <w:rFonts w:ascii="Times New Roman" w:eastAsia="Times New Roman" w:hAnsi="Times New Roman" w:cs="Times New Roman"/>
                <w:b/>
                <w:bCs/>
                <w:color w:val="000000"/>
                <w:sz w:val="18"/>
                <w:szCs w:val="18"/>
              </w:rPr>
              <w:t>GRANTS AND SUPPORT FOR MMDAs (US$)</w:t>
            </w:r>
          </w:p>
        </w:tc>
      </w:tr>
      <w:tr w:rsidR="004A2883" w:rsidRPr="006433AE" w14:paraId="0259CAA2" w14:textId="77777777" w:rsidTr="004A2883">
        <w:trPr>
          <w:trHeight w:val="300"/>
        </w:trPr>
        <w:tc>
          <w:tcPr>
            <w:tcW w:w="104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CC336" w14:textId="77777777" w:rsidR="004A2883" w:rsidRPr="005D1A2E" w:rsidRDefault="004A2883" w:rsidP="004A2883">
            <w:pPr>
              <w:spacing w:after="0" w:line="240" w:lineRule="auto"/>
              <w:jc w:val="both"/>
              <w:rPr>
                <w:rFonts w:ascii="Times New Roman" w:eastAsia="Times New Roman" w:hAnsi="Times New Roman" w:cs="Times New Roman"/>
                <w:b/>
                <w:bCs/>
                <w:color w:val="000000"/>
                <w:sz w:val="18"/>
                <w:szCs w:val="18"/>
              </w:rPr>
            </w:pPr>
            <w:r w:rsidRPr="005D1A2E">
              <w:rPr>
                <w:rFonts w:ascii="Times New Roman" w:eastAsia="Times New Roman" w:hAnsi="Times New Roman" w:cs="Times New Roman"/>
                <w:color w:val="000000"/>
                <w:sz w:val="18"/>
                <w:szCs w:val="18"/>
              </w:rPr>
              <w:t xml:space="preserve">Exchange rate: US$1 = 4.4 GHC </w:t>
            </w:r>
          </w:p>
        </w:tc>
      </w:tr>
      <w:tr w:rsidR="004A2883" w:rsidRPr="006433AE" w14:paraId="1A79D26C" w14:textId="77777777" w:rsidTr="004A2883">
        <w:trPr>
          <w:trHeight w:val="300"/>
        </w:trPr>
        <w:tc>
          <w:tcPr>
            <w:tcW w:w="2874"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center"/>
            <w:hideMark/>
          </w:tcPr>
          <w:p w14:paraId="49BF5E6D" w14:textId="77777777" w:rsidR="004A2883" w:rsidRPr="005D1A2E" w:rsidRDefault="004A2883" w:rsidP="004A2883">
            <w:pPr>
              <w:spacing w:after="0" w:line="240" w:lineRule="auto"/>
              <w:jc w:val="both"/>
              <w:rPr>
                <w:rFonts w:ascii="Times New Roman" w:eastAsia="Times New Roman" w:hAnsi="Times New Roman" w:cs="Times New Roman"/>
                <w:b/>
                <w:bCs/>
                <w:color w:val="000000"/>
                <w:sz w:val="18"/>
                <w:szCs w:val="18"/>
              </w:rPr>
            </w:pPr>
            <w:r w:rsidRPr="005D1A2E">
              <w:rPr>
                <w:rFonts w:ascii="Times New Roman" w:eastAsia="Times New Roman" w:hAnsi="Times New Roman" w:cs="Times New Roman"/>
                <w:b/>
                <w:bCs/>
                <w:color w:val="000000"/>
                <w:sz w:val="18"/>
                <w:szCs w:val="18"/>
              </w:rPr>
              <w:t>Budgets</w:t>
            </w:r>
          </w:p>
        </w:tc>
        <w:tc>
          <w:tcPr>
            <w:tcW w:w="1247"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center"/>
            <w:hideMark/>
          </w:tcPr>
          <w:p w14:paraId="4D965091" w14:textId="77777777" w:rsidR="004A2883" w:rsidRPr="005D1A2E" w:rsidRDefault="004A2883" w:rsidP="004A2883">
            <w:pPr>
              <w:spacing w:after="0" w:line="240" w:lineRule="auto"/>
              <w:jc w:val="right"/>
              <w:rPr>
                <w:rFonts w:ascii="Times New Roman" w:eastAsia="Times New Roman" w:hAnsi="Times New Roman" w:cs="Times New Roman"/>
                <w:b/>
                <w:bCs/>
                <w:color w:val="000000"/>
                <w:sz w:val="18"/>
                <w:szCs w:val="18"/>
              </w:rPr>
            </w:pPr>
            <w:r w:rsidRPr="005D1A2E">
              <w:rPr>
                <w:rFonts w:ascii="Times New Roman" w:eastAsia="Times New Roman" w:hAnsi="Times New Roman" w:cs="Times New Roman"/>
                <w:b/>
                <w:bCs/>
                <w:color w:val="000000"/>
                <w:sz w:val="18"/>
                <w:szCs w:val="18"/>
              </w:rPr>
              <w:t>2018</w:t>
            </w:r>
          </w:p>
        </w:tc>
        <w:tc>
          <w:tcPr>
            <w:tcW w:w="1248"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center"/>
            <w:hideMark/>
          </w:tcPr>
          <w:p w14:paraId="1A9DBAC5" w14:textId="77777777" w:rsidR="004A2883" w:rsidRPr="005D1A2E" w:rsidRDefault="004A2883" w:rsidP="004A2883">
            <w:pPr>
              <w:spacing w:after="0" w:line="240" w:lineRule="auto"/>
              <w:jc w:val="right"/>
              <w:rPr>
                <w:rFonts w:ascii="Times New Roman" w:eastAsia="Times New Roman" w:hAnsi="Times New Roman" w:cs="Times New Roman"/>
                <w:b/>
                <w:bCs/>
                <w:color w:val="000000"/>
                <w:sz w:val="18"/>
                <w:szCs w:val="18"/>
              </w:rPr>
            </w:pPr>
            <w:r w:rsidRPr="005D1A2E">
              <w:rPr>
                <w:rFonts w:ascii="Times New Roman" w:eastAsia="Times New Roman" w:hAnsi="Times New Roman" w:cs="Times New Roman"/>
                <w:b/>
                <w:bCs/>
                <w:color w:val="000000"/>
                <w:sz w:val="18"/>
                <w:szCs w:val="18"/>
              </w:rPr>
              <w:t>2019</w:t>
            </w:r>
          </w:p>
        </w:tc>
        <w:tc>
          <w:tcPr>
            <w:tcW w:w="1251"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center"/>
            <w:hideMark/>
          </w:tcPr>
          <w:p w14:paraId="3012E737" w14:textId="77777777" w:rsidR="004A2883" w:rsidRPr="005D1A2E" w:rsidRDefault="004A2883" w:rsidP="004A2883">
            <w:pPr>
              <w:spacing w:after="0" w:line="240" w:lineRule="auto"/>
              <w:jc w:val="right"/>
              <w:rPr>
                <w:rFonts w:ascii="Times New Roman" w:eastAsia="Times New Roman" w:hAnsi="Times New Roman" w:cs="Times New Roman"/>
                <w:b/>
                <w:bCs/>
                <w:color w:val="000000"/>
                <w:sz w:val="18"/>
                <w:szCs w:val="18"/>
              </w:rPr>
            </w:pPr>
            <w:r w:rsidRPr="005D1A2E">
              <w:rPr>
                <w:rFonts w:ascii="Times New Roman" w:eastAsia="Times New Roman" w:hAnsi="Times New Roman" w:cs="Times New Roman"/>
                <w:b/>
                <w:bCs/>
                <w:color w:val="000000"/>
                <w:sz w:val="18"/>
                <w:szCs w:val="18"/>
              </w:rPr>
              <w:t>2020</w:t>
            </w:r>
          </w:p>
        </w:tc>
        <w:tc>
          <w:tcPr>
            <w:tcW w:w="1248"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center"/>
            <w:hideMark/>
          </w:tcPr>
          <w:p w14:paraId="603D060A" w14:textId="77777777" w:rsidR="004A2883" w:rsidRPr="005D1A2E" w:rsidRDefault="004A2883" w:rsidP="004A2883">
            <w:pPr>
              <w:spacing w:after="0" w:line="240" w:lineRule="auto"/>
              <w:jc w:val="right"/>
              <w:rPr>
                <w:rFonts w:ascii="Times New Roman" w:eastAsia="Times New Roman" w:hAnsi="Times New Roman" w:cs="Times New Roman"/>
                <w:b/>
                <w:bCs/>
                <w:color w:val="000000"/>
                <w:sz w:val="18"/>
                <w:szCs w:val="18"/>
              </w:rPr>
            </w:pPr>
            <w:r w:rsidRPr="005D1A2E">
              <w:rPr>
                <w:rFonts w:ascii="Times New Roman" w:eastAsia="Times New Roman" w:hAnsi="Times New Roman" w:cs="Times New Roman"/>
                <w:b/>
                <w:bCs/>
                <w:color w:val="000000"/>
                <w:sz w:val="18"/>
                <w:szCs w:val="18"/>
              </w:rPr>
              <w:t>2021</w:t>
            </w:r>
          </w:p>
        </w:tc>
        <w:tc>
          <w:tcPr>
            <w:tcW w:w="1248"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center"/>
            <w:hideMark/>
          </w:tcPr>
          <w:p w14:paraId="201D9E67" w14:textId="77777777" w:rsidR="004A2883" w:rsidRPr="005D1A2E" w:rsidRDefault="004A2883" w:rsidP="004A2883">
            <w:pPr>
              <w:spacing w:after="0" w:line="240" w:lineRule="auto"/>
              <w:jc w:val="right"/>
              <w:rPr>
                <w:rFonts w:ascii="Times New Roman" w:eastAsia="Times New Roman" w:hAnsi="Times New Roman" w:cs="Times New Roman"/>
                <w:b/>
                <w:bCs/>
                <w:color w:val="000000"/>
                <w:sz w:val="18"/>
                <w:szCs w:val="18"/>
              </w:rPr>
            </w:pPr>
            <w:r w:rsidRPr="005D1A2E">
              <w:rPr>
                <w:rFonts w:ascii="Times New Roman" w:eastAsia="Times New Roman" w:hAnsi="Times New Roman" w:cs="Times New Roman"/>
                <w:b/>
                <w:bCs/>
                <w:color w:val="000000"/>
                <w:sz w:val="18"/>
                <w:szCs w:val="18"/>
              </w:rPr>
              <w:t>2022 (est.)</w:t>
            </w:r>
          </w:p>
        </w:tc>
        <w:tc>
          <w:tcPr>
            <w:tcW w:w="1324"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center"/>
            <w:hideMark/>
          </w:tcPr>
          <w:p w14:paraId="2B52970F" w14:textId="77777777" w:rsidR="004A2883" w:rsidRPr="005D1A2E" w:rsidRDefault="004A2883" w:rsidP="004A2883">
            <w:pPr>
              <w:spacing w:after="0" w:line="240" w:lineRule="auto"/>
              <w:jc w:val="both"/>
              <w:rPr>
                <w:rFonts w:ascii="Times New Roman" w:eastAsia="Times New Roman" w:hAnsi="Times New Roman" w:cs="Times New Roman"/>
                <w:b/>
                <w:bCs/>
                <w:color w:val="000000"/>
                <w:sz w:val="18"/>
                <w:szCs w:val="18"/>
              </w:rPr>
            </w:pPr>
            <w:r w:rsidRPr="005D1A2E">
              <w:rPr>
                <w:rFonts w:ascii="Times New Roman" w:eastAsia="Times New Roman" w:hAnsi="Times New Roman" w:cs="Times New Roman"/>
                <w:b/>
                <w:bCs/>
                <w:color w:val="000000"/>
                <w:sz w:val="18"/>
                <w:szCs w:val="18"/>
              </w:rPr>
              <w:t>Total</w:t>
            </w:r>
          </w:p>
        </w:tc>
      </w:tr>
      <w:tr w:rsidR="004A2883" w:rsidRPr="006433AE" w14:paraId="5A92FA37" w14:textId="77777777" w:rsidTr="004A2883">
        <w:trPr>
          <w:trHeight w:val="300"/>
        </w:trPr>
        <w:tc>
          <w:tcPr>
            <w:tcW w:w="287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14:paraId="4E8A4702" w14:textId="77777777" w:rsidR="004A2883" w:rsidRPr="005D1A2E" w:rsidRDefault="004A2883" w:rsidP="004A2883">
            <w:pPr>
              <w:spacing w:after="0" w:line="240" w:lineRule="auto"/>
              <w:jc w:val="both"/>
              <w:rPr>
                <w:rFonts w:ascii="Times New Roman" w:eastAsia="Times New Roman" w:hAnsi="Times New Roman" w:cs="Times New Roman"/>
                <w:b/>
                <w:bCs/>
                <w:color w:val="000000"/>
                <w:sz w:val="18"/>
                <w:szCs w:val="18"/>
              </w:rPr>
            </w:pPr>
            <w:r w:rsidRPr="005D1A2E">
              <w:rPr>
                <w:rFonts w:ascii="Times New Roman" w:eastAsia="Times New Roman" w:hAnsi="Times New Roman" w:cs="Times New Roman"/>
                <w:b/>
                <w:bCs/>
                <w:color w:val="000000"/>
                <w:sz w:val="18"/>
                <w:szCs w:val="18"/>
              </w:rPr>
              <w:t xml:space="preserve">GoG LG Sector budget </w:t>
            </w:r>
          </w:p>
        </w:tc>
        <w:tc>
          <w:tcPr>
            <w:tcW w:w="124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14:paraId="29D30666" w14:textId="77777777" w:rsidR="004A2883" w:rsidRPr="005D1A2E" w:rsidRDefault="004A2883" w:rsidP="004A2883">
            <w:pPr>
              <w:spacing w:after="0" w:line="240" w:lineRule="auto"/>
              <w:jc w:val="right"/>
              <w:rPr>
                <w:rFonts w:ascii="Times New Roman" w:eastAsia="Times New Roman" w:hAnsi="Times New Roman" w:cs="Times New Roman"/>
                <w:b/>
                <w:bCs/>
                <w:color w:val="000000"/>
                <w:sz w:val="18"/>
                <w:szCs w:val="18"/>
              </w:rPr>
            </w:pPr>
            <w:r w:rsidRPr="005D1A2E">
              <w:rPr>
                <w:rFonts w:ascii="Times New Roman" w:hAnsi="Times New Roman" w:cs="Times New Roman"/>
                <w:color w:val="000000"/>
                <w:sz w:val="18"/>
                <w:szCs w:val="18"/>
              </w:rPr>
              <w:t>150,932,235</w:t>
            </w:r>
          </w:p>
        </w:tc>
        <w:tc>
          <w:tcPr>
            <w:tcW w:w="124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14:paraId="1FA93566" w14:textId="77777777" w:rsidR="004A2883" w:rsidRPr="005D1A2E" w:rsidRDefault="004A2883" w:rsidP="004A2883">
            <w:pPr>
              <w:spacing w:after="0" w:line="240" w:lineRule="auto"/>
              <w:jc w:val="right"/>
              <w:rPr>
                <w:rFonts w:ascii="Times New Roman" w:eastAsia="Times New Roman" w:hAnsi="Times New Roman" w:cs="Times New Roman"/>
                <w:b/>
                <w:bCs/>
                <w:color w:val="000000"/>
                <w:sz w:val="18"/>
                <w:szCs w:val="18"/>
              </w:rPr>
            </w:pPr>
            <w:r w:rsidRPr="005D1A2E">
              <w:rPr>
                <w:rFonts w:ascii="Times New Roman" w:hAnsi="Times New Roman" w:cs="Times New Roman"/>
                <w:color w:val="000000"/>
                <w:sz w:val="18"/>
                <w:szCs w:val="18"/>
              </w:rPr>
              <w:t>162,373,460</w:t>
            </w:r>
          </w:p>
        </w:tc>
        <w:tc>
          <w:tcPr>
            <w:tcW w:w="125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14:paraId="39724254" w14:textId="77777777" w:rsidR="004A2883" w:rsidRPr="005D1A2E" w:rsidRDefault="004A2883" w:rsidP="004A2883">
            <w:pPr>
              <w:spacing w:after="0" w:line="240" w:lineRule="auto"/>
              <w:jc w:val="right"/>
              <w:rPr>
                <w:rFonts w:ascii="Times New Roman" w:eastAsia="Times New Roman" w:hAnsi="Times New Roman" w:cs="Times New Roman"/>
                <w:b/>
                <w:bCs/>
                <w:color w:val="000000"/>
                <w:sz w:val="18"/>
                <w:szCs w:val="18"/>
              </w:rPr>
            </w:pPr>
            <w:r w:rsidRPr="005D1A2E">
              <w:rPr>
                <w:rFonts w:ascii="Times New Roman" w:hAnsi="Times New Roman" w:cs="Times New Roman"/>
                <w:color w:val="000000"/>
                <w:sz w:val="18"/>
                <w:szCs w:val="18"/>
              </w:rPr>
              <w:t>176,281,415</w:t>
            </w:r>
          </w:p>
        </w:tc>
        <w:tc>
          <w:tcPr>
            <w:tcW w:w="124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14:paraId="6F6753CC" w14:textId="77777777" w:rsidR="004A2883" w:rsidRPr="005D1A2E" w:rsidRDefault="004A2883" w:rsidP="004A2883">
            <w:pPr>
              <w:spacing w:after="0" w:line="240" w:lineRule="auto"/>
              <w:jc w:val="right"/>
              <w:rPr>
                <w:rFonts w:ascii="Times New Roman" w:eastAsia="Times New Roman" w:hAnsi="Times New Roman" w:cs="Times New Roman"/>
                <w:b/>
                <w:bCs/>
                <w:color w:val="000000"/>
                <w:sz w:val="18"/>
                <w:szCs w:val="18"/>
              </w:rPr>
            </w:pPr>
            <w:r w:rsidRPr="005D1A2E">
              <w:rPr>
                <w:rFonts w:ascii="Times New Roman" w:hAnsi="Times New Roman" w:cs="Times New Roman"/>
                <w:color w:val="000000"/>
                <w:sz w:val="18"/>
                <w:szCs w:val="18"/>
              </w:rPr>
              <w:t>276,343,367</w:t>
            </w:r>
          </w:p>
        </w:tc>
        <w:tc>
          <w:tcPr>
            <w:tcW w:w="124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14:paraId="6A06BDA8" w14:textId="77777777" w:rsidR="004A2883" w:rsidRPr="005D1A2E" w:rsidRDefault="004A2883" w:rsidP="004A2883">
            <w:pPr>
              <w:spacing w:after="0" w:line="240" w:lineRule="auto"/>
              <w:jc w:val="right"/>
              <w:rPr>
                <w:rFonts w:ascii="Times New Roman" w:eastAsia="Times New Roman" w:hAnsi="Times New Roman" w:cs="Times New Roman"/>
                <w:b/>
                <w:bCs/>
                <w:color w:val="000000"/>
                <w:sz w:val="18"/>
                <w:szCs w:val="18"/>
              </w:rPr>
            </w:pPr>
            <w:r w:rsidRPr="005D1A2E">
              <w:rPr>
                <w:rFonts w:ascii="Times New Roman" w:hAnsi="Times New Roman" w:cs="Times New Roman"/>
                <w:color w:val="000000"/>
                <w:sz w:val="18"/>
                <w:szCs w:val="18"/>
              </w:rPr>
              <w:t>191,482,619</w:t>
            </w:r>
          </w:p>
        </w:tc>
        <w:tc>
          <w:tcPr>
            <w:tcW w:w="132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14:paraId="1FA6BC50" w14:textId="77777777" w:rsidR="004A2883" w:rsidRPr="005D1A2E" w:rsidRDefault="004A2883" w:rsidP="004A2883">
            <w:pPr>
              <w:spacing w:after="0" w:line="240" w:lineRule="auto"/>
              <w:jc w:val="right"/>
              <w:rPr>
                <w:rFonts w:ascii="Times New Roman" w:eastAsia="Times New Roman" w:hAnsi="Times New Roman" w:cs="Times New Roman"/>
                <w:b/>
                <w:bCs/>
                <w:color w:val="000000"/>
                <w:sz w:val="18"/>
                <w:szCs w:val="18"/>
              </w:rPr>
            </w:pPr>
            <w:r w:rsidRPr="005D1A2E">
              <w:rPr>
                <w:rFonts w:ascii="Times New Roman" w:hAnsi="Times New Roman" w:cs="Times New Roman"/>
                <w:color w:val="000000"/>
                <w:sz w:val="18"/>
                <w:szCs w:val="18"/>
              </w:rPr>
              <w:t>957,413,094</w:t>
            </w:r>
          </w:p>
        </w:tc>
      </w:tr>
      <w:tr w:rsidR="004A2883" w:rsidRPr="006433AE" w14:paraId="784A337A" w14:textId="77777777" w:rsidTr="004A2883">
        <w:trPr>
          <w:trHeight w:val="525"/>
        </w:trPr>
        <w:tc>
          <w:tcPr>
            <w:tcW w:w="287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395EFD0" w14:textId="77777777" w:rsidR="004A2883" w:rsidRPr="005D1A2E" w:rsidRDefault="004A2883" w:rsidP="004A2883">
            <w:pPr>
              <w:spacing w:after="0" w:line="240" w:lineRule="auto"/>
              <w:jc w:val="both"/>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Ministry of Local Government and Rural Development (excluding DP funding)</w:t>
            </w:r>
          </w:p>
        </w:tc>
        <w:tc>
          <w:tcPr>
            <w:tcW w:w="1247"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14:paraId="3A1DE49E"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7,507,544 </w:t>
            </w:r>
          </w:p>
        </w:tc>
        <w:tc>
          <w:tcPr>
            <w:tcW w:w="1248"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14:paraId="27D84403"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7,025,628 </w:t>
            </w:r>
          </w:p>
        </w:tc>
        <w:tc>
          <w:tcPr>
            <w:tcW w:w="1251"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14:paraId="2EB5ECED"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9,569,030 </w:t>
            </w:r>
          </w:p>
        </w:tc>
        <w:tc>
          <w:tcPr>
            <w:tcW w:w="1248"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14:paraId="144EFEAA"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36,777,810 </w:t>
            </w:r>
          </w:p>
        </w:tc>
        <w:tc>
          <w:tcPr>
            <w:tcW w:w="1248"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14:paraId="358C8CEF"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15,220,003 </w:t>
            </w:r>
          </w:p>
        </w:tc>
        <w:tc>
          <w:tcPr>
            <w:tcW w:w="1324"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14:paraId="6C078A1C"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76,100,014 </w:t>
            </w:r>
          </w:p>
        </w:tc>
      </w:tr>
      <w:tr w:rsidR="004A2883" w:rsidRPr="006433AE" w14:paraId="752183B4" w14:textId="77777777" w:rsidTr="004A2883">
        <w:trPr>
          <w:trHeight w:val="300"/>
        </w:trPr>
        <w:tc>
          <w:tcPr>
            <w:tcW w:w="2874"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14:paraId="51A5D152" w14:textId="77777777" w:rsidR="004A2883" w:rsidRPr="005D1A2E" w:rsidRDefault="004A2883" w:rsidP="004A2883">
            <w:pPr>
              <w:spacing w:after="0" w:line="240" w:lineRule="auto"/>
              <w:jc w:val="both"/>
              <w:rPr>
                <w:rFonts w:ascii="Times New Roman" w:eastAsia="Times New Roman" w:hAnsi="Times New Roman" w:cs="Times New Roman"/>
                <w:sz w:val="18"/>
                <w:szCs w:val="18"/>
              </w:rPr>
            </w:pPr>
            <w:r w:rsidRPr="005D1A2E">
              <w:rPr>
                <w:rFonts w:ascii="Times New Roman" w:eastAsia="Times New Roman" w:hAnsi="Times New Roman" w:cs="Times New Roman"/>
                <w:sz w:val="18"/>
                <w:szCs w:val="18"/>
              </w:rPr>
              <w:t>Local Government Services (incl. RCCs)</w:t>
            </w:r>
          </w:p>
        </w:tc>
        <w:tc>
          <w:tcPr>
            <w:tcW w:w="1247"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14:paraId="615C1652"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143,424,691 </w:t>
            </w:r>
          </w:p>
        </w:tc>
        <w:tc>
          <w:tcPr>
            <w:tcW w:w="1248"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14:paraId="24D13855"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155,347,832 </w:t>
            </w:r>
          </w:p>
        </w:tc>
        <w:tc>
          <w:tcPr>
            <w:tcW w:w="1251"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14:paraId="096AE7FA"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166,712,385 </w:t>
            </w:r>
          </w:p>
        </w:tc>
        <w:tc>
          <w:tcPr>
            <w:tcW w:w="1248"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14:paraId="65522627"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239,565,557 </w:t>
            </w:r>
          </w:p>
        </w:tc>
        <w:tc>
          <w:tcPr>
            <w:tcW w:w="1248"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14:paraId="1B8E992F"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176,262,616 </w:t>
            </w:r>
          </w:p>
        </w:tc>
        <w:tc>
          <w:tcPr>
            <w:tcW w:w="1324"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14:paraId="489772F2"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881,313,080 </w:t>
            </w:r>
          </w:p>
        </w:tc>
      </w:tr>
      <w:tr w:rsidR="004A2883" w:rsidRPr="006433AE" w14:paraId="502F6397" w14:textId="77777777" w:rsidTr="004A2883">
        <w:trPr>
          <w:trHeight w:val="300"/>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68FC5" w14:textId="77777777" w:rsidR="004A2883" w:rsidRPr="005D1A2E" w:rsidRDefault="004A2883" w:rsidP="004A2883">
            <w:pPr>
              <w:spacing w:after="0" w:line="240" w:lineRule="auto"/>
              <w:jc w:val="both"/>
              <w:rPr>
                <w:rFonts w:ascii="Times New Roman" w:eastAsia="Times New Roman" w:hAnsi="Times New Roman" w:cs="Times New Roman"/>
                <w:color w:val="FF0000"/>
                <w:sz w:val="18"/>
                <w:szCs w:val="18"/>
              </w:rPr>
            </w:pPr>
            <w:r w:rsidRPr="005D1A2E">
              <w:rPr>
                <w:rFonts w:ascii="Times New Roman" w:eastAsia="Times New Roman" w:hAnsi="Times New Roman" w:cs="Times New Roman"/>
                <w:sz w:val="18"/>
                <w:szCs w:val="18"/>
              </w:rPr>
              <w:t xml:space="preserve">- of which GoG sector grant allocations to MMDAs </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64A50"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115,826,393 </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DBF6C"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147,265,117 </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55C57"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157,561,213 </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441BB"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174,909,383 </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A91C1"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148,890,527 </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66577"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744,452,633 </w:t>
            </w:r>
          </w:p>
        </w:tc>
      </w:tr>
      <w:tr w:rsidR="004A2883" w:rsidRPr="006433AE" w14:paraId="6235903E" w14:textId="77777777" w:rsidTr="004A2883">
        <w:trPr>
          <w:trHeight w:val="300"/>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C7E22" w14:textId="77777777" w:rsidR="004A2883" w:rsidRPr="005D1A2E" w:rsidRDefault="004A2883" w:rsidP="00F273E1">
            <w:pPr>
              <w:pStyle w:val="ListParagraph"/>
              <w:numPr>
                <w:ilvl w:val="0"/>
                <w:numId w:val="53"/>
              </w:numPr>
              <w:spacing w:after="0" w:line="240" w:lineRule="auto"/>
              <w:ind w:left="255" w:hanging="270"/>
              <w:jc w:val="both"/>
              <w:rPr>
                <w:rFonts w:ascii="Times New Roman" w:eastAsia="Times New Roman" w:hAnsi="Times New Roman" w:cs="Times New Roman"/>
                <w:sz w:val="18"/>
                <w:szCs w:val="18"/>
              </w:rPr>
            </w:pPr>
            <w:r w:rsidRPr="005D1A2E">
              <w:rPr>
                <w:rFonts w:ascii="Times New Roman" w:eastAsia="Times New Roman" w:hAnsi="Times New Roman" w:cs="Times New Roman"/>
                <w:sz w:val="18"/>
                <w:szCs w:val="18"/>
              </w:rPr>
              <w:t>of which OHLGS and RCCs budget to support MMDAs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FB5DF"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hAnsi="Times New Roman" w:cs="Times New Roman"/>
                <w:color w:val="000000"/>
                <w:sz w:val="18"/>
                <w:szCs w:val="18"/>
              </w:rPr>
              <w:t>27,598,298</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0E57C"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hAnsi="Times New Roman" w:cs="Times New Roman"/>
                <w:color w:val="000000"/>
                <w:sz w:val="18"/>
                <w:szCs w:val="18"/>
              </w:rPr>
              <w:t>8,082,715</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085BD"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hAnsi="Times New Roman" w:cs="Times New Roman"/>
                <w:color w:val="000000"/>
                <w:sz w:val="18"/>
                <w:szCs w:val="18"/>
              </w:rPr>
              <w:t>9,151,172</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76646"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hAnsi="Times New Roman" w:cs="Times New Roman"/>
                <w:color w:val="000000"/>
                <w:sz w:val="18"/>
                <w:szCs w:val="18"/>
              </w:rPr>
              <w:t>64,656,174</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B5143"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hAnsi="Times New Roman" w:cs="Times New Roman"/>
                <w:color w:val="000000"/>
                <w:sz w:val="18"/>
                <w:szCs w:val="18"/>
              </w:rPr>
              <w:t>27,372,089</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95C45"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hAnsi="Times New Roman" w:cs="Times New Roman"/>
                <w:color w:val="000000"/>
                <w:sz w:val="18"/>
                <w:szCs w:val="18"/>
              </w:rPr>
              <w:t>136,860,447</w:t>
            </w:r>
          </w:p>
        </w:tc>
      </w:tr>
      <w:tr w:rsidR="004A2883" w:rsidRPr="006433AE" w14:paraId="7D7A7E92" w14:textId="77777777" w:rsidTr="004A2883">
        <w:trPr>
          <w:trHeight w:val="300"/>
        </w:trPr>
        <w:tc>
          <w:tcPr>
            <w:tcW w:w="287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14:paraId="3BEB77CF" w14:textId="77777777" w:rsidR="004A2883" w:rsidRPr="005D1A2E" w:rsidRDefault="004A2883" w:rsidP="004A2883">
            <w:pPr>
              <w:spacing w:after="0" w:line="240" w:lineRule="auto"/>
              <w:jc w:val="both"/>
              <w:rPr>
                <w:rFonts w:ascii="Times New Roman" w:eastAsia="Times New Roman" w:hAnsi="Times New Roman" w:cs="Times New Roman"/>
                <w:sz w:val="18"/>
                <w:szCs w:val="18"/>
              </w:rPr>
            </w:pPr>
            <w:r w:rsidRPr="005D1A2E">
              <w:rPr>
                <w:rFonts w:ascii="Times New Roman" w:eastAsia="Times New Roman" w:hAnsi="Times New Roman" w:cs="Times New Roman"/>
                <w:b/>
                <w:bCs/>
                <w:color w:val="000000"/>
                <w:sz w:val="18"/>
                <w:szCs w:val="18"/>
              </w:rPr>
              <w:t>Total IGFT to MMDAs</w:t>
            </w:r>
          </w:p>
        </w:tc>
        <w:tc>
          <w:tcPr>
            <w:tcW w:w="124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14:paraId="53601F82" w14:textId="77777777" w:rsidR="004A2883" w:rsidRPr="005D1A2E" w:rsidRDefault="004A2883" w:rsidP="004A2883">
            <w:pPr>
              <w:spacing w:after="0" w:line="240" w:lineRule="auto"/>
              <w:jc w:val="right"/>
              <w:rPr>
                <w:rFonts w:ascii="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366,816,858 </w:t>
            </w:r>
          </w:p>
        </w:tc>
        <w:tc>
          <w:tcPr>
            <w:tcW w:w="124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14:paraId="29A599DE" w14:textId="77777777" w:rsidR="004A2883" w:rsidRPr="005D1A2E" w:rsidRDefault="004A2883" w:rsidP="004A2883">
            <w:pPr>
              <w:spacing w:after="0" w:line="240" w:lineRule="auto"/>
              <w:jc w:val="right"/>
              <w:rPr>
                <w:rFonts w:ascii="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418,725,291 </w:t>
            </w:r>
          </w:p>
        </w:tc>
        <w:tc>
          <w:tcPr>
            <w:tcW w:w="125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14:paraId="510C92BE" w14:textId="77777777" w:rsidR="004A2883" w:rsidRPr="005D1A2E" w:rsidRDefault="004A2883" w:rsidP="004A2883">
            <w:pPr>
              <w:spacing w:after="0" w:line="240" w:lineRule="auto"/>
              <w:jc w:val="right"/>
              <w:rPr>
                <w:rFonts w:ascii="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458,718,932 </w:t>
            </w:r>
          </w:p>
        </w:tc>
        <w:tc>
          <w:tcPr>
            <w:tcW w:w="124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14:paraId="6A666C98" w14:textId="77777777" w:rsidR="004A2883" w:rsidRPr="005D1A2E" w:rsidRDefault="004A2883" w:rsidP="004A2883">
            <w:pPr>
              <w:spacing w:after="0" w:line="240" w:lineRule="auto"/>
              <w:jc w:val="right"/>
              <w:rPr>
                <w:rFonts w:ascii="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426,862,353 </w:t>
            </w:r>
          </w:p>
        </w:tc>
        <w:tc>
          <w:tcPr>
            <w:tcW w:w="124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14:paraId="766100CC" w14:textId="77777777" w:rsidR="004A2883" w:rsidRPr="005D1A2E" w:rsidRDefault="004A2883" w:rsidP="004A2883">
            <w:pPr>
              <w:spacing w:after="0" w:line="240" w:lineRule="auto"/>
              <w:jc w:val="right"/>
              <w:rPr>
                <w:rFonts w:ascii="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417,780,858 </w:t>
            </w:r>
          </w:p>
        </w:tc>
        <w:tc>
          <w:tcPr>
            <w:tcW w:w="132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14:paraId="02687C70" w14:textId="77777777" w:rsidR="004A2883" w:rsidRPr="005D1A2E" w:rsidRDefault="004A2883" w:rsidP="004A2883">
            <w:pPr>
              <w:spacing w:after="0" w:line="240" w:lineRule="auto"/>
              <w:jc w:val="right"/>
              <w:rPr>
                <w:rFonts w:ascii="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2,088,904,292 </w:t>
            </w:r>
          </w:p>
        </w:tc>
      </w:tr>
      <w:tr w:rsidR="004A2883" w:rsidRPr="006433AE" w14:paraId="0E1F002A" w14:textId="77777777" w:rsidTr="004A2883">
        <w:trPr>
          <w:trHeight w:val="300"/>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6957C" w14:textId="77777777" w:rsidR="004A2883" w:rsidRPr="005D1A2E" w:rsidRDefault="004A2883" w:rsidP="004A2883">
            <w:pPr>
              <w:spacing w:after="0" w:line="240" w:lineRule="auto"/>
              <w:jc w:val="both"/>
              <w:rPr>
                <w:rFonts w:ascii="Times New Roman" w:eastAsia="Times New Roman" w:hAnsi="Times New Roman" w:cs="Times New Roman"/>
                <w:color w:val="FF0000"/>
                <w:sz w:val="18"/>
                <w:szCs w:val="18"/>
              </w:rPr>
            </w:pPr>
            <w:r w:rsidRPr="005D1A2E">
              <w:rPr>
                <w:rFonts w:ascii="Times New Roman" w:eastAsia="Times New Roman" w:hAnsi="Times New Roman" w:cs="Times New Roman"/>
                <w:sz w:val="18"/>
                <w:szCs w:val="18"/>
              </w:rPr>
              <w:t>Sector grant to MMDAs</w:t>
            </w:r>
            <w:r w:rsidRPr="005D1A2E">
              <w:rPr>
                <w:rStyle w:val="FootnoteReference"/>
                <w:rFonts w:ascii="Times New Roman" w:eastAsia="Times New Roman" w:hAnsi="Times New Roman"/>
                <w:sz w:val="18"/>
                <w:szCs w:val="18"/>
              </w:rPr>
              <w:footnoteReference w:id="13"/>
            </w:r>
            <w:r w:rsidRPr="005D1A2E">
              <w:rPr>
                <w:rFonts w:ascii="Times New Roman" w:eastAsia="Times New Roman" w:hAnsi="Times New Roman" w:cs="Times New Roman"/>
                <w:sz w:val="18"/>
                <w:szCs w:val="18"/>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19CED"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115,826,393 </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DF2A3"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147,265,117 </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21614"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157,561,213 </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5E650"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174,909,383 </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17E3B"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148,890,527 </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457F4"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744,452,633 </w:t>
            </w:r>
          </w:p>
        </w:tc>
      </w:tr>
      <w:tr w:rsidR="004A2883" w:rsidRPr="006433AE" w14:paraId="072C4336" w14:textId="77777777" w:rsidTr="004A2883">
        <w:trPr>
          <w:trHeight w:val="300"/>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5FA89" w14:textId="77777777" w:rsidR="004A2883" w:rsidRPr="005D1A2E" w:rsidRDefault="004A2883" w:rsidP="004A2883">
            <w:pPr>
              <w:spacing w:after="0" w:line="240" w:lineRule="auto"/>
              <w:jc w:val="both"/>
              <w:rPr>
                <w:rFonts w:ascii="Times New Roman" w:eastAsia="Times New Roman" w:hAnsi="Times New Roman" w:cs="Times New Roman"/>
                <w:sz w:val="18"/>
                <w:szCs w:val="18"/>
              </w:rPr>
            </w:pPr>
            <w:r w:rsidRPr="005D1A2E">
              <w:rPr>
                <w:rFonts w:ascii="Times New Roman" w:eastAsia="Times New Roman" w:hAnsi="Times New Roman" w:cs="Times New Roman"/>
                <w:sz w:val="18"/>
                <w:szCs w:val="18"/>
              </w:rPr>
              <w:t>Block grants to MMDAs (about 60% of the DACF)</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94B36"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250,990,465 </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7309B"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271,460,174 </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089EB"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301,157,719 </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7CD85"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251,952,969 </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4364A"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268,890,332 </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39FF5"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1,344,451,659 </w:t>
            </w:r>
          </w:p>
        </w:tc>
      </w:tr>
      <w:tr w:rsidR="004A2883" w:rsidRPr="00CC05DB" w14:paraId="087EC85B" w14:textId="77777777" w:rsidTr="004A2883">
        <w:trPr>
          <w:trHeight w:val="300"/>
        </w:trPr>
        <w:tc>
          <w:tcPr>
            <w:tcW w:w="287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481B33DA" w14:textId="77777777" w:rsidR="004A2883" w:rsidRPr="005D1A2E" w:rsidRDefault="004A2883" w:rsidP="004A2883">
            <w:pPr>
              <w:spacing w:after="0" w:line="240" w:lineRule="auto"/>
              <w:jc w:val="both"/>
              <w:rPr>
                <w:rFonts w:ascii="Times New Roman" w:eastAsia="Times New Roman" w:hAnsi="Times New Roman" w:cs="Times New Roman"/>
                <w:b/>
                <w:color w:val="000000"/>
                <w:sz w:val="18"/>
                <w:szCs w:val="18"/>
              </w:rPr>
            </w:pPr>
            <w:r w:rsidRPr="005D1A2E">
              <w:rPr>
                <w:rFonts w:ascii="Times New Roman" w:eastAsia="Times New Roman" w:hAnsi="Times New Roman" w:cs="Times New Roman"/>
                <w:b/>
                <w:color w:val="000000"/>
                <w:sz w:val="18"/>
                <w:szCs w:val="18"/>
              </w:rPr>
              <w:t>District Assembly Common Fund</w:t>
            </w:r>
            <w:r w:rsidRPr="005D1A2E">
              <w:rPr>
                <w:rStyle w:val="FootnoteReference"/>
                <w:rFonts w:ascii="Times New Roman" w:eastAsia="Times New Roman" w:hAnsi="Times New Roman"/>
                <w:b/>
                <w:color w:val="000000"/>
                <w:sz w:val="18"/>
                <w:szCs w:val="18"/>
              </w:rPr>
              <w:footnoteReference w:id="14"/>
            </w:r>
          </w:p>
        </w:tc>
        <w:tc>
          <w:tcPr>
            <w:tcW w:w="124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56A105BD" w14:textId="77777777" w:rsidR="004A2883" w:rsidRPr="005D1A2E" w:rsidRDefault="004A2883" w:rsidP="004A2883">
            <w:pPr>
              <w:spacing w:after="0" w:line="240" w:lineRule="auto"/>
              <w:jc w:val="right"/>
              <w:rPr>
                <w:rFonts w:ascii="Times New Roman" w:eastAsia="Times New Roman" w:hAnsi="Times New Roman" w:cs="Times New Roman"/>
                <w:b/>
                <w:color w:val="000000"/>
                <w:sz w:val="18"/>
                <w:szCs w:val="18"/>
              </w:rPr>
            </w:pPr>
            <w:r w:rsidRPr="005D1A2E">
              <w:rPr>
                <w:rFonts w:ascii="Times New Roman" w:eastAsia="Times New Roman" w:hAnsi="Times New Roman" w:cs="Times New Roman"/>
                <w:b/>
                <w:color w:val="000000"/>
                <w:sz w:val="18"/>
                <w:szCs w:val="18"/>
              </w:rPr>
              <w:t xml:space="preserve">418,317,442 </w:t>
            </w:r>
          </w:p>
        </w:tc>
        <w:tc>
          <w:tcPr>
            <w:tcW w:w="1248"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7A6611CD" w14:textId="77777777" w:rsidR="004A2883" w:rsidRPr="005D1A2E" w:rsidRDefault="004A2883" w:rsidP="004A2883">
            <w:pPr>
              <w:spacing w:after="0" w:line="240" w:lineRule="auto"/>
              <w:jc w:val="right"/>
              <w:rPr>
                <w:rFonts w:ascii="Times New Roman" w:eastAsia="Times New Roman" w:hAnsi="Times New Roman" w:cs="Times New Roman"/>
                <w:b/>
                <w:color w:val="000000"/>
                <w:sz w:val="18"/>
                <w:szCs w:val="18"/>
              </w:rPr>
            </w:pPr>
            <w:r w:rsidRPr="005D1A2E">
              <w:rPr>
                <w:rFonts w:ascii="Times New Roman" w:eastAsia="Times New Roman" w:hAnsi="Times New Roman" w:cs="Times New Roman"/>
                <w:b/>
                <w:color w:val="000000"/>
                <w:sz w:val="18"/>
                <w:szCs w:val="18"/>
              </w:rPr>
              <w:t xml:space="preserve">452,433,623 </w:t>
            </w:r>
          </w:p>
        </w:tc>
        <w:tc>
          <w:tcPr>
            <w:tcW w:w="125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38C5E620" w14:textId="77777777" w:rsidR="004A2883" w:rsidRPr="005D1A2E" w:rsidRDefault="004A2883" w:rsidP="004A2883">
            <w:pPr>
              <w:spacing w:after="0" w:line="240" w:lineRule="auto"/>
              <w:jc w:val="right"/>
              <w:rPr>
                <w:rFonts w:ascii="Times New Roman" w:eastAsia="Times New Roman" w:hAnsi="Times New Roman" w:cs="Times New Roman"/>
                <w:b/>
                <w:color w:val="000000"/>
                <w:sz w:val="18"/>
                <w:szCs w:val="18"/>
              </w:rPr>
            </w:pPr>
            <w:r w:rsidRPr="005D1A2E">
              <w:rPr>
                <w:rFonts w:ascii="Times New Roman" w:eastAsia="Times New Roman" w:hAnsi="Times New Roman" w:cs="Times New Roman"/>
                <w:b/>
                <w:color w:val="000000"/>
                <w:sz w:val="18"/>
                <w:szCs w:val="18"/>
              </w:rPr>
              <w:t xml:space="preserve">501,929,532 </w:t>
            </w:r>
          </w:p>
        </w:tc>
        <w:tc>
          <w:tcPr>
            <w:tcW w:w="1248"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1B1A2ED2" w14:textId="77777777" w:rsidR="004A2883" w:rsidRPr="005D1A2E" w:rsidRDefault="004A2883" w:rsidP="004A2883">
            <w:pPr>
              <w:spacing w:after="0" w:line="240" w:lineRule="auto"/>
              <w:jc w:val="right"/>
              <w:rPr>
                <w:rFonts w:ascii="Times New Roman" w:eastAsia="Times New Roman" w:hAnsi="Times New Roman" w:cs="Times New Roman"/>
                <w:b/>
                <w:color w:val="000000"/>
                <w:sz w:val="18"/>
                <w:szCs w:val="18"/>
              </w:rPr>
            </w:pPr>
            <w:r w:rsidRPr="005D1A2E">
              <w:rPr>
                <w:rFonts w:ascii="Times New Roman" w:eastAsia="Times New Roman" w:hAnsi="Times New Roman" w:cs="Times New Roman"/>
                <w:b/>
                <w:color w:val="000000"/>
                <w:sz w:val="18"/>
                <w:szCs w:val="18"/>
              </w:rPr>
              <w:t xml:space="preserve">419,921,615 </w:t>
            </w:r>
          </w:p>
        </w:tc>
        <w:tc>
          <w:tcPr>
            <w:tcW w:w="1248"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5682F5EB" w14:textId="77777777" w:rsidR="004A2883" w:rsidRPr="005D1A2E" w:rsidRDefault="004A2883" w:rsidP="004A2883">
            <w:pPr>
              <w:spacing w:after="0" w:line="240" w:lineRule="auto"/>
              <w:jc w:val="right"/>
              <w:rPr>
                <w:rFonts w:ascii="Times New Roman" w:eastAsia="Times New Roman" w:hAnsi="Times New Roman" w:cs="Times New Roman"/>
                <w:b/>
                <w:color w:val="000000"/>
                <w:sz w:val="18"/>
                <w:szCs w:val="18"/>
              </w:rPr>
            </w:pPr>
            <w:r w:rsidRPr="005D1A2E">
              <w:rPr>
                <w:rFonts w:ascii="Times New Roman" w:eastAsia="Times New Roman" w:hAnsi="Times New Roman" w:cs="Times New Roman"/>
                <w:b/>
                <w:color w:val="000000"/>
                <w:sz w:val="18"/>
                <w:szCs w:val="18"/>
              </w:rPr>
              <w:t xml:space="preserve">448,150,553 </w:t>
            </w:r>
          </w:p>
        </w:tc>
        <w:tc>
          <w:tcPr>
            <w:tcW w:w="132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79212B15" w14:textId="77777777" w:rsidR="004A2883" w:rsidRPr="005D1A2E" w:rsidRDefault="004A2883" w:rsidP="004A2883">
            <w:pPr>
              <w:spacing w:after="0" w:line="240" w:lineRule="auto"/>
              <w:jc w:val="right"/>
              <w:rPr>
                <w:rFonts w:ascii="Times New Roman" w:eastAsia="Times New Roman" w:hAnsi="Times New Roman" w:cs="Times New Roman"/>
                <w:b/>
                <w:color w:val="000000"/>
                <w:sz w:val="18"/>
                <w:szCs w:val="18"/>
              </w:rPr>
            </w:pPr>
            <w:r w:rsidRPr="005D1A2E">
              <w:rPr>
                <w:rFonts w:ascii="Times New Roman" w:eastAsia="Times New Roman" w:hAnsi="Times New Roman" w:cs="Times New Roman"/>
                <w:b/>
                <w:color w:val="000000"/>
                <w:sz w:val="18"/>
                <w:szCs w:val="18"/>
              </w:rPr>
              <w:t xml:space="preserve">2,240,752,765 </w:t>
            </w:r>
          </w:p>
        </w:tc>
      </w:tr>
      <w:tr w:rsidR="004A2883" w:rsidRPr="006433AE" w14:paraId="76F51701" w14:textId="77777777" w:rsidTr="004A2883">
        <w:trPr>
          <w:trHeight w:val="300"/>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90B20" w14:textId="77777777" w:rsidR="004A2883" w:rsidRPr="005D1A2E" w:rsidRDefault="004A2883" w:rsidP="004A2883">
            <w:pPr>
              <w:spacing w:after="0" w:line="240" w:lineRule="auto"/>
              <w:jc w:val="both"/>
              <w:rPr>
                <w:rFonts w:ascii="Times New Roman" w:eastAsia="Times New Roman" w:hAnsi="Times New Roman" w:cs="Times New Roman"/>
                <w:sz w:val="18"/>
                <w:szCs w:val="18"/>
              </w:rPr>
            </w:pPr>
            <w:r w:rsidRPr="005D1A2E">
              <w:rPr>
                <w:rFonts w:ascii="Times New Roman" w:eastAsia="Times New Roman" w:hAnsi="Times New Roman" w:cs="Times New Roman"/>
                <w:sz w:val="18"/>
                <w:szCs w:val="18"/>
              </w:rPr>
              <w:t>- of which block grants to MMDAs (about 60% of the DACF)</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C89B7"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250,990,465 </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C0913"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271,460,174 </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4F558"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301,157,719 </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509D6"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251,952,969 </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71A8D"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268,890,332 </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27BD2"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1,344,451,659 </w:t>
            </w:r>
          </w:p>
        </w:tc>
      </w:tr>
      <w:tr w:rsidR="004A2883" w:rsidRPr="006433AE" w14:paraId="1AACEF75" w14:textId="77777777" w:rsidTr="004A2883">
        <w:trPr>
          <w:trHeight w:val="525"/>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07AE6" w14:textId="77777777" w:rsidR="004A2883" w:rsidRPr="005D1A2E" w:rsidRDefault="004A2883" w:rsidP="004A2883">
            <w:pPr>
              <w:spacing w:after="0" w:line="240" w:lineRule="auto"/>
              <w:jc w:val="both"/>
              <w:rPr>
                <w:rFonts w:ascii="Times New Roman" w:eastAsia="Times New Roman" w:hAnsi="Times New Roman" w:cs="Times New Roman"/>
                <w:sz w:val="18"/>
                <w:szCs w:val="18"/>
              </w:rPr>
            </w:pPr>
            <w:r w:rsidRPr="005D1A2E">
              <w:rPr>
                <w:rFonts w:ascii="Times New Roman" w:eastAsia="Times New Roman" w:hAnsi="Times New Roman" w:cs="Times New Roman"/>
                <w:sz w:val="18"/>
                <w:szCs w:val="18"/>
              </w:rPr>
              <w:t>- of which RFG to MMDAs (12% of DACF Block Grant)</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79501"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30,118,856 </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C4431"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32,575,221 </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0FD2C"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36,138,926 </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D2DA5"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30,234,356 </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CD04F"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32,266,840 </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03779"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 xml:space="preserve">161,334,199 </w:t>
            </w:r>
          </w:p>
        </w:tc>
      </w:tr>
      <w:tr w:rsidR="004A2883" w:rsidRPr="006433AE" w14:paraId="1AD06585" w14:textId="77777777" w:rsidTr="004A2883">
        <w:trPr>
          <w:trHeight w:val="288"/>
        </w:trPr>
        <w:tc>
          <w:tcPr>
            <w:tcW w:w="287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76B0E74" w14:textId="77777777" w:rsidR="004A2883" w:rsidRPr="005D1A2E" w:rsidRDefault="004A2883" w:rsidP="004A2883">
            <w:pPr>
              <w:spacing w:after="0" w:line="240" w:lineRule="auto"/>
              <w:jc w:val="both"/>
              <w:rPr>
                <w:rFonts w:ascii="Times New Roman" w:eastAsia="Times New Roman" w:hAnsi="Times New Roman" w:cs="Times New Roman"/>
                <w:sz w:val="18"/>
                <w:szCs w:val="18"/>
              </w:rPr>
            </w:pPr>
            <w:r w:rsidRPr="005D1A2E">
              <w:rPr>
                <w:rFonts w:ascii="Times New Roman" w:eastAsia="Times New Roman" w:hAnsi="Times New Roman" w:cs="Times New Roman"/>
                <w:b/>
                <w:bCs/>
                <w:color w:val="000000"/>
                <w:sz w:val="18"/>
                <w:szCs w:val="18"/>
              </w:rPr>
              <w:t>GSCSP support (PforR Program)</w:t>
            </w:r>
          </w:p>
        </w:tc>
        <w:tc>
          <w:tcPr>
            <w:tcW w:w="124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14:paraId="611665C2"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b/>
                <w:color w:val="000000"/>
                <w:sz w:val="18"/>
                <w:szCs w:val="18"/>
              </w:rPr>
              <w:t>8,600,000</w:t>
            </w:r>
          </w:p>
        </w:tc>
        <w:tc>
          <w:tcPr>
            <w:tcW w:w="124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14:paraId="334AB9CA"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b/>
                <w:color w:val="000000"/>
                <w:sz w:val="18"/>
                <w:szCs w:val="18"/>
              </w:rPr>
              <w:t>14,600,000</w:t>
            </w:r>
          </w:p>
        </w:tc>
        <w:tc>
          <w:tcPr>
            <w:tcW w:w="125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14:paraId="54C64CF4"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b/>
                <w:color w:val="000000"/>
                <w:sz w:val="18"/>
                <w:szCs w:val="18"/>
              </w:rPr>
              <w:t>20,900,000</w:t>
            </w:r>
          </w:p>
        </w:tc>
        <w:tc>
          <w:tcPr>
            <w:tcW w:w="124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14:paraId="56830CEC"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b/>
                <w:color w:val="000000"/>
                <w:sz w:val="18"/>
                <w:szCs w:val="18"/>
              </w:rPr>
              <w:t>26,400,000</w:t>
            </w:r>
          </w:p>
        </w:tc>
        <w:tc>
          <w:tcPr>
            <w:tcW w:w="124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14:paraId="7C93A33B"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b/>
                <w:color w:val="000000"/>
                <w:sz w:val="18"/>
                <w:szCs w:val="18"/>
              </w:rPr>
              <w:t>29,500,000</w:t>
            </w:r>
          </w:p>
        </w:tc>
        <w:tc>
          <w:tcPr>
            <w:tcW w:w="132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14:paraId="46EA050C"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b/>
                <w:color w:val="000000"/>
                <w:sz w:val="18"/>
                <w:szCs w:val="18"/>
              </w:rPr>
              <w:t>100,000,000</w:t>
            </w:r>
          </w:p>
        </w:tc>
      </w:tr>
      <w:tr w:rsidR="004A2883" w:rsidRPr="006433AE" w14:paraId="57CFF6AD" w14:textId="77777777" w:rsidTr="004A2883">
        <w:trPr>
          <w:trHeight w:val="300"/>
        </w:trPr>
        <w:tc>
          <w:tcPr>
            <w:tcW w:w="2874"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tcPr>
          <w:p w14:paraId="47D34FB8" w14:textId="77777777" w:rsidR="004A2883" w:rsidRPr="005D1A2E" w:rsidRDefault="004A2883" w:rsidP="004A2883">
            <w:pPr>
              <w:spacing w:after="0" w:line="240" w:lineRule="auto"/>
              <w:jc w:val="both"/>
              <w:rPr>
                <w:rFonts w:ascii="Times New Roman" w:eastAsia="Times New Roman" w:hAnsi="Times New Roman" w:cs="Times New Roman"/>
                <w:bCs/>
                <w:color w:val="000000"/>
                <w:sz w:val="18"/>
                <w:szCs w:val="18"/>
              </w:rPr>
            </w:pPr>
            <w:r w:rsidRPr="005D1A2E">
              <w:rPr>
                <w:rFonts w:ascii="Times New Roman" w:eastAsia="Times New Roman" w:hAnsi="Times New Roman" w:cs="Times New Roman"/>
                <w:bCs/>
                <w:color w:val="000000"/>
                <w:sz w:val="18"/>
                <w:szCs w:val="18"/>
              </w:rPr>
              <w:t>CSGs and UDGs to Program MAs</w:t>
            </w:r>
          </w:p>
        </w:tc>
        <w:tc>
          <w:tcPr>
            <w:tcW w:w="1247"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tcPr>
          <w:p w14:paraId="10A62CB9" w14:textId="77777777" w:rsidR="004A2883" w:rsidRPr="005D1A2E" w:rsidRDefault="004A2883" w:rsidP="004A2883">
            <w:pPr>
              <w:spacing w:after="0" w:line="240" w:lineRule="auto"/>
              <w:jc w:val="right"/>
              <w:rPr>
                <w:rFonts w:ascii="Times New Roman" w:hAnsi="Times New Roman" w:cs="Times New Roman"/>
                <w:sz w:val="18"/>
                <w:szCs w:val="18"/>
              </w:rPr>
            </w:pPr>
            <w:r w:rsidRPr="005D1A2E">
              <w:rPr>
                <w:rFonts w:ascii="Times New Roman" w:hAnsi="Times New Roman" w:cs="Times New Roman"/>
                <w:sz w:val="18"/>
                <w:szCs w:val="18"/>
              </w:rPr>
              <w:t>6,600,000</w:t>
            </w:r>
          </w:p>
        </w:tc>
        <w:tc>
          <w:tcPr>
            <w:tcW w:w="1248"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tcPr>
          <w:p w14:paraId="520E77BE" w14:textId="77777777" w:rsidR="004A2883" w:rsidRPr="005D1A2E" w:rsidRDefault="004A2883" w:rsidP="004A2883">
            <w:pPr>
              <w:spacing w:after="0" w:line="240" w:lineRule="auto"/>
              <w:jc w:val="right"/>
              <w:rPr>
                <w:rFonts w:ascii="Times New Roman" w:hAnsi="Times New Roman" w:cs="Times New Roman"/>
                <w:sz w:val="18"/>
                <w:szCs w:val="18"/>
              </w:rPr>
            </w:pPr>
            <w:r w:rsidRPr="005D1A2E">
              <w:rPr>
                <w:rFonts w:ascii="Times New Roman" w:hAnsi="Times New Roman" w:cs="Times New Roman"/>
                <w:sz w:val="18"/>
                <w:szCs w:val="18"/>
              </w:rPr>
              <w:t>12,600,000</w:t>
            </w:r>
          </w:p>
        </w:tc>
        <w:tc>
          <w:tcPr>
            <w:tcW w:w="1251"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tcPr>
          <w:p w14:paraId="10149941" w14:textId="77777777" w:rsidR="004A2883" w:rsidRPr="005D1A2E" w:rsidRDefault="004A2883" w:rsidP="004A2883">
            <w:pPr>
              <w:spacing w:after="0" w:line="240" w:lineRule="auto"/>
              <w:jc w:val="right"/>
              <w:rPr>
                <w:rFonts w:ascii="Times New Roman" w:hAnsi="Times New Roman" w:cs="Times New Roman"/>
                <w:sz w:val="18"/>
                <w:szCs w:val="18"/>
              </w:rPr>
            </w:pPr>
            <w:r w:rsidRPr="005D1A2E">
              <w:rPr>
                <w:rFonts w:ascii="Times New Roman" w:hAnsi="Times New Roman" w:cs="Times New Roman"/>
                <w:sz w:val="18"/>
                <w:szCs w:val="18"/>
              </w:rPr>
              <w:t>18,900,000</w:t>
            </w:r>
          </w:p>
        </w:tc>
        <w:tc>
          <w:tcPr>
            <w:tcW w:w="1248"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tcPr>
          <w:p w14:paraId="0148154E" w14:textId="77777777" w:rsidR="004A2883" w:rsidRPr="005D1A2E" w:rsidRDefault="004A2883" w:rsidP="004A2883">
            <w:pPr>
              <w:spacing w:after="0" w:line="240" w:lineRule="auto"/>
              <w:jc w:val="right"/>
              <w:rPr>
                <w:rFonts w:ascii="Times New Roman" w:hAnsi="Times New Roman" w:cs="Times New Roman"/>
                <w:sz w:val="18"/>
                <w:szCs w:val="18"/>
              </w:rPr>
            </w:pPr>
            <w:r w:rsidRPr="005D1A2E">
              <w:rPr>
                <w:rFonts w:ascii="Times New Roman" w:hAnsi="Times New Roman" w:cs="Times New Roman"/>
                <w:sz w:val="18"/>
                <w:szCs w:val="18"/>
              </w:rPr>
              <w:t>24,400,000</w:t>
            </w:r>
          </w:p>
        </w:tc>
        <w:tc>
          <w:tcPr>
            <w:tcW w:w="1248"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tcPr>
          <w:p w14:paraId="4565F7C6" w14:textId="77777777" w:rsidR="004A2883" w:rsidRPr="005D1A2E" w:rsidRDefault="004A2883" w:rsidP="004A2883">
            <w:pPr>
              <w:spacing w:after="0" w:line="240" w:lineRule="auto"/>
              <w:jc w:val="right"/>
              <w:rPr>
                <w:rFonts w:ascii="Times New Roman" w:hAnsi="Times New Roman" w:cs="Times New Roman"/>
                <w:sz w:val="18"/>
                <w:szCs w:val="18"/>
              </w:rPr>
            </w:pPr>
            <w:r w:rsidRPr="005D1A2E">
              <w:rPr>
                <w:rFonts w:ascii="Times New Roman" w:hAnsi="Times New Roman" w:cs="Times New Roman"/>
                <w:sz w:val="18"/>
                <w:szCs w:val="18"/>
              </w:rPr>
              <w:t>27,500,000</w:t>
            </w:r>
          </w:p>
        </w:tc>
        <w:tc>
          <w:tcPr>
            <w:tcW w:w="1324"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tcPr>
          <w:p w14:paraId="73DF47BC" w14:textId="77777777" w:rsidR="004A2883" w:rsidRPr="005D1A2E" w:rsidRDefault="004A2883" w:rsidP="004A2883">
            <w:pPr>
              <w:spacing w:after="0" w:line="240" w:lineRule="auto"/>
              <w:jc w:val="right"/>
              <w:rPr>
                <w:rFonts w:ascii="Times New Roman" w:hAnsi="Times New Roman" w:cs="Times New Roman"/>
                <w:sz w:val="18"/>
                <w:szCs w:val="18"/>
              </w:rPr>
            </w:pPr>
            <w:r w:rsidRPr="005D1A2E">
              <w:rPr>
                <w:rFonts w:ascii="Times New Roman" w:hAnsi="Times New Roman" w:cs="Times New Roman"/>
                <w:sz w:val="18"/>
                <w:szCs w:val="18"/>
              </w:rPr>
              <w:t>90,000,000</w:t>
            </w:r>
          </w:p>
        </w:tc>
      </w:tr>
      <w:tr w:rsidR="004A2883" w:rsidRPr="006433AE" w14:paraId="20314BE4" w14:textId="77777777" w:rsidTr="004A2883">
        <w:trPr>
          <w:trHeight w:val="300"/>
        </w:trPr>
        <w:tc>
          <w:tcPr>
            <w:tcW w:w="2874"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tcPr>
          <w:p w14:paraId="60371C98" w14:textId="77777777" w:rsidR="004A2883" w:rsidRPr="005D1A2E" w:rsidRDefault="004A2883" w:rsidP="004A2883">
            <w:pPr>
              <w:spacing w:after="0" w:line="240" w:lineRule="auto"/>
              <w:jc w:val="both"/>
              <w:rPr>
                <w:rFonts w:ascii="Times New Roman" w:eastAsia="Times New Roman" w:hAnsi="Times New Roman" w:cs="Times New Roman"/>
                <w:bCs/>
                <w:color w:val="000000"/>
                <w:sz w:val="18"/>
                <w:szCs w:val="18"/>
              </w:rPr>
            </w:pPr>
            <w:r w:rsidRPr="005D1A2E">
              <w:rPr>
                <w:rFonts w:ascii="Times New Roman" w:eastAsia="Times New Roman" w:hAnsi="Times New Roman" w:cs="Times New Roman"/>
                <w:bCs/>
                <w:color w:val="000000"/>
                <w:sz w:val="18"/>
                <w:szCs w:val="18"/>
              </w:rPr>
              <w:t>Central Government and RCC support to MAs</w:t>
            </w:r>
          </w:p>
        </w:tc>
        <w:tc>
          <w:tcPr>
            <w:tcW w:w="1247"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tcPr>
          <w:p w14:paraId="3D50D394"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2,000,000</w:t>
            </w:r>
          </w:p>
        </w:tc>
        <w:tc>
          <w:tcPr>
            <w:tcW w:w="1248"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tcPr>
          <w:p w14:paraId="60D19EDE" w14:textId="77777777" w:rsidR="004A2883" w:rsidRPr="005D1A2E" w:rsidRDefault="004A2883" w:rsidP="004A2883">
            <w:pPr>
              <w:spacing w:after="0" w:line="240" w:lineRule="auto"/>
              <w:jc w:val="right"/>
              <w:rPr>
                <w:rFonts w:ascii="Times New Roman" w:hAnsi="Times New Roman" w:cs="Times New Roman"/>
                <w:sz w:val="18"/>
                <w:szCs w:val="18"/>
              </w:rPr>
            </w:pPr>
            <w:r w:rsidRPr="005D1A2E">
              <w:rPr>
                <w:rFonts w:ascii="Times New Roman" w:eastAsia="Times New Roman" w:hAnsi="Times New Roman" w:cs="Times New Roman"/>
                <w:color w:val="000000"/>
                <w:sz w:val="18"/>
                <w:szCs w:val="18"/>
              </w:rPr>
              <w:t>2,000,000</w:t>
            </w:r>
          </w:p>
        </w:tc>
        <w:tc>
          <w:tcPr>
            <w:tcW w:w="1251"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tcPr>
          <w:p w14:paraId="64C89D23" w14:textId="77777777" w:rsidR="004A2883" w:rsidRPr="005D1A2E" w:rsidRDefault="004A2883" w:rsidP="004A2883">
            <w:pPr>
              <w:spacing w:after="0" w:line="240" w:lineRule="auto"/>
              <w:jc w:val="right"/>
              <w:rPr>
                <w:rFonts w:ascii="Times New Roman" w:hAnsi="Times New Roman" w:cs="Times New Roman"/>
                <w:sz w:val="18"/>
                <w:szCs w:val="18"/>
              </w:rPr>
            </w:pPr>
            <w:r w:rsidRPr="005D1A2E">
              <w:rPr>
                <w:rFonts w:ascii="Times New Roman" w:eastAsia="Times New Roman" w:hAnsi="Times New Roman" w:cs="Times New Roman"/>
                <w:color w:val="000000"/>
                <w:sz w:val="18"/>
                <w:szCs w:val="18"/>
              </w:rPr>
              <w:t>2,000,000</w:t>
            </w:r>
          </w:p>
        </w:tc>
        <w:tc>
          <w:tcPr>
            <w:tcW w:w="1248"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tcPr>
          <w:p w14:paraId="7F413688" w14:textId="77777777" w:rsidR="004A2883" w:rsidRPr="005D1A2E" w:rsidRDefault="004A2883" w:rsidP="004A2883">
            <w:pPr>
              <w:spacing w:after="0" w:line="240" w:lineRule="auto"/>
              <w:jc w:val="right"/>
              <w:rPr>
                <w:rFonts w:ascii="Times New Roman" w:hAnsi="Times New Roman" w:cs="Times New Roman"/>
                <w:sz w:val="18"/>
                <w:szCs w:val="18"/>
              </w:rPr>
            </w:pPr>
            <w:r w:rsidRPr="005D1A2E">
              <w:rPr>
                <w:rFonts w:ascii="Times New Roman" w:eastAsia="Times New Roman" w:hAnsi="Times New Roman" w:cs="Times New Roman"/>
                <w:color w:val="000000"/>
                <w:sz w:val="18"/>
                <w:szCs w:val="18"/>
              </w:rPr>
              <w:t>2,000,000</w:t>
            </w:r>
          </w:p>
        </w:tc>
        <w:tc>
          <w:tcPr>
            <w:tcW w:w="1248"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tcPr>
          <w:p w14:paraId="03D5F20D" w14:textId="77777777" w:rsidR="004A2883" w:rsidRPr="005D1A2E" w:rsidRDefault="004A2883" w:rsidP="004A2883">
            <w:pPr>
              <w:spacing w:after="0" w:line="240" w:lineRule="auto"/>
              <w:jc w:val="right"/>
              <w:rPr>
                <w:rFonts w:ascii="Times New Roman" w:hAnsi="Times New Roman" w:cs="Times New Roman"/>
                <w:sz w:val="18"/>
                <w:szCs w:val="18"/>
              </w:rPr>
            </w:pPr>
            <w:r w:rsidRPr="005D1A2E">
              <w:rPr>
                <w:rFonts w:ascii="Times New Roman" w:eastAsia="Times New Roman" w:hAnsi="Times New Roman" w:cs="Times New Roman"/>
                <w:color w:val="000000"/>
                <w:sz w:val="18"/>
                <w:szCs w:val="18"/>
              </w:rPr>
              <w:t>2,000,000</w:t>
            </w:r>
          </w:p>
        </w:tc>
        <w:tc>
          <w:tcPr>
            <w:tcW w:w="1324"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tcPr>
          <w:p w14:paraId="41B38CE7"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eastAsia="Times New Roman" w:hAnsi="Times New Roman" w:cs="Times New Roman"/>
                <w:color w:val="000000"/>
                <w:sz w:val="18"/>
                <w:szCs w:val="18"/>
              </w:rPr>
              <w:t>10,000,000</w:t>
            </w:r>
          </w:p>
        </w:tc>
      </w:tr>
      <w:tr w:rsidR="004A2883" w:rsidRPr="008E7E8C" w14:paraId="6A13E0A8" w14:textId="77777777" w:rsidTr="004A2883">
        <w:trPr>
          <w:trHeight w:val="300"/>
        </w:trPr>
        <w:tc>
          <w:tcPr>
            <w:tcW w:w="287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14:paraId="1E3938BB" w14:textId="77777777" w:rsidR="004A2883" w:rsidRPr="005D1A2E" w:rsidRDefault="004A2883" w:rsidP="004A2883">
            <w:pPr>
              <w:spacing w:after="0" w:line="240" w:lineRule="auto"/>
              <w:jc w:val="both"/>
              <w:rPr>
                <w:rFonts w:ascii="Times New Roman" w:eastAsia="Times New Roman" w:hAnsi="Times New Roman" w:cs="Times New Roman"/>
                <w:bCs/>
                <w:color w:val="000000"/>
                <w:sz w:val="18"/>
                <w:szCs w:val="18"/>
              </w:rPr>
            </w:pPr>
            <w:r w:rsidRPr="005D1A2E">
              <w:rPr>
                <w:rFonts w:ascii="Times New Roman" w:eastAsia="Times New Roman" w:hAnsi="Times New Roman" w:cs="Times New Roman"/>
                <w:bCs/>
                <w:color w:val="000000"/>
                <w:sz w:val="18"/>
                <w:szCs w:val="18"/>
              </w:rPr>
              <w:t>RFG to Participating MAs (10% of total RFG)</w:t>
            </w:r>
            <w:r w:rsidRPr="005D1A2E">
              <w:rPr>
                <w:rStyle w:val="FootnoteReference"/>
                <w:rFonts w:ascii="Times New Roman" w:eastAsia="Times New Roman" w:hAnsi="Times New Roman"/>
                <w:bCs/>
                <w:color w:val="000000"/>
                <w:sz w:val="18"/>
                <w:szCs w:val="18"/>
              </w:rPr>
              <w:footnoteReference w:id="15"/>
            </w:r>
          </w:p>
        </w:tc>
        <w:tc>
          <w:tcPr>
            <w:tcW w:w="124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14421BAD"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hAnsi="Times New Roman" w:cs="Times New Roman"/>
                <w:color w:val="000000"/>
                <w:sz w:val="18"/>
                <w:szCs w:val="18"/>
              </w:rPr>
              <w:t xml:space="preserve">3,011,886 </w:t>
            </w:r>
          </w:p>
        </w:tc>
        <w:tc>
          <w:tcPr>
            <w:tcW w:w="124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472C8919"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hAnsi="Times New Roman" w:cs="Times New Roman"/>
                <w:color w:val="000000"/>
                <w:sz w:val="18"/>
                <w:szCs w:val="18"/>
              </w:rPr>
              <w:t xml:space="preserve">3,257,522 </w:t>
            </w:r>
          </w:p>
        </w:tc>
        <w:tc>
          <w:tcPr>
            <w:tcW w:w="125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12946857"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hAnsi="Times New Roman" w:cs="Times New Roman"/>
                <w:color w:val="000000"/>
                <w:sz w:val="18"/>
                <w:szCs w:val="18"/>
              </w:rPr>
              <w:t xml:space="preserve">3,613,893 </w:t>
            </w:r>
          </w:p>
        </w:tc>
        <w:tc>
          <w:tcPr>
            <w:tcW w:w="124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6273866E"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hAnsi="Times New Roman" w:cs="Times New Roman"/>
                <w:color w:val="000000"/>
                <w:sz w:val="18"/>
                <w:szCs w:val="18"/>
              </w:rPr>
              <w:t xml:space="preserve">3,023,436 </w:t>
            </w:r>
          </w:p>
        </w:tc>
        <w:tc>
          <w:tcPr>
            <w:tcW w:w="124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04F905FA"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hAnsi="Times New Roman" w:cs="Times New Roman"/>
                <w:color w:val="000000"/>
                <w:sz w:val="18"/>
                <w:szCs w:val="18"/>
              </w:rPr>
              <w:t xml:space="preserve">3,226,684 </w:t>
            </w:r>
          </w:p>
        </w:tc>
        <w:tc>
          <w:tcPr>
            <w:tcW w:w="132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6066FD64"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hAnsi="Times New Roman" w:cs="Times New Roman"/>
                <w:color w:val="000000"/>
                <w:sz w:val="18"/>
                <w:szCs w:val="18"/>
              </w:rPr>
              <w:t xml:space="preserve">16,133,420 </w:t>
            </w:r>
          </w:p>
        </w:tc>
      </w:tr>
      <w:tr w:rsidR="004A2883" w:rsidRPr="008E7E8C" w14:paraId="02EA861A" w14:textId="77777777" w:rsidTr="004A2883">
        <w:trPr>
          <w:trHeight w:val="300"/>
        </w:trPr>
        <w:tc>
          <w:tcPr>
            <w:tcW w:w="287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14:paraId="179E8C7D" w14:textId="77777777" w:rsidR="004A2883" w:rsidRPr="005D1A2E" w:rsidRDefault="004A2883" w:rsidP="004A2883">
            <w:pPr>
              <w:spacing w:after="0" w:line="240" w:lineRule="auto"/>
              <w:jc w:val="both"/>
              <w:rPr>
                <w:rFonts w:ascii="Times New Roman" w:eastAsia="Times New Roman" w:hAnsi="Times New Roman" w:cs="Times New Roman"/>
                <w:bCs/>
                <w:color w:val="000000"/>
                <w:sz w:val="18"/>
                <w:szCs w:val="18"/>
              </w:rPr>
            </w:pPr>
            <w:r w:rsidRPr="005D1A2E">
              <w:rPr>
                <w:rFonts w:ascii="Times New Roman" w:eastAsia="Times New Roman" w:hAnsi="Times New Roman" w:cs="Times New Roman"/>
                <w:bCs/>
                <w:color w:val="000000"/>
                <w:sz w:val="18"/>
                <w:szCs w:val="18"/>
              </w:rPr>
              <w:t>GSCSP as % of RFG to MMDAs</w:t>
            </w:r>
          </w:p>
        </w:tc>
        <w:tc>
          <w:tcPr>
            <w:tcW w:w="124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388049C3"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hAnsi="Times New Roman" w:cs="Times New Roman"/>
                <w:color w:val="000000"/>
                <w:sz w:val="18"/>
                <w:szCs w:val="18"/>
              </w:rPr>
              <w:t>28.55%</w:t>
            </w:r>
          </w:p>
        </w:tc>
        <w:tc>
          <w:tcPr>
            <w:tcW w:w="124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2C9A9A14"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hAnsi="Times New Roman" w:cs="Times New Roman"/>
                <w:color w:val="000000"/>
                <w:sz w:val="18"/>
                <w:szCs w:val="18"/>
              </w:rPr>
              <w:t>44.82%</w:t>
            </w:r>
          </w:p>
        </w:tc>
        <w:tc>
          <w:tcPr>
            <w:tcW w:w="125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4215BBBF"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hAnsi="Times New Roman" w:cs="Times New Roman"/>
                <w:color w:val="000000"/>
                <w:sz w:val="18"/>
                <w:szCs w:val="18"/>
              </w:rPr>
              <w:t>57.83%</w:t>
            </w:r>
          </w:p>
        </w:tc>
        <w:tc>
          <w:tcPr>
            <w:tcW w:w="124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56D056FE"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hAnsi="Times New Roman" w:cs="Times New Roman"/>
                <w:color w:val="000000"/>
                <w:sz w:val="18"/>
                <w:szCs w:val="18"/>
              </w:rPr>
              <w:t>87.32%</w:t>
            </w:r>
          </w:p>
        </w:tc>
        <w:tc>
          <w:tcPr>
            <w:tcW w:w="124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11A6287E"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hAnsi="Times New Roman" w:cs="Times New Roman"/>
                <w:color w:val="000000"/>
                <w:sz w:val="18"/>
                <w:szCs w:val="18"/>
              </w:rPr>
              <w:t>91.43%</w:t>
            </w:r>
          </w:p>
        </w:tc>
        <w:tc>
          <w:tcPr>
            <w:tcW w:w="132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2E6C1190"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hAnsi="Times New Roman" w:cs="Times New Roman"/>
                <w:color w:val="000000"/>
                <w:sz w:val="18"/>
                <w:szCs w:val="18"/>
              </w:rPr>
              <w:t>61.98%</w:t>
            </w:r>
          </w:p>
        </w:tc>
      </w:tr>
      <w:tr w:rsidR="004A2883" w:rsidRPr="002361BB" w14:paraId="3D1E81F2" w14:textId="77777777" w:rsidTr="004A2883">
        <w:trPr>
          <w:trHeight w:val="300"/>
        </w:trPr>
        <w:tc>
          <w:tcPr>
            <w:tcW w:w="287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14:paraId="7A273D2D" w14:textId="77777777" w:rsidR="004A2883" w:rsidRPr="005D1A2E" w:rsidRDefault="004A2883" w:rsidP="004A2883">
            <w:pPr>
              <w:spacing w:after="0" w:line="240" w:lineRule="auto"/>
              <w:jc w:val="both"/>
              <w:rPr>
                <w:rFonts w:ascii="Times New Roman" w:eastAsia="Times New Roman" w:hAnsi="Times New Roman" w:cs="Times New Roman"/>
                <w:bCs/>
                <w:color w:val="000000"/>
                <w:sz w:val="18"/>
                <w:szCs w:val="18"/>
              </w:rPr>
            </w:pPr>
            <w:r w:rsidRPr="005D1A2E">
              <w:rPr>
                <w:rFonts w:ascii="Times New Roman" w:eastAsia="Times New Roman" w:hAnsi="Times New Roman" w:cs="Times New Roman"/>
                <w:bCs/>
                <w:color w:val="000000"/>
                <w:sz w:val="18"/>
                <w:szCs w:val="18"/>
              </w:rPr>
              <w:t>GSCSP as % of DACF block grants to MMDAs</w:t>
            </w:r>
          </w:p>
        </w:tc>
        <w:tc>
          <w:tcPr>
            <w:tcW w:w="124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4E62EE38" w14:textId="77777777" w:rsidR="004A2883" w:rsidRPr="005D1A2E" w:rsidRDefault="004A2883" w:rsidP="004A2883">
            <w:pPr>
              <w:spacing w:after="0" w:line="240" w:lineRule="auto"/>
              <w:jc w:val="right"/>
              <w:rPr>
                <w:rFonts w:ascii="Times New Roman" w:hAnsi="Times New Roman" w:cs="Times New Roman"/>
                <w:color w:val="000000"/>
                <w:sz w:val="18"/>
                <w:szCs w:val="18"/>
              </w:rPr>
            </w:pPr>
            <w:r w:rsidRPr="005D1A2E">
              <w:rPr>
                <w:rFonts w:ascii="Times New Roman" w:hAnsi="Times New Roman" w:cs="Times New Roman"/>
                <w:color w:val="000000"/>
                <w:sz w:val="18"/>
                <w:szCs w:val="18"/>
              </w:rPr>
              <w:t>3.43%</w:t>
            </w:r>
          </w:p>
        </w:tc>
        <w:tc>
          <w:tcPr>
            <w:tcW w:w="124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4459C976" w14:textId="77777777" w:rsidR="004A2883" w:rsidRPr="005D1A2E" w:rsidRDefault="004A2883" w:rsidP="004A2883">
            <w:pPr>
              <w:spacing w:after="0" w:line="240" w:lineRule="auto"/>
              <w:jc w:val="right"/>
              <w:rPr>
                <w:rFonts w:ascii="Times New Roman" w:hAnsi="Times New Roman" w:cs="Times New Roman"/>
                <w:color w:val="000000"/>
                <w:sz w:val="18"/>
                <w:szCs w:val="18"/>
              </w:rPr>
            </w:pPr>
            <w:r w:rsidRPr="005D1A2E">
              <w:rPr>
                <w:rFonts w:ascii="Times New Roman" w:hAnsi="Times New Roman" w:cs="Times New Roman"/>
                <w:color w:val="000000"/>
                <w:sz w:val="18"/>
                <w:szCs w:val="18"/>
              </w:rPr>
              <w:t>5.38%</w:t>
            </w:r>
          </w:p>
        </w:tc>
        <w:tc>
          <w:tcPr>
            <w:tcW w:w="125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43929C05" w14:textId="77777777" w:rsidR="004A2883" w:rsidRPr="005D1A2E" w:rsidRDefault="004A2883" w:rsidP="004A2883">
            <w:pPr>
              <w:spacing w:after="0" w:line="240" w:lineRule="auto"/>
              <w:jc w:val="right"/>
              <w:rPr>
                <w:rFonts w:ascii="Times New Roman" w:hAnsi="Times New Roman" w:cs="Times New Roman"/>
                <w:color w:val="000000"/>
                <w:sz w:val="18"/>
                <w:szCs w:val="18"/>
              </w:rPr>
            </w:pPr>
            <w:r w:rsidRPr="005D1A2E">
              <w:rPr>
                <w:rFonts w:ascii="Times New Roman" w:hAnsi="Times New Roman" w:cs="Times New Roman"/>
                <w:color w:val="000000"/>
                <w:sz w:val="18"/>
                <w:szCs w:val="18"/>
              </w:rPr>
              <w:t>6.94%</w:t>
            </w:r>
          </w:p>
        </w:tc>
        <w:tc>
          <w:tcPr>
            <w:tcW w:w="124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6A7831B9" w14:textId="77777777" w:rsidR="004A2883" w:rsidRPr="005D1A2E" w:rsidRDefault="004A2883" w:rsidP="004A2883">
            <w:pPr>
              <w:spacing w:after="0" w:line="240" w:lineRule="auto"/>
              <w:jc w:val="right"/>
              <w:rPr>
                <w:rFonts w:ascii="Times New Roman" w:hAnsi="Times New Roman" w:cs="Times New Roman"/>
                <w:color w:val="000000"/>
                <w:sz w:val="18"/>
                <w:szCs w:val="18"/>
              </w:rPr>
            </w:pPr>
            <w:r w:rsidRPr="005D1A2E">
              <w:rPr>
                <w:rFonts w:ascii="Times New Roman" w:hAnsi="Times New Roman" w:cs="Times New Roman"/>
                <w:color w:val="000000"/>
                <w:sz w:val="18"/>
                <w:szCs w:val="18"/>
              </w:rPr>
              <w:t>10.48%</w:t>
            </w:r>
          </w:p>
        </w:tc>
        <w:tc>
          <w:tcPr>
            <w:tcW w:w="124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2018721B" w14:textId="77777777" w:rsidR="004A2883" w:rsidRPr="005D1A2E" w:rsidRDefault="004A2883" w:rsidP="004A2883">
            <w:pPr>
              <w:spacing w:after="0" w:line="240" w:lineRule="auto"/>
              <w:jc w:val="right"/>
              <w:rPr>
                <w:rFonts w:ascii="Times New Roman" w:hAnsi="Times New Roman" w:cs="Times New Roman"/>
                <w:color w:val="000000"/>
                <w:sz w:val="18"/>
                <w:szCs w:val="18"/>
              </w:rPr>
            </w:pPr>
            <w:r w:rsidRPr="005D1A2E">
              <w:rPr>
                <w:rFonts w:ascii="Times New Roman" w:hAnsi="Times New Roman" w:cs="Times New Roman"/>
                <w:color w:val="000000"/>
                <w:sz w:val="18"/>
                <w:szCs w:val="18"/>
              </w:rPr>
              <w:t>10.97%</w:t>
            </w:r>
          </w:p>
        </w:tc>
        <w:tc>
          <w:tcPr>
            <w:tcW w:w="132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64DE3EDD" w14:textId="77777777" w:rsidR="004A2883" w:rsidRPr="005D1A2E" w:rsidRDefault="004A2883" w:rsidP="004A2883">
            <w:pPr>
              <w:spacing w:after="0" w:line="240" w:lineRule="auto"/>
              <w:jc w:val="right"/>
              <w:rPr>
                <w:rFonts w:ascii="Times New Roman" w:hAnsi="Times New Roman" w:cs="Times New Roman"/>
                <w:color w:val="000000"/>
                <w:sz w:val="18"/>
                <w:szCs w:val="18"/>
              </w:rPr>
            </w:pPr>
            <w:r w:rsidRPr="005D1A2E">
              <w:rPr>
                <w:rFonts w:ascii="Times New Roman" w:hAnsi="Times New Roman" w:cs="Times New Roman"/>
                <w:color w:val="000000"/>
                <w:sz w:val="18"/>
                <w:szCs w:val="18"/>
              </w:rPr>
              <w:t>7.44%</w:t>
            </w:r>
          </w:p>
        </w:tc>
      </w:tr>
      <w:tr w:rsidR="004A2883" w:rsidRPr="008E7E8C" w14:paraId="2123E8B0" w14:textId="77777777" w:rsidTr="004A2883">
        <w:trPr>
          <w:trHeight w:val="300"/>
        </w:trPr>
        <w:tc>
          <w:tcPr>
            <w:tcW w:w="287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14:paraId="566BFCB3" w14:textId="77777777" w:rsidR="004A2883" w:rsidRPr="005D1A2E" w:rsidRDefault="004A2883" w:rsidP="004A2883">
            <w:pPr>
              <w:spacing w:after="0" w:line="240" w:lineRule="auto"/>
              <w:jc w:val="both"/>
              <w:rPr>
                <w:rFonts w:ascii="Times New Roman" w:eastAsia="Times New Roman" w:hAnsi="Times New Roman" w:cs="Times New Roman"/>
                <w:bCs/>
                <w:color w:val="000000"/>
                <w:sz w:val="18"/>
                <w:szCs w:val="18"/>
              </w:rPr>
            </w:pPr>
            <w:r w:rsidRPr="005D1A2E">
              <w:rPr>
                <w:rFonts w:ascii="Times New Roman" w:eastAsia="Times New Roman" w:hAnsi="Times New Roman" w:cs="Times New Roman"/>
                <w:bCs/>
                <w:color w:val="000000"/>
                <w:sz w:val="18"/>
                <w:szCs w:val="18"/>
              </w:rPr>
              <w:t>GSCSP as % of total IGFT to MMDAs</w:t>
            </w:r>
          </w:p>
        </w:tc>
        <w:tc>
          <w:tcPr>
            <w:tcW w:w="124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07CA4C6D"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hAnsi="Times New Roman" w:cs="Times New Roman"/>
                <w:color w:val="000000"/>
                <w:sz w:val="18"/>
                <w:szCs w:val="18"/>
              </w:rPr>
              <w:t>2.34%</w:t>
            </w:r>
          </w:p>
        </w:tc>
        <w:tc>
          <w:tcPr>
            <w:tcW w:w="124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76E2AC90"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hAnsi="Times New Roman" w:cs="Times New Roman"/>
                <w:color w:val="000000"/>
                <w:sz w:val="18"/>
                <w:szCs w:val="18"/>
              </w:rPr>
              <w:t>3.49%</w:t>
            </w:r>
          </w:p>
        </w:tc>
        <w:tc>
          <w:tcPr>
            <w:tcW w:w="125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71030EA4"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hAnsi="Times New Roman" w:cs="Times New Roman"/>
                <w:color w:val="000000"/>
                <w:sz w:val="18"/>
                <w:szCs w:val="18"/>
              </w:rPr>
              <w:t>4.56%</w:t>
            </w:r>
          </w:p>
        </w:tc>
        <w:tc>
          <w:tcPr>
            <w:tcW w:w="124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1D558D03"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hAnsi="Times New Roman" w:cs="Times New Roman"/>
                <w:color w:val="000000"/>
                <w:sz w:val="18"/>
                <w:szCs w:val="18"/>
              </w:rPr>
              <w:t>6.18%</w:t>
            </w:r>
          </w:p>
        </w:tc>
        <w:tc>
          <w:tcPr>
            <w:tcW w:w="124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760F6110"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hAnsi="Times New Roman" w:cs="Times New Roman"/>
                <w:color w:val="000000"/>
                <w:sz w:val="18"/>
                <w:szCs w:val="18"/>
              </w:rPr>
              <w:t>7.06%</w:t>
            </w:r>
          </w:p>
        </w:tc>
        <w:tc>
          <w:tcPr>
            <w:tcW w:w="132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470B8CC3" w14:textId="77777777" w:rsidR="004A2883" w:rsidRPr="005D1A2E" w:rsidRDefault="004A2883" w:rsidP="004A2883">
            <w:pPr>
              <w:spacing w:after="0" w:line="240" w:lineRule="auto"/>
              <w:jc w:val="right"/>
              <w:rPr>
                <w:rFonts w:ascii="Times New Roman" w:eastAsia="Times New Roman" w:hAnsi="Times New Roman" w:cs="Times New Roman"/>
                <w:color w:val="000000"/>
                <w:sz w:val="18"/>
                <w:szCs w:val="18"/>
              </w:rPr>
            </w:pPr>
            <w:r w:rsidRPr="005D1A2E">
              <w:rPr>
                <w:rFonts w:ascii="Times New Roman" w:hAnsi="Times New Roman" w:cs="Times New Roman"/>
                <w:color w:val="000000"/>
                <w:sz w:val="18"/>
                <w:szCs w:val="18"/>
              </w:rPr>
              <w:t>4.79%</w:t>
            </w:r>
          </w:p>
        </w:tc>
      </w:tr>
    </w:tbl>
    <w:p w14:paraId="79A2653A" w14:textId="77777777" w:rsidR="004A2883" w:rsidRDefault="004A2883" w:rsidP="004A2883">
      <w:pPr>
        <w:pStyle w:val="NoSpacing"/>
        <w:rPr>
          <w:rFonts w:ascii="Times New Roman" w:hAnsi="Times New Roman"/>
        </w:rPr>
      </w:pPr>
    </w:p>
    <w:p w14:paraId="2EF0B194" w14:textId="36D555B6" w:rsidR="00CA0715" w:rsidRPr="00CA0715" w:rsidRDefault="004A2883" w:rsidP="00CA0715">
      <w:pPr>
        <w:pStyle w:val="NoSpacing"/>
        <w:jc w:val="both"/>
        <w:rPr>
          <w:rFonts w:ascii="Times New Roman" w:hAnsi="Times New Roman"/>
        </w:rPr>
      </w:pPr>
      <w:r w:rsidRPr="003D4AED">
        <w:rPr>
          <w:rFonts w:ascii="Times New Roman" w:hAnsi="Times New Roman"/>
          <w:b/>
        </w:rPr>
        <w:t>Program Financing</w:t>
      </w:r>
      <w:r>
        <w:rPr>
          <w:rFonts w:ascii="Times New Roman" w:hAnsi="Times New Roman"/>
        </w:rPr>
        <w:t xml:space="preserve"> –</w:t>
      </w:r>
      <w:bookmarkStart w:id="8" w:name="_Hlk517274972"/>
      <w:r w:rsidR="00CA0715" w:rsidRPr="00CA0715">
        <w:rPr>
          <w:rFonts w:ascii="Times New Roman" w:hAnsi="Times New Roman"/>
          <w:b/>
        </w:rPr>
        <w:t>The total Program funding, given in the table below, is US$261 million of which IDA financing is US$100 million (38.31%) and GoG parallel financing through the RFG is US$161 million (61.69%) over the five years Program period.</w:t>
      </w:r>
      <w:r w:rsidR="00CA0715" w:rsidRPr="00CA0715">
        <w:rPr>
          <w:rFonts w:ascii="Times New Roman" w:hAnsi="Times New Roman"/>
        </w:rPr>
        <w:t xml:space="preserve"> The RFG is part of the DACF, which is an element of the overall government IGFT in support of the NDPF. The Program funded through an IDA credit of US$100 million will directly support the GoG RFG parallel financing of US$161 million. The RFG is accessed by all MMDAs based on the DPAT annual assessment results, of which US$100 million IDA funding will be focused on the Program MAs, 19 secondary cities. </w:t>
      </w:r>
    </w:p>
    <w:bookmarkEnd w:id="8"/>
    <w:p w14:paraId="6612523C" w14:textId="6FB66221" w:rsidR="004A2883" w:rsidRDefault="004A2883" w:rsidP="00CB2188">
      <w:pPr>
        <w:pStyle w:val="NoSpacing"/>
        <w:jc w:val="both"/>
        <w:rPr>
          <w:rFonts w:ascii="Times New Roman" w:hAnsi="Times New Roman"/>
        </w:rPr>
      </w:pPr>
    </w:p>
    <w:p w14:paraId="67E9C4DA" w14:textId="77777777" w:rsidR="004A2883" w:rsidRPr="003D4AED" w:rsidRDefault="004A2883" w:rsidP="004A2883">
      <w:pPr>
        <w:pStyle w:val="NoSpacing"/>
        <w:rPr>
          <w:rFonts w:ascii="Times New Roman" w:hAnsi="Times New Roman"/>
          <w:b/>
        </w:rPr>
      </w:pPr>
    </w:p>
    <w:p w14:paraId="0E31BF1B" w14:textId="77777777" w:rsidR="004A2883" w:rsidRPr="00C01613" w:rsidRDefault="004A2883" w:rsidP="004A2883">
      <w:pPr>
        <w:pStyle w:val="NoSpacing"/>
        <w:rPr>
          <w:rFonts w:ascii="Times New Roman" w:hAnsi="Times New Roman"/>
          <w:b/>
        </w:rPr>
      </w:pPr>
      <w:r w:rsidRPr="00C01613">
        <w:rPr>
          <w:rFonts w:ascii="Times New Roman" w:hAnsi="Times New Roman"/>
          <w:b/>
        </w:rPr>
        <w:t>Table</w:t>
      </w:r>
      <w:r>
        <w:rPr>
          <w:rFonts w:ascii="Times New Roman" w:hAnsi="Times New Roman"/>
          <w:b/>
        </w:rPr>
        <w:t xml:space="preserve"> 8</w:t>
      </w:r>
      <w:r w:rsidRPr="00C01613">
        <w:rPr>
          <w:rFonts w:ascii="Times New Roman" w:hAnsi="Times New Roman"/>
          <w:b/>
        </w:rPr>
        <w:t>:</w:t>
      </w:r>
      <w:r w:rsidRPr="00C01613">
        <w:rPr>
          <w:rFonts w:ascii="Times New Roman" w:hAnsi="Times New Roman"/>
          <w:b/>
        </w:rPr>
        <w:tab/>
        <w:t>Program Financing (US$ Million)</w:t>
      </w:r>
    </w:p>
    <w:p w14:paraId="257D3578" w14:textId="77777777" w:rsidR="004A2883" w:rsidRPr="00B65FDD" w:rsidRDefault="004A2883" w:rsidP="004A2883">
      <w:pPr>
        <w:pStyle w:val="NoSpacing"/>
        <w:ind w:left="360"/>
        <w:jc w:val="center"/>
        <w:rPr>
          <w:rFonts w:ascii="Times New Roman" w:hAnsi="Times New Roman"/>
          <w:b/>
        </w:rPr>
      </w:pPr>
    </w:p>
    <w:tbl>
      <w:tblPr>
        <w:tblW w:w="504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72"/>
        <w:gridCol w:w="3143"/>
      </w:tblGrid>
      <w:tr w:rsidR="00CA0715" w:rsidRPr="00EE7DEA" w14:paraId="6104B5CF" w14:textId="77777777" w:rsidTr="00CA0715">
        <w:tc>
          <w:tcPr>
            <w:tcW w:w="1703" w:type="pct"/>
            <w:shd w:val="clear" w:color="auto" w:fill="C5E0B3"/>
          </w:tcPr>
          <w:p w14:paraId="01D6FEC4" w14:textId="77777777" w:rsidR="00CA0715" w:rsidRPr="00EE7DEA" w:rsidRDefault="00CA0715" w:rsidP="004C1D2B">
            <w:pPr>
              <w:pStyle w:val="NoSpacing"/>
              <w:rPr>
                <w:rFonts w:cs="Calibri"/>
                <w:b/>
              </w:rPr>
            </w:pPr>
            <w:r w:rsidRPr="00EE7DEA">
              <w:rPr>
                <w:rFonts w:cs="Calibri"/>
                <w:b/>
              </w:rPr>
              <w:t>Source</w:t>
            </w:r>
          </w:p>
        </w:tc>
        <w:tc>
          <w:tcPr>
            <w:tcW w:w="1656" w:type="pct"/>
            <w:shd w:val="clear" w:color="auto" w:fill="C5E0B3"/>
          </w:tcPr>
          <w:p w14:paraId="2FF8615F" w14:textId="77777777" w:rsidR="00CA0715" w:rsidRPr="00EE7DEA" w:rsidRDefault="00CA0715" w:rsidP="004C1D2B">
            <w:pPr>
              <w:pStyle w:val="NoSpacing"/>
              <w:rPr>
                <w:rFonts w:cs="Calibri"/>
                <w:b/>
              </w:rPr>
            </w:pPr>
            <w:r w:rsidRPr="00EE7DEA">
              <w:rPr>
                <w:rFonts w:cs="Calibri"/>
                <w:b/>
              </w:rPr>
              <w:t>Amount</w:t>
            </w:r>
          </w:p>
        </w:tc>
        <w:tc>
          <w:tcPr>
            <w:tcW w:w="1641" w:type="pct"/>
            <w:shd w:val="clear" w:color="auto" w:fill="C5E0B3"/>
          </w:tcPr>
          <w:p w14:paraId="66BC4DE2" w14:textId="77777777" w:rsidR="00CA0715" w:rsidRPr="00EE7DEA" w:rsidRDefault="00CA0715" w:rsidP="004C1D2B">
            <w:pPr>
              <w:pStyle w:val="NoSpacing"/>
              <w:rPr>
                <w:rFonts w:cs="Calibri"/>
                <w:b/>
              </w:rPr>
            </w:pPr>
            <w:r w:rsidRPr="00EE7DEA">
              <w:rPr>
                <w:rFonts w:cs="Calibri"/>
                <w:b/>
              </w:rPr>
              <w:t>% of Total</w:t>
            </w:r>
          </w:p>
        </w:tc>
      </w:tr>
      <w:tr w:rsidR="00CA0715" w:rsidRPr="00EE7DEA" w14:paraId="15D06970" w14:textId="77777777" w:rsidTr="00CA0715">
        <w:tc>
          <w:tcPr>
            <w:tcW w:w="1703" w:type="pct"/>
            <w:vAlign w:val="center"/>
          </w:tcPr>
          <w:p w14:paraId="0CBFB6D2" w14:textId="77777777" w:rsidR="00CA0715" w:rsidRPr="00EE7DEA" w:rsidRDefault="00CA0715" w:rsidP="004C1D2B">
            <w:pPr>
              <w:pStyle w:val="NoSpacing"/>
              <w:rPr>
                <w:rFonts w:cs="Calibri"/>
                <w:b/>
              </w:rPr>
            </w:pPr>
            <w:r w:rsidRPr="00EE7DEA">
              <w:t xml:space="preserve">  </w:t>
            </w:r>
            <w:r w:rsidRPr="00EE7DEA">
              <w:rPr>
                <w:b/>
              </w:rPr>
              <w:t xml:space="preserve">Parallel </w:t>
            </w:r>
            <w:r w:rsidRPr="00EE7DEA">
              <w:t>(</w:t>
            </w:r>
            <w:r w:rsidRPr="00EE7DEA">
              <w:fldChar w:fldCharType="begin"/>
            </w:r>
            <w:r w:rsidRPr="00EE7DEA">
              <w:instrText xml:space="preserve"> IF</w:instrText>
            </w:r>
            <w:r w:rsidRPr="00EE7DEA">
              <w:rPr>
                <w:noProof/>
              </w:rPr>
              <w:instrText xml:space="preserve"> 1 </w:instrText>
            </w:r>
            <w:r w:rsidRPr="00EE7DEA">
              <w:instrText>="1" "</w:instrText>
            </w:r>
            <w:r w:rsidRPr="00EE7DEA">
              <w:rPr>
                <w:b/>
                <w:noProof/>
              </w:rPr>
              <w:instrText>Counterpart Funding</w:instrText>
            </w:r>
            <w:r w:rsidRPr="00EE7DEA">
              <w:instrText>" "</w:instrText>
            </w:r>
            <w:r w:rsidRPr="00EE7DEA">
              <w:fldChar w:fldCharType="begin"/>
            </w:r>
            <w:r w:rsidRPr="00EE7DEA">
              <w:instrText xml:space="preserve"> IF</w:instrText>
            </w:r>
            <w:r w:rsidRPr="00EE7DEA">
              <w:fldChar w:fldCharType="begin"/>
            </w:r>
            <w:r w:rsidRPr="00EE7DEA">
              <w:instrText xml:space="preserve"> MERGEFIELD  LEVEL  \* MERGEFORMAT </w:instrText>
            </w:r>
            <w:r w:rsidRPr="00EE7DEA">
              <w:fldChar w:fldCharType="separate"/>
            </w:r>
            <w:r w:rsidRPr="00EE7DEA">
              <w:rPr>
                <w:noProof/>
              </w:rPr>
              <w:instrText>«LEVEL»</w:instrText>
            </w:r>
            <w:r w:rsidRPr="00EE7DEA">
              <w:rPr>
                <w:noProof/>
              </w:rPr>
              <w:fldChar w:fldCharType="end"/>
            </w:r>
            <w:r w:rsidRPr="00EE7DEA">
              <w:instrText xml:space="preserve">="2" "     </w:instrText>
            </w:r>
            <w:r w:rsidRPr="00EE7DEA">
              <w:rPr>
                <w:color w:val="595959"/>
                <w:sz w:val="21"/>
                <w:szCs w:val="21"/>
              </w:rPr>
              <w:fldChar w:fldCharType="begin"/>
            </w:r>
            <w:r w:rsidRPr="00EE7DEA">
              <w:rPr>
                <w:color w:val="595959"/>
                <w:sz w:val="21"/>
                <w:szCs w:val="21"/>
              </w:rPr>
              <w:instrText xml:space="preserve"> MERGEFIELD  FINCR_NAME  \* MERGEFORMAT </w:instrText>
            </w:r>
            <w:r w:rsidRPr="00EE7DEA">
              <w:rPr>
                <w:color w:val="595959"/>
                <w:sz w:val="21"/>
                <w:szCs w:val="21"/>
              </w:rPr>
              <w:fldChar w:fldCharType="separate"/>
            </w:r>
            <w:r w:rsidRPr="00EE7DEA">
              <w:rPr>
                <w:noProof/>
                <w:color w:val="595959"/>
                <w:sz w:val="21"/>
                <w:szCs w:val="21"/>
              </w:rPr>
              <w:instrText>«FINCR_NAME»</w:instrText>
            </w:r>
            <w:r w:rsidRPr="00EE7DEA">
              <w:rPr>
                <w:color w:val="595959"/>
                <w:sz w:val="21"/>
                <w:szCs w:val="21"/>
              </w:rPr>
              <w:fldChar w:fldCharType="end"/>
            </w:r>
            <w:r w:rsidRPr="00EE7DEA">
              <w:instrText>"  "</w:instrText>
            </w:r>
            <w:r w:rsidRPr="00EE7DEA">
              <w:fldChar w:fldCharType="begin"/>
            </w:r>
            <w:r w:rsidRPr="00EE7DEA">
              <w:instrText xml:space="preserve"> IF</w:instrText>
            </w:r>
            <w:r w:rsidRPr="00EE7DEA">
              <w:fldChar w:fldCharType="begin"/>
            </w:r>
            <w:r w:rsidRPr="00EE7DEA">
              <w:instrText xml:space="preserve"> MERGEFIELD  LEVEL  \* MERGEFORMAT </w:instrText>
            </w:r>
            <w:r w:rsidRPr="00EE7DEA">
              <w:fldChar w:fldCharType="separate"/>
            </w:r>
            <w:r w:rsidRPr="00EE7DEA">
              <w:rPr>
                <w:noProof/>
              </w:rPr>
              <w:instrText>«LEVEL»</w:instrText>
            </w:r>
            <w:r w:rsidRPr="00EE7DEA">
              <w:fldChar w:fldCharType="end"/>
            </w:r>
            <w:r w:rsidRPr="00EE7DEA">
              <w:instrText xml:space="preserve">="3" "               </w:instrText>
            </w:r>
            <w:r w:rsidRPr="00EE7DEA">
              <w:rPr>
                <w:color w:val="7F7F7F"/>
                <w:sz w:val="20"/>
                <w:szCs w:val="20"/>
              </w:rPr>
              <w:fldChar w:fldCharType="begin"/>
            </w:r>
            <w:r w:rsidRPr="00EE7DEA">
              <w:rPr>
                <w:color w:val="7F7F7F"/>
                <w:sz w:val="20"/>
                <w:szCs w:val="20"/>
              </w:rPr>
              <w:instrText xml:space="preserve"> MERGEFIELD  FINCR_NAME  \* MERGEFORMAT </w:instrText>
            </w:r>
            <w:r w:rsidRPr="00EE7DEA">
              <w:rPr>
                <w:color w:val="7F7F7F"/>
                <w:sz w:val="20"/>
                <w:szCs w:val="20"/>
              </w:rPr>
              <w:fldChar w:fldCharType="separate"/>
            </w:r>
            <w:r w:rsidRPr="00EE7DEA">
              <w:rPr>
                <w:noProof/>
                <w:color w:val="7F7F7F"/>
                <w:sz w:val="20"/>
                <w:szCs w:val="20"/>
              </w:rPr>
              <w:instrText>«FINCR_NAME»</w:instrText>
            </w:r>
            <w:r w:rsidRPr="00EE7DEA">
              <w:rPr>
                <w:color w:val="7F7F7F"/>
                <w:sz w:val="20"/>
                <w:szCs w:val="20"/>
              </w:rPr>
              <w:fldChar w:fldCharType="end"/>
            </w:r>
            <w:r w:rsidRPr="00EE7DEA">
              <w:instrText xml:space="preserve">" "               </w:instrText>
            </w:r>
            <w:r w:rsidRPr="00EE7DEA">
              <w:rPr>
                <w:color w:val="7F7F7F"/>
                <w:sz w:val="20"/>
                <w:szCs w:val="20"/>
              </w:rPr>
              <w:fldChar w:fldCharType="begin"/>
            </w:r>
            <w:r w:rsidRPr="00EE7DEA">
              <w:rPr>
                <w:color w:val="7F7F7F"/>
                <w:sz w:val="20"/>
                <w:szCs w:val="20"/>
              </w:rPr>
              <w:instrText xml:space="preserve"> MERGEFIELD  FINCR_NAME  \* MERGEFORMAT </w:instrText>
            </w:r>
            <w:r w:rsidRPr="00EE7DEA">
              <w:rPr>
                <w:color w:val="7F7F7F"/>
                <w:sz w:val="20"/>
                <w:szCs w:val="20"/>
              </w:rPr>
              <w:fldChar w:fldCharType="separate"/>
            </w:r>
            <w:r w:rsidRPr="00EE7DEA">
              <w:rPr>
                <w:noProof/>
                <w:color w:val="7F7F7F"/>
                <w:sz w:val="20"/>
                <w:szCs w:val="20"/>
              </w:rPr>
              <w:instrText>«FINCR_NAME»</w:instrText>
            </w:r>
            <w:r w:rsidRPr="00EE7DEA">
              <w:rPr>
                <w:color w:val="7F7F7F"/>
                <w:sz w:val="20"/>
                <w:szCs w:val="20"/>
              </w:rPr>
              <w:fldChar w:fldCharType="end"/>
            </w:r>
            <w:r w:rsidRPr="00EE7DEA">
              <w:instrText>"</w:instrText>
            </w:r>
            <w:r w:rsidRPr="00EE7DEA">
              <w:fldChar w:fldCharType="separate"/>
            </w:r>
            <w:r w:rsidRPr="00EE7DEA">
              <w:rPr>
                <w:noProof/>
              </w:rPr>
              <w:instrText xml:space="preserve">                    </w:instrText>
            </w:r>
            <w:r w:rsidRPr="00EE7DEA">
              <w:rPr>
                <w:noProof/>
                <w:color w:val="7F7F7F"/>
                <w:sz w:val="20"/>
                <w:szCs w:val="20"/>
              </w:rPr>
              <w:fldChar w:fldCharType="begin"/>
            </w:r>
            <w:r w:rsidRPr="00EE7DEA">
              <w:rPr>
                <w:noProof/>
                <w:color w:val="7F7F7F"/>
                <w:sz w:val="20"/>
                <w:szCs w:val="20"/>
              </w:rPr>
              <w:instrText xml:space="preserve"> MERGEFIELD  FINCR_NAME  \* MERGEFORMAT </w:instrText>
            </w:r>
            <w:r w:rsidRPr="00EE7DEA">
              <w:rPr>
                <w:noProof/>
                <w:color w:val="7F7F7F"/>
                <w:sz w:val="20"/>
                <w:szCs w:val="20"/>
              </w:rPr>
              <w:fldChar w:fldCharType="separate"/>
            </w:r>
            <w:r w:rsidRPr="00EE7DEA">
              <w:rPr>
                <w:noProof/>
                <w:color w:val="7F7F7F"/>
                <w:sz w:val="20"/>
                <w:szCs w:val="20"/>
              </w:rPr>
              <w:instrText>«FINCR_NAME»</w:instrText>
            </w:r>
            <w:r w:rsidRPr="00EE7DEA">
              <w:rPr>
                <w:noProof/>
                <w:color w:val="7F7F7F"/>
                <w:sz w:val="20"/>
                <w:szCs w:val="20"/>
              </w:rPr>
              <w:fldChar w:fldCharType="end"/>
            </w:r>
            <w:r w:rsidRPr="00EE7DEA">
              <w:fldChar w:fldCharType="end"/>
            </w:r>
            <w:r w:rsidRPr="00EE7DEA">
              <w:instrText xml:space="preserve">"  </w:instrText>
            </w:r>
            <w:r w:rsidRPr="00EE7DEA">
              <w:fldChar w:fldCharType="separate"/>
            </w:r>
            <w:r w:rsidRPr="00EE7DEA">
              <w:rPr>
                <w:noProof/>
              </w:rPr>
              <w:instrText xml:space="preserve">                    </w:instrText>
            </w:r>
            <w:r w:rsidRPr="00EE7DEA">
              <w:rPr>
                <w:noProof/>
                <w:color w:val="7F7F7F"/>
                <w:sz w:val="20"/>
                <w:szCs w:val="20"/>
              </w:rPr>
              <w:fldChar w:fldCharType="begin"/>
            </w:r>
            <w:r w:rsidRPr="00EE7DEA">
              <w:rPr>
                <w:noProof/>
                <w:color w:val="7F7F7F"/>
                <w:sz w:val="20"/>
                <w:szCs w:val="20"/>
              </w:rPr>
              <w:instrText xml:space="preserve"> MERGEFIELD  FINCR_NAME  \* MERGEFORMAT </w:instrText>
            </w:r>
            <w:r w:rsidRPr="00EE7DEA">
              <w:rPr>
                <w:noProof/>
                <w:color w:val="7F7F7F"/>
                <w:sz w:val="20"/>
                <w:szCs w:val="20"/>
              </w:rPr>
              <w:fldChar w:fldCharType="separate"/>
            </w:r>
            <w:r w:rsidRPr="00EE7DEA">
              <w:rPr>
                <w:noProof/>
                <w:color w:val="7F7F7F"/>
                <w:sz w:val="20"/>
                <w:szCs w:val="20"/>
              </w:rPr>
              <w:instrText>«FINCR_NAME»</w:instrText>
            </w:r>
            <w:r w:rsidRPr="00EE7DEA">
              <w:rPr>
                <w:noProof/>
                <w:color w:val="7F7F7F"/>
                <w:sz w:val="20"/>
                <w:szCs w:val="20"/>
              </w:rPr>
              <w:fldChar w:fldCharType="end"/>
            </w:r>
            <w:r w:rsidRPr="00EE7DEA">
              <w:fldChar w:fldCharType="end"/>
            </w:r>
            <w:r w:rsidRPr="00EE7DEA">
              <w:instrText xml:space="preserve">"  </w:instrText>
            </w:r>
            <w:r w:rsidRPr="00EE7DEA">
              <w:fldChar w:fldCharType="separate"/>
            </w:r>
            <w:r w:rsidRPr="00EE7DEA">
              <w:rPr>
                <w:b/>
                <w:noProof/>
              </w:rPr>
              <w:t>Counterpart Funding</w:t>
            </w:r>
            <w:r w:rsidRPr="00EE7DEA">
              <w:fldChar w:fldCharType="end"/>
            </w:r>
          </w:p>
        </w:tc>
        <w:tc>
          <w:tcPr>
            <w:tcW w:w="1656" w:type="pct"/>
            <w:vAlign w:val="center"/>
          </w:tcPr>
          <w:p w14:paraId="31D549FE" w14:textId="77777777" w:rsidR="00CA0715" w:rsidRPr="00EE7DEA" w:rsidRDefault="00CA0715" w:rsidP="004C1D2B">
            <w:pPr>
              <w:pStyle w:val="NoSpacing"/>
              <w:jc w:val="right"/>
              <w:rPr>
                <w:rFonts w:cs="Calibri"/>
                <w:b/>
              </w:rPr>
            </w:pPr>
            <w:r w:rsidRPr="00EE7DEA">
              <w:rPr>
                <w:rFonts w:cs="Calibri"/>
                <w:b/>
              </w:rPr>
              <w:t>161.00</w:t>
            </w:r>
          </w:p>
        </w:tc>
        <w:tc>
          <w:tcPr>
            <w:tcW w:w="1641" w:type="pct"/>
            <w:vAlign w:val="center"/>
          </w:tcPr>
          <w:p w14:paraId="5E84557C" w14:textId="77777777" w:rsidR="00CA0715" w:rsidRPr="00EE7DEA" w:rsidRDefault="00CA0715" w:rsidP="004C1D2B">
            <w:pPr>
              <w:pStyle w:val="NoSpacing"/>
              <w:jc w:val="right"/>
              <w:rPr>
                <w:rFonts w:cs="Calibri"/>
                <w:b/>
              </w:rPr>
            </w:pPr>
            <w:r w:rsidRPr="00EE7DEA">
              <w:rPr>
                <w:rFonts w:cs="Calibri"/>
                <w:b/>
              </w:rPr>
              <w:t>61.69</w:t>
            </w:r>
          </w:p>
        </w:tc>
      </w:tr>
      <w:tr w:rsidR="00CA0715" w:rsidRPr="00EE7DEA" w14:paraId="49AE7C97" w14:textId="77777777" w:rsidTr="00CA0715">
        <w:tc>
          <w:tcPr>
            <w:tcW w:w="1703" w:type="pct"/>
            <w:vAlign w:val="center"/>
          </w:tcPr>
          <w:p w14:paraId="7769BD09" w14:textId="77777777" w:rsidR="00CA0715" w:rsidRPr="00EE7DEA" w:rsidRDefault="00CA0715" w:rsidP="004C1D2B">
            <w:pPr>
              <w:pStyle w:val="NoSpacing"/>
              <w:jc w:val="both"/>
              <w:rPr>
                <w:rFonts w:cs="Calibri"/>
              </w:rPr>
            </w:pPr>
            <w:r w:rsidRPr="00EE7DEA">
              <w:t xml:space="preserve">  </w:t>
            </w:r>
            <w:r w:rsidRPr="00EE7DEA">
              <w:fldChar w:fldCharType="begin"/>
            </w:r>
            <w:r w:rsidRPr="00EE7DEA">
              <w:instrText xml:space="preserve"> IF</w:instrText>
            </w:r>
            <w:r w:rsidRPr="00EE7DEA">
              <w:rPr>
                <w:noProof/>
              </w:rPr>
              <w:instrText xml:space="preserve"> 2 </w:instrText>
            </w:r>
            <w:r w:rsidRPr="00EE7DEA">
              <w:instrText>="1" "</w:instrText>
            </w:r>
            <w:r w:rsidRPr="00EE7DEA">
              <w:rPr>
                <w:b/>
              </w:rPr>
              <w:fldChar w:fldCharType="begin"/>
            </w:r>
            <w:r w:rsidRPr="00EE7DEA">
              <w:rPr>
                <w:b/>
              </w:rPr>
              <w:instrText xml:space="preserve"> MERGEFIELD  FINCR_NAME  \* MERGEFORMAT </w:instrText>
            </w:r>
            <w:r w:rsidRPr="00EE7DEA">
              <w:rPr>
                <w:b/>
              </w:rPr>
              <w:fldChar w:fldCharType="separate"/>
            </w:r>
            <w:r w:rsidRPr="00EE7DEA">
              <w:rPr>
                <w:b/>
                <w:noProof/>
              </w:rPr>
              <w:instrText>«FINCR_NAME»</w:instrText>
            </w:r>
            <w:r w:rsidRPr="00EE7DEA">
              <w:rPr>
                <w:b/>
              </w:rPr>
              <w:fldChar w:fldCharType="end"/>
            </w:r>
            <w:r w:rsidRPr="00EE7DEA">
              <w:instrText>" "</w:instrText>
            </w:r>
            <w:r w:rsidRPr="00EE7DEA">
              <w:fldChar w:fldCharType="begin"/>
            </w:r>
            <w:r w:rsidRPr="00EE7DEA">
              <w:instrText xml:space="preserve"> IF</w:instrText>
            </w:r>
            <w:r w:rsidRPr="00EE7DEA">
              <w:rPr>
                <w:noProof/>
              </w:rPr>
              <w:instrText xml:space="preserve"> 2 </w:instrText>
            </w:r>
            <w:r w:rsidRPr="00EE7DEA">
              <w:instrText xml:space="preserve">="2" "     </w:instrText>
            </w:r>
            <w:r w:rsidRPr="00EE7DEA">
              <w:rPr>
                <w:noProof/>
                <w:color w:val="595959"/>
                <w:sz w:val="21"/>
                <w:szCs w:val="21"/>
              </w:rPr>
              <w:instrText>Borrower</w:instrText>
            </w:r>
            <w:r w:rsidRPr="00EE7DEA">
              <w:instrText>"  "</w:instrText>
            </w:r>
            <w:r w:rsidRPr="00EE7DEA">
              <w:fldChar w:fldCharType="begin"/>
            </w:r>
            <w:r w:rsidRPr="00EE7DEA">
              <w:instrText xml:space="preserve"> IF</w:instrText>
            </w:r>
            <w:r w:rsidRPr="00EE7DEA">
              <w:fldChar w:fldCharType="begin"/>
            </w:r>
            <w:r w:rsidRPr="00EE7DEA">
              <w:instrText xml:space="preserve"> MERGEFIELD  LEVEL  \* MERGEFORMAT </w:instrText>
            </w:r>
            <w:r w:rsidRPr="00EE7DEA">
              <w:fldChar w:fldCharType="separate"/>
            </w:r>
            <w:r w:rsidRPr="00EE7DEA">
              <w:rPr>
                <w:noProof/>
              </w:rPr>
              <w:instrText>«LEVEL»</w:instrText>
            </w:r>
            <w:r w:rsidRPr="00EE7DEA">
              <w:fldChar w:fldCharType="end"/>
            </w:r>
            <w:r w:rsidRPr="00EE7DEA">
              <w:instrText xml:space="preserve">="3" "               </w:instrText>
            </w:r>
            <w:r w:rsidRPr="00EE7DEA">
              <w:rPr>
                <w:color w:val="7F7F7F"/>
                <w:sz w:val="20"/>
                <w:szCs w:val="20"/>
              </w:rPr>
              <w:fldChar w:fldCharType="begin"/>
            </w:r>
            <w:r w:rsidRPr="00EE7DEA">
              <w:rPr>
                <w:color w:val="7F7F7F"/>
                <w:sz w:val="20"/>
                <w:szCs w:val="20"/>
              </w:rPr>
              <w:instrText xml:space="preserve"> MERGEFIELD  FINCR_NAME  \* MERGEFORMAT </w:instrText>
            </w:r>
            <w:r w:rsidRPr="00EE7DEA">
              <w:rPr>
                <w:color w:val="7F7F7F"/>
                <w:sz w:val="20"/>
                <w:szCs w:val="20"/>
              </w:rPr>
              <w:fldChar w:fldCharType="separate"/>
            </w:r>
            <w:r w:rsidRPr="00EE7DEA">
              <w:rPr>
                <w:noProof/>
                <w:color w:val="7F7F7F"/>
                <w:sz w:val="20"/>
                <w:szCs w:val="20"/>
              </w:rPr>
              <w:instrText>«FINCR_NAME»</w:instrText>
            </w:r>
            <w:r w:rsidRPr="00EE7DEA">
              <w:rPr>
                <w:color w:val="7F7F7F"/>
                <w:sz w:val="20"/>
                <w:szCs w:val="20"/>
              </w:rPr>
              <w:fldChar w:fldCharType="end"/>
            </w:r>
            <w:r w:rsidRPr="00EE7DEA">
              <w:instrText xml:space="preserve">" "               </w:instrText>
            </w:r>
            <w:r w:rsidRPr="00EE7DEA">
              <w:rPr>
                <w:color w:val="7F7F7F"/>
                <w:sz w:val="20"/>
                <w:szCs w:val="20"/>
              </w:rPr>
              <w:fldChar w:fldCharType="begin"/>
            </w:r>
            <w:r w:rsidRPr="00EE7DEA">
              <w:rPr>
                <w:color w:val="7F7F7F"/>
                <w:sz w:val="20"/>
                <w:szCs w:val="20"/>
              </w:rPr>
              <w:instrText xml:space="preserve"> MERGEFIELD  FINCR_NAME  \* MERGEFORMAT </w:instrText>
            </w:r>
            <w:r w:rsidRPr="00EE7DEA">
              <w:rPr>
                <w:color w:val="7F7F7F"/>
                <w:sz w:val="20"/>
                <w:szCs w:val="20"/>
              </w:rPr>
              <w:fldChar w:fldCharType="separate"/>
            </w:r>
            <w:r w:rsidRPr="00EE7DEA">
              <w:rPr>
                <w:noProof/>
                <w:color w:val="7F7F7F"/>
                <w:sz w:val="20"/>
                <w:szCs w:val="20"/>
              </w:rPr>
              <w:instrText>«FINCR_NAME»</w:instrText>
            </w:r>
            <w:r w:rsidRPr="00EE7DEA">
              <w:rPr>
                <w:color w:val="7F7F7F"/>
                <w:sz w:val="20"/>
                <w:szCs w:val="20"/>
              </w:rPr>
              <w:fldChar w:fldCharType="end"/>
            </w:r>
            <w:r w:rsidRPr="00EE7DEA">
              <w:instrText>"</w:instrText>
            </w:r>
            <w:r w:rsidRPr="00EE7DEA">
              <w:fldChar w:fldCharType="separate"/>
            </w:r>
            <w:r w:rsidRPr="00EE7DEA">
              <w:rPr>
                <w:noProof/>
              </w:rPr>
              <w:instrText xml:space="preserve">                    </w:instrText>
            </w:r>
            <w:r w:rsidRPr="00EE7DEA">
              <w:rPr>
                <w:noProof/>
                <w:color w:val="7F7F7F"/>
                <w:sz w:val="20"/>
                <w:szCs w:val="20"/>
              </w:rPr>
              <w:fldChar w:fldCharType="begin"/>
            </w:r>
            <w:r w:rsidRPr="00EE7DEA">
              <w:rPr>
                <w:noProof/>
                <w:color w:val="7F7F7F"/>
                <w:sz w:val="20"/>
                <w:szCs w:val="20"/>
              </w:rPr>
              <w:instrText xml:space="preserve"> MERGEFIELD  FINCR_NAME  \* MERGEFORMAT </w:instrText>
            </w:r>
            <w:r w:rsidRPr="00EE7DEA">
              <w:rPr>
                <w:noProof/>
                <w:color w:val="7F7F7F"/>
                <w:sz w:val="20"/>
                <w:szCs w:val="20"/>
              </w:rPr>
              <w:fldChar w:fldCharType="separate"/>
            </w:r>
            <w:r w:rsidRPr="00EE7DEA">
              <w:rPr>
                <w:noProof/>
                <w:color w:val="7F7F7F"/>
                <w:sz w:val="20"/>
                <w:szCs w:val="20"/>
              </w:rPr>
              <w:instrText>«FINCR_NAME»</w:instrText>
            </w:r>
            <w:r w:rsidRPr="00EE7DEA">
              <w:rPr>
                <w:noProof/>
                <w:color w:val="7F7F7F"/>
                <w:sz w:val="20"/>
                <w:szCs w:val="20"/>
              </w:rPr>
              <w:fldChar w:fldCharType="end"/>
            </w:r>
            <w:r w:rsidRPr="00EE7DEA">
              <w:fldChar w:fldCharType="end"/>
            </w:r>
            <w:r w:rsidRPr="00EE7DEA">
              <w:instrText xml:space="preserve">"  </w:instrText>
            </w:r>
            <w:r w:rsidRPr="00EE7DEA">
              <w:fldChar w:fldCharType="separate"/>
            </w:r>
            <w:r w:rsidRPr="00EE7DEA">
              <w:rPr>
                <w:noProof/>
              </w:rPr>
              <w:instrText xml:space="preserve">     </w:instrText>
            </w:r>
            <w:r w:rsidRPr="00EE7DEA">
              <w:rPr>
                <w:noProof/>
                <w:color w:val="595959"/>
                <w:sz w:val="21"/>
                <w:szCs w:val="21"/>
              </w:rPr>
              <w:instrText>Borrower</w:instrText>
            </w:r>
            <w:r w:rsidRPr="00EE7DEA">
              <w:fldChar w:fldCharType="end"/>
            </w:r>
            <w:r w:rsidRPr="00EE7DEA">
              <w:instrText xml:space="preserve">"  </w:instrText>
            </w:r>
            <w:r w:rsidRPr="00EE7DEA">
              <w:fldChar w:fldCharType="separate"/>
            </w:r>
            <w:r w:rsidRPr="00EE7DEA">
              <w:rPr>
                <w:noProof/>
              </w:rPr>
              <w:t xml:space="preserve">     </w:t>
            </w:r>
            <w:r w:rsidRPr="00EE7DEA">
              <w:rPr>
                <w:noProof/>
                <w:color w:val="595959"/>
                <w:sz w:val="21"/>
                <w:szCs w:val="21"/>
              </w:rPr>
              <w:t>Borrower</w:t>
            </w:r>
            <w:r w:rsidRPr="00EE7DEA">
              <w:fldChar w:fldCharType="end"/>
            </w:r>
          </w:p>
        </w:tc>
        <w:tc>
          <w:tcPr>
            <w:tcW w:w="1656" w:type="pct"/>
            <w:vAlign w:val="center"/>
          </w:tcPr>
          <w:p w14:paraId="2E85E9D2" w14:textId="77777777" w:rsidR="00CA0715" w:rsidRPr="00EE7DEA" w:rsidRDefault="00CA0715" w:rsidP="004C1D2B">
            <w:pPr>
              <w:pStyle w:val="NoSpacing"/>
              <w:jc w:val="right"/>
              <w:rPr>
                <w:rFonts w:cs="Calibri"/>
                <w:color w:val="767171"/>
              </w:rPr>
            </w:pPr>
            <w:r w:rsidRPr="00EE7DEA">
              <w:rPr>
                <w:rFonts w:cs="Calibri"/>
                <w:color w:val="767171"/>
              </w:rPr>
              <w:t>161.00</w:t>
            </w:r>
          </w:p>
        </w:tc>
        <w:tc>
          <w:tcPr>
            <w:tcW w:w="1641" w:type="pct"/>
            <w:vAlign w:val="center"/>
          </w:tcPr>
          <w:p w14:paraId="6267F853" w14:textId="77777777" w:rsidR="00CA0715" w:rsidRPr="00EE7DEA" w:rsidRDefault="00CA0715" w:rsidP="004C1D2B">
            <w:pPr>
              <w:pStyle w:val="NoSpacing"/>
              <w:jc w:val="right"/>
              <w:rPr>
                <w:rFonts w:cs="Calibri"/>
                <w:color w:val="767171"/>
              </w:rPr>
            </w:pPr>
            <w:r w:rsidRPr="00EE7DEA">
              <w:rPr>
                <w:rFonts w:cs="Calibri"/>
                <w:color w:val="767171"/>
              </w:rPr>
              <w:t>61.69</w:t>
            </w:r>
          </w:p>
        </w:tc>
      </w:tr>
      <w:tr w:rsidR="00CA0715" w:rsidRPr="00EE7DEA" w14:paraId="30EA2922" w14:textId="77777777" w:rsidTr="00CA0715">
        <w:tc>
          <w:tcPr>
            <w:tcW w:w="1703" w:type="pct"/>
            <w:vAlign w:val="center"/>
          </w:tcPr>
          <w:p w14:paraId="45EE9109" w14:textId="77777777" w:rsidR="00CA0715" w:rsidRPr="00EE7DEA" w:rsidRDefault="00CA0715" w:rsidP="004C1D2B">
            <w:pPr>
              <w:pStyle w:val="NoSpacing"/>
              <w:rPr>
                <w:rFonts w:cs="Calibri"/>
              </w:rPr>
            </w:pPr>
            <w:r w:rsidRPr="00EE7DEA">
              <w:t xml:space="preserve">  </w:t>
            </w:r>
            <w:r w:rsidRPr="00EE7DEA">
              <w:fldChar w:fldCharType="begin"/>
            </w:r>
            <w:r w:rsidRPr="00EE7DEA">
              <w:instrText xml:space="preserve"> IF</w:instrText>
            </w:r>
            <w:r w:rsidRPr="00EE7DEA">
              <w:rPr>
                <w:noProof/>
              </w:rPr>
              <w:instrText xml:space="preserve"> 1 </w:instrText>
            </w:r>
            <w:r w:rsidRPr="00EE7DEA">
              <w:instrText>="1" "</w:instrText>
            </w:r>
            <w:r w:rsidRPr="00EE7DEA">
              <w:rPr>
                <w:b/>
                <w:noProof/>
              </w:rPr>
              <w:instrText>International Development Association (IDA)</w:instrText>
            </w:r>
            <w:r w:rsidRPr="00EE7DEA">
              <w:instrText>" "</w:instrText>
            </w:r>
            <w:r w:rsidRPr="00EE7DEA">
              <w:fldChar w:fldCharType="begin"/>
            </w:r>
            <w:r w:rsidRPr="00EE7DEA">
              <w:instrText xml:space="preserve"> IF</w:instrText>
            </w:r>
            <w:r w:rsidRPr="00EE7DEA">
              <w:fldChar w:fldCharType="begin"/>
            </w:r>
            <w:r w:rsidRPr="00EE7DEA">
              <w:instrText xml:space="preserve"> MERGEFIELD  LEVEL  \* MERGEFORMAT </w:instrText>
            </w:r>
            <w:r w:rsidRPr="00EE7DEA">
              <w:fldChar w:fldCharType="separate"/>
            </w:r>
            <w:r w:rsidRPr="00EE7DEA">
              <w:rPr>
                <w:noProof/>
              </w:rPr>
              <w:instrText>«LEVEL»</w:instrText>
            </w:r>
            <w:r w:rsidRPr="00EE7DEA">
              <w:rPr>
                <w:noProof/>
              </w:rPr>
              <w:fldChar w:fldCharType="end"/>
            </w:r>
            <w:r w:rsidRPr="00EE7DEA">
              <w:instrText xml:space="preserve">="2" "     </w:instrText>
            </w:r>
            <w:r w:rsidRPr="00EE7DEA">
              <w:rPr>
                <w:color w:val="595959"/>
                <w:sz w:val="21"/>
                <w:szCs w:val="21"/>
              </w:rPr>
              <w:fldChar w:fldCharType="begin"/>
            </w:r>
            <w:r w:rsidRPr="00EE7DEA">
              <w:rPr>
                <w:color w:val="595959"/>
                <w:sz w:val="21"/>
                <w:szCs w:val="21"/>
              </w:rPr>
              <w:instrText xml:space="preserve"> MERGEFIELD  FINCR_NAME  \* MERGEFORMAT </w:instrText>
            </w:r>
            <w:r w:rsidRPr="00EE7DEA">
              <w:rPr>
                <w:color w:val="595959"/>
                <w:sz w:val="21"/>
                <w:szCs w:val="21"/>
              </w:rPr>
              <w:fldChar w:fldCharType="separate"/>
            </w:r>
            <w:r w:rsidRPr="00EE7DEA">
              <w:rPr>
                <w:noProof/>
                <w:color w:val="595959"/>
                <w:sz w:val="21"/>
                <w:szCs w:val="21"/>
              </w:rPr>
              <w:instrText>«FINCR_NAME»</w:instrText>
            </w:r>
            <w:r w:rsidRPr="00EE7DEA">
              <w:rPr>
                <w:color w:val="595959"/>
                <w:sz w:val="21"/>
                <w:szCs w:val="21"/>
              </w:rPr>
              <w:fldChar w:fldCharType="end"/>
            </w:r>
            <w:r w:rsidRPr="00EE7DEA">
              <w:instrText>"  "</w:instrText>
            </w:r>
            <w:r w:rsidRPr="00EE7DEA">
              <w:fldChar w:fldCharType="begin"/>
            </w:r>
            <w:r w:rsidRPr="00EE7DEA">
              <w:instrText xml:space="preserve"> IF</w:instrText>
            </w:r>
            <w:r w:rsidRPr="00EE7DEA">
              <w:fldChar w:fldCharType="begin"/>
            </w:r>
            <w:r w:rsidRPr="00EE7DEA">
              <w:instrText xml:space="preserve"> MERGEFIELD  LEVEL  \* MERGEFORMAT </w:instrText>
            </w:r>
            <w:r w:rsidRPr="00EE7DEA">
              <w:fldChar w:fldCharType="separate"/>
            </w:r>
            <w:r w:rsidRPr="00EE7DEA">
              <w:rPr>
                <w:noProof/>
              </w:rPr>
              <w:instrText>«LEVEL»</w:instrText>
            </w:r>
            <w:r w:rsidRPr="00EE7DEA">
              <w:fldChar w:fldCharType="end"/>
            </w:r>
            <w:r w:rsidRPr="00EE7DEA">
              <w:instrText xml:space="preserve">="3" "               </w:instrText>
            </w:r>
            <w:r w:rsidRPr="00EE7DEA">
              <w:rPr>
                <w:color w:val="7F7F7F"/>
                <w:sz w:val="20"/>
                <w:szCs w:val="20"/>
              </w:rPr>
              <w:fldChar w:fldCharType="begin"/>
            </w:r>
            <w:r w:rsidRPr="00EE7DEA">
              <w:rPr>
                <w:color w:val="7F7F7F"/>
                <w:sz w:val="20"/>
                <w:szCs w:val="20"/>
              </w:rPr>
              <w:instrText xml:space="preserve"> MERGEFIELD  FINCR_NAME  \* MERGEFORMAT </w:instrText>
            </w:r>
            <w:r w:rsidRPr="00EE7DEA">
              <w:rPr>
                <w:color w:val="7F7F7F"/>
                <w:sz w:val="20"/>
                <w:szCs w:val="20"/>
              </w:rPr>
              <w:fldChar w:fldCharType="separate"/>
            </w:r>
            <w:r w:rsidRPr="00EE7DEA">
              <w:rPr>
                <w:noProof/>
                <w:color w:val="7F7F7F"/>
                <w:sz w:val="20"/>
                <w:szCs w:val="20"/>
              </w:rPr>
              <w:instrText>«FINCR_NAME»</w:instrText>
            </w:r>
            <w:r w:rsidRPr="00EE7DEA">
              <w:rPr>
                <w:color w:val="7F7F7F"/>
                <w:sz w:val="20"/>
                <w:szCs w:val="20"/>
              </w:rPr>
              <w:fldChar w:fldCharType="end"/>
            </w:r>
            <w:r w:rsidRPr="00EE7DEA">
              <w:instrText xml:space="preserve">" "               </w:instrText>
            </w:r>
            <w:r w:rsidRPr="00EE7DEA">
              <w:rPr>
                <w:color w:val="7F7F7F"/>
                <w:sz w:val="20"/>
                <w:szCs w:val="20"/>
              </w:rPr>
              <w:fldChar w:fldCharType="begin"/>
            </w:r>
            <w:r w:rsidRPr="00EE7DEA">
              <w:rPr>
                <w:color w:val="7F7F7F"/>
                <w:sz w:val="20"/>
                <w:szCs w:val="20"/>
              </w:rPr>
              <w:instrText xml:space="preserve"> MERGEFIELD  FINCR_NAME  \* MERGEFORMAT </w:instrText>
            </w:r>
            <w:r w:rsidRPr="00EE7DEA">
              <w:rPr>
                <w:color w:val="7F7F7F"/>
                <w:sz w:val="20"/>
                <w:szCs w:val="20"/>
              </w:rPr>
              <w:fldChar w:fldCharType="separate"/>
            </w:r>
            <w:r w:rsidRPr="00EE7DEA">
              <w:rPr>
                <w:noProof/>
                <w:color w:val="7F7F7F"/>
                <w:sz w:val="20"/>
                <w:szCs w:val="20"/>
              </w:rPr>
              <w:instrText>«FINCR_NAME»</w:instrText>
            </w:r>
            <w:r w:rsidRPr="00EE7DEA">
              <w:rPr>
                <w:color w:val="7F7F7F"/>
                <w:sz w:val="20"/>
                <w:szCs w:val="20"/>
              </w:rPr>
              <w:fldChar w:fldCharType="end"/>
            </w:r>
            <w:r w:rsidRPr="00EE7DEA">
              <w:instrText>"</w:instrText>
            </w:r>
            <w:r w:rsidRPr="00EE7DEA">
              <w:fldChar w:fldCharType="separate"/>
            </w:r>
            <w:r w:rsidRPr="00EE7DEA">
              <w:rPr>
                <w:noProof/>
              </w:rPr>
              <w:instrText xml:space="preserve">                    </w:instrText>
            </w:r>
            <w:r w:rsidRPr="00EE7DEA">
              <w:rPr>
                <w:noProof/>
                <w:color w:val="7F7F7F"/>
                <w:sz w:val="20"/>
                <w:szCs w:val="20"/>
              </w:rPr>
              <w:fldChar w:fldCharType="begin"/>
            </w:r>
            <w:r w:rsidRPr="00EE7DEA">
              <w:rPr>
                <w:noProof/>
                <w:color w:val="7F7F7F"/>
                <w:sz w:val="20"/>
                <w:szCs w:val="20"/>
              </w:rPr>
              <w:instrText xml:space="preserve"> MERGEFIELD  FINCR_NAME  \* MERGEFORMAT </w:instrText>
            </w:r>
            <w:r w:rsidRPr="00EE7DEA">
              <w:rPr>
                <w:noProof/>
                <w:color w:val="7F7F7F"/>
                <w:sz w:val="20"/>
                <w:szCs w:val="20"/>
              </w:rPr>
              <w:fldChar w:fldCharType="separate"/>
            </w:r>
            <w:r w:rsidRPr="00EE7DEA">
              <w:rPr>
                <w:noProof/>
                <w:color w:val="7F7F7F"/>
                <w:sz w:val="20"/>
                <w:szCs w:val="20"/>
              </w:rPr>
              <w:instrText>«FINCR_NAME»</w:instrText>
            </w:r>
            <w:r w:rsidRPr="00EE7DEA">
              <w:rPr>
                <w:noProof/>
                <w:color w:val="7F7F7F"/>
                <w:sz w:val="20"/>
                <w:szCs w:val="20"/>
              </w:rPr>
              <w:fldChar w:fldCharType="end"/>
            </w:r>
            <w:r w:rsidRPr="00EE7DEA">
              <w:fldChar w:fldCharType="end"/>
            </w:r>
            <w:r w:rsidRPr="00EE7DEA">
              <w:instrText xml:space="preserve">"  </w:instrText>
            </w:r>
            <w:r w:rsidRPr="00EE7DEA">
              <w:fldChar w:fldCharType="separate"/>
            </w:r>
            <w:r w:rsidRPr="00EE7DEA">
              <w:rPr>
                <w:noProof/>
              </w:rPr>
              <w:instrText xml:space="preserve">                    </w:instrText>
            </w:r>
            <w:r w:rsidRPr="00EE7DEA">
              <w:rPr>
                <w:noProof/>
                <w:color w:val="7F7F7F"/>
                <w:sz w:val="20"/>
                <w:szCs w:val="20"/>
              </w:rPr>
              <w:fldChar w:fldCharType="begin"/>
            </w:r>
            <w:r w:rsidRPr="00EE7DEA">
              <w:rPr>
                <w:noProof/>
                <w:color w:val="7F7F7F"/>
                <w:sz w:val="20"/>
                <w:szCs w:val="20"/>
              </w:rPr>
              <w:instrText xml:space="preserve"> MERGEFIELD  FINCR_NAME  \* MERGEFORMAT </w:instrText>
            </w:r>
            <w:r w:rsidRPr="00EE7DEA">
              <w:rPr>
                <w:noProof/>
                <w:color w:val="7F7F7F"/>
                <w:sz w:val="20"/>
                <w:szCs w:val="20"/>
              </w:rPr>
              <w:fldChar w:fldCharType="separate"/>
            </w:r>
            <w:r w:rsidRPr="00EE7DEA">
              <w:rPr>
                <w:noProof/>
                <w:color w:val="7F7F7F"/>
                <w:sz w:val="20"/>
                <w:szCs w:val="20"/>
              </w:rPr>
              <w:instrText>«FINCR_NAME»</w:instrText>
            </w:r>
            <w:r w:rsidRPr="00EE7DEA">
              <w:rPr>
                <w:noProof/>
                <w:color w:val="7F7F7F"/>
                <w:sz w:val="20"/>
                <w:szCs w:val="20"/>
              </w:rPr>
              <w:fldChar w:fldCharType="end"/>
            </w:r>
            <w:r w:rsidRPr="00EE7DEA">
              <w:fldChar w:fldCharType="end"/>
            </w:r>
            <w:r w:rsidRPr="00EE7DEA">
              <w:instrText xml:space="preserve">"  </w:instrText>
            </w:r>
            <w:r w:rsidRPr="00EE7DEA">
              <w:fldChar w:fldCharType="separate"/>
            </w:r>
            <w:r w:rsidRPr="00EE7DEA">
              <w:rPr>
                <w:b/>
                <w:noProof/>
              </w:rPr>
              <w:t>International Development Association (IDA)</w:t>
            </w:r>
            <w:r w:rsidRPr="00EE7DEA">
              <w:fldChar w:fldCharType="end"/>
            </w:r>
          </w:p>
        </w:tc>
        <w:tc>
          <w:tcPr>
            <w:tcW w:w="1656" w:type="pct"/>
            <w:vAlign w:val="center"/>
          </w:tcPr>
          <w:p w14:paraId="6C3EDA7D" w14:textId="77777777" w:rsidR="00CA0715" w:rsidRPr="00EE7DEA" w:rsidRDefault="00CA0715" w:rsidP="004C1D2B">
            <w:pPr>
              <w:pStyle w:val="NoSpacing"/>
              <w:jc w:val="right"/>
              <w:rPr>
                <w:rFonts w:cs="Calibri"/>
                <w:b/>
              </w:rPr>
            </w:pPr>
            <w:r w:rsidRPr="00EE7DEA">
              <w:rPr>
                <w:rFonts w:cs="Calibri"/>
                <w:b/>
              </w:rPr>
              <w:t>100.00</w:t>
            </w:r>
          </w:p>
        </w:tc>
        <w:tc>
          <w:tcPr>
            <w:tcW w:w="1641" w:type="pct"/>
            <w:vAlign w:val="center"/>
          </w:tcPr>
          <w:p w14:paraId="4250CD8B" w14:textId="77777777" w:rsidR="00CA0715" w:rsidRPr="00EE7DEA" w:rsidRDefault="00CA0715" w:rsidP="004C1D2B">
            <w:pPr>
              <w:pStyle w:val="NoSpacing"/>
              <w:jc w:val="right"/>
              <w:rPr>
                <w:rFonts w:cs="Calibri"/>
                <w:b/>
              </w:rPr>
            </w:pPr>
            <w:r w:rsidRPr="00EE7DEA">
              <w:rPr>
                <w:rFonts w:cs="Calibri"/>
                <w:b/>
              </w:rPr>
              <w:t>38.31</w:t>
            </w:r>
          </w:p>
        </w:tc>
      </w:tr>
      <w:tr w:rsidR="00CA0715" w:rsidRPr="00EE7DEA" w14:paraId="0A2636C5" w14:textId="77777777" w:rsidTr="00CA0715">
        <w:tc>
          <w:tcPr>
            <w:tcW w:w="1703" w:type="pct"/>
            <w:vAlign w:val="center"/>
          </w:tcPr>
          <w:p w14:paraId="2238DCD0" w14:textId="77777777" w:rsidR="00CA0715" w:rsidRPr="00EE7DEA" w:rsidRDefault="00CA0715" w:rsidP="004C1D2B">
            <w:pPr>
              <w:pStyle w:val="NoSpacing"/>
              <w:rPr>
                <w:rFonts w:cs="Calibri"/>
              </w:rPr>
            </w:pPr>
            <w:r w:rsidRPr="00EE7DEA">
              <w:t xml:space="preserve">  </w:t>
            </w:r>
            <w:r w:rsidRPr="00EE7DEA">
              <w:fldChar w:fldCharType="begin"/>
            </w:r>
            <w:r w:rsidRPr="00EE7DEA">
              <w:instrText xml:space="preserve"> IF</w:instrText>
            </w:r>
            <w:r w:rsidRPr="00EE7DEA">
              <w:rPr>
                <w:noProof/>
              </w:rPr>
              <w:instrText xml:space="preserve"> 2 </w:instrText>
            </w:r>
            <w:r w:rsidRPr="00EE7DEA">
              <w:instrText>="1" "</w:instrText>
            </w:r>
            <w:r w:rsidRPr="00EE7DEA">
              <w:rPr>
                <w:b/>
              </w:rPr>
              <w:fldChar w:fldCharType="begin"/>
            </w:r>
            <w:r w:rsidRPr="00EE7DEA">
              <w:rPr>
                <w:b/>
              </w:rPr>
              <w:instrText xml:space="preserve"> MERGEFIELD  FINCR_NAME  \* MERGEFORMAT </w:instrText>
            </w:r>
            <w:r w:rsidRPr="00EE7DEA">
              <w:rPr>
                <w:b/>
              </w:rPr>
              <w:fldChar w:fldCharType="separate"/>
            </w:r>
            <w:r w:rsidRPr="00EE7DEA">
              <w:rPr>
                <w:b/>
                <w:noProof/>
              </w:rPr>
              <w:instrText>«FINCR_NAME»</w:instrText>
            </w:r>
            <w:r w:rsidRPr="00EE7DEA">
              <w:rPr>
                <w:b/>
              </w:rPr>
              <w:fldChar w:fldCharType="end"/>
            </w:r>
            <w:r w:rsidRPr="00EE7DEA">
              <w:instrText>" "</w:instrText>
            </w:r>
            <w:r w:rsidRPr="00EE7DEA">
              <w:fldChar w:fldCharType="begin"/>
            </w:r>
            <w:r w:rsidRPr="00EE7DEA">
              <w:instrText xml:space="preserve"> IF</w:instrText>
            </w:r>
            <w:r w:rsidRPr="00EE7DEA">
              <w:rPr>
                <w:noProof/>
              </w:rPr>
              <w:instrText xml:space="preserve"> 2 </w:instrText>
            </w:r>
            <w:r w:rsidRPr="00EE7DEA">
              <w:instrText xml:space="preserve">="2" "     </w:instrText>
            </w:r>
            <w:r w:rsidRPr="00EE7DEA">
              <w:rPr>
                <w:noProof/>
                <w:color w:val="595959"/>
                <w:sz w:val="21"/>
                <w:szCs w:val="21"/>
              </w:rPr>
              <w:instrText>IDA Credit</w:instrText>
            </w:r>
            <w:r w:rsidRPr="00EE7DEA">
              <w:instrText>"  "</w:instrText>
            </w:r>
            <w:r w:rsidRPr="00EE7DEA">
              <w:fldChar w:fldCharType="begin"/>
            </w:r>
            <w:r w:rsidRPr="00EE7DEA">
              <w:instrText xml:space="preserve"> IF</w:instrText>
            </w:r>
            <w:r w:rsidRPr="00EE7DEA">
              <w:fldChar w:fldCharType="begin"/>
            </w:r>
            <w:r w:rsidRPr="00EE7DEA">
              <w:instrText xml:space="preserve"> MERGEFIELD  LEVEL  \* MERGEFORMAT </w:instrText>
            </w:r>
            <w:r w:rsidRPr="00EE7DEA">
              <w:fldChar w:fldCharType="separate"/>
            </w:r>
            <w:r w:rsidRPr="00EE7DEA">
              <w:rPr>
                <w:noProof/>
              </w:rPr>
              <w:instrText>«LEVEL»</w:instrText>
            </w:r>
            <w:r w:rsidRPr="00EE7DEA">
              <w:fldChar w:fldCharType="end"/>
            </w:r>
            <w:r w:rsidRPr="00EE7DEA">
              <w:instrText xml:space="preserve">="3" "               </w:instrText>
            </w:r>
            <w:r w:rsidRPr="00EE7DEA">
              <w:rPr>
                <w:color w:val="7F7F7F"/>
                <w:sz w:val="20"/>
                <w:szCs w:val="20"/>
              </w:rPr>
              <w:fldChar w:fldCharType="begin"/>
            </w:r>
            <w:r w:rsidRPr="00EE7DEA">
              <w:rPr>
                <w:color w:val="7F7F7F"/>
                <w:sz w:val="20"/>
                <w:szCs w:val="20"/>
              </w:rPr>
              <w:instrText xml:space="preserve"> MERGEFIELD  FINCR_NAME  \* MERGEFORMAT </w:instrText>
            </w:r>
            <w:r w:rsidRPr="00EE7DEA">
              <w:rPr>
                <w:color w:val="7F7F7F"/>
                <w:sz w:val="20"/>
                <w:szCs w:val="20"/>
              </w:rPr>
              <w:fldChar w:fldCharType="separate"/>
            </w:r>
            <w:r w:rsidRPr="00EE7DEA">
              <w:rPr>
                <w:noProof/>
                <w:color w:val="7F7F7F"/>
                <w:sz w:val="20"/>
                <w:szCs w:val="20"/>
              </w:rPr>
              <w:instrText>«FINCR_NAME»</w:instrText>
            </w:r>
            <w:r w:rsidRPr="00EE7DEA">
              <w:rPr>
                <w:color w:val="7F7F7F"/>
                <w:sz w:val="20"/>
                <w:szCs w:val="20"/>
              </w:rPr>
              <w:fldChar w:fldCharType="end"/>
            </w:r>
            <w:r w:rsidRPr="00EE7DEA">
              <w:instrText xml:space="preserve">" "               </w:instrText>
            </w:r>
            <w:r w:rsidRPr="00EE7DEA">
              <w:rPr>
                <w:color w:val="7F7F7F"/>
                <w:sz w:val="20"/>
                <w:szCs w:val="20"/>
              </w:rPr>
              <w:fldChar w:fldCharType="begin"/>
            </w:r>
            <w:r w:rsidRPr="00EE7DEA">
              <w:rPr>
                <w:color w:val="7F7F7F"/>
                <w:sz w:val="20"/>
                <w:szCs w:val="20"/>
              </w:rPr>
              <w:instrText xml:space="preserve"> MERGEFIELD  FINCR_NAME  \* MERGEFORMAT </w:instrText>
            </w:r>
            <w:r w:rsidRPr="00EE7DEA">
              <w:rPr>
                <w:color w:val="7F7F7F"/>
                <w:sz w:val="20"/>
                <w:szCs w:val="20"/>
              </w:rPr>
              <w:fldChar w:fldCharType="separate"/>
            </w:r>
            <w:r w:rsidRPr="00EE7DEA">
              <w:rPr>
                <w:noProof/>
                <w:color w:val="7F7F7F"/>
                <w:sz w:val="20"/>
                <w:szCs w:val="20"/>
              </w:rPr>
              <w:instrText>«FINCR_NAME»</w:instrText>
            </w:r>
            <w:r w:rsidRPr="00EE7DEA">
              <w:rPr>
                <w:color w:val="7F7F7F"/>
                <w:sz w:val="20"/>
                <w:szCs w:val="20"/>
              </w:rPr>
              <w:fldChar w:fldCharType="end"/>
            </w:r>
            <w:r w:rsidRPr="00EE7DEA">
              <w:instrText>"</w:instrText>
            </w:r>
            <w:r w:rsidRPr="00EE7DEA">
              <w:fldChar w:fldCharType="separate"/>
            </w:r>
            <w:r w:rsidRPr="00EE7DEA">
              <w:rPr>
                <w:noProof/>
              </w:rPr>
              <w:instrText xml:space="preserve">                    </w:instrText>
            </w:r>
            <w:r w:rsidRPr="00EE7DEA">
              <w:rPr>
                <w:noProof/>
                <w:color w:val="7F7F7F"/>
                <w:sz w:val="20"/>
                <w:szCs w:val="20"/>
              </w:rPr>
              <w:fldChar w:fldCharType="begin"/>
            </w:r>
            <w:r w:rsidRPr="00EE7DEA">
              <w:rPr>
                <w:noProof/>
                <w:color w:val="7F7F7F"/>
                <w:sz w:val="20"/>
                <w:szCs w:val="20"/>
              </w:rPr>
              <w:instrText xml:space="preserve"> MERGEFIELD  FINCR_NAME  \* MERGEFORMAT </w:instrText>
            </w:r>
            <w:r w:rsidRPr="00EE7DEA">
              <w:rPr>
                <w:noProof/>
                <w:color w:val="7F7F7F"/>
                <w:sz w:val="20"/>
                <w:szCs w:val="20"/>
              </w:rPr>
              <w:fldChar w:fldCharType="separate"/>
            </w:r>
            <w:r w:rsidRPr="00EE7DEA">
              <w:rPr>
                <w:noProof/>
                <w:color w:val="7F7F7F"/>
                <w:sz w:val="20"/>
                <w:szCs w:val="20"/>
              </w:rPr>
              <w:instrText>«FINCR_NAME»</w:instrText>
            </w:r>
            <w:r w:rsidRPr="00EE7DEA">
              <w:rPr>
                <w:noProof/>
                <w:color w:val="7F7F7F"/>
                <w:sz w:val="20"/>
                <w:szCs w:val="20"/>
              </w:rPr>
              <w:fldChar w:fldCharType="end"/>
            </w:r>
            <w:r w:rsidRPr="00EE7DEA">
              <w:fldChar w:fldCharType="end"/>
            </w:r>
            <w:r w:rsidRPr="00EE7DEA">
              <w:instrText xml:space="preserve">"  </w:instrText>
            </w:r>
            <w:r w:rsidRPr="00EE7DEA">
              <w:fldChar w:fldCharType="separate"/>
            </w:r>
            <w:r w:rsidRPr="00EE7DEA">
              <w:rPr>
                <w:noProof/>
              </w:rPr>
              <w:instrText xml:space="preserve">     </w:instrText>
            </w:r>
            <w:r w:rsidRPr="00EE7DEA">
              <w:rPr>
                <w:noProof/>
                <w:color w:val="595959"/>
                <w:sz w:val="21"/>
                <w:szCs w:val="21"/>
              </w:rPr>
              <w:instrText>IDA Credit</w:instrText>
            </w:r>
            <w:r w:rsidRPr="00EE7DEA">
              <w:fldChar w:fldCharType="end"/>
            </w:r>
            <w:r w:rsidRPr="00EE7DEA">
              <w:instrText xml:space="preserve">"  </w:instrText>
            </w:r>
            <w:r w:rsidRPr="00EE7DEA">
              <w:fldChar w:fldCharType="separate"/>
            </w:r>
            <w:r w:rsidRPr="00EE7DEA">
              <w:rPr>
                <w:noProof/>
              </w:rPr>
              <w:t xml:space="preserve">     </w:t>
            </w:r>
            <w:r w:rsidRPr="00EE7DEA">
              <w:rPr>
                <w:noProof/>
                <w:color w:val="595959"/>
                <w:sz w:val="21"/>
                <w:szCs w:val="21"/>
              </w:rPr>
              <w:t>IDA Credit</w:t>
            </w:r>
            <w:r w:rsidRPr="00EE7DEA">
              <w:fldChar w:fldCharType="end"/>
            </w:r>
          </w:p>
        </w:tc>
        <w:tc>
          <w:tcPr>
            <w:tcW w:w="1656" w:type="pct"/>
            <w:vAlign w:val="center"/>
          </w:tcPr>
          <w:p w14:paraId="7A7BDAC5" w14:textId="77777777" w:rsidR="00CA0715" w:rsidRPr="00EE7DEA" w:rsidRDefault="00CA0715" w:rsidP="004C1D2B">
            <w:pPr>
              <w:pStyle w:val="NoSpacing"/>
              <w:jc w:val="right"/>
              <w:rPr>
                <w:rFonts w:cs="Calibri"/>
                <w:color w:val="767171"/>
              </w:rPr>
            </w:pPr>
            <w:r w:rsidRPr="00EE7DEA">
              <w:rPr>
                <w:rFonts w:cs="Calibri"/>
                <w:color w:val="767171"/>
              </w:rPr>
              <w:t>100.00</w:t>
            </w:r>
          </w:p>
        </w:tc>
        <w:tc>
          <w:tcPr>
            <w:tcW w:w="1641" w:type="pct"/>
            <w:vAlign w:val="center"/>
          </w:tcPr>
          <w:p w14:paraId="7C84B525" w14:textId="77777777" w:rsidR="00CA0715" w:rsidRPr="00EE7DEA" w:rsidRDefault="00CA0715" w:rsidP="004C1D2B">
            <w:pPr>
              <w:pStyle w:val="NoSpacing"/>
              <w:jc w:val="right"/>
              <w:rPr>
                <w:rFonts w:cs="Calibri"/>
                <w:color w:val="767171"/>
              </w:rPr>
            </w:pPr>
            <w:r w:rsidRPr="00EE7DEA">
              <w:rPr>
                <w:rFonts w:cs="Calibri"/>
                <w:color w:val="767171"/>
              </w:rPr>
              <w:t>38.31</w:t>
            </w:r>
          </w:p>
        </w:tc>
      </w:tr>
      <w:tr w:rsidR="00CA0715" w:rsidRPr="00EE7DEA" w14:paraId="256BAC9B" w14:textId="77777777" w:rsidTr="00CA0715">
        <w:tc>
          <w:tcPr>
            <w:tcW w:w="1703" w:type="pct"/>
            <w:vAlign w:val="center"/>
          </w:tcPr>
          <w:p w14:paraId="770FCD73" w14:textId="77777777" w:rsidR="00CA0715" w:rsidRPr="00EE7DEA" w:rsidRDefault="00CA0715" w:rsidP="004C1D2B">
            <w:pPr>
              <w:pStyle w:val="NoSpacing"/>
              <w:rPr>
                <w:rFonts w:cs="Calibri"/>
                <w:b/>
              </w:rPr>
            </w:pPr>
            <w:r w:rsidRPr="00EE7DEA">
              <w:rPr>
                <w:b/>
                <w:noProof/>
              </w:rPr>
              <w:t>Total Program Financing</w:t>
            </w:r>
          </w:p>
        </w:tc>
        <w:tc>
          <w:tcPr>
            <w:tcW w:w="1656" w:type="pct"/>
            <w:vAlign w:val="center"/>
          </w:tcPr>
          <w:p w14:paraId="3449A339" w14:textId="77777777" w:rsidR="00CA0715" w:rsidRPr="00EE7DEA" w:rsidRDefault="00CA0715" w:rsidP="004C1D2B">
            <w:pPr>
              <w:pStyle w:val="NoSpacing"/>
              <w:jc w:val="right"/>
              <w:rPr>
                <w:rFonts w:cs="Calibri"/>
                <w:b/>
              </w:rPr>
            </w:pPr>
            <w:r w:rsidRPr="00EE7DEA">
              <w:rPr>
                <w:b/>
                <w:noProof/>
              </w:rPr>
              <w:t>261.00</w:t>
            </w:r>
          </w:p>
        </w:tc>
        <w:tc>
          <w:tcPr>
            <w:tcW w:w="1641" w:type="pct"/>
            <w:vAlign w:val="center"/>
          </w:tcPr>
          <w:p w14:paraId="080791A9" w14:textId="77777777" w:rsidR="00CA0715" w:rsidRPr="00EE7DEA" w:rsidRDefault="00CA0715" w:rsidP="004C1D2B">
            <w:pPr>
              <w:pStyle w:val="NoSpacing"/>
              <w:jc w:val="right"/>
              <w:rPr>
                <w:rFonts w:cs="Calibri"/>
                <w:b/>
              </w:rPr>
            </w:pPr>
            <w:r w:rsidRPr="00EE7DEA">
              <w:rPr>
                <w:rFonts w:cs="Calibri"/>
                <w:b/>
              </w:rPr>
              <w:t>100.00</w:t>
            </w:r>
          </w:p>
        </w:tc>
      </w:tr>
    </w:tbl>
    <w:p w14:paraId="74DD4AB0" w14:textId="77777777" w:rsidR="004A2883" w:rsidRPr="00B65FDD" w:rsidRDefault="004A2883" w:rsidP="004A2883">
      <w:pPr>
        <w:pStyle w:val="NoSpacing"/>
        <w:ind w:left="360"/>
        <w:jc w:val="center"/>
        <w:rPr>
          <w:rFonts w:ascii="Times New Roman" w:hAnsi="Times New Roman"/>
          <w:b/>
        </w:rPr>
      </w:pPr>
    </w:p>
    <w:p w14:paraId="68872B6F" w14:textId="77777777" w:rsidR="004A2883" w:rsidRPr="00AD29E2" w:rsidRDefault="004A2883" w:rsidP="00CB2188">
      <w:pPr>
        <w:pStyle w:val="NoSpacing"/>
        <w:jc w:val="both"/>
        <w:rPr>
          <w:rFonts w:ascii="Times New Roman" w:hAnsi="Times New Roman"/>
        </w:rPr>
      </w:pPr>
      <w:r w:rsidRPr="00AD29E2">
        <w:rPr>
          <w:rFonts w:ascii="Times New Roman" w:hAnsi="Times New Roman"/>
          <w:b/>
          <w:lang w:val="en-GB"/>
        </w:rPr>
        <w:t>Three Development Partners</w:t>
      </w:r>
      <w:r w:rsidRPr="00AD29E2">
        <w:rPr>
          <w:rStyle w:val="FootnoteReference"/>
          <w:rFonts w:ascii="Times New Roman" w:hAnsi="Times New Roman"/>
          <w:b/>
          <w:lang w:val="en-GB"/>
        </w:rPr>
        <w:footnoteReference w:id="16"/>
      </w:r>
      <w:r w:rsidRPr="00AD29E2">
        <w:rPr>
          <w:rFonts w:ascii="Times New Roman" w:hAnsi="Times New Roman"/>
          <w:b/>
          <w:lang w:val="en-GB"/>
        </w:rPr>
        <w:t xml:space="preserve"> have committed to financing the DDF after 2018 with the integration of the DDF and the DACF.</w:t>
      </w:r>
      <w:r w:rsidRPr="00AD29E2">
        <w:rPr>
          <w:rFonts w:ascii="Times New Roman" w:hAnsi="Times New Roman"/>
          <w:b/>
          <w:i/>
          <w:lang w:val="en-GB"/>
        </w:rPr>
        <w:t xml:space="preserve"> </w:t>
      </w:r>
      <w:r w:rsidRPr="00AD29E2">
        <w:rPr>
          <w:rFonts w:ascii="Times New Roman" w:hAnsi="Times New Roman"/>
          <w:lang w:val="en-GB"/>
        </w:rPr>
        <w:t xml:space="preserve">This agreement is contained in the “Sector Wide Approach (SWAp) to Decentralization report of 2016. The objective of the SWAp is to enable the GoG to realize the objective of the National Development Action Plan II through harmonization and alignment of support to Ghana’s systems. The DPs contribution will be part of the 20 percentage points of the </w:t>
      </w:r>
      <w:r>
        <w:rPr>
          <w:rFonts w:ascii="Times New Roman" w:hAnsi="Times New Roman"/>
          <w:lang w:val="en-GB"/>
        </w:rPr>
        <w:t>RFG</w:t>
      </w:r>
      <w:r w:rsidRPr="00AD29E2">
        <w:rPr>
          <w:rFonts w:ascii="Times New Roman" w:hAnsi="Times New Roman"/>
          <w:lang w:val="en-GB"/>
        </w:rPr>
        <w:t xml:space="preserve"> window of the DACF</w:t>
      </w:r>
      <w:r w:rsidRPr="00AD29E2">
        <w:rPr>
          <w:rFonts w:ascii="Times New Roman" w:hAnsi="Times New Roman"/>
        </w:rPr>
        <w:t>.</w:t>
      </w:r>
    </w:p>
    <w:p w14:paraId="249A37F0" w14:textId="77777777" w:rsidR="004A2883" w:rsidRPr="00B65FDD" w:rsidRDefault="004A2883" w:rsidP="00CA0715">
      <w:pPr>
        <w:pStyle w:val="Heading2"/>
        <w:rPr>
          <w:rFonts w:ascii="Times New Roman" w:hAnsi="Times New Roman"/>
        </w:rPr>
      </w:pPr>
      <w:bookmarkStart w:id="9" w:name="_Toc513481927"/>
      <w:r w:rsidRPr="00772D31">
        <w:rPr>
          <w:rStyle w:val="Heading2Char"/>
        </w:rPr>
        <w:t>Disbursement Linked Indicators and Verification Protocols</w:t>
      </w:r>
      <w:bookmarkEnd w:id="9"/>
    </w:p>
    <w:p w14:paraId="4B60BA45" w14:textId="77777777" w:rsidR="004A2883" w:rsidRPr="00B424CF" w:rsidRDefault="004A2883" w:rsidP="004A2883">
      <w:pPr>
        <w:pStyle w:val="NoSpacing"/>
        <w:rPr>
          <w:rFonts w:ascii="Times New Roman" w:hAnsi="Times New Roman"/>
        </w:rPr>
      </w:pPr>
    </w:p>
    <w:p w14:paraId="58D6B8DD" w14:textId="77777777" w:rsidR="004A2883" w:rsidRPr="00EE6A15" w:rsidRDefault="004A2883" w:rsidP="00CB2188">
      <w:pPr>
        <w:pStyle w:val="Header"/>
        <w:tabs>
          <w:tab w:val="clear" w:pos="4680"/>
          <w:tab w:val="clear" w:pos="9360"/>
        </w:tabs>
      </w:pPr>
      <w:r w:rsidRPr="00710621">
        <w:rPr>
          <w:b/>
        </w:rPr>
        <w:t>All Program funding (US$100 million) will be disbursed through a set of DLIs</w:t>
      </w:r>
      <w:r w:rsidRPr="00EE6A15">
        <w:t xml:space="preserve"> as summarized in the table below.</w:t>
      </w:r>
    </w:p>
    <w:p w14:paraId="407EE148" w14:textId="77777777" w:rsidR="004A2883" w:rsidRPr="00EE6A15" w:rsidRDefault="004A2883" w:rsidP="004A2883">
      <w:pPr>
        <w:pStyle w:val="Header"/>
        <w:tabs>
          <w:tab w:val="clear" w:pos="4680"/>
          <w:tab w:val="clear" w:pos="9360"/>
        </w:tabs>
      </w:pPr>
    </w:p>
    <w:p w14:paraId="5E956FAE" w14:textId="77777777" w:rsidR="004A2883" w:rsidRPr="00C01613" w:rsidRDefault="004A2883" w:rsidP="004A2883">
      <w:pPr>
        <w:pStyle w:val="Header"/>
        <w:tabs>
          <w:tab w:val="clear" w:pos="4680"/>
          <w:tab w:val="clear" w:pos="9360"/>
        </w:tabs>
        <w:rPr>
          <w:rFonts w:eastAsia="Times New Roman"/>
          <w:b/>
        </w:rPr>
      </w:pPr>
      <w:r w:rsidRPr="00C01613">
        <w:rPr>
          <w:rFonts w:eastAsia="Times New Roman"/>
          <w:b/>
        </w:rPr>
        <w:t>Table</w:t>
      </w:r>
      <w:r>
        <w:rPr>
          <w:rFonts w:eastAsia="Times New Roman"/>
          <w:b/>
        </w:rPr>
        <w:t xml:space="preserve"> 9</w:t>
      </w:r>
      <w:r w:rsidRPr="00C01613">
        <w:rPr>
          <w:rFonts w:eastAsia="Times New Roman"/>
          <w:b/>
        </w:rPr>
        <w:t>:</w:t>
      </w:r>
      <w:r>
        <w:rPr>
          <w:rFonts w:eastAsia="Times New Roman"/>
          <w:b/>
        </w:rPr>
        <w:tab/>
      </w:r>
      <w:r w:rsidRPr="00C01613">
        <w:rPr>
          <w:rFonts w:eastAsia="Times New Roman"/>
          <w:b/>
        </w:rPr>
        <w:t>GSCSP Disbursement-Linked Indicators</w:t>
      </w:r>
    </w:p>
    <w:p w14:paraId="25EA4EF6" w14:textId="77777777" w:rsidR="004A2883" w:rsidRPr="00EE6A15" w:rsidRDefault="004A2883" w:rsidP="004A2883">
      <w:pPr>
        <w:pStyle w:val="Header"/>
        <w:tabs>
          <w:tab w:val="clear" w:pos="4680"/>
          <w:tab w:val="clear" w:pos="9360"/>
        </w:tabs>
        <w:rPr>
          <w:rFonts w:eastAsia="Times New Roman"/>
        </w:rPr>
      </w:pPr>
    </w:p>
    <w:tbl>
      <w:tblPr>
        <w:tblW w:w="504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5711"/>
        <w:gridCol w:w="1199"/>
        <w:gridCol w:w="1653"/>
      </w:tblGrid>
      <w:tr w:rsidR="00CA0715" w:rsidRPr="00EE7DEA" w14:paraId="3D3F5517" w14:textId="77777777" w:rsidTr="00CA0715">
        <w:trPr>
          <w:trHeight w:val="397"/>
        </w:trPr>
        <w:tc>
          <w:tcPr>
            <w:tcW w:w="529" w:type="pct"/>
            <w:shd w:val="clear" w:color="auto" w:fill="538135"/>
            <w:vAlign w:val="center"/>
          </w:tcPr>
          <w:p w14:paraId="4FECFE29" w14:textId="77777777" w:rsidR="00CA0715" w:rsidRPr="00EE7DEA" w:rsidRDefault="00CA0715" w:rsidP="004C1D2B">
            <w:pPr>
              <w:contextualSpacing/>
              <w:jc w:val="both"/>
              <w:rPr>
                <w:rFonts w:ascii="Calibri" w:eastAsia="Times New Roman" w:hAnsi="Calibri" w:cs="Calibri"/>
                <w:b/>
                <w:sz w:val="20"/>
              </w:rPr>
            </w:pPr>
            <w:r w:rsidRPr="00EE7DEA">
              <w:rPr>
                <w:rFonts w:ascii="Calibri" w:eastAsia="Times New Roman" w:hAnsi="Calibri" w:cs="Calibri"/>
                <w:b/>
                <w:sz w:val="20"/>
              </w:rPr>
              <w:t>Program Window</w:t>
            </w:r>
          </w:p>
        </w:tc>
        <w:tc>
          <w:tcPr>
            <w:tcW w:w="2982" w:type="pct"/>
            <w:shd w:val="clear" w:color="auto" w:fill="538135"/>
            <w:vAlign w:val="center"/>
          </w:tcPr>
          <w:p w14:paraId="51DF38BF" w14:textId="77777777" w:rsidR="00CA0715" w:rsidRPr="00EE7DEA" w:rsidRDefault="00CA0715" w:rsidP="004C1D2B">
            <w:pPr>
              <w:contextualSpacing/>
              <w:jc w:val="center"/>
              <w:rPr>
                <w:rFonts w:ascii="Calibri" w:eastAsia="Times New Roman" w:hAnsi="Calibri" w:cs="Calibri"/>
                <w:b/>
                <w:sz w:val="20"/>
              </w:rPr>
            </w:pPr>
            <w:r w:rsidRPr="00EE7DEA">
              <w:rPr>
                <w:rFonts w:ascii="Calibri" w:eastAsia="Times New Roman" w:hAnsi="Calibri" w:cs="Calibri"/>
                <w:b/>
                <w:sz w:val="20"/>
              </w:rPr>
              <w:t>DLI</w:t>
            </w:r>
          </w:p>
        </w:tc>
        <w:tc>
          <w:tcPr>
            <w:tcW w:w="626" w:type="pct"/>
            <w:shd w:val="clear" w:color="auto" w:fill="538135"/>
            <w:vAlign w:val="center"/>
          </w:tcPr>
          <w:p w14:paraId="7B90C6A8" w14:textId="77777777" w:rsidR="00CA0715" w:rsidRPr="00EE7DEA" w:rsidRDefault="00CA0715" w:rsidP="004C1D2B">
            <w:pPr>
              <w:contextualSpacing/>
              <w:jc w:val="both"/>
              <w:rPr>
                <w:rFonts w:ascii="Calibri" w:eastAsia="Times New Roman" w:hAnsi="Calibri" w:cs="Calibri"/>
                <w:b/>
                <w:sz w:val="20"/>
              </w:rPr>
            </w:pPr>
            <w:r w:rsidRPr="00EE7DEA">
              <w:rPr>
                <w:rFonts w:ascii="Calibri" w:eastAsia="Times New Roman" w:hAnsi="Calibri" w:cs="Calibri"/>
                <w:b/>
                <w:sz w:val="20"/>
              </w:rPr>
              <w:t>Amount (US$ millions)</w:t>
            </w:r>
          </w:p>
        </w:tc>
        <w:tc>
          <w:tcPr>
            <w:tcW w:w="863" w:type="pct"/>
            <w:shd w:val="clear" w:color="auto" w:fill="538135"/>
            <w:vAlign w:val="center"/>
          </w:tcPr>
          <w:p w14:paraId="7C2221F9" w14:textId="77777777" w:rsidR="00CA0715" w:rsidRDefault="00CA0715" w:rsidP="004C1D2B">
            <w:pPr>
              <w:contextualSpacing/>
              <w:jc w:val="both"/>
              <w:rPr>
                <w:rFonts w:ascii="Calibri" w:eastAsia="Times New Roman" w:hAnsi="Calibri" w:cs="Calibri"/>
                <w:b/>
                <w:sz w:val="20"/>
              </w:rPr>
            </w:pPr>
            <w:r>
              <w:rPr>
                <w:rFonts w:ascii="Calibri" w:eastAsia="Times New Roman" w:hAnsi="Calibri" w:cs="Calibri"/>
                <w:b/>
                <w:sz w:val="20"/>
              </w:rPr>
              <w:t xml:space="preserve">Program Funds </w:t>
            </w:r>
          </w:p>
          <w:p w14:paraId="447E52E8" w14:textId="77777777" w:rsidR="00CA0715" w:rsidRPr="00EE7DEA" w:rsidRDefault="00CA0715" w:rsidP="004C1D2B">
            <w:pPr>
              <w:contextualSpacing/>
              <w:jc w:val="both"/>
              <w:rPr>
                <w:rFonts w:ascii="Calibri" w:eastAsia="Times New Roman" w:hAnsi="Calibri" w:cs="Calibri"/>
                <w:b/>
                <w:sz w:val="20"/>
              </w:rPr>
            </w:pPr>
            <w:r>
              <w:rPr>
                <w:rFonts w:ascii="Calibri" w:eastAsia="Times New Roman" w:hAnsi="Calibri" w:cs="Calibri"/>
                <w:b/>
                <w:sz w:val="20"/>
              </w:rPr>
              <w:t>Recipient</w:t>
            </w:r>
          </w:p>
        </w:tc>
      </w:tr>
      <w:tr w:rsidR="00CA0715" w:rsidRPr="00EE7DEA" w14:paraId="7021BB77" w14:textId="77777777" w:rsidTr="00CA0715">
        <w:tc>
          <w:tcPr>
            <w:tcW w:w="529" w:type="pct"/>
            <w:vMerge w:val="restart"/>
            <w:vAlign w:val="center"/>
          </w:tcPr>
          <w:p w14:paraId="41B01FC8" w14:textId="77777777" w:rsidR="00CA0715" w:rsidRPr="00EE7DEA" w:rsidRDefault="00CA0715" w:rsidP="004C1D2B">
            <w:pPr>
              <w:contextualSpacing/>
              <w:jc w:val="both"/>
              <w:rPr>
                <w:rFonts w:ascii="Calibri" w:eastAsia="Times New Roman" w:hAnsi="Calibri" w:cs="Calibri"/>
                <w:b/>
                <w:sz w:val="20"/>
              </w:rPr>
            </w:pPr>
            <w:r w:rsidRPr="00EE7DEA">
              <w:rPr>
                <w:rFonts w:ascii="Calibri" w:eastAsia="Times New Roman" w:hAnsi="Calibri" w:cs="Calibri"/>
                <w:b/>
                <w:sz w:val="20"/>
              </w:rPr>
              <w:t>Local</w:t>
            </w:r>
          </w:p>
        </w:tc>
        <w:tc>
          <w:tcPr>
            <w:tcW w:w="2982" w:type="pct"/>
          </w:tcPr>
          <w:p w14:paraId="1CC01FFD" w14:textId="77777777" w:rsidR="00CA0715" w:rsidRPr="00EE7DEA" w:rsidRDefault="00CA0715" w:rsidP="004C1D2B">
            <w:pPr>
              <w:contextualSpacing/>
              <w:rPr>
                <w:rFonts w:ascii="Calibri" w:eastAsia="Times New Roman" w:hAnsi="Calibri" w:cs="Calibri"/>
                <w:sz w:val="20"/>
                <w:szCs w:val="20"/>
              </w:rPr>
            </w:pPr>
            <w:r w:rsidRPr="00EE7DEA">
              <w:rPr>
                <w:rFonts w:ascii="Calibri" w:eastAsia="Times New Roman" w:hAnsi="Calibri" w:cs="Calibri"/>
                <w:b/>
                <w:sz w:val="20"/>
                <w:szCs w:val="20"/>
                <w:u w:val="single"/>
              </w:rPr>
              <w:t>DLI 1</w:t>
            </w:r>
            <w:r w:rsidRPr="00EE7DEA">
              <w:rPr>
                <w:rFonts w:ascii="Calibri" w:eastAsia="Times New Roman" w:hAnsi="Calibri" w:cs="Calibri"/>
                <w:sz w:val="20"/>
                <w:szCs w:val="20"/>
              </w:rPr>
              <w:t xml:space="preserve">: </w:t>
            </w:r>
            <w:r w:rsidRPr="00EE7DEA">
              <w:rPr>
                <w:rFonts w:ascii="Calibri" w:hAnsi="Calibri" w:cs="Calibri"/>
                <w:sz w:val="20"/>
                <w:szCs w:val="20"/>
              </w:rPr>
              <w:t>Extent to which Participating Municipal Assemblies have achieved Capacity Support Grant (CSG) Minimum Conditions</w:t>
            </w:r>
          </w:p>
        </w:tc>
        <w:tc>
          <w:tcPr>
            <w:tcW w:w="626" w:type="pct"/>
          </w:tcPr>
          <w:p w14:paraId="1197E8B5" w14:textId="77777777" w:rsidR="00CA0715" w:rsidRPr="00EE7DEA" w:rsidRDefault="00CA0715" w:rsidP="004C1D2B">
            <w:pPr>
              <w:contextualSpacing/>
              <w:jc w:val="right"/>
              <w:rPr>
                <w:rFonts w:ascii="Calibri" w:eastAsia="Times New Roman" w:hAnsi="Calibri" w:cs="Calibri"/>
                <w:sz w:val="20"/>
              </w:rPr>
            </w:pPr>
            <w:r w:rsidRPr="00EE7DEA">
              <w:rPr>
                <w:rFonts w:ascii="Calibri" w:eastAsia="Times New Roman" w:hAnsi="Calibri" w:cs="Calibri"/>
                <w:sz w:val="20"/>
              </w:rPr>
              <w:t>3.0</w:t>
            </w:r>
          </w:p>
        </w:tc>
        <w:tc>
          <w:tcPr>
            <w:tcW w:w="863" w:type="pct"/>
          </w:tcPr>
          <w:p w14:paraId="0BC71949" w14:textId="77777777" w:rsidR="00CA0715" w:rsidRPr="00EE7DEA" w:rsidRDefault="00CA0715" w:rsidP="004C1D2B">
            <w:pPr>
              <w:contextualSpacing/>
              <w:jc w:val="both"/>
              <w:rPr>
                <w:rFonts w:ascii="Calibri" w:eastAsia="Times New Roman" w:hAnsi="Calibri" w:cs="Calibri"/>
                <w:sz w:val="20"/>
              </w:rPr>
            </w:pPr>
            <w:r w:rsidRPr="00EE7DEA">
              <w:rPr>
                <w:rFonts w:ascii="Calibri" w:eastAsia="Times New Roman" w:hAnsi="Calibri" w:cs="Calibri"/>
                <w:sz w:val="20"/>
              </w:rPr>
              <w:t>MAs</w:t>
            </w:r>
          </w:p>
        </w:tc>
      </w:tr>
      <w:tr w:rsidR="00CA0715" w:rsidRPr="00EE7DEA" w14:paraId="45422CEF" w14:textId="77777777" w:rsidTr="00CA0715">
        <w:trPr>
          <w:trHeight w:val="278"/>
        </w:trPr>
        <w:tc>
          <w:tcPr>
            <w:tcW w:w="529" w:type="pct"/>
            <w:vMerge/>
            <w:vAlign w:val="center"/>
          </w:tcPr>
          <w:p w14:paraId="5921BC0A" w14:textId="77777777" w:rsidR="00CA0715" w:rsidRPr="00EE7DEA" w:rsidRDefault="00CA0715" w:rsidP="004C1D2B">
            <w:pPr>
              <w:contextualSpacing/>
              <w:jc w:val="both"/>
              <w:rPr>
                <w:rFonts w:ascii="Calibri" w:eastAsia="Times New Roman" w:hAnsi="Calibri" w:cs="Calibri"/>
                <w:b/>
                <w:sz w:val="20"/>
              </w:rPr>
            </w:pPr>
          </w:p>
        </w:tc>
        <w:tc>
          <w:tcPr>
            <w:tcW w:w="2982" w:type="pct"/>
          </w:tcPr>
          <w:p w14:paraId="7E37B68D" w14:textId="77777777" w:rsidR="00CA0715" w:rsidRPr="00EE7DEA" w:rsidRDefault="00CA0715" w:rsidP="004C1D2B">
            <w:pPr>
              <w:contextualSpacing/>
              <w:rPr>
                <w:rFonts w:ascii="Calibri" w:eastAsia="Times New Roman" w:hAnsi="Calibri" w:cs="Calibri"/>
                <w:sz w:val="20"/>
                <w:szCs w:val="20"/>
              </w:rPr>
            </w:pPr>
            <w:r w:rsidRPr="00EE7DEA">
              <w:rPr>
                <w:rFonts w:ascii="Calibri" w:eastAsia="Times New Roman" w:hAnsi="Calibri" w:cs="Calibri"/>
                <w:b/>
                <w:sz w:val="20"/>
                <w:szCs w:val="20"/>
                <w:u w:val="single"/>
              </w:rPr>
              <w:t>DLI 2</w:t>
            </w:r>
            <w:r w:rsidRPr="00EE7DEA">
              <w:rPr>
                <w:rFonts w:ascii="Calibri" w:eastAsia="Times New Roman" w:hAnsi="Calibri" w:cs="Calibri"/>
                <w:sz w:val="20"/>
                <w:szCs w:val="20"/>
              </w:rPr>
              <w:t xml:space="preserve">: </w:t>
            </w:r>
            <w:r w:rsidRPr="00EE7DEA">
              <w:rPr>
                <w:rFonts w:ascii="Calibri" w:hAnsi="Calibri" w:cs="Calibri"/>
                <w:sz w:val="20"/>
                <w:szCs w:val="20"/>
              </w:rPr>
              <w:t>Extent to which Participating Municipal Assemblies have scored equal to or above the national average DPAT Score</w:t>
            </w:r>
          </w:p>
        </w:tc>
        <w:tc>
          <w:tcPr>
            <w:tcW w:w="626" w:type="pct"/>
          </w:tcPr>
          <w:p w14:paraId="3A634725" w14:textId="77777777" w:rsidR="00CA0715" w:rsidRPr="00EE7DEA" w:rsidRDefault="00CA0715" w:rsidP="004C1D2B">
            <w:pPr>
              <w:contextualSpacing/>
              <w:jc w:val="right"/>
              <w:rPr>
                <w:rFonts w:ascii="Calibri" w:eastAsia="Times New Roman" w:hAnsi="Calibri" w:cs="Calibri"/>
                <w:sz w:val="20"/>
              </w:rPr>
            </w:pPr>
            <w:r w:rsidRPr="00EE7DEA">
              <w:rPr>
                <w:rFonts w:ascii="Calibri" w:eastAsia="Times New Roman" w:hAnsi="Calibri" w:cs="Calibri"/>
                <w:sz w:val="20"/>
              </w:rPr>
              <w:t>32.8</w:t>
            </w:r>
          </w:p>
        </w:tc>
        <w:tc>
          <w:tcPr>
            <w:tcW w:w="863" w:type="pct"/>
          </w:tcPr>
          <w:p w14:paraId="0DAD1D1A" w14:textId="77777777" w:rsidR="00CA0715" w:rsidRPr="00EE7DEA" w:rsidRDefault="00CA0715" w:rsidP="004C1D2B">
            <w:pPr>
              <w:contextualSpacing/>
              <w:jc w:val="both"/>
              <w:rPr>
                <w:rFonts w:ascii="Calibri" w:eastAsia="Times New Roman" w:hAnsi="Calibri" w:cs="Calibri"/>
                <w:sz w:val="20"/>
              </w:rPr>
            </w:pPr>
            <w:r w:rsidRPr="00EE7DEA">
              <w:rPr>
                <w:rFonts w:ascii="Calibri" w:eastAsia="Times New Roman" w:hAnsi="Calibri" w:cs="Calibri"/>
                <w:sz w:val="20"/>
              </w:rPr>
              <w:t>MAs</w:t>
            </w:r>
          </w:p>
        </w:tc>
      </w:tr>
      <w:tr w:rsidR="00CA0715" w:rsidRPr="00EE7DEA" w14:paraId="199F17BD" w14:textId="77777777" w:rsidTr="00CA0715">
        <w:trPr>
          <w:trHeight w:val="296"/>
        </w:trPr>
        <w:tc>
          <w:tcPr>
            <w:tcW w:w="529" w:type="pct"/>
            <w:vMerge/>
            <w:vAlign w:val="center"/>
          </w:tcPr>
          <w:p w14:paraId="16C2B966" w14:textId="77777777" w:rsidR="00CA0715" w:rsidRPr="00EE7DEA" w:rsidRDefault="00CA0715" w:rsidP="004C1D2B">
            <w:pPr>
              <w:contextualSpacing/>
              <w:jc w:val="both"/>
              <w:rPr>
                <w:rFonts w:ascii="Calibri" w:eastAsia="Times New Roman" w:hAnsi="Calibri" w:cs="Calibri"/>
                <w:b/>
                <w:sz w:val="20"/>
              </w:rPr>
            </w:pPr>
          </w:p>
        </w:tc>
        <w:tc>
          <w:tcPr>
            <w:tcW w:w="2982" w:type="pct"/>
          </w:tcPr>
          <w:p w14:paraId="474F3919" w14:textId="77777777" w:rsidR="00CA0715" w:rsidRPr="00EE7DEA" w:rsidRDefault="00CA0715" w:rsidP="004C1D2B">
            <w:pPr>
              <w:contextualSpacing/>
              <w:rPr>
                <w:rFonts w:ascii="Calibri" w:eastAsia="Times New Roman" w:hAnsi="Calibri" w:cs="Calibri"/>
                <w:sz w:val="20"/>
              </w:rPr>
            </w:pPr>
            <w:r w:rsidRPr="00EE7DEA">
              <w:rPr>
                <w:rFonts w:ascii="Calibri" w:eastAsia="Times New Roman" w:hAnsi="Calibri" w:cs="Calibri"/>
                <w:b/>
                <w:sz w:val="20"/>
                <w:u w:val="single"/>
              </w:rPr>
              <w:t>DLI 3</w:t>
            </w:r>
            <w:r w:rsidRPr="00EE7DEA">
              <w:rPr>
                <w:rFonts w:ascii="Calibri" w:eastAsia="Times New Roman" w:hAnsi="Calibri" w:cs="Calibri"/>
                <w:sz w:val="20"/>
              </w:rPr>
              <w:t xml:space="preserve">: </w:t>
            </w:r>
            <w:r w:rsidRPr="00EE7DEA">
              <w:rPr>
                <w:rFonts w:ascii="Calibri" w:hAnsi="Calibri" w:cs="Calibri"/>
                <w:sz w:val="20"/>
                <w:szCs w:val="20"/>
              </w:rPr>
              <w:t>Extent to which Participating Municipal Assemblies have achieved Urban Performance Benchmarks Targets</w:t>
            </w:r>
          </w:p>
        </w:tc>
        <w:tc>
          <w:tcPr>
            <w:tcW w:w="626" w:type="pct"/>
          </w:tcPr>
          <w:p w14:paraId="454E5304" w14:textId="77777777" w:rsidR="00CA0715" w:rsidRPr="00EE7DEA" w:rsidRDefault="00CA0715" w:rsidP="004C1D2B">
            <w:pPr>
              <w:contextualSpacing/>
              <w:jc w:val="right"/>
              <w:rPr>
                <w:rFonts w:ascii="Calibri" w:eastAsia="Times New Roman" w:hAnsi="Calibri" w:cs="Calibri"/>
                <w:sz w:val="20"/>
              </w:rPr>
            </w:pPr>
            <w:r w:rsidRPr="00EE7DEA">
              <w:rPr>
                <w:rFonts w:ascii="Calibri" w:eastAsia="Times New Roman" w:hAnsi="Calibri" w:cs="Calibri"/>
                <w:sz w:val="20"/>
              </w:rPr>
              <w:t>41.7</w:t>
            </w:r>
          </w:p>
        </w:tc>
        <w:tc>
          <w:tcPr>
            <w:tcW w:w="863" w:type="pct"/>
          </w:tcPr>
          <w:p w14:paraId="68D39F9C" w14:textId="77777777" w:rsidR="00CA0715" w:rsidRPr="00EE7DEA" w:rsidRDefault="00CA0715" w:rsidP="004C1D2B">
            <w:pPr>
              <w:contextualSpacing/>
              <w:jc w:val="both"/>
              <w:rPr>
                <w:rFonts w:ascii="Calibri" w:eastAsia="Times New Roman" w:hAnsi="Calibri" w:cs="Calibri"/>
                <w:sz w:val="20"/>
              </w:rPr>
            </w:pPr>
            <w:r w:rsidRPr="00EE7DEA">
              <w:rPr>
                <w:rFonts w:ascii="Calibri" w:eastAsia="Times New Roman" w:hAnsi="Calibri" w:cs="Calibri"/>
                <w:sz w:val="20"/>
              </w:rPr>
              <w:t>MAs</w:t>
            </w:r>
          </w:p>
        </w:tc>
      </w:tr>
      <w:tr w:rsidR="00CA0715" w:rsidRPr="00EE7DEA" w14:paraId="65925489" w14:textId="77777777" w:rsidTr="00CA0715">
        <w:tc>
          <w:tcPr>
            <w:tcW w:w="529" w:type="pct"/>
            <w:vMerge/>
            <w:vAlign w:val="center"/>
          </w:tcPr>
          <w:p w14:paraId="075E6F00" w14:textId="77777777" w:rsidR="00CA0715" w:rsidRPr="00EE7DEA" w:rsidRDefault="00CA0715" w:rsidP="004C1D2B">
            <w:pPr>
              <w:contextualSpacing/>
              <w:jc w:val="both"/>
              <w:rPr>
                <w:rFonts w:ascii="Calibri" w:eastAsia="Times New Roman" w:hAnsi="Calibri" w:cs="Calibri"/>
                <w:b/>
                <w:sz w:val="20"/>
              </w:rPr>
            </w:pPr>
          </w:p>
        </w:tc>
        <w:tc>
          <w:tcPr>
            <w:tcW w:w="2982" w:type="pct"/>
          </w:tcPr>
          <w:p w14:paraId="4CD51576" w14:textId="77777777" w:rsidR="00CA0715" w:rsidRPr="00EE7DEA" w:rsidRDefault="00CA0715" w:rsidP="004C1D2B">
            <w:pPr>
              <w:contextualSpacing/>
              <w:rPr>
                <w:rFonts w:ascii="Calibri" w:eastAsia="Times New Roman" w:hAnsi="Calibri" w:cs="Calibri"/>
                <w:sz w:val="20"/>
              </w:rPr>
            </w:pPr>
            <w:r w:rsidRPr="00EE7DEA">
              <w:rPr>
                <w:rFonts w:ascii="Calibri" w:eastAsia="Times New Roman" w:hAnsi="Calibri" w:cs="Calibri"/>
                <w:b/>
                <w:sz w:val="20"/>
                <w:u w:val="single"/>
              </w:rPr>
              <w:t>DLI 4</w:t>
            </w:r>
            <w:r w:rsidRPr="00EE7DEA">
              <w:rPr>
                <w:rFonts w:ascii="Calibri" w:eastAsia="Times New Roman" w:hAnsi="Calibri" w:cs="Calibri"/>
                <w:sz w:val="20"/>
              </w:rPr>
              <w:t xml:space="preserve">: </w:t>
            </w:r>
            <w:r w:rsidRPr="00EE7DEA">
              <w:rPr>
                <w:rFonts w:ascii="Calibri" w:hAnsi="Calibri" w:cs="Calibri"/>
                <w:sz w:val="20"/>
                <w:szCs w:val="20"/>
              </w:rPr>
              <w:t>Extent to which Participating Municipal Assemblies have implemented the Annual Infrastructure Services Delivery Target</w:t>
            </w:r>
          </w:p>
        </w:tc>
        <w:tc>
          <w:tcPr>
            <w:tcW w:w="626" w:type="pct"/>
          </w:tcPr>
          <w:p w14:paraId="25A52E21" w14:textId="77777777" w:rsidR="00CA0715" w:rsidRPr="00EE7DEA" w:rsidRDefault="00CA0715" w:rsidP="004C1D2B">
            <w:pPr>
              <w:contextualSpacing/>
              <w:jc w:val="right"/>
              <w:rPr>
                <w:rFonts w:ascii="Calibri" w:eastAsia="Times New Roman" w:hAnsi="Calibri" w:cs="Calibri"/>
                <w:sz w:val="20"/>
              </w:rPr>
            </w:pPr>
            <w:r w:rsidRPr="00EE7DEA">
              <w:rPr>
                <w:rFonts w:ascii="Calibri" w:eastAsia="Times New Roman" w:hAnsi="Calibri" w:cs="Calibri"/>
                <w:sz w:val="20"/>
              </w:rPr>
              <w:t>12.5</w:t>
            </w:r>
          </w:p>
        </w:tc>
        <w:tc>
          <w:tcPr>
            <w:tcW w:w="863" w:type="pct"/>
          </w:tcPr>
          <w:p w14:paraId="4CE76ECC" w14:textId="77777777" w:rsidR="00CA0715" w:rsidRPr="00EE7DEA" w:rsidRDefault="00CA0715" w:rsidP="004C1D2B">
            <w:pPr>
              <w:contextualSpacing/>
              <w:jc w:val="both"/>
              <w:rPr>
                <w:rFonts w:ascii="Calibri" w:eastAsia="Times New Roman" w:hAnsi="Calibri" w:cs="Calibri"/>
                <w:sz w:val="20"/>
              </w:rPr>
            </w:pPr>
            <w:r w:rsidRPr="00EE7DEA">
              <w:rPr>
                <w:rFonts w:ascii="Calibri" w:eastAsia="Times New Roman" w:hAnsi="Calibri" w:cs="Calibri"/>
                <w:sz w:val="20"/>
              </w:rPr>
              <w:t>MAs</w:t>
            </w:r>
          </w:p>
        </w:tc>
      </w:tr>
      <w:tr w:rsidR="00CA0715" w:rsidRPr="00EE7DEA" w14:paraId="0C784EB8" w14:textId="77777777" w:rsidTr="00CA0715">
        <w:tc>
          <w:tcPr>
            <w:tcW w:w="529" w:type="pct"/>
            <w:vAlign w:val="center"/>
          </w:tcPr>
          <w:p w14:paraId="39C1F019" w14:textId="77777777" w:rsidR="00CA0715" w:rsidRPr="00EE7DEA" w:rsidRDefault="00CA0715" w:rsidP="004C1D2B">
            <w:pPr>
              <w:contextualSpacing/>
              <w:jc w:val="both"/>
              <w:rPr>
                <w:rFonts w:ascii="Calibri" w:eastAsia="Times New Roman" w:hAnsi="Calibri" w:cs="Calibri"/>
                <w:b/>
                <w:sz w:val="20"/>
              </w:rPr>
            </w:pPr>
            <w:r w:rsidRPr="00EE7DEA">
              <w:rPr>
                <w:rFonts w:ascii="Calibri" w:eastAsia="Times New Roman" w:hAnsi="Calibri" w:cs="Calibri"/>
                <w:b/>
                <w:sz w:val="20"/>
              </w:rPr>
              <w:t>Regional</w:t>
            </w:r>
          </w:p>
        </w:tc>
        <w:tc>
          <w:tcPr>
            <w:tcW w:w="2982" w:type="pct"/>
          </w:tcPr>
          <w:p w14:paraId="6024D13D" w14:textId="77777777" w:rsidR="00CA0715" w:rsidRPr="00EE7DEA" w:rsidRDefault="00CA0715" w:rsidP="004C1D2B">
            <w:pPr>
              <w:contextualSpacing/>
              <w:rPr>
                <w:rFonts w:ascii="Calibri" w:eastAsia="Times New Roman" w:hAnsi="Calibri" w:cs="Calibri"/>
                <w:sz w:val="20"/>
              </w:rPr>
            </w:pPr>
            <w:r w:rsidRPr="00EE7DEA">
              <w:rPr>
                <w:rFonts w:ascii="Calibri" w:eastAsia="Times New Roman" w:hAnsi="Calibri" w:cs="Calibri"/>
                <w:b/>
                <w:sz w:val="20"/>
                <w:u w:val="single"/>
              </w:rPr>
              <w:t>DLI 5</w:t>
            </w:r>
            <w:r w:rsidRPr="00EE7DEA">
              <w:rPr>
                <w:rFonts w:ascii="Calibri" w:eastAsia="Times New Roman" w:hAnsi="Calibri" w:cs="Calibri"/>
                <w:sz w:val="20"/>
              </w:rPr>
              <w:t>: Regional Coordinating Councils have adopted and implemented their Annual Capacity Support Plans (ACSP) for MAs</w:t>
            </w:r>
          </w:p>
        </w:tc>
        <w:tc>
          <w:tcPr>
            <w:tcW w:w="626" w:type="pct"/>
          </w:tcPr>
          <w:p w14:paraId="7F7BE90C" w14:textId="77777777" w:rsidR="00CA0715" w:rsidRPr="00EE7DEA" w:rsidRDefault="00CA0715" w:rsidP="004C1D2B">
            <w:pPr>
              <w:contextualSpacing/>
              <w:jc w:val="right"/>
              <w:rPr>
                <w:rFonts w:ascii="Calibri" w:eastAsia="Times New Roman" w:hAnsi="Calibri" w:cs="Calibri"/>
                <w:sz w:val="20"/>
              </w:rPr>
            </w:pPr>
            <w:r w:rsidRPr="00EE7DEA">
              <w:rPr>
                <w:rFonts w:ascii="Calibri" w:eastAsia="Times New Roman" w:hAnsi="Calibri" w:cs="Calibri"/>
                <w:sz w:val="20"/>
              </w:rPr>
              <w:t>3.0</w:t>
            </w:r>
          </w:p>
        </w:tc>
        <w:tc>
          <w:tcPr>
            <w:tcW w:w="863" w:type="pct"/>
          </w:tcPr>
          <w:p w14:paraId="4FA87409" w14:textId="77777777" w:rsidR="00CA0715" w:rsidRPr="00EE7DEA" w:rsidRDefault="00CA0715" w:rsidP="004C1D2B">
            <w:pPr>
              <w:contextualSpacing/>
              <w:jc w:val="both"/>
              <w:rPr>
                <w:rFonts w:ascii="Calibri" w:eastAsia="Times New Roman" w:hAnsi="Calibri" w:cs="Calibri"/>
                <w:sz w:val="20"/>
              </w:rPr>
            </w:pPr>
            <w:r w:rsidRPr="00EE7DEA">
              <w:rPr>
                <w:rFonts w:ascii="Calibri" w:eastAsia="Times New Roman" w:hAnsi="Calibri" w:cs="Calibri"/>
                <w:sz w:val="20"/>
              </w:rPr>
              <w:t>RCCs</w:t>
            </w:r>
          </w:p>
        </w:tc>
      </w:tr>
      <w:tr w:rsidR="00CA0715" w:rsidRPr="00EE7DEA" w14:paraId="5B4E4E4B" w14:textId="77777777" w:rsidTr="00CA0715">
        <w:tc>
          <w:tcPr>
            <w:tcW w:w="529" w:type="pct"/>
            <w:vMerge w:val="restart"/>
            <w:vAlign w:val="center"/>
          </w:tcPr>
          <w:p w14:paraId="7E70AD53" w14:textId="77777777" w:rsidR="00CA0715" w:rsidRPr="00EE7DEA" w:rsidRDefault="00CA0715" w:rsidP="004C1D2B">
            <w:pPr>
              <w:contextualSpacing/>
              <w:jc w:val="both"/>
              <w:rPr>
                <w:rFonts w:ascii="Calibri" w:eastAsia="Times New Roman" w:hAnsi="Calibri" w:cs="Calibri"/>
                <w:b/>
                <w:sz w:val="20"/>
              </w:rPr>
            </w:pPr>
            <w:r w:rsidRPr="00EE7DEA">
              <w:rPr>
                <w:rFonts w:ascii="Calibri" w:eastAsia="Times New Roman" w:hAnsi="Calibri" w:cs="Calibri"/>
                <w:b/>
                <w:sz w:val="20"/>
              </w:rPr>
              <w:t>National</w:t>
            </w:r>
          </w:p>
        </w:tc>
        <w:tc>
          <w:tcPr>
            <w:tcW w:w="2982" w:type="pct"/>
          </w:tcPr>
          <w:p w14:paraId="43B64A1B" w14:textId="77777777" w:rsidR="00CA0715" w:rsidRPr="00EE7DEA" w:rsidRDefault="00CA0715" w:rsidP="004C1D2B">
            <w:pPr>
              <w:contextualSpacing/>
              <w:rPr>
                <w:rFonts w:ascii="Calibri" w:eastAsia="Times New Roman" w:hAnsi="Calibri" w:cs="Calibri"/>
                <w:sz w:val="20"/>
              </w:rPr>
            </w:pPr>
            <w:r w:rsidRPr="00EE7DEA">
              <w:rPr>
                <w:rFonts w:ascii="Calibri" w:eastAsia="Times New Roman" w:hAnsi="Calibri" w:cs="Calibri"/>
                <w:b/>
                <w:sz w:val="20"/>
                <w:u w:val="single"/>
              </w:rPr>
              <w:t>DLI 6</w:t>
            </w:r>
            <w:r w:rsidRPr="00EE7DEA">
              <w:rPr>
                <w:rFonts w:ascii="Calibri" w:eastAsia="Times New Roman" w:hAnsi="Calibri" w:cs="Calibri"/>
                <w:sz w:val="20"/>
              </w:rPr>
              <w:t xml:space="preserve">: </w:t>
            </w:r>
            <w:r w:rsidRPr="00EE7DEA">
              <w:rPr>
                <w:rFonts w:ascii="Calibri" w:hAnsi="Calibri" w:cs="Calibri"/>
                <w:sz w:val="20"/>
                <w:szCs w:val="20"/>
              </w:rPr>
              <w:t>DPAT/APA Results Published by October 1 of each FY</w:t>
            </w:r>
          </w:p>
        </w:tc>
        <w:tc>
          <w:tcPr>
            <w:tcW w:w="626" w:type="pct"/>
          </w:tcPr>
          <w:p w14:paraId="4345B883" w14:textId="77777777" w:rsidR="00CA0715" w:rsidRPr="00EE7DEA" w:rsidRDefault="00CA0715" w:rsidP="004C1D2B">
            <w:pPr>
              <w:contextualSpacing/>
              <w:jc w:val="right"/>
              <w:rPr>
                <w:rFonts w:ascii="Calibri" w:eastAsia="Times New Roman" w:hAnsi="Calibri" w:cs="Calibri"/>
                <w:sz w:val="20"/>
              </w:rPr>
            </w:pPr>
            <w:r w:rsidRPr="00EE7DEA">
              <w:rPr>
                <w:rFonts w:ascii="Calibri" w:eastAsia="Times New Roman" w:hAnsi="Calibri" w:cs="Calibri"/>
                <w:sz w:val="20"/>
              </w:rPr>
              <w:t>2.5</w:t>
            </w:r>
          </w:p>
        </w:tc>
        <w:tc>
          <w:tcPr>
            <w:tcW w:w="863" w:type="pct"/>
          </w:tcPr>
          <w:p w14:paraId="64C45719" w14:textId="77777777" w:rsidR="00CA0715" w:rsidRPr="00EE7DEA" w:rsidRDefault="00CA0715" w:rsidP="004C1D2B">
            <w:pPr>
              <w:contextualSpacing/>
              <w:jc w:val="both"/>
              <w:rPr>
                <w:rFonts w:ascii="Calibri" w:eastAsia="Times New Roman" w:hAnsi="Calibri" w:cs="Calibri"/>
                <w:sz w:val="20"/>
              </w:rPr>
            </w:pPr>
            <w:r w:rsidRPr="00EE7DEA">
              <w:rPr>
                <w:rFonts w:ascii="Calibri" w:eastAsia="Times New Roman" w:hAnsi="Calibri" w:cs="Calibri"/>
                <w:sz w:val="20"/>
              </w:rPr>
              <w:t>MLGRD</w:t>
            </w:r>
          </w:p>
        </w:tc>
      </w:tr>
      <w:tr w:rsidR="00CA0715" w:rsidRPr="00EE7DEA" w14:paraId="15E7558F" w14:textId="77777777" w:rsidTr="00CA0715">
        <w:tc>
          <w:tcPr>
            <w:tcW w:w="529" w:type="pct"/>
            <w:vMerge/>
          </w:tcPr>
          <w:p w14:paraId="661E88E2" w14:textId="77777777" w:rsidR="00CA0715" w:rsidRPr="00EE7DEA" w:rsidRDefault="00CA0715" w:rsidP="004C1D2B">
            <w:pPr>
              <w:contextualSpacing/>
              <w:jc w:val="both"/>
              <w:rPr>
                <w:rFonts w:ascii="Calibri" w:eastAsia="Times New Roman" w:hAnsi="Calibri" w:cs="Calibri"/>
                <w:sz w:val="20"/>
              </w:rPr>
            </w:pPr>
          </w:p>
        </w:tc>
        <w:tc>
          <w:tcPr>
            <w:tcW w:w="2982" w:type="pct"/>
          </w:tcPr>
          <w:p w14:paraId="3C7626AF" w14:textId="77777777" w:rsidR="00CA0715" w:rsidRPr="00EE7DEA" w:rsidRDefault="00CA0715" w:rsidP="004C1D2B">
            <w:pPr>
              <w:contextualSpacing/>
              <w:rPr>
                <w:rFonts w:ascii="Calibri" w:eastAsia="Times New Roman" w:hAnsi="Calibri" w:cs="Calibri"/>
                <w:sz w:val="20"/>
              </w:rPr>
            </w:pPr>
            <w:r w:rsidRPr="00EE7DEA">
              <w:rPr>
                <w:rFonts w:ascii="Calibri" w:eastAsia="Times New Roman" w:hAnsi="Calibri" w:cs="Calibri"/>
                <w:b/>
                <w:sz w:val="20"/>
                <w:u w:val="single"/>
              </w:rPr>
              <w:t>DLI 7</w:t>
            </w:r>
            <w:r w:rsidRPr="00EE7DEA">
              <w:rPr>
                <w:rFonts w:ascii="Calibri" w:eastAsia="Times New Roman" w:hAnsi="Calibri" w:cs="Calibri"/>
                <w:sz w:val="20"/>
              </w:rPr>
              <w:t xml:space="preserve">: </w:t>
            </w:r>
            <w:r w:rsidRPr="00EE7DEA">
              <w:rPr>
                <w:rFonts w:ascii="Calibri" w:hAnsi="Calibri" w:cs="Calibri"/>
                <w:sz w:val="20"/>
                <w:szCs w:val="20"/>
              </w:rPr>
              <w:t>Timely Allocation and Release of Program Funds to Municipal Assemblies; and Implementation of MLGRD/MDAs Annual Workplan to support MAs</w:t>
            </w:r>
          </w:p>
        </w:tc>
        <w:tc>
          <w:tcPr>
            <w:tcW w:w="626" w:type="pct"/>
          </w:tcPr>
          <w:p w14:paraId="1BB6E696" w14:textId="77777777" w:rsidR="00CA0715" w:rsidRPr="00EE7DEA" w:rsidRDefault="00CA0715" w:rsidP="004C1D2B">
            <w:pPr>
              <w:contextualSpacing/>
              <w:jc w:val="right"/>
              <w:rPr>
                <w:rFonts w:ascii="Calibri" w:eastAsia="Times New Roman" w:hAnsi="Calibri" w:cs="Calibri"/>
                <w:sz w:val="20"/>
              </w:rPr>
            </w:pPr>
            <w:r w:rsidRPr="00EE7DEA">
              <w:rPr>
                <w:rFonts w:ascii="Calibri" w:eastAsia="Times New Roman" w:hAnsi="Calibri" w:cs="Calibri"/>
                <w:sz w:val="20"/>
              </w:rPr>
              <w:t>2.5</w:t>
            </w:r>
          </w:p>
        </w:tc>
        <w:tc>
          <w:tcPr>
            <w:tcW w:w="863" w:type="pct"/>
          </w:tcPr>
          <w:p w14:paraId="52B8C841" w14:textId="77777777" w:rsidR="00CA0715" w:rsidRPr="00EE7DEA" w:rsidRDefault="00CA0715" w:rsidP="004C1D2B">
            <w:pPr>
              <w:contextualSpacing/>
              <w:jc w:val="both"/>
              <w:rPr>
                <w:rFonts w:ascii="Calibri" w:eastAsia="Times New Roman" w:hAnsi="Calibri" w:cs="Calibri"/>
                <w:sz w:val="20"/>
              </w:rPr>
            </w:pPr>
            <w:r w:rsidRPr="00EE7DEA">
              <w:rPr>
                <w:rFonts w:ascii="Calibri" w:eastAsia="Times New Roman" w:hAnsi="Calibri" w:cs="Calibri"/>
                <w:sz w:val="20"/>
              </w:rPr>
              <w:t>MLGRD</w:t>
            </w:r>
          </w:p>
        </w:tc>
      </w:tr>
      <w:tr w:rsidR="00CA0715" w:rsidRPr="00EE7DEA" w14:paraId="79BCDCBD" w14:textId="77777777" w:rsidTr="00CA0715">
        <w:tc>
          <w:tcPr>
            <w:tcW w:w="529" w:type="pct"/>
            <w:vMerge/>
          </w:tcPr>
          <w:p w14:paraId="66CA10A9" w14:textId="77777777" w:rsidR="00CA0715" w:rsidRPr="00EE7DEA" w:rsidRDefault="00CA0715" w:rsidP="004C1D2B">
            <w:pPr>
              <w:contextualSpacing/>
              <w:jc w:val="both"/>
              <w:rPr>
                <w:rFonts w:ascii="Calibri" w:eastAsia="Times New Roman" w:hAnsi="Calibri" w:cs="Calibri"/>
                <w:sz w:val="20"/>
              </w:rPr>
            </w:pPr>
          </w:p>
        </w:tc>
        <w:tc>
          <w:tcPr>
            <w:tcW w:w="2982" w:type="pct"/>
          </w:tcPr>
          <w:p w14:paraId="70EE08B2" w14:textId="77777777" w:rsidR="00CA0715" w:rsidRPr="00EE7DEA" w:rsidRDefault="00CA0715" w:rsidP="004C1D2B">
            <w:pPr>
              <w:contextualSpacing/>
              <w:rPr>
                <w:rFonts w:ascii="Calibri" w:eastAsia="Times New Roman" w:hAnsi="Calibri" w:cs="Calibri"/>
                <w:sz w:val="20"/>
                <w:szCs w:val="20"/>
              </w:rPr>
            </w:pPr>
            <w:r w:rsidRPr="00EE7DEA">
              <w:rPr>
                <w:rFonts w:ascii="Calibri" w:eastAsia="Times New Roman" w:hAnsi="Calibri" w:cs="Calibri"/>
                <w:b/>
                <w:sz w:val="20"/>
                <w:szCs w:val="20"/>
                <w:u w:val="single"/>
              </w:rPr>
              <w:t>DLI 8</w:t>
            </w:r>
            <w:r w:rsidRPr="00EE7DEA">
              <w:rPr>
                <w:rFonts w:ascii="Calibri" w:eastAsia="Times New Roman" w:hAnsi="Calibri" w:cs="Calibri"/>
                <w:sz w:val="20"/>
                <w:szCs w:val="20"/>
              </w:rPr>
              <w:t>: Key RCCs and MAs staff have been assigned and OHLGS Annual Capacity Building Plan (ACBP) to support MAs and RCCs has been implemented</w:t>
            </w:r>
          </w:p>
        </w:tc>
        <w:tc>
          <w:tcPr>
            <w:tcW w:w="626" w:type="pct"/>
          </w:tcPr>
          <w:p w14:paraId="76D084AE" w14:textId="77777777" w:rsidR="00CA0715" w:rsidRPr="00EE7DEA" w:rsidRDefault="00CA0715" w:rsidP="004C1D2B">
            <w:pPr>
              <w:contextualSpacing/>
              <w:jc w:val="right"/>
              <w:rPr>
                <w:rFonts w:ascii="Calibri" w:eastAsia="Times New Roman" w:hAnsi="Calibri" w:cs="Calibri"/>
                <w:sz w:val="20"/>
              </w:rPr>
            </w:pPr>
            <w:r w:rsidRPr="00EE7DEA">
              <w:rPr>
                <w:rFonts w:ascii="Calibri" w:eastAsia="Times New Roman" w:hAnsi="Calibri" w:cs="Calibri"/>
                <w:sz w:val="20"/>
              </w:rPr>
              <w:t>2.0</w:t>
            </w:r>
          </w:p>
        </w:tc>
        <w:tc>
          <w:tcPr>
            <w:tcW w:w="863" w:type="pct"/>
          </w:tcPr>
          <w:p w14:paraId="387EF655" w14:textId="77777777" w:rsidR="00CA0715" w:rsidRPr="00EE7DEA" w:rsidRDefault="00CA0715" w:rsidP="004C1D2B">
            <w:pPr>
              <w:contextualSpacing/>
              <w:jc w:val="both"/>
              <w:rPr>
                <w:rFonts w:ascii="Calibri" w:eastAsia="Times New Roman" w:hAnsi="Calibri" w:cs="Calibri"/>
                <w:sz w:val="20"/>
              </w:rPr>
            </w:pPr>
            <w:r w:rsidRPr="00EE7DEA">
              <w:rPr>
                <w:rFonts w:ascii="Calibri" w:eastAsia="Times New Roman" w:hAnsi="Calibri" w:cs="Calibri"/>
                <w:sz w:val="20"/>
              </w:rPr>
              <w:t>OHLGS</w:t>
            </w:r>
          </w:p>
        </w:tc>
      </w:tr>
      <w:tr w:rsidR="00CA0715" w:rsidRPr="00EE7DEA" w14:paraId="508DBE9E" w14:textId="77777777" w:rsidTr="00CA0715">
        <w:tc>
          <w:tcPr>
            <w:tcW w:w="3511" w:type="pct"/>
            <w:gridSpan w:val="2"/>
            <w:shd w:val="clear" w:color="auto" w:fill="C5E0B3"/>
            <w:vAlign w:val="center"/>
          </w:tcPr>
          <w:p w14:paraId="5D6D31E6" w14:textId="77777777" w:rsidR="00CA0715" w:rsidRPr="00EE7DEA" w:rsidRDefault="00CA0715" w:rsidP="004C1D2B">
            <w:pPr>
              <w:contextualSpacing/>
              <w:jc w:val="both"/>
              <w:rPr>
                <w:rFonts w:ascii="Calibri" w:eastAsia="Times New Roman" w:hAnsi="Calibri" w:cs="Calibri"/>
                <w:b/>
                <w:sz w:val="20"/>
              </w:rPr>
            </w:pPr>
            <w:r w:rsidRPr="00EE7DEA">
              <w:rPr>
                <w:rFonts w:ascii="Calibri" w:eastAsia="Times New Roman" w:hAnsi="Calibri" w:cs="Calibri"/>
                <w:b/>
                <w:sz w:val="20"/>
              </w:rPr>
              <w:t>Total</w:t>
            </w:r>
          </w:p>
        </w:tc>
        <w:tc>
          <w:tcPr>
            <w:tcW w:w="626" w:type="pct"/>
            <w:shd w:val="clear" w:color="auto" w:fill="C5E0B3"/>
          </w:tcPr>
          <w:p w14:paraId="41202C7B" w14:textId="77777777" w:rsidR="00CA0715" w:rsidRPr="00EE7DEA" w:rsidRDefault="00CA0715" w:rsidP="004C1D2B">
            <w:pPr>
              <w:contextualSpacing/>
              <w:jc w:val="right"/>
              <w:rPr>
                <w:rFonts w:ascii="Calibri" w:eastAsia="Times New Roman" w:hAnsi="Calibri" w:cs="Calibri"/>
                <w:sz w:val="20"/>
              </w:rPr>
            </w:pPr>
            <w:r w:rsidRPr="00EE7DEA">
              <w:rPr>
                <w:rFonts w:ascii="Calibri" w:eastAsia="Times New Roman" w:hAnsi="Calibri" w:cs="Calibri"/>
                <w:sz w:val="20"/>
              </w:rPr>
              <w:t>100.0</w:t>
            </w:r>
          </w:p>
        </w:tc>
        <w:tc>
          <w:tcPr>
            <w:tcW w:w="863" w:type="pct"/>
            <w:shd w:val="clear" w:color="auto" w:fill="C5E0B3"/>
          </w:tcPr>
          <w:p w14:paraId="0A57420E" w14:textId="77777777" w:rsidR="00CA0715" w:rsidRPr="00EE7DEA" w:rsidRDefault="00CA0715" w:rsidP="004C1D2B">
            <w:pPr>
              <w:contextualSpacing/>
              <w:jc w:val="both"/>
              <w:rPr>
                <w:rFonts w:ascii="Calibri" w:eastAsia="Times New Roman" w:hAnsi="Calibri" w:cs="Calibri"/>
                <w:sz w:val="20"/>
              </w:rPr>
            </w:pPr>
          </w:p>
        </w:tc>
      </w:tr>
    </w:tbl>
    <w:p w14:paraId="1AA24DE3" w14:textId="77777777" w:rsidR="004A2883" w:rsidRPr="00767EFD" w:rsidRDefault="004A2883" w:rsidP="004A2883">
      <w:pPr>
        <w:spacing w:after="0"/>
        <w:contextualSpacing/>
        <w:jc w:val="both"/>
        <w:rPr>
          <w:rFonts w:ascii="Times New Roman" w:eastAsia="Times New Roman" w:hAnsi="Times New Roman" w:cs="Times New Roman"/>
          <w:b/>
        </w:rPr>
      </w:pPr>
    </w:p>
    <w:p w14:paraId="5F92AACB" w14:textId="77777777" w:rsidR="004A2883" w:rsidRPr="00165582" w:rsidRDefault="004A2883" w:rsidP="00CB2188">
      <w:pPr>
        <w:pStyle w:val="ListParagraph"/>
        <w:spacing w:after="0" w:line="240" w:lineRule="auto"/>
        <w:ind w:left="0"/>
        <w:jc w:val="both"/>
        <w:rPr>
          <w:rFonts w:ascii="Times New Roman" w:hAnsi="Times New Roman" w:cs="Times New Roman"/>
        </w:rPr>
      </w:pPr>
      <w:r w:rsidRPr="00165582">
        <w:rPr>
          <w:rFonts w:ascii="Times New Roman" w:eastAsia="Times New Roman" w:hAnsi="Times New Roman" w:cs="Times New Roman"/>
          <w:b/>
        </w:rPr>
        <w:t xml:space="preserve">DLIs for local window (MAs) - </w:t>
      </w:r>
      <w:r w:rsidRPr="00165582">
        <w:rPr>
          <w:rFonts w:ascii="Times New Roman" w:hAnsi="Times New Roman" w:cs="Times New Roman"/>
        </w:rPr>
        <w:t>Funds for GSCSP’s local window will be disbursed to qualifying MAs to finance annual Capacity Support Grants (CSGs) and annual Urban Development Grants (UDGs). Qualifying MAs will use the CSG for institutional and capacity development and the UDG for infrastructure development. Both types of grant will be determined based on annual performance assessments (APAs). The four DLIs for the local window (MAs)</w:t>
      </w:r>
      <w:bookmarkStart w:id="10" w:name="_GoBack"/>
      <w:bookmarkEnd w:id="10"/>
      <w:r w:rsidRPr="00165582">
        <w:rPr>
          <w:rFonts w:ascii="Times New Roman" w:hAnsi="Times New Roman" w:cs="Times New Roman"/>
        </w:rPr>
        <w:t xml:space="preserve"> are summarized below.</w:t>
      </w:r>
    </w:p>
    <w:p w14:paraId="18AF29D4" w14:textId="77777777" w:rsidR="004A2883" w:rsidRDefault="004A2883" w:rsidP="004A2883">
      <w:pPr>
        <w:spacing w:after="0" w:line="240" w:lineRule="auto"/>
        <w:contextualSpacing/>
        <w:jc w:val="both"/>
        <w:rPr>
          <w:rFonts w:ascii="Times New Roman" w:hAnsi="Times New Roman" w:cs="Times New Roman"/>
        </w:rPr>
      </w:pPr>
    </w:p>
    <w:p w14:paraId="12E47C11" w14:textId="77777777" w:rsidR="004A2883" w:rsidRPr="00CF459E" w:rsidRDefault="004A2883" w:rsidP="00F273E1">
      <w:pPr>
        <w:pStyle w:val="ListParagraph"/>
        <w:numPr>
          <w:ilvl w:val="0"/>
          <w:numId w:val="53"/>
        </w:numPr>
        <w:spacing w:after="0" w:line="240" w:lineRule="auto"/>
        <w:jc w:val="both"/>
        <w:rPr>
          <w:rFonts w:ascii="Times New Roman" w:eastAsia="Times New Roman" w:hAnsi="Times New Roman" w:cs="Times New Roman"/>
        </w:rPr>
      </w:pPr>
      <w:r w:rsidRPr="00CF459E">
        <w:rPr>
          <w:rFonts w:ascii="Times New Roman" w:hAnsi="Times New Roman" w:cs="Times New Roman"/>
          <w:b/>
        </w:rPr>
        <w:t>DLI</w:t>
      </w:r>
      <w:r>
        <w:rPr>
          <w:rFonts w:ascii="Times New Roman" w:hAnsi="Times New Roman" w:cs="Times New Roman"/>
          <w:b/>
        </w:rPr>
        <w:t xml:space="preserve"> </w:t>
      </w:r>
      <w:r w:rsidRPr="00CF459E">
        <w:rPr>
          <w:rFonts w:ascii="Times New Roman" w:hAnsi="Times New Roman" w:cs="Times New Roman"/>
          <w:b/>
        </w:rPr>
        <w:t>1</w:t>
      </w:r>
      <w:r>
        <w:rPr>
          <w:rFonts w:ascii="Times New Roman" w:hAnsi="Times New Roman" w:cs="Times New Roman"/>
          <w:b/>
        </w:rPr>
        <w:t xml:space="preserve"> (US$ 3 million for MA CSG)</w:t>
      </w:r>
      <w:r w:rsidRPr="00CF459E">
        <w:rPr>
          <w:rFonts w:ascii="Times New Roman" w:hAnsi="Times New Roman" w:cs="Times New Roman"/>
        </w:rPr>
        <w:t xml:space="preserve">: </w:t>
      </w:r>
      <w:r>
        <w:rPr>
          <w:rFonts w:ascii="Times New Roman" w:hAnsi="Times New Roman" w:cs="Times New Roman"/>
        </w:rPr>
        <w:t>triggers release of the CSG. N</w:t>
      </w:r>
      <w:r w:rsidRPr="00CF459E">
        <w:rPr>
          <w:rFonts w:ascii="Times New Roman" w:hAnsi="Times New Roman" w:cs="Times New Roman"/>
        </w:rPr>
        <w:t>umber of MAs that qualify for Capacity Support Grants – annual performance assessments will identify those MAs that comply with the Minimum Conditions for CSGs. Compliance will signal MA engagement with the Program, commitment to an urban development agenda and (in subsequent years) CSG spending that is in accordance with the Program’s eligible expenditure menu.</w:t>
      </w:r>
    </w:p>
    <w:p w14:paraId="627847AE" w14:textId="77777777" w:rsidR="004A2883" w:rsidRPr="00CF459E" w:rsidRDefault="004A2883" w:rsidP="00F273E1">
      <w:pPr>
        <w:pStyle w:val="ListParagraph"/>
        <w:numPr>
          <w:ilvl w:val="0"/>
          <w:numId w:val="53"/>
        </w:numPr>
        <w:spacing w:after="0" w:line="240" w:lineRule="auto"/>
        <w:jc w:val="both"/>
        <w:rPr>
          <w:rFonts w:ascii="Times New Roman" w:eastAsia="Times New Roman" w:hAnsi="Times New Roman" w:cs="Times New Roman"/>
        </w:rPr>
      </w:pPr>
      <w:r w:rsidRPr="00CF459E">
        <w:rPr>
          <w:rFonts w:ascii="Times New Roman" w:hAnsi="Times New Roman" w:cs="Times New Roman"/>
          <w:b/>
        </w:rPr>
        <w:t>DLI 2</w:t>
      </w:r>
      <w:r>
        <w:rPr>
          <w:rFonts w:ascii="Times New Roman" w:hAnsi="Times New Roman" w:cs="Times New Roman"/>
          <w:b/>
        </w:rPr>
        <w:t xml:space="preserve"> (US$32.8 million for UDG)</w:t>
      </w:r>
      <w:r w:rsidRPr="00CF459E">
        <w:rPr>
          <w:rFonts w:ascii="Times New Roman" w:hAnsi="Times New Roman" w:cs="Times New Roman"/>
        </w:rPr>
        <w:t xml:space="preserve">: </w:t>
      </w:r>
      <w:r>
        <w:rPr>
          <w:rFonts w:ascii="Times New Roman" w:hAnsi="Times New Roman" w:cs="Times New Roman"/>
        </w:rPr>
        <w:t xml:space="preserve">triggers release of up to 20 percent of the UDG to </w:t>
      </w:r>
      <w:r w:rsidRPr="00CF459E">
        <w:rPr>
          <w:rFonts w:ascii="Times New Roman" w:hAnsi="Times New Roman" w:cs="Times New Roman"/>
        </w:rPr>
        <w:t>MAs with adequate institutional performance (as per DPAT scores)</w:t>
      </w:r>
      <w:r>
        <w:rPr>
          <w:rFonts w:ascii="Times New Roman" w:hAnsi="Times New Roman" w:cs="Times New Roman"/>
        </w:rPr>
        <w:t xml:space="preserve">. The </w:t>
      </w:r>
      <w:r w:rsidRPr="00CF459E">
        <w:rPr>
          <w:rFonts w:ascii="Times New Roman" w:hAnsi="Times New Roman" w:cs="Times New Roman"/>
        </w:rPr>
        <w:t xml:space="preserve">annual DPAT assessments will indicate which of the eligible MAs have scored at least </w:t>
      </w:r>
      <w:r>
        <w:rPr>
          <w:rFonts w:ascii="Times New Roman" w:hAnsi="Times New Roman" w:cs="Times New Roman"/>
        </w:rPr>
        <w:t xml:space="preserve">up to </w:t>
      </w:r>
      <w:r w:rsidRPr="00CF459E">
        <w:rPr>
          <w:rFonts w:ascii="Times New Roman" w:hAnsi="Times New Roman" w:cs="Times New Roman"/>
        </w:rPr>
        <w:t>the national average DPAT performance score. Th</w:t>
      </w:r>
      <w:r>
        <w:rPr>
          <w:rFonts w:ascii="Times New Roman" w:hAnsi="Times New Roman" w:cs="Times New Roman"/>
        </w:rPr>
        <w:t xml:space="preserve">ose </w:t>
      </w:r>
      <w:r w:rsidRPr="00CF459E">
        <w:rPr>
          <w:rFonts w:ascii="Times New Roman" w:hAnsi="Times New Roman" w:cs="Times New Roman"/>
        </w:rPr>
        <w:t>MAs will qualify for 20% of their maximum annual UDG allocations</w:t>
      </w:r>
      <w:r>
        <w:rPr>
          <w:rFonts w:ascii="Times New Roman" w:hAnsi="Times New Roman" w:cs="Times New Roman"/>
        </w:rPr>
        <w:t xml:space="preserve"> since they would have demonstrated that they have the national average institutional capacity to manage relatively large sums of the UDG money</w:t>
      </w:r>
      <w:r w:rsidRPr="00CF459E">
        <w:rPr>
          <w:rFonts w:ascii="Times New Roman" w:hAnsi="Times New Roman" w:cs="Times New Roman"/>
        </w:rPr>
        <w:t xml:space="preserve">. </w:t>
      </w:r>
    </w:p>
    <w:p w14:paraId="3B62BE32" w14:textId="77777777" w:rsidR="004A2883" w:rsidRPr="00EE6A15" w:rsidRDefault="004A2883" w:rsidP="00F273E1">
      <w:pPr>
        <w:pStyle w:val="ListParagraph"/>
        <w:numPr>
          <w:ilvl w:val="0"/>
          <w:numId w:val="53"/>
        </w:numPr>
        <w:spacing w:after="0" w:line="240" w:lineRule="auto"/>
        <w:jc w:val="both"/>
        <w:rPr>
          <w:rFonts w:ascii="Times New Roman" w:eastAsia="Times New Roman" w:hAnsi="Times New Roman" w:cs="Times New Roman"/>
        </w:rPr>
      </w:pPr>
      <w:r w:rsidRPr="00CF459E">
        <w:rPr>
          <w:rFonts w:ascii="Times New Roman" w:hAnsi="Times New Roman" w:cs="Times New Roman"/>
          <w:b/>
        </w:rPr>
        <w:t>DLI</w:t>
      </w:r>
      <w:r>
        <w:rPr>
          <w:rFonts w:ascii="Times New Roman" w:hAnsi="Times New Roman" w:cs="Times New Roman"/>
          <w:b/>
        </w:rPr>
        <w:t xml:space="preserve"> </w:t>
      </w:r>
      <w:r w:rsidRPr="00CF459E">
        <w:rPr>
          <w:rFonts w:ascii="Times New Roman" w:hAnsi="Times New Roman" w:cs="Times New Roman"/>
          <w:b/>
        </w:rPr>
        <w:t>3</w:t>
      </w:r>
      <w:r>
        <w:rPr>
          <w:rFonts w:ascii="Times New Roman" w:hAnsi="Times New Roman" w:cs="Times New Roman"/>
          <w:b/>
        </w:rPr>
        <w:t xml:space="preserve"> (US$41.7 million for UDG)</w:t>
      </w:r>
      <w:r w:rsidRPr="00CF459E">
        <w:rPr>
          <w:rFonts w:ascii="Times New Roman" w:hAnsi="Times New Roman" w:cs="Times New Roman"/>
        </w:rPr>
        <w:t xml:space="preserve">: </w:t>
      </w:r>
      <w:r>
        <w:rPr>
          <w:rFonts w:ascii="Times New Roman" w:hAnsi="Times New Roman" w:cs="Times New Roman"/>
        </w:rPr>
        <w:t xml:space="preserve">triggers the release of additional UDG to MAs based on their </w:t>
      </w:r>
      <w:r w:rsidRPr="00CF459E">
        <w:rPr>
          <w:rFonts w:ascii="Times New Roman" w:hAnsi="Times New Roman" w:cs="Times New Roman"/>
        </w:rPr>
        <w:t xml:space="preserve">scores on urban management benchmarks </w:t>
      </w:r>
      <w:r>
        <w:rPr>
          <w:rFonts w:ascii="Times New Roman" w:hAnsi="Times New Roman" w:cs="Times New Roman"/>
        </w:rPr>
        <w:t>which is addition to the generic institutional performance measured under DLI 2 for all MMDAs by GoG through the DPAT assessment. A</w:t>
      </w:r>
      <w:r w:rsidRPr="00CF459E">
        <w:rPr>
          <w:rFonts w:ascii="Times New Roman" w:hAnsi="Times New Roman" w:cs="Times New Roman"/>
        </w:rPr>
        <w:t xml:space="preserve">nnual performance assessments will identify those MAs that comply with UDG Minimum Conditions and, thereafter, the extent to which they have achieved urban management Performance Benchmarks. Complying with UDG Minimum Conditions </w:t>
      </w:r>
      <w:r>
        <w:rPr>
          <w:rFonts w:ascii="Times New Roman" w:hAnsi="Times New Roman" w:cs="Times New Roman"/>
        </w:rPr>
        <w:t xml:space="preserve">(under DLI 2) </w:t>
      </w:r>
      <w:r w:rsidRPr="00CF459E">
        <w:rPr>
          <w:rFonts w:ascii="Times New Roman" w:hAnsi="Times New Roman" w:cs="Times New Roman"/>
        </w:rPr>
        <w:t xml:space="preserve">will incentivize MAs to obtain higher than average </w:t>
      </w:r>
      <w:r>
        <w:rPr>
          <w:rFonts w:ascii="Times New Roman" w:hAnsi="Times New Roman" w:cs="Times New Roman"/>
        </w:rPr>
        <w:t xml:space="preserve">national </w:t>
      </w:r>
      <w:r w:rsidRPr="00CF459E">
        <w:rPr>
          <w:rFonts w:ascii="Times New Roman" w:hAnsi="Times New Roman" w:cs="Times New Roman"/>
        </w:rPr>
        <w:t xml:space="preserve">DPAT performance scores, thus indicating that their implementation of core management and institutional functions is above par. </w:t>
      </w:r>
      <w:r>
        <w:rPr>
          <w:rFonts w:ascii="Times New Roman" w:hAnsi="Times New Roman" w:cs="Times New Roman"/>
        </w:rPr>
        <w:t xml:space="preserve">The additional scores under the urban </w:t>
      </w:r>
      <w:r w:rsidRPr="00CF459E">
        <w:rPr>
          <w:rFonts w:ascii="Times New Roman" w:hAnsi="Times New Roman" w:cs="Times New Roman"/>
        </w:rPr>
        <w:t xml:space="preserve">Performance Benchmarks </w:t>
      </w:r>
      <w:r>
        <w:rPr>
          <w:rFonts w:ascii="Times New Roman" w:hAnsi="Times New Roman" w:cs="Times New Roman"/>
        </w:rPr>
        <w:t xml:space="preserve">by </w:t>
      </w:r>
      <w:r w:rsidRPr="00CF459E">
        <w:rPr>
          <w:rFonts w:ascii="Times New Roman" w:hAnsi="Times New Roman" w:cs="Times New Roman"/>
        </w:rPr>
        <w:t xml:space="preserve">MAs </w:t>
      </w:r>
      <w:r>
        <w:rPr>
          <w:rFonts w:ascii="Times New Roman" w:hAnsi="Times New Roman" w:cs="Times New Roman"/>
        </w:rPr>
        <w:t xml:space="preserve">is intended </w:t>
      </w:r>
      <w:r w:rsidRPr="00CF459E">
        <w:rPr>
          <w:rFonts w:ascii="Times New Roman" w:hAnsi="Times New Roman" w:cs="Times New Roman"/>
        </w:rPr>
        <w:t xml:space="preserve">to improve their capabilities as urban managers. </w:t>
      </w:r>
    </w:p>
    <w:p w14:paraId="562751CA" w14:textId="77777777" w:rsidR="004A2883" w:rsidRPr="00EE6A15" w:rsidRDefault="004A2883" w:rsidP="00F273E1">
      <w:pPr>
        <w:pStyle w:val="ListParagraph"/>
        <w:numPr>
          <w:ilvl w:val="0"/>
          <w:numId w:val="53"/>
        </w:numPr>
        <w:spacing w:after="0" w:line="240" w:lineRule="auto"/>
        <w:jc w:val="both"/>
        <w:rPr>
          <w:rFonts w:ascii="Times New Roman" w:eastAsia="Times New Roman" w:hAnsi="Times New Roman" w:cs="Times New Roman"/>
        </w:rPr>
      </w:pPr>
      <w:r w:rsidRPr="00EE6A15">
        <w:rPr>
          <w:rFonts w:ascii="Times New Roman" w:hAnsi="Times New Roman" w:cs="Times New Roman"/>
          <w:b/>
        </w:rPr>
        <w:t>DLI</w:t>
      </w:r>
      <w:r>
        <w:rPr>
          <w:rFonts w:ascii="Times New Roman" w:hAnsi="Times New Roman" w:cs="Times New Roman"/>
          <w:b/>
        </w:rPr>
        <w:t xml:space="preserve"> </w:t>
      </w:r>
      <w:r w:rsidRPr="00EE6A15">
        <w:rPr>
          <w:rFonts w:ascii="Times New Roman" w:hAnsi="Times New Roman" w:cs="Times New Roman"/>
          <w:b/>
        </w:rPr>
        <w:t>4</w:t>
      </w:r>
      <w:r>
        <w:rPr>
          <w:rFonts w:ascii="Times New Roman" w:hAnsi="Times New Roman" w:cs="Times New Roman"/>
          <w:b/>
        </w:rPr>
        <w:t xml:space="preserve"> (US$12.5 million for UDG)</w:t>
      </w:r>
      <w:r w:rsidRPr="00EE6A15">
        <w:rPr>
          <w:rFonts w:ascii="Times New Roman" w:hAnsi="Times New Roman" w:cs="Times New Roman"/>
        </w:rPr>
        <w:t xml:space="preserve">: </w:t>
      </w:r>
      <w:r>
        <w:rPr>
          <w:rFonts w:ascii="Times New Roman" w:hAnsi="Times New Roman" w:cs="Times New Roman"/>
        </w:rPr>
        <w:t xml:space="preserve">triggers release of further additional UDG to </w:t>
      </w:r>
      <w:r w:rsidRPr="00EE6A15">
        <w:rPr>
          <w:rFonts w:ascii="Times New Roman" w:hAnsi="Times New Roman" w:cs="Times New Roman"/>
        </w:rPr>
        <w:t>MA</w:t>
      </w:r>
      <w:r>
        <w:rPr>
          <w:rFonts w:ascii="Times New Roman" w:hAnsi="Times New Roman" w:cs="Times New Roman"/>
        </w:rPr>
        <w:t>s based on the actual</w:t>
      </w:r>
      <w:r w:rsidRPr="00EE6A15">
        <w:rPr>
          <w:rFonts w:ascii="Times New Roman" w:hAnsi="Times New Roman" w:cs="Times New Roman"/>
        </w:rPr>
        <w:t xml:space="preserve"> delivery of urban infrastructure/services</w:t>
      </w:r>
      <w:r>
        <w:rPr>
          <w:rFonts w:ascii="Times New Roman" w:hAnsi="Times New Roman" w:cs="Times New Roman"/>
        </w:rPr>
        <w:t xml:space="preserve">. The </w:t>
      </w:r>
      <w:r w:rsidRPr="00EE6A15">
        <w:rPr>
          <w:rFonts w:ascii="Times New Roman" w:hAnsi="Times New Roman" w:cs="Times New Roman"/>
        </w:rPr>
        <w:t xml:space="preserve">annual performance assessments </w:t>
      </w:r>
      <w:r>
        <w:rPr>
          <w:rFonts w:ascii="Times New Roman" w:hAnsi="Times New Roman" w:cs="Times New Roman"/>
        </w:rPr>
        <w:t xml:space="preserve">for DLI 4 will start </w:t>
      </w:r>
      <w:r w:rsidRPr="00EE6A15">
        <w:rPr>
          <w:rFonts w:ascii="Times New Roman" w:hAnsi="Times New Roman" w:cs="Times New Roman"/>
        </w:rPr>
        <w:t>from year 2 onwards</w:t>
      </w:r>
      <w:r>
        <w:rPr>
          <w:rFonts w:ascii="Times New Roman" w:hAnsi="Times New Roman" w:cs="Times New Roman"/>
        </w:rPr>
        <w:t>, and it</w:t>
      </w:r>
      <w:r w:rsidRPr="00EE6A15">
        <w:rPr>
          <w:rFonts w:ascii="Times New Roman" w:hAnsi="Times New Roman" w:cs="Times New Roman"/>
        </w:rPr>
        <w:t xml:space="preserve"> will assess the quality of the infrastructure delivered by MAs and financed out of their UDG allocations. </w:t>
      </w:r>
      <w:r>
        <w:rPr>
          <w:rFonts w:ascii="Times New Roman" w:hAnsi="Times New Roman" w:cs="Times New Roman"/>
        </w:rPr>
        <w:t xml:space="preserve">The assessment has been given a 12 months’ time lag to allow MAs to procure and deliver the necessary infrastructure/services as per their annual work plan. </w:t>
      </w:r>
      <w:r w:rsidRPr="00EE6A15">
        <w:rPr>
          <w:rFonts w:ascii="Times New Roman" w:hAnsi="Times New Roman" w:cs="Times New Roman"/>
        </w:rPr>
        <w:t>Higher scores in this area will signal better MA performance.</w:t>
      </w:r>
    </w:p>
    <w:p w14:paraId="3D79931E" w14:textId="77777777" w:rsidR="004A2883" w:rsidRPr="00767EFD" w:rsidRDefault="004A2883" w:rsidP="004A2883">
      <w:pPr>
        <w:spacing w:after="0" w:line="240" w:lineRule="auto"/>
        <w:contextualSpacing/>
        <w:jc w:val="both"/>
        <w:rPr>
          <w:rFonts w:ascii="Times New Roman" w:eastAsia="Times New Roman" w:hAnsi="Times New Roman" w:cs="Times New Roman"/>
        </w:rPr>
      </w:pPr>
    </w:p>
    <w:p w14:paraId="7C0DAC7A" w14:textId="77777777" w:rsidR="004A2883" w:rsidRPr="00027936" w:rsidRDefault="004A2883" w:rsidP="00CB2188">
      <w:pPr>
        <w:pStyle w:val="ListParagraph"/>
        <w:spacing w:after="0" w:line="240" w:lineRule="auto"/>
        <w:ind w:left="0"/>
        <w:jc w:val="both"/>
        <w:rPr>
          <w:rFonts w:ascii="Times New Roman" w:eastAsia="Times New Roman" w:hAnsi="Times New Roman" w:cs="Times New Roman"/>
        </w:rPr>
      </w:pPr>
      <w:r w:rsidRPr="00027936">
        <w:rPr>
          <w:rFonts w:ascii="Times New Roman" w:eastAsia="Times New Roman" w:hAnsi="Times New Roman" w:cs="Times New Roman"/>
          <w:b/>
        </w:rPr>
        <w:t xml:space="preserve">DLI for the Regional window – </w:t>
      </w:r>
      <w:r w:rsidRPr="00027936">
        <w:rPr>
          <w:rFonts w:ascii="Times New Roman" w:eastAsia="Times New Roman" w:hAnsi="Times New Roman" w:cs="Times New Roman"/>
        </w:rPr>
        <w:t>this DLI is intended to incentivize the RCCs to provide the necessary monitoring and technical support services to MAs as per their statutory mandates.</w:t>
      </w:r>
    </w:p>
    <w:p w14:paraId="339EC892" w14:textId="77777777" w:rsidR="004A2883" w:rsidRDefault="004A2883" w:rsidP="004A2883">
      <w:pPr>
        <w:spacing w:after="0" w:line="240" w:lineRule="auto"/>
        <w:contextualSpacing/>
        <w:jc w:val="both"/>
        <w:rPr>
          <w:rFonts w:ascii="Times New Roman" w:eastAsia="Times New Roman" w:hAnsi="Times New Roman" w:cs="Times New Roman"/>
        </w:rPr>
      </w:pPr>
    </w:p>
    <w:p w14:paraId="6D815371" w14:textId="77777777" w:rsidR="004A2883" w:rsidRPr="00D64658" w:rsidRDefault="004A2883" w:rsidP="00F273E1">
      <w:pPr>
        <w:pStyle w:val="ListParagraph"/>
        <w:numPr>
          <w:ilvl w:val="0"/>
          <w:numId w:val="53"/>
        </w:numPr>
        <w:spacing w:after="0" w:line="240" w:lineRule="auto"/>
        <w:jc w:val="both"/>
        <w:rPr>
          <w:rFonts w:ascii="Times New Roman" w:eastAsia="Times New Roman" w:hAnsi="Times New Roman" w:cs="Times New Roman"/>
        </w:rPr>
      </w:pPr>
      <w:r w:rsidRPr="00D64658">
        <w:rPr>
          <w:rFonts w:ascii="Times New Roman" w:hAnsi="Times New Roman" w:cs="Times New Roman"/>
          <w:b/>
        </w:rPr>
        <w:t>DLI</w:t>
      </w:r>
      <w:r>
        <w:rPr>
          <w:rFonts w:ascii="Times New Roman" w:hAnsi="Times New Roman" w:cs="Times New Roman"/>
          <w:b/>
        </w:rPr>
        <w:t xml:space="preserve"> </w:t>
      </w:r>
      <w:r w:rsidRPr="00D64658">
        <w:rPr>
          <w:rFonts w:ascii="Times New Roman" w:hAnsi="Times New Roman" w:cs="Times New Roman"/>
          <w:b/>
        </w:rPr>
        <w:t>5</w:t>
      </w:r>
      <w:r>
        <w:rPr>
          <w:rFonts w:ascii="Times New Roman" w:hAnsi="Times New Roman" w:cs="Times New Roman"/>
          <w:b/>
        </w:rPr>
        <w:t xml:space="preserve"> (US$3.0 million to RCCs)</w:t>
      </w:r>
      <w:r w:rsidRPr="00D64658">
        <w:rPr>
          <w:rFonts w:ascii="Times New Roman" w:hAnsi="Times New Roman" w:cs="Times New Roman"/>
        </w:rPr>
        <w:t xml:space="preserve">: </w:t>
      </w:r>
      <w:r>
        <w:rPr>
          <w:rFonts w:ascii="Times New Roman" w:hAnsi="Times New Roman" w:cs="Times New Roman"/>
        </w:rPr>
        <w:t xml:space="preserve">the </w:t>
      </w:r>
      <w:r w:rsidRPr="00D64658">
        <w:rPr>
          <w:rFonts w:ascii="Times New Roman" w:hAnsi="Times New Roman" w:cs="Times New Roman"/>
        </w:rPr>
        <w:t xml:space="preserve">annual performance assessments </w:t>
      </w:r>
      <w:r>
        <w:rPr>
          <w:rFonts w:ascii="Times New Roman" w:hAnsi="Times New Roman" w:cs="Times New Roman"/>
        </w:rPr>
        <w:t xml:space="preserve">of RCCs </w:t>
      </w:r>
      <w:r w:rsidRPr="00D64658">
        <w:rPr>
          <w:rFonts w:ascii="Times New Roman" w:hAnsi="Times New Roman" w:cs="Times New Roman"/>
        </w:rPr>
        <w:t>will evaluate the extent to which RCCs</w:t>
      </w:r>
      <w:r>
        <w:rPr>
          <w:rFonts w:ascii="Times New Roman" w:hAnsi="Times New Roman" w:cs="Times New Roman"/>
        </w:rPr>
        <w:t xml:space="preserve">, as per their annual work plan, </w:t>
      </w:r>
      <w:r w:rsidRPr="00D64658">
        <w:rPr>
          <w:rFonts w:ascii="Times New Roman" w:hAnsi="Times New Roman" w:cs="Times New Roman"/>
        </w:rPr>
        <w:t xml:space="preserve">have: (a) provided MAs within their respective regions with capacity building support; and (b) provided adequate monitoring of and reporting on MAs. </w:t>
      </w:r>
    </w:p>
    <w:p w14:paraId="156AFE0E" w14:textId="77777777" w:rsidR="004A2883" w:rsidRPr="00767EFD" w:rsidRDefault="004A2883" w:rsidP="004A2883">
      <w:pPr>
        <w:spacing w:after="0" w:line="240" w:lineRule="auto"/>
        <w:contextualSpacing/>
        <w:jc w:val="both"/>
        <w:rPr>
          <w:rFonts w:ascii="Times New Roman" w:eastAsia="Times New Roman" w:hAnsi="Times New Roman" w:cs="Times New Roman"/>
        </w:rPr>
      </w:pPr>
    </w:p>
    <w:p w14:paraId="44A1170F" w14:textId="77777777" w:rsidR="004A2883" w:rsidRPr="00027936" w:rsidRDefault="004A2883" w:rsidP="00CB2188">
      <w:pPr>
        <w:pStyle w:val="ListParagraph"/>
        <w:spacing w:after="0" w:line="240" w:lineRule="auto"/>
        <w:ind w:left="0"/>
        <w:jc w:val="both"/>
        <w:rPr>
          <w:rFonts w:ascii="Times New Roman" w:hAnsi="Times New Roman" w:cs="Times New Roman"/>
        </w:rPr>
      </w:pPr>
      <w:r w:rsidRPr="00027936">
        <w:rPr>
          <w:rFonts w:ascii="Times New Roman" w:eastAsia="Times New Roman" w:hAnsi="Times New Roman" w:cs="Times New Roman"/>
          <w:b/>
        </w:rPr>
        <w:t xml:space="preserve">DLIs for National window – </w:t>
      </w:r>
      <w:r w:rsidRPr="00027936">
        <w:rPr>
          <w:rFonts w:ascii="Times New Roman" w:eastAsia="Times New Roman" w:hAnsi="Times New Roman" w:cs="Times New Roman"/>
        </w:rPr>
        <w:t>there are three DLIs for</w:t>
      </w:r>
      <w:r w:rsidRPr="00027936">
        <w:rPr>
          <w:rFonts w:ascii="Times New Roman" w:eastAsia="Times New Roman" w:hAnsi="Times New Roman" w:cs="Times New Roman"/>
          <w:b/>
        </w:rPr>
        <w:t xml:space="preserve"> </w:t>
      </w:r>
      <w:r w:rsidRPr="00027936">
        <w:rPr>
          <w:rFonts w:ascii="Times New Roman" w:hAnsi="Times New Roman" w:cs="Times New Roman"/>
        </w:rPr>
        <w:t>National window. The DLIs are intended to provide incentives for national stakeholders to undertake key Program functions on a timely basis and to ensure that MAs receive the support that they need to effectively perform their statutory obligations. The three DLIs are:</w:t>
      </w:r>
    </w:p>
    <w:p w14:paraId="72FE6839" w14:textId="77777777" w:rsidR="004A2883" w:rsidRDefault="004A2883" w:rsidP="004A2883">
      <w:pPr>
        <w:spacing w:after="0" w:line="240" w:lineRule="auto"/>
        <w:contextualSpacing/>
        <w:jc w:val="both"/>
        <w:rPr>
          <w:rFonts w:ascii="Times New Roman" w:hAnsi="Times New Roman" w:cs="Times New Roman"/>
        </w:rPr>
      </w:pPr>
    </w:p>
    <w:p w14:paraId="24F14161" w14:textId="77777777" w:rsidR="004A2883" w:rsidRPr="00BF3C35" w:rsidRDefault="004A2883" w:rsidP="00F273E1">
      <w:pPr>
        <w:pStyle w:val="ListParagraph"/>
        <w:numPr>
          <w:ilvl w:val="0"/>
          <w:numId w:val="53"/>
        </w:numPr>
        <w:spacing w:after="0" w:line="240" w:lineRule="auto"/>
        <w:jc w:val="both"/>
        <w:rPr>
          <w:rFonts w:ascii="Times New Roman" w:eastAsia="Times New Roman" w:hAnsi="Times New Roman" w:cs="Times New Roman"/>
          <w:b/>
        </w:rPr>
      </w:pPr>
      <w:r w:rsidRPr="00C04684">
        <w:rPr>
          <w:rFonts w:ascii="Times New Roman" w:hAnsi="Times New Roman" w:cs="Times New Roman"/>
          <w:b/>
        </w:rPr>
        <w:t>DLI</w:t>
      </w:r>
      <w:r>
        <w:rPr>
          <w:rFonts w:ascii="Times New Roman" w:hAnsi="Times New Roman" w:cs="Times New Roman"/>
          <w:b/>
        </w:rPr>
        <w:t xml:space="preserve"> </w:t>
      </w:r>
      <w:r w:rsidRPr="00C04684">
        <w:rPr>
          <w:rFonts w:ascii="Times New Roman" w:hAnsi="Times New Roman" w:cs="Times New Roman"/>
          <w:b/>
        </w:rPr>
        <w:t>6</w:t>
      </w:r>
      <w:r>
        <w:rPr>
          <w:rFonts w:ascii="Times New Roman" w:hAnsi="Times New Roman" w:cs="Times New Roman"/>
          <w:b/>
        </w:rPr>
        <w:t xml:space="preserve"> (US$2.5 million for DPAT/APA)</w:t>
      </w:r>
      <w:r w:rsidRPr="00C04684">
        <w:rPr>
          <w:rFonts w:ascii="Times New Roman" w:hAnsi="Times New Roman" w:cs="Times New Roman"/>
        </w:rPr>
        <w:t xml:space="preserve">: </w:t>
      </w:r>
      <w:r>
        <w:rPr>
          <w:rFonts w:ascii="Times New Roman" w:hAnsi="Times New Roman" w:cs="Times New Roman"/>
        </w:rPr>
        <w:t>this DLI triggers Program funds release to the MLGRD based on t</w:t>
      </w:r>
      <w:r w:rsidRPr="00C04684">
        <w:rPr>
          <w:rFonts w:ascii="Times New Roman" w:hAnsi="Times New Roman" w:cs="Times New Roman"/>
        </w:rPr>
        <w:t>imely annual DPAT assessments</w:t>
      </w:r>
      <w:r>
        <w:rPr>
          <w:rFonts w:ascii="Times New Roman" w:hAnsi="Times New Roman" w:cs="Times New Roman"/>
        </w:rPr>
        <w:t xml:space="preserve">. The release of UDGs to MAs is contingent on the MLGRD undertaking the DPAT national assessment on a timely basis and </w:t>
      </w:r>
      <w:r w:rsidRPr="00C04684">
        <w:rPr>
          <w:rFonts w:ascii="Times New Roman" w:hAnsi="Times New Roman" w:cs="Times New Roman"/>
        </w:rPr>
        <w:t>well ahead of the following FY</w:t>
      </w:r>
      <w:r>
        <w:rPr>
          <w:rFonts w:ascii="Times New Roman" w:hAnsi="Times New Roman" w:cs="Times New Roman"/>
        </w:rPr>
        <w:t xml:space="preserve">. This will ensure that the </w:t>
      </w:r>
      <w:r w:rsidRPr="00C04684">
        <w:rPr>
          <w:rFonts w:ascii="Times New Roman" w:hAnsi="Times New Roman" w:cs="Times New Roman"/>
        </w:rPr>
        <w:t>results and grant outcomes (in terms of MA</w:t>
      </w:r>
      <w:r>
        <w:rPr>
          <w:rFonts w:ascii="Times New Roman" w:hAnsi="Times New Roman" w:cs="Times New Roman"/>
        </w:rPr>
        <w:t>s</w:t>
      </w:r>
      <w:r w:rsidRPr="00C04684">
        <w:rPr>
          <w:rFonts w:ascii="Times New Roman" w:hAnsi="Times New Roman" w:cs="Times New Roman"/>
        </w:rPr>
        <w:t xml:space="preserve"> qualification</w:t>
      </w:r>
      <w:r>
        <w:rPr>
          <w:rFonts w:ascii="Times New Roman" w:hAnsi="Times New Roman" w:cs="Times New Roman"/>
        </w:rPr>
        <w:t>s</w:t>
      </w:r>
      <w:r w:rsidRPr="00C04684">
        <w:rPr>
          <w:rFonts w:ascii="Times New Roman" w:hAnsi="Times New Roman" w:cs="Times New Roman"/>
        </w:rPr>
        <w:t xml:space="preserve"> and grant allocations) are properly budgeted for at </w:t>
      </w:r>
      <w:r>
        <w:rPr>
          <w:rFonts w:ascii="Times New Roman" w:hAnsi="Times New Roman" w:cs="Times New Roman"/>
        </w:rPr>
        <w:t xml:space="preserve">both </w:t>
      </w:r>
      <w:r w:rsidRPr="00C04684">
        <w:rPr>
          <w:rFonts w:ascii="Times New Roman" w:hAnsi="Times New Roman" w:cs="Times New Roman"/>
        </w:rPr>
        <w:t>national and sub-national levels. Meeting this DLI will be the responsibility of MLGRD.</w:t>
      </w:r>
    </w:p>
    <w:p w14:paraId="5665E4A7" w14:textId="77777777" w:rsidR="004A2883" w:rsidRPr="00BF3C35" w:rsidRDefault="004A2883" w:rsidP="00F273E1">
      <w:pPr>
        <w:pStyle w:val="ListParagraph"/>
        <w:numPr>
          <w:ilvl w:val="0"/>
          <w:numId w:val="53"/>
        </w:numPr>
        <w:spacing w:after="0" w:line="240" w:lineRule="auto"/>
        <w:jc w:val="both"/>
        <w:rPr>
          <w:rFonts w:ascii="Times New Roman" w:eastAsia="Times New Roman" w:hAnsi="Times New Roman" w:cs="Times New Roman"/>
          <w:b/>
        </w:rPr>
      </w:pPr>
      <w:r w:rsidRPr="00BF3C35">
        <w:rPr>
          <w:rFonts w:ascii="Times New Roman" w:hAnsi="Times New Roman" w:cs="Times New Roman"/>
          <w:b/>
        </w:rPr>
        <w:t>DLI</w:t>
      </w:r>
      <w:r>
        <w:rPr>
          <w:rFonts w:ascii="Times New Roman" w:hAnsi="Times New Roman" w:cs="Times New Roman"/>
          <w:b/>
        </w:rPr>
        <w:t xml:space="preserve"> </w:t>
      </w:r>
      <w:r w:rsidRPr="00BF3C35">
        <w:rPr>
          <w:rFonts w:ascii="Times New Roman" w:hAnsi="Times New Roman" w:cs="Times New Roman"/>
          <w:b/>
        </w:rPr>
        <w:t>7</w:t>
      </w:r>
      <w:r>
        <w:rPr>
          <w:rFonts w:ascii="Times New Roman" w:hAnsi="Times New Roman" w:cs="Times New Roman"/>
          <w:b/>
        </w:rPr>
        <w:t xml:space="preserve"> (US$2.5 million to MLGRD/MDAs)</w:t>
      </w:r>
      <w:r w:rsidRPr="00BF3C35">
        <w:rPr>
          <w:rFonts w:ascii="Times New Roman" w:hAnsi="Times New Roman" w:cs="Times New Roman"/>
          <w:b/>
        </w:rPr>
        <w:t>:</w:t>
      </w:r>
      <w:r w:rsidRPr="00BF3C35">
        <w:rPr>
          <w:rFonts w:ascii="Times New Roman" w:hAnsi="Times New Roman" w:cs="Times New Roman"/>
        </w:rPr>
        <w:t xml:space="preserve"> </w:t>
      </w:r>
      <w:r>
        <w:rPr>
          <w:rFonts w:ascii="Times New Roman" w:hAnsi="Times New Roman" w:cs="Times New Roman"/>
        </w:rPr>
        <w:t>this DLI is intended incentivize coordinated n</w:t>
      </w:r>
      <w:r w:rsidRPr="00BF3C35">
        <w:rPr>
          <w:rFonts w:ascii="Times New Roman" w:hAnsi="Times New Roman" w:cs="Times New Roman"/>
        </w:rPr>
        <w:t>ational support to MAs by MLGRD/MDAs</w:t>
      </w:r>
      <w:r>
        <w:rPr>
          <w:rStyle w:val="FootnoteReference"/>
          <w:rFonts w:ascii="Times New Roman" w:hAnsi="Times New Roman"/>
        </w:rPr>
        <w:footnoteReference w:id="17"/>
      </w:r>
      <w:r w:rsidRPr="00BF3C35">
        <w:rPr>
          <w:rFonts w:ascii="Times New Roman" w:hAnsi="Times New Roman" w:cs="Times New Roman"/>
        </w:rPr>
        <w:t xml:space="preserve"> </w:t>
      </w:r>
      <w:r>
        <w:rPr>
          <w:rFonts w:ascii="Times New Roman" w:hAnsi="Times New Roman" w:cs="Times New Roman"/>
        </w:rPr>
        <w:t xml:space="preserve">for the achievement of the Program Development Objective. </w:t>
      </w:r>
    </w:p>
    <w:p w14:paraId="1E01C046" w14:textId="77777777" w:rsidR="004A2883" w:rsidRPr="00BF3C35" w:rsidRDefault="004A2883" w:rsidP="00F273E1">
      <w:pPr>
        <w:pStyle w:val="ListParagraph"/>
        <w:numPr>
          <w:ilvl w:val="0"/>
          <w:numId w:val="53"/>
        </w:numPr>
        <w:spacing w:after="0" w:line="240" w:lineRule="auto"/>
        <w:jc w:val="both"/>
        <w:rPr>
          <w:rFonts w:ascii="Times New Roman" w:eastAsia="Times New Roman" w:hAnsi="Times New Roman" w:cs="Times New Roman"/>
          <w:b/>
        </w:rPr>
      </w:pPr>
      <w:r w:rsidRPr="00BF3C35">
        <w:rPr>
          <w:rFonts w:ascii="Times New Roman" w:hAnsi="Times New Roman" w:cs="Times New Roman"/>
          <w:b/>
        </w:rPr>
        <w:t>DLI</w:t>
      </w:r>
      <w:r>
        <w:rPr>
          <w:rFonts w:ascii="Times New Roman" w:hAnsi="Times New Roman" w:cs="Times New Roman"/>
          <w:b/>
        </w:rPr>
        <w:t xml:space="preserve"> </w:t>
      </w:r>
      <w:r w:rsidRPr="00BF3C35">
        <w:rPr>
          <w:rFonts w:ascii="Times New Roman" w:hAnsi="Times New Roman" w:cs="Times New Roman"/>
          <w:b/>
        </w:rPr>
        <w:t>8</w:t>
      </w:r>
      <w:r>
        <w:rPr>
          <w:rFonts w:ascii="Times New Roman" w:hAnsi="Times New Roman" w:cs="Times New Roman"/>
          <w:b/>
        </w:rPr>
        <w:t xml:space="preserve"> (US$2.0 million to OHLGS)</w:t>
      </w:r>
      <w:r w:rsidRPr="00BF3C35">
        <w:rPr>
          <w:rFonts w:ascii="Times New Roman" w:hAnsi="Times New Roman" w:cs="Times New Roman"/>
          <w:b/>
        </w:rPr>
        <w:t>:</w:t>
      </w:r>
      <w:r w:rsidRPr="00BF3C35">
        <w:rPr>
          <w:rFonts w:ascii="Times New Roman" w:hAnsi="Times New Roman" w:cs="Times New Roman"/>
        </w:rPr>
        <w:t xml:space="preserve"> </w:t>
      </w:r>
      <w:r>
        <w:rPr>
          <w:rFonts w:ascii="Times New Roman" w:hAnsi="Times New Roman" w:cs="Times New Roman"/>
        </w:rPr>
        <w:t xml:space="preserve">this DLI will trigger Program funds release to OHLGS. The DLI is intended to provide </w:t>
      </w:r>
      <w:r w:rsidRPr="00BF3C35">
        <w:rPr>
          <w:rFonts w:ascii="Times New Roman" w:hAnsi="Times New Roman" w:cs="Times New Roman"/>
        </w:rPr>
        <w:t xml:space="preserve">incentives to OHLGS to: (a) ensure that key </w:t>
      </w:r>
      <w:r>
        <w:rPr>
          <w:rFonts w:ascii="Times New Roman" w:hAnsi="Times New Roman" w:cs="Times New Roman"/>
        </w:rPr>
        <w:t xml:space="preserve">and core </w:t>
      </w:r>
      <w:r w:rsidRPr="00BF3C35">
        <w:rPr>
          <w:rFonts w:ascii="Times New Roman" w:hAnsi="Times New Roman" w:cs="Times New Roman"/>
        </w:rPr>
        <w:t>RCC</w:t>
      </w:r>
      <w:r>
        <w:rPr>
          <w:rStyle w:val="FootnoteReference"/>
          <w:rFonts w:ascii="Times New Roman" w:hAnsi="Times New Roman"/>
        </w:rPr>
        <w:footnoteReference w:id="18"/>
      </w:r>
      <w:r w:rsidRPr="00BF3C35">
        <w:rPr>
          <w:rFonts w:ascii="Times New Roman" w:hAnsi="Times New Roman" w:cs="Times New Roman"/>
        </w:rPr>
        <w:t xml:space="preserve"> and MA</w:t>
      </w:r>
      <w:r>
        <w:rPr>
          <w:rStyle w:val="FootnoteReference"/>
          <w:rFonts w:ascii="Times New Roman" w:hAnsi="Times New Roman"/>
        </w:rPr>
        <w:footnoteReference w:id="19"/>
      </w:r>
      <w:r w:rsidRPr="00BF3C35">
        <w:rPr>
          <w:rFonts w:ascii="Times New Roman" w:hAnsi="Times New Roman" w:cs="Times New Roman"/>
        </w:rPr>
        <w:t xml:space="preserve"> staff are in position; and (b) provide MAs and RCCs with the capacity building support needed for them to perform </w:t>
      </w:r>
      <w:r>
        <w:rPr>
          <w:rFonts w:ascii="Times New Roman" w:hAnsi="Times New Roman" w:cs="Times New Roman"/>
        </w:rPr>
        <w:t>their functions</w:t>
      </w:r>
      <w:r w:rsidRPr="00BF3C35">
        <w:rPr>
          <w:rFonts w:ascii="Times New Roman" w:hAnsi="Times New Roman" w:cs="Times New Roman"/>
        </w:rPr>
        <w:t xml:space="preserve">. </w:t>
      </w:r>
    </w:p>
    <w:p w14:paraId="4439FC98" w14:textId="77777777" w:rsidR="004A2883" w:rsidRPr="00C04684" w:rsidRDefault="004A2883" w:rsidP="004A2883">
      <w:pPr>
        <w:spacing w:after="0" w:line="240" w:lineRule="auto"/>
        <w:contextualSpacing/>
        <w:jc w:val="both"/>
        <w:rPr>
          <w:rFonts w:ascii="Times New Roman" w:eastAsia="Times New Roman" w:hAnsi="Times New Roman" w:cs="Times New Roman"/>
        </w:rPr>
      </w:pPr>
    </w:p>
    <w:p w14:paraId="7F9C31C6" w14:textId="77777777" w:rsidR="004A2883" w:rsidRDefault="004A2883" w:rsidP="00CB2188">
      <w:pPr>
        <w:pStyle w:val="Header"/>
        <w:tabs>
          <w:tab w:val="clear" w:pos="4680"/>
          <w:tab w:val="clear" w:pos="9360"/>
        </w:tabs>
      </w:pPr>
      <w:r w:rsidRPr="00C04684">
        <w:rPr>
          <w:b/>
        </w:rPr>
        <w:t xml:space="preserve">Taken together, </w:t>
      </w:r>
      <w:r w:rsidRPr="00FF2AA8">
        <w:t>the eight DLIs provide incentives for both national and sub-national stakeholders to collectively deliver the Program’s development objective of improved urban governance and urban service delivery</w:t>
      </w:r>
      <w:r w:rsidRPr="00C04684">
        <w:t>.</w:t>
      </w:r>
    </w:p>
    <w:p w14:paraId="262E81FA" w14:textId="77777777" w:rsidR="004A2883" w:rsidRDefault="004A2883" w:rsidP="004A2883">
      <w:pPr>
        <w:pStyle w:val="Header"/>
        <w:tabs>
          <w:tab w:val="clear" w:pos="4680"/>
          <w:tab w:val="clear" w:pos="9360"/>
        </w:tabs>
      </w:pPr>
    </w:p>
    <w:p w14:paraId="613D0FD6" w14:textId="77777777" w:rsidR="004A2883" w:rsidRPr="00FF2AA8" w:rsidRDefault="004A2883" w:rsidP="00CB2188">
      <w:pPr>
        <w:pStyle w:val="Header"/>
        <w:tabs>
          <w:tab w:val="clear" w:pos="4680"/>
          <w:tab w:val="clear" w:pos="9360"/>
        </w:tabs>
      </w:pPr>
      <w:r w:rsidRPr="00FF2AA8">
        <w:rPr>
          <w:b/>
        </w:rPr>
        <w:t>Verification protocols for the Disbursed Link Results (DLRs):</w:t>
      </w:r>
      <w:r w:rsidRPr="00FF2AA8">
        <w:t xml:space="preserve"> an independent verification agent (IVA) will be hired by MLGRD every year to carry out: (a) annual assessments of MA performance with respect to CSGs and UDGs; (b) annual assessments of RCC performance; (c) annual performance of the MLGRD, and (d) assessments of disbursement-linked results. The World Bank will retain the right to make any final decisions as to whether or not a DLI has been achieved. For purposes of final verification, the World Bank will ensure regular independent quality assurance of both the APA process and stakeholder reporting on DLI achievement. The details of the DLIs and the verification protocol is provided in Annex 3. The summary of the verification protocol steps for the DLIs is presented below.</w:t>
      </w:r>
    </w:p>
    <w:p w14:paraId="7E957189" w14:textId="77777777" w:rsidR="004A2883" w:rsidRPr="00EC6D2C" w:rsidRDefault="004A2883" w:rsidP="004A2883">
      <w:pPr>
        <w:pStyle w:val="NoSpacing"/>
        <w:jc w:val="both"/>
        <w:rPr>
          <w:rFonts w:ascii="Times New Roman" w:hAnsi="Times New Roman"/>
          <w:lang w:eastAsia="da-DK"/>
        </w:rPr>
      </w:pPr>
    </w:p>
    <w:p w14:paraId="46318B15" w14:textId="77777777" w:rsidR="004A2883" w:rsidRPr="00EC6D2C" w:rsidRDefault="004A2883" w:rsidP="00F273E1">
      <w:pPr>
        <w:pStyle w:val="NoSpacing"/>
        <w:numPr>
          <w:ilvl w:val="0"/>
          <w:numId w:val="54"/>
        </w:numPr>
        <w:ind w:left="1260" w:hanging="540"/>
        <w:contextualSpacing/>
        <w:jc w:val="both"/>
        <w:rPr>
          <w:rFonts w:ascii="Times New Roman" w:hAnsi="Times New Roman"/>
        </w:rPr>
      </w:pPr>
      <w:r w:rsidRPr="00EC6D2C">
        <w:rPr>
          <w:rFonts w:ascii="Times New Roman" w:hAnsi="Times New Roman"/>
        </w:rPr>
        <w:t>An annual assessment will be commissioned by M</w:t>
      </w:r>
      <w:r>
        <w:rPr>
          <w:rFonts w:ascii="Times New Roman" w:hAnsi="Times New Roman"/>
        </w:rPr>
        <w:t>LGRD</w:t>
      </w:r>
      <w:r w:rsidRPr="00EC6D2C">
        <w:rPr>
          <w:rFonts w:ascii="Times New Roman" w:hAnsi="Times New Roman"/>
        </w:rPr>
        <w:t xml:space="preserve"> and will be undertaken by a reputable independent firm. M</w:t>
      </w:r>
      <w:r>
        <w:rPr>
          <w:rFonts w:ascii="Times New Roman" w:hAnsi="Times New Roman"/>
        </w:rPr>
        <w:t xml:space="preserve">LGRD </w:t>
      </w:r>
      <w:r w:rsidRPr="00EC6D2C">
        <w:rPr>
          <w:rFonts w:ascii="Times New Roman" w:hAnsi="Times New Roman"/>
        </w:rPr>
        <w:t xml:space="preserve">will ensure that the terms of reference for this firm are satisfactory to the Bank. The annual performance assessment will </w:t>
      </w:r>
      <w:r>
        <w:rPr>
          <w:rFonts w:ascii="Times New Roman" w:hAnsi="Times New Roman"/>
        </w:rPr>
        <w:t xml:space="preserve">(i) confirm MAs’ meeting the requirements to access the CSG under the program, (ii) </w:t>
      </w:r>
      <w:r w:rsidRPr="00EC6D2C">
        <w:rPr>
          <w:rFonts w:ascii="Times New Roman" w:hAnsi="Times New Roman"/>
        </w:rPr>
        <w:t xml:space="preserve">measure the performance of each Program </w:t>
      </w:r>
      <w:r>
        <w:rPr>
          <w:rFonts w:ascii="Times New Roman" w:hAnsi="Times New Roman"/>
        </w:rPr>
        <w:t>MA</w:t>
      </w:r>
      <w:r w:rsidRPr="00EC6D2C">
        <w:rPr>
          <w:rFonts w:ascii="Times New Roman" w:hAnsi="Times New Roman"/>
        </w:rPr>
        <w:t xml:space="preserve"> against the Program’s minimum conditions</w:t>
      </w:r>
      <w:r>
        <w:rPr>
          <w:rFonts w:ascii="Times New Roman" w:hAnsi="Times New Roman"/>
        </w:rPr>
        <w:t xml:space="preserve"> (DPAT national average score)</w:t>
      </w:r>
      <w:r w:rsidRPr="00EC6D2C">
        <w:rPr>
          <w:rFonts w:ascii="Times New Roman" w:hAnsi="Times New Roman"/>
        </w:rPr>
        <w:t xml:space="preserve">, </w:t>
      </w:r>
      <w:r>
        <w:rPr>
          <w:rFonts w:ascii="Times New Roman" w:hAnsi="Times New Roman"/>
        </w:rPr>
        <w:t xml:space="preserve">and urban </w:t>
      </w:r>
      <w:r w:rsidRPr="00EC6D2C">
        <w:rPr>
          <w:rFonts w:ascii="Times New Roman" w:hAnsi="Times New Roman"/>
        </w:rPr>
        <w:t xml:space="preserve">performance </w:t>
      </w:r>
      <w:r>
        <w:rPr>
          <w:rFonts w:ascii="Times New Roman" w:hAnsi="Times New Roman"/>
        </w:rPr>
        <w:t>benchmarks; (iii) measure the RCC</w:t>
      </w:r>
      <w:r w:rsidRPr="00EC6D2C">
        <w:rPr>
          <w:rFonts w:ascii="Times New Roman" w:hAnsi="Times New Roman"/>
        </w:rPr>
        <w:t xml:space="preserve"> </w:t>
      </w:r>
      <w:r>
        <w:rPr>
          <w:rFonts w:ascii="Times New Roman" w:hAnsi="Times New Roman"/>
        </w:rPr>
        <w:t>implementation of its a</w:t>
      </w:r>
      <w:r w:rsidRPr="00EC6D2C">
        <w:rPr>
          <w:rFonts w:ascii="Times New Roman" w:hAnsi="Times New Roman"/>
        </w:rPr>
        <w:t>nnual plan</w:t>
      </w:r>
      <w:r>
        <w:rPr>
          <w:rStyle w:val="FootnoteReference"/>
          <w:rFonts w:ascii="Times New Roman" w:hAnsi="Times New Roman"/>
        </w:rPr>
        <w:footnoteReference w:id="20"/>
      </w:r>
      <w:r w:rsidRPr="00EC6D2C">
        <w:rPr>
          <w:rFonts w:ascii="Times New Roman" w:hAnsi="Times New Roman"/>
        </w:rPr>
        <w:t xml:space="preserve"> to </w:t>
      </w:r>
      <w:r>
        <w:rPr>
          <w:rFonts w:ascii="Times New Roman" w:hAnsi="Times New Roman"/>
        </w:rPr>
        <w:t xml:space="preserve">back-stop and </w:t>
      </w:r>
      <w:r w:rsidRPr="00EC6D2C">
        <w:rPr>
          <w:rFonts w:ascii="Times New Roman" w:hAnsi="Times New Roman"/>
        </w:rPr>
        <w:t xml:space="preserve">build capacity of </w:t>
      </w:r>
      <w:r>
        <w:rPr>
          <w:rFonts w:ascii="Times New Roman" w:hAnsi="Times New Roman"/>
        </w:rPr>
        <w:t xml:space="preserve">MAs </w:t>
      </w:r>
      <w:r w:rsidRPr="00EC6D2C">
        <w:rPr>
          <w:rFonts w:ascii="Times New Roman" w:hAnsi="Times New Roman"/>
        </w:rPr>
        <w:t>and to support the Program objectives</w:t>
      </w:r>
      <w:r>
        <w:rPr>
          <w:rFonts w:ascii="Times New Roman" w:hAnsi="Times New Roman"/>
        </w:rPr>
        <w:t xml:space="preserve">; (iv) assess the timeliness of the APA by MLGRD and measure the progress of implementation of the MLGRD/MDAs annual Program work plan; and (v) confirm that OHLGS has posted the key and core staff both at RCC and MAs and measure the progress of implementation of OHLGS annual Program work plan to support RCCs and MAs. </w:t>
      </w:r>
      <w:r w:rsidRPr="00EC6D2C">
        <w:rPr>
          <w:rFonts w:ascii="Times New Roman" w:hAnsi="Times New Roman"/>
        </w:rPr>
        <w:t xml:space="preserve">On the basis of the assessment findings, the firm will assign a score to each </w:t>
      </w:r>
      <w:r>
        <w:rPr>
          <w:rFonts w:ascii="Times New Roman" w:hAnsi="Times New Roman"/>
        </w:rPr>
        <w:t xml:space="preserve">MA, RCC, MLGRD and OHLGS </w:t>
      </w:r>
      <w:r w:rsidRPr="00EC6D2C">
        <w:rPr>
          <w:rFonts w:ascii="Times New Roman" w:hAnsi="Times New Roman"/>
        </w:rPr>
        <w:t xml:space="preserve">and calculate the allocation to each as per formula in the Bank Disbursement Table, and provide the aggregate disbursement amount along with the </w:t>
      </w:r>
      <w:r>
        <w:rPr>
          <w:rFonts w:ascii="Times New Roman" w:hAnsi="Times New Roman"/>
        </w:rPr>
        <w:t xml:space="preserve">consolidated </w:t>
      </w:r>
      <w:r w:rsidRPr="00EC6D2C">
        <w:rPr>
          <w:rFonts w:ascii="Times New Roman" w:hAnsi="Times New Roman"/>
        </w:rPr>
        <w:t>full assessment report and its findings simultaneously to Go</w:t>
      </w:r>
      <w:r>
        <w:rPr>
          <w:rFonts w:ascii="Times New Roman" w:hAnsi="Times New Roman"/>
        </w:rPr>
        <w:t xml:space="preserve">G </w:t>
      </w:r>
      <w:r w:rsidRPr="00EC6D2C">
        <w:rPr>
          <w:rFonts w:ascii="Times New Roman" w:hAnsi="Times New Roman"/>
        </w:rPr>
        <w:t>and the Bank for review;</w:t>
      </w:r>
    </w:p>
    <w:p w14:paraId="75B17746" w14:textId="77777777" w:rsidR="004A2883" w:rsidRPr="00EC6D2C" w:rsidRDefault="004A2883" w:rsidP="004A2883">
      <w:pPr>
        <w:pStyle w:val="NoSpacing"/>
        <w:ind w:left="1260"/>
        <w:contextualSpacing/>
        <w:jc w:val="both"/>
        <w:rPr>
          <w:rFonts w:ascii="Times New Roman" w:hAnsi="Times New Roman"/>
        </w:rPr>
      </w:pPr>
    </w:p>
    <w:p w14:paraId="34399FAF" w14:textId="77777777" w:rsidR="004A2883" w:rsidRPr="00EC6D2C" w:rsidRDefault="004A2883" w:rsidP="00F273E1">
      <w:pPr>
        <w:pStyle w:val="NoSpacing"/>
        <w:numPr>
          <w:ilvl w:val="0"/>
          <w:numId w:val="54"/>
        </w:numPr>
        <w:ind w:left="1260" w:hanging="540"/>
        <w:contextualSpacing/>
        <w:jc w:val="both"/>
        <w:rPr>
          <w:rFonts w:ascii="Times New Roman" w:hAnsi="Times New Roman"/>
        </w:rPr>
      </w:pPr>
      <w:r w:rsidRPr="00EC6D2C">
        <w:rPr>
          <w:rFonts w:ascii="Times New Roman" w:hAnsi="Times New Roman"/>
        </w:rPr>
        <w:t xml:space="preserve">The </w:t>
      </w:r>
      <w:r>
        <w:rPr>
          <w:rFonts w:ascii="Times New Roman" w:hAnsi="Times New Roman"/>
        </w:rPr>
        <w:t xml:space="preserve">Steering Committee of the IMCC </w:t>
      </w:r>
      <w:r w:rsidRPr="00EC6D2C">
        <w:rPr>
          <w:rFonts w:ascii="Times New Roman" w:hAnsi="Times New Roman"/>
        </w:rPr>
        <w:t xml:space="preserve">will verify that the assessment results are accurate and the disbursement from the central government to </w:t>
      </w:r>
      <w:r>
        <w:rPr>
          <w:rFonts w:ascii="Times New Roman" w:hAnsi="Times New Roman"/>
        </w:rPr>
        <w:t xml:space="preserve">MAs, RCCs, MLGRD/OHLGS </w:t>
      </w:r>
      <w:r w:rsidRPr="00EC6D2C">
        <w:rPr>
          <w:rFonts w:ascii="Times New Roman" w:hAnsi="Times New Roman"/>
        </w:rPr>
        <w:t xml:space="preserve">of Program funds in the last </w:t>
      </w:r>
      <w:r>
        <w:rPr>
          <w:rFonts w:ascii="Times New Roman" w:hAnsi="Times New Roman"/>
        </w:rPr>
        <w:t xml:space="preserve">fiscal year </w:t>
      </w:r>
      <w:r w:rsidRPr="00EC6D2C">
        <w:rPr>
          <w:rFonts w:ascii="Times New Roman" w:hAnsi="Times New Roman"/>
        </w:rPr>
        <w:t xml:space="preserve">has been done on time (starting with the second disbursement of Program duration). </w:t>
      </w:r>
      <w:r>
        <w:rPr>
          <w:rFonts w:ascii="Times New Roman" w:hAnsi="Times New Roman"/>
        </w:rPr>
        <w:t xml:space="preserve">The Steering Committee of IMCC </w:t>
      </w:r>
      <w:r w:rsidRPr="00EC6D2C">
        <w:rPr>
          <w:rFonts w:ascii="Times New Roman" w:hAnsi="Times New Roman"/>
        </w:rPr>
        <w:t xml:space="preserve">will review the assessment results for clear and indisputable errors; </w:t>
      </w:r>
    </w:p>
    <w:p w14:paraId="21AFBBBE" w14:textId="77777777" w:rsidR="004A2883" w:rsidRPr="00EC6D2C" w:rsidRDefault="004A2883" w:rsidP="004A2883">
      <w:pPr>
        <w:pStyle w:val="NoSpacing"/>
        <w:contextualSpacing/>
        <w:jc w:val="both"/>
        <w:rPr>
          <w:rFonts w:ascii="Times New Roman" w:hAnsi="Times New Roman"/>
        </w:rPr>
      </w:pPr>
    </w:p>
    <w:p w14:paraId="6DC22038" w14:textId="77777777" w:rsidR="004A2883" w:rsidRPr="001E5701" w:rsidRDefault="004A2883" w:rsidP="00F273E1">
      <w:pPr>
        <w:pStyle w:val="NoSpacing"/>
        <w:numPr>
          <w:ilvl w:val="0"/>
          <w:numId w:val="54"/>
        </w:numPr>
        <w:ind w:left="1260" w:hanging="540"/>
        <w:contextualSpacing/>
        <w:jc w:val="both"/>
        <w:rPr>
          <w:rFonts w:ascii="Times New Roman" w:hAnsi="Times New Roman"/>
        </w:rPr>
      </w:pPr>
      <w:r w:rsidRPr="001E5701">
        <w:rPr>
          <w:rFonts w:ascii="Times New Roman" w:hAnsi="Times New Roman"/>
        </w:rPr>
        <w:t>As part of implementation support, the Bank will review the assessment results, the allocation amount and will ensure that there was timely disbursement of Program funds in the previous year. Bank’s final review will prevail in the case of any disputes.</w:t>
      </w:r>
    </w:p>
    <w:p w14:paraId="4B5AE706" w14:textId="77777777" w:rsidR="004A2883" w:rsidRPr="00FF2AA8" w:rsidRDefault="004A2883" w:rsidP="00CA0715">
      <w:pPr>
        <w:pStyle w:val="Heading2"/>
      </w:pPr>
      <w:bookmarkStart w:id="11" w:name="_Toc513481928"/>
      <w:r w:rsidRPr="00FF2AA8">
        <w:rPr>
          <w:rStyle w:val="Heading2Char"/>
          <w:rFonts w:ascii="Times New Roman" w:hAnsi="Times New Roman"/>
        </w:rPr>
        <w:t>Capacity Building and Institutional Strengthening</w:t>
      </w:r>
      <w:bookmarkEnd w:id="11"/>
      <w:r w:rsidRPr="00FF2AA8">
        <w:rPr>
          <w:rStyle w:val="Heading2Char"/>
        </w:rPr>
        <w:t xml:space="preserve"> </w:t>
      </w:r>
    </w:p>
    <w:p w14:paraId="795DB38F" w14:textId="77777777" w:rsidR="004A2883" w:rsidRPr="00B65FDD" w:rsidRDefault="004A2883" w:rsidP="004A2883">
      <w:pPr>
        <w:pStyle w:val="NoSpacing"/>
        <w:rPr>
          <w:rFonts w:ascii="Times New Roman" w:hAnsi="Times New Roman"/>
        </w:rPr>
      </w:pPr>
    </w:p>
    <w:p w14:paraId="1ABE61BF" w14:textId="77777777" w:rsidR="004A2883" w:rsidRDefault="004A2883" w:rsidP="00CB2188">
      <w:pPr>
        <w:pStyle w:val="NoSpacing"/>
        <w:jc w:val="both"/>
        <w:rPr>
          <w:rFonts w:ascii="Times New Roman" w:hAnsi="Times New Roman"/>
          <w:color w:val="000000"/>
        </w:rPr>
      </w:pPr>
      <w:r w:rsidRPr="00407B07">
        <w:rPr>
          <w:rFonts w:ascii="Times New Roman" w:hAnsi="Times New Roman"/>
          <w:b/>
          <w:color w:val="000000"/>
        </w:rPr>
        <w:t>Much of the focus of the Program is on strengthening the capacities and operating systems of MAs, and on the intergovernmental system which provides the basic resource, institutional and incentive framework within which they operate</w:t>
      </w:r>
      <w:r w:rsidRPr="00407B07">
        <w:rPr>
          <w:rFonts w:ascii="Times New Roman" w:hAnsi="Times New Roman"/>
          <w:color w:val="000000"/>
        </w:rPr>
        <w:t xml:space="preserve">. In general terms, this systemic and capacity-building activity is addressed through three interrelated mechanisms: (i) the </w:t>
      </w:r>
      <w:r>
        <w:rPr>
          <w:rFonts w:ascii="Times New Roman" w:hAnsi="Times New Roman"/>
          <w:color w:val="000000"/>
        </w:rPr>
        <w:t xml:space="preserve">UDG </w:t>
      </w:r>
      <w:r w:rsidRPr="00407B07">
        <w:rPr>
          <w:rFonts w:ascii="Times New Roman" w:hAnsi="Times New Roman"/>
          <w:color w:val="000000"/>
        </w:rPr>
        <w:t xml:space="preserve">which </w:t>
      </w:r>
      <w:r>
        <w:rPr>
          <w:rFonts w:ascii="Times New Roman" w:hAnsi="Times New Roman"/>
          <w:color w:val="000000"/>
        </w:rPr>
        <w:t xml:space="preserve">is a performance base grant and </w:t>
      </w:r>
      <w:r w:rsidRPr="00407B07">
        <w:rPr>
          <w:rFonts w:ascii="Times New Roman" w:hAnsi="Times New Roman"/>
          <w:color w:val="000000"/>
        </w:rPr>
        <w:t xml:space="preserve">provides the demand-side incentives for </w:t>
      </w:r>
      <w:r>
        <w:rPr>
          <w:rFonts w:ascii="Times New Roman" w:hAnsi="Times New Roman"/>
          <w:color w:val="000000"/>
        </w:rPr>
        <w:t>MAs</w:t>
      </w:r>
      <w:r w:rsidRPr="00407B07">
        <w:rPr>
          <w:rFonts w:ascii="Times New Roman" w:hAnsi="Times New Roman"/>
          <w:color w:val="000000"/>
        </w:rPr>
        <w:t xml:space="preserve"> capacity-building activity; (ii) the </w:t>
      </w:r>
      <w:r>
        <w:rPr>
          <w:rFonts w:ascii="Times New Roman" w:hAnsi="Times New Roman"/>
          <w:color w:val="000000"/>
        </w:rPr>
        <w:t xml:space="preserve">CSG </w:t>
      </w:r>
      <w:r w:rsidRPr="00407B07">
        <w:rPr>
          <w:rFonts w:ascii="Times New Roman" w:hAnsi="Times New Roman"/>
          <w:color w:val="000000"/>
        </w:rPr>
        <w:t>which provides M</w:t>
      </w:r>
      <w:r>
        <w:rPr>
          <w:rFonts w:ascii="Times New Roman" w:hAnsi="Times New Roman"/>
          <w:color w:val="000000"/>
        </w:rPr>
        <w:t>As</w:t>
      </w:r>
      <w:r w:rsidRPr="00407B07">
        <w:rPr>
          <w:rFonts w:ascii="Times New Roman" w:hAnsi="Times New Roman"/>
          <w:color w:val="000000"/>
        </w:rPr>
        <w:t xml:space="preserve"> with dedicated resources to invest in capacity-building activity; and (iii) activities undertaken by the MoLHUD</w:t>
      </w:r>
      <w:r>
        <w:rPr>
          <w:rFonts w:ascii="Times New Roman" w:hAnsi="Times New Roman"/>
          <w:color w:val="000000"/>
        </w:rPr>
        <w:t xml:space="preserve"> and OHLGS</w:t>
      </w:r>
      <w:r w:rsidRPr="00407B07">
        <w:rPr>
          <w:rFonts w:ascii="Times New Roman" w:hAnsi="Times New Roman"/>
          <w:color w:val="000000"/>
        </w:rPr>
        <w:t xml:space="preserve"> to support and guide the capacity-building efforts of </w:t>
      </w:r>
      <w:r>
        <w:rPr>
          <w:rFonts w:ascii="Times New Roman" w:hAnsi="Times New Roman"/>
          <w:color w:val="000000"/>
        </w:rPr>
        <w:t xml:space="preserve">Program MAs </w:t>
      </w:r>
      <w:r w:rsidRPr="00407B07">
        <w:rPr>
          <w:rFonts w:ascii="Times New Roman" w:hAnsi="Times New Roman"/>
          <w:color w:val="000000"/>
        </w:rPr>
        <w:t>and to develop national systems for improved urban development and management.</w:t>
      </w:r>
    </w:p>
    <w:p w14:paraId="14B8AC57" w14:textId="77777777" w:rsidR="004A2883" w:rsidRDefault="004A2883" w:rsidP="004A2883">
      <w:pPr>
        <w:pStyle w:val="NoSpacing"/>
        <w:jc w:val="both"/>
        <w:rPr>
          <w:rFonts w:ascii="Times New Roman" w:hAnsi="Times New Roman"/>
          <w:color w:val="000000"/>
        </w:rPr>
      </w:pPr>
    </w:p>
    <w:p w14:paraId="0BB831D1" w14:textId="77777777" w:rsidR="004A2883" w:rsidRDefault="004A2883" w:rsidP="00CB2188">
      <w:pPr>
        <w:pStyle w:val="NoSpacing"/>
        <w:jc w:val="both"/>
        <w:rPr>
          <w:rFonts w:ascii="Times New Roman" w:hAnsi="Times New Roman"/>
          <w:color w:val="000000"/>
        </w:rPr>
      </w:pPr>
      <w:r w:rsidRPr="00FF2AA8">
        <w:rPr>
          <w:rFonts w:ascii="Times New Roman" w:hAnsi="Times New Roman"/>
          <w:b/>
          <w:color w:val="000000"/>
        </w:rPr>
        <w:t>The UDG will be used by MAs for provision of urban infrastructure/services and in the process the will be exposed to learning by doing. The CSG will be used by MAs for both human resource development and the installation, enhancement and improvement of operating systems in accordance with local priorities</w:t>
      </w:r>
      <w:r w:rsidRPr="00FF2AA8">
        <w:rPr>
          <w:rFonts w:ascii="Times New Roman" w:hAnsi="Times New Roman"/>
          <w:color w:val="000000"/>
        </w:rPr>
        <w:t xml:space="preserve">. On the human resource side, MAs will use the CSG to access formal training from existing local institutions/firms as is the current practice under Bank funded LGCSP. Training and support of this type – and for systems enhancement - will be procured by municipal LGs themselves on the basis of their annual capacity-building plans which will be formulated on the same timing cycle as their development plans. The key areas of focus are expected to be linked to the DPAT indicators as well as the urban performance benchmark indicators. </w:t>
      </w:r>
    </w:p>
    <w:p w14:paraId="345BD8D9" w14:textId="77777777" w:rsidR="004A2883" w:rsidRPr="00FF2AA8" w:rsidRDefault="004A2883" w:rsidP="004A2883">
      <w:pPr>
        <w:spacing w:after="0" w:line="240" w:lineRule="auto"/>
        <w:rPr>
          <w:rFonts w:ascii="Times New Roman" w:hAnsi="Times New Roman" w:cs="Times New Roman"/>
        </w:rPr>
      </w:pPr>
    </w:p>
    <w:p w14:paraId="429ABFF8" w14:textId="77777777" w:rsidR="004A2883" w:rsidRDefault="004A2883" w:rsidP="00CB2188">
      <w:pPr>
        <w:pStyle w:val="NoSpacing"/>
        <w:jc w:val="both"/>
        <w:rPr>
          <w:rFonts w:ascii="Times New Roman" w:hAnsi="Times New Roman"/>
          <w:color w:val="000000"/>
        </w:rPr>
      </w:pPr>
      <w:r w:rsidRPr="00FF2AA8">
        <w:rPr>
          <w:rFonts w:ascii="Times New Roman" w:hAnsi="Times New Roman"/>
          <w:b/>
        </w:rPr>
        <w:t>At the central level, OHLGS will provide guidance to MAs in the formulation and execution of their capacity-building plans, as well as a limited amount of supply driven capacity-building support directly to the MAs</w:t>
      </w:r>
      <w:r w:rsidRPr="00FF2AA8">
        <w:rPr>
          <w:rFonts w:ascii="Times New Roman" w:hAnsi="Times New Roman"/>
        </w:rPr>
        <w:t xml:space="preserve">. Training of this type will be provided through a number of OHLGS centrally procured and managed mentoring activities intended to address specific issues in a MA and RCC or cross cutting issues affecting all the RCCs and MAs. </w:t>
      </w:r>
    </w:p>
    <w:p w14:paraId="45C35D58" w14:textId="77777777" w:rsidR="004A2883" w:rsidRPr="00FF2AA8" w:rsidRDefault="004A2883" w:rsidP="004A2883">
      <w:pPr>
        <w:spacing w:after="0" w:line="240" w:lineRule="auto"/>
        <w:rPr>
          <w:rFonts w:ascii="Times New Roman" w:hAnsi="Times New Roman" w:cs="Times New Roman"/>
        </w:rPr>
      </w:pPr>
    </w:p>
    <w:p w14:paraId="43640A93" w14:textId="420DA3EF" w:rsidR="004A2883" w:rsidRDefault="004A2883" w:rsidP="00100E82">
      <w:pPr>
        <w:pStyle w:val="NoSpacing"/>
        <w:jc w:val="both"/>
        <w:rPr>
          <w:rFonts w:ascii="Times New Roman" w:hAnsi="Times New Roman"/>
          <w:highlight w:val="yellow"/>
        </w:rPr>
      </w:pPr>
      <w:r w:rsidRPr="00FF2AA8">
        <w:rPr>
          <w:rFonts w:ascii="Times New Roman" w:hAnsi="Times New Roman"/>
          <w:b/>
        </w:rPr>
        <w:t>A number of capacity building and institutional strengthening activities have been identified as part of the institutional assessment for Program implementation.</w:t>
      </w:r>
      <w:r w:rsidRPr="00FF2AA8">
        <w:rPr>
          <w:rFonts w:ascii="Times New Roman" w:hAnsi="Times New Roman"/>
        </w:rPr>
        <w:t xml:space="preserve"> The key capacity building and institutional strengthening activities have been incorporated into the Program design as part of the Program Results Framework, DLIs, and the Program Action Plan. Activities to be implemented with Bank technical support have also been described in the Implementation Support Plan in annex 9</w:t>
      </w:r>
      <w:r w:rsidR="00CB2188">
        <w:rPr>
          <w:rFonts w:ascii="Times New Roman" w:hAnsi="Times New Roman"/>
        </w:rPr>
        <w:t xml:space="preserve"> of the PAD</w:t>
      </w:r>
      <w:r w:rsidRPr="00FF2AA8">
        <w:rPr>
          <w:rFonts w:ascii="Times New Roman" w:hAnsi="Times New Roman"/>
        </w:rPr>
        <w:t xml:space="preserve">. </w:t>
      </w:r>
    </w:p>
    <w:p w14:paraId="79DEC46A" w14:textId="3C6D9855" w:rsidR="00100E82" w:rsidRPr="00B65FDD" w:rsidRDefault="00100E82" w:rsidP="00CA0715">
      <w:pPr>
        <w:pStyle w:val="Heading2"/>
      </w:pPr>
      <w:bookmarkStart w:id="12" w:name="_Toc513481930"/>
      <w:r w:rsidRPr="00B65FDD">
        <w:t xml:space="preserve">Institutional </w:t>
      </w:r>
      <w:r>
        <w:t>and Implementation Arrangements</w:t>
      </w:r>
      <w:bookmarkEnd w:id="12"/>
    </w:p>
    <w:p w14:paraId="72221356" w14:textId="77777777" w:rsidR="00100E82" w:rsidRDefault="00100E82" w:rsidP="00100E82">
      <w:pPr>
        <w:pStyle w:val="NoSpacing"/>
        <w:rPr>
          <w:rFonts w:ascii="Times New Roman" w:hAnsi="Times New Roman"/>
        </w:rPr>
      </w:pPr>
    </w:p>
    <w:p w14:paraId="204CBBC3" w14:textId="6BAE2BA5" w:rsidR="00100E82" w:rsidRDefault="00100E82" w:rsidP="00100E82">
      <w:pPr>
        <w:pStyle w:val="NoSpacing"/>
        <w:jc w:val="both"/>
        <w:rPr>
          <w:rFonts w:ascii="Times New Roman" w:hAnsi="Times New Roman"/>
        </w:rPr>
      </w:pPr>
      <w:r w:rsidRPr="004A21B6">
        <w:rPr>
          <w:rFonts w:ascii="Times New Roman" w:hAnsi="Times New Roman"/>
          <w:b/>
        </w:rPr>
        <w:t>The GSCSP will be implemented through institutional arrangements that are mainstreamed into the existing structures, systems and processes of the GOG at the central, regional and local governments’ levels.</w:t>
      </w:r>
      <w:r w:rsidRPr="00B74F1A">
        <w:rPr>
          <w:rFonts w:ascii="Times New Roman" w:hAnsi="Times New Roman"/>
        </w:rPr>
        <w:t xml:space="preserve"> In this regard, besides the participating Municipal Assemblies (MAs), which are the primary target beneficiaries and implementing agencies of the Program, </w:t>
      </w:r>
      <w:r>
        <w:rPr>
          <w:rFonts w:ascii="Times New Roman" w:hAnsi="Times New Roman"/>
        </w:rPr>
        <w:t xml:space="preserve">there are </w:t>
      </w:r>
      <w:r w:rsidRPr="00B74F1A">
        <w:rPr>
          <w:rFonts w:ascii="Times New Roman" w:hAnsi="Times New Roman"/>
        </w:rPr>
        <w:t xml:space="preserve">many other </w:t>
      </w:r>
      <w:r>
        <w:rPr>
          <w:rFonts w:ascii="Times New Roman" w:hAnsi="Times New Roman"/>
        </w:rPr>
        <w:t xml:space="preserve">Ministries, Departments and Agencies (MDAs) that </w:t>
      </w:r>
      <w:r w:rsidRPr="00B74F1A">
        <w:rPr>
          <w:rFonts w:ascii="Times New Roman" w:hAnsi="Times New Roman"/>
        </w:rPr>
        <w:t xml:space="preserve">will </w:t>
      </w:r>
      <w:r>
        <w:rPr>
          <w:rFonts w:ascii="Times New Roman" w:hAnsi="Times New Roman"/>
        </w:rPr>
        <w:t xml:space="preserve">be </w:t>
      </w:r>
      <w:r w:rsidRPr="00B74F1A">
        <w:rPr>
          <w:rFonts w:ascii="Times New Roman" w:hAnsi="Times New Roman"/>
        </w:rPr>
        <w:t xml:space="preserve">making significant contributions towards successful implementation of the Program. The more prominent of the institutional mechanisms and organizations, and their roles, functions and accountabilities are described briefly below. </w:t>
      </w:r>
    </w:p>
    <w:p w14:paraId="3ACBE282" w14:textId="77777777" w:rsidR="00100E82" w:rsidRDefault="00100E82" w:rsidP="00100E82">
      <w:pPr>
        <w:pStyle w:val="NoSpacing"/>
        <w:jc w:val="both"/>
        <w:rPr>
          <w:rFonts w:ascii="Times New Roman" w:hAnsi="Times New Roman"/>
        </w:rPr>
      </w:pPr>
    </w:p>
    <w:p w14:paraId="3ABD77AF" w14:textId="77777777" w:rsidR="00100E82" w:rsidRDefault="00100E82" w:rsidP="00100E82">
      <w:pPr>
        <w:pStyle w:val="NoSpacing"/>
        <w:jc w:val="both"/>
        <w:rPr>
          <w:rFonts w:ascii="Times New Roman" w:hAnsi="Times New Roman"/>
        </w:rPr>
      </w:pPr>
      <w:r w:rsidRPr="00FF2AA8">
        <w:rPr>
          <w:rFonts w:ascii="Times New Roman" w:hAnsi="Times New Roman"/>
          <w:b/>
        </w:rPr>
        <w:t xml:space="preserve">The Ministry of Finance (MOF), through its Fiscal Decentralization Unit (FDU) and the Controller &amp; Accountant General Department (CAGD), has significant responsibilities in ensuring timely, efficient, effective and accountable implementation of the Program. </w:t>
      </w:r>
      <w:r w:rsidRPr="00FF2AA8">
        <w:rPr>
          <w:rFonts w:ascii="Times New Roman" w:hAnsi="Times New Roman"/>
        </w:rPr>
        <w:t>The MOF will be responsible for ensuring that Program resources are planned for in the Medium-Term Development Plans (MTDPs), and budgeted for and disbursed within the annual budgets of the relevant MAs, the RCCs and MDAs. Further, through its active participation in the IMCC, the Steering Committee (SC) and the Technical Working Group (TWG), the MOF will decisively influence the pace and effectiveness of the Program implementation.</w:t>
      </w:r>
    </w:p>
    <w:p w14:paraId="11A541FA" w14:textId="77777777" w:rsidR="00100E82" w:rsidRPr="00FF2AA8" w:rsidRDefault="00100E82" w:rsidP="00100E82">
      <w:pPr>
        <w:spacing w:after="0" w:line="240" w:lineRule="auto"/>
        <w:rPr>
          <w:rFonts w:ascii="Times New Roman" w:eastAsia="Times New Roman" w:hAnsi="Times New Roman" w:cs="Times New Roman"/>
        </w:rPr>
      </w:pPr>
    </w:p>
    <w:p w14:paraId="0BE0DFA7" w14:textId="77777777" w:rsidR="00100E82" w:rsidRPr="00FF2AA8" w:rsidRDefault="00100E82" w:rsidP="00100E82">
      <w:pPr>
        <w:pStyle w:val="NoSpacing"/>
        <w:jc w:val="both"/>
        <w:rPr>
          <w:rFonts w:ascii="Times New Roman" w:hAnsi="Times New Roman"/>
        </w:rPr>
      </w:pPr>
      <w:r w:rsidRPr="00FF2AA8">
        <w:rPr>
          <w:rFonts w:ascii="Times New Roman" w:eastAsia="Times New Roman" w:hAnsi="Times New Roman"/>
          <w:b/>
        </w:rPr>
        <w:t>The MLGRD will be the lead coordinating agency for the Program implementation</w:t>
      </w:r>
      <w:r w:rsidRPr="00FF2AA8">
        <w:rPr>
          <w:rFonts w:ascii="Times New Roman" w:eastAsia="Times New Roman" w:hAnsi="Times New Roman"/>
        </w:rPr>
        <w:t>. The MLGRD will plan, budget and collaborate in the execution of the Program with other MDAs such as the Office of the Head of Local Government Services (OHLGS), MOF/FDU, Land Use and Spatial Planning Authority (LUSPA), Land Valuation Division (LVD) and Environmental Protection Agency (EPA). Furthermore, t</w:t>
      </w:r>
      <w:r w:rsidRPr="00FF2AA8">
        <w:rPr>
          <w:rFonts w:ascii="Times New Roman" w:hAnsi="Times New Roman"/>
        </w:rPr>
        <w:t>he ministry will also be responsible for the overall disbursement and accounting for the Program funds, and reporting on the same to the SC and Parliament.</w:t>
      </w:r>
      <w:r w:rsidRPr="00FF2AA8">
        <w:rPr>
          <w:rFonts w:ascii="Times New Roman" w:eastAsia="Times New Roman" w:hAnsi="Times New Roman"/>
        </w:rPr>
        <w:t xml:space="preserve"> </w:t>
      </w:r>
    </w:p>
    <w:p w14:paraId="4CF0B640" w14:textId="77777777" w:rsidR="00100E82" w:rsidRPr="00FF2AA8" w:rsidRDefault="00100E82" w:rsidP="00100E82">
      <w:pPr>
        <w:spacing w:after="0" w:line="240" w:lineRule="auto"/>
        <w:rPr>
          <w:rFonts w:ascii="Times New Roman" w:eastAsia="Times New Roman" w:hAnsi="Times New Roman" w:cs="Times New Roman"/>
        </w:rPr>
      </w:pPr>
    </w:p>
    <w:p w14:paraId="498C9203" w14:textId="77777777" w:rsidR="00100E82" w:rsidRPr="00FF2AA8" w:rsidRDefault="00100E82" w:rsidP="00100E82">
      <w:pPr>
        <w:pStyle w:val="NoSpacing"/>
        <w:jc w:val="both"/>
        <w:rPr>
          <w:rFonts w:ascii="Times New Roman" w:hAnsi="Times New Roman"/>
        </w:rPr>
      </w:pPr>
      <w:r w:rsidRPr="00FF2AA8">
        <w:rPr>
          <w:rFonts w:ascii="Times New Roman" w:eastAsia="Times New Roman" w:hAnsi="Times New Roman"/>
          <w:b/>
        </w:rPr>
        <w:t>The roles and functions of Program implementation will be mainstreamed into the standing structures, systems and processes of the GOG, and therefore those of the MLGRD</w:t>
      </w:r>
      <w:r w:rsidRPr="00FF2AA8">
        <w:rPr>
          <w:rFonts w:ascii="Times New Roman" w:eastAsia="Times New Roman" w:hAnsi="Times New Roman"/>
        </w:rPr>
        <w:t xml:space="preserve">. In the latter context, relevant directorates and/or departments of the Ministry will assume direct responsibility for performing coordination, supervision and accountability for the various implementation activities required of the Ministry. In that overall framework, the Policy, Budgeting, Monitoring and Evaluation (PBME) Directorate of the MLGRD will be responsible for: (i) proactively supporting the Chief Director of the Ministry in coordinating the activities and inputs of the directorates and departments of the Ministry; and (ii) the overall management, including work-planning, budgeting, and monitoring and evaluation, of the Program implementation. This internal coordinating role encompasses identifying and closing gaps in the capacity of the Ministry to discharge its roles and functions in the Program implementation. </w:t>
      </w:r>
    </w:p>
    <w:p w14:paraId="30CA51FC" w14:textId="77777777" w:rsidR="00100E82" w:rsidRPr="00FF2AA8" w:rsidRDefault="00100E82" w:rsidP="00100E82">
      <w:pPr>
        <w:spacing w:after="0" w:line="240" w:lineRule="auto"/>
        <w:rPr>
          <w:rFonts w:ascii="Times New Roman" w:eastAsia="Times New Roman" w:hAnsi="Times New Roman" w:cs="Times New Roman"/>
        </w:rPr>
      </w:pPr>
    </w:p>
    <w:p w14:paraId="5CB802AB" w14:textId="2E4B7C88" w:rsidR="00100E82" w:rsidRPr="00FF2AA8" w:rsidRDefault="00100E82" w:rsidP="00100E82">
      <w:pPr>
        <w:pStyle w:val="NoSpacing"/>
        <w:jc w:val="both"/>
        <w:rPr>
          <w:rFonts w:ascii="Times New Roman" w:hAnsi="Times New Roman"/>
        </w:rPr>
      </w:pPr>
      <w:r w:rsidRPr="00FF2AA8">
        <w:rPr>
          <w:rFonts w:ascii="Times New Roman" w:eastAsia="Times New Roman" w:hAnsi="Times New Roman"/>
          <w:b/>
        </w:rPr>
        <w:t>With regard to closing gaps in the capacity of the Ministry to discharge its roles and functions in the Program implementation, the institutional assessment undertaken as part of the Program preparation has identified the need for the Ministry to continue with the technical assistance support it has had under the implementation of the LGCSP.</w:t>
      </w:r>
      <w:r w:rsidRPr="00FF2AA8">
        <w:rPr>
          <w:rFonts w:ascii="Times New Roman" w:eastAsia="Times New Roman" w:hAnsi="Times New Roman"/>
        </w:rPr>
        <w:t xml:space="preserve"> In addition, the assessment has recommended that the Ministry contracts the services of: a technical firm to support guidance, backstopping and quality assurance in design and implementation of the larger urban infrastructure projects to be implemented under the Program; and in-house technical experts in </w:t>
      </w:r>
      <w:r w:rsidRPr="00FF2AA8">
        <w:rPr>
          <w:rFonts w:ascii="Times New Roman" w:hAnsi="Times New Roman"/>
          <w:color w:val="000000" w:themeColor="text1"/>
        </w:rPr>
        <w:t>capacity building and institutional development, projects engineering and construction supervision, and environmental</w:t>
      </w:r>
      <w:r>
        <w:rPr>
          <w:rFonts w:ascii="Times New Roman" w:hAnsi="Times New Roman"/>
          <w:color w:val="000000" w:themeColor="text1"/>
        </w:rPr>
        <w:t xml:space="preserve"> and social</w:t>
      </w:r>
      <w:r w:rsidRPr="00FF2AA8">
        <w:rPr>
          <w:rFonts w:ascii="Times New Roman" w:hAnsi="Times New Roman"/>
          <w:color w:val="000000" w:themeColor="text1"/>
        </w:rPr>
        <w:t xml:space="preserve"> safeguards and resilience management.</w:t>
      </w:r>
      <w:r w:rsidRPr="00FF2AA8">
        <w:rPr>
          <w:rFonts w:ascii="Times New Roman" w:eastAsia="Times New Roman" w:hAnsi="Times New Roman"/>
        </w:rPr>
        <w:t xml:space="preserve"> </w:t>
      </w:r>
    </w:p>
    <w:p w14:paraId="1A4B36F6" w14:textId="77777777" w:rsidR="00100E82" w:rsidRPr="00FF2AA8" w:rsidRDefault="00100E82" w:rsidP="00100E82">
      <w:pPr>
        <w:spacing w:after="0" w:line="240" w:lineRule="auto"/>
        <w:rPr>
          <w:rFonts w:ascii="Times New Roman" w:eastAsia="Times New Roman" w:hAnsi="Times New Roman" w:cs="Times New Roman"/>
        </w:rPr>
      </w:pPr>
    </w:p>
    <w:p w14:paraId="528830DD" w14:textId="77777777" w:rsidR="00100E82" w:rsidRDefault="00100E82" w:rsidP="00100E82">
      <w:pPr>
        <w:pStyle w:val="NoSpacing"/>
        <w:jc w:val="both"/>
        <w:rPr>
          <w:rFonts w:ascii="Times New Roman" w:hAnsi="Times New Roman"/>
        </w:rPr>
      </w:pPr>
      <w:r w:rsidRPr="00FF2AA8">
        <w:rPr>
          <w:rFonts w:ascii="Times New Roman" w:eastAsia="Times New Roman" w:hAnsi="Times New Roman"/>
          <w:b/>
        </w:rPr>
        <w:t xml:space="preserve">The Office of the Head of Local Government Service (OHLGS) has the responsibility of </w:t>
      </w:r>
      <w:r w:rsidRPr="00FF2AA8">
        <w:rPr>
          <w:rFonts w:ascii="Times New Roman" w:hAnsi="Times New Roman"/>
          <w:b/>
        </w:rPr>
        <w:t xml:space="preserve">ensuring that the RCCs and participating MAs have the capacity to effectively and efficiently perform their role and functions under the Program. </w:t>
      </w:r>
      <w:r w:rsidRPr="00FF2AA8">
        <w:rPr>
          <w:rFonts w:ascii="Times New Roman" w:hAnsi="Times New Roman"/>
        </w:rPr>
        <w:t xml:space="preserve">To this end, the OHLGS will: (i) ensure that the RCCs and the MAs meet the core staffing requirements under the Program; and (ii) plan and execute relevant capacity building support to the RCCs and MAs. In the latter context, the OHLGS will be required (as a sub-set of minimum conditions) to ensure appropriate and adequate staffing of the participating MAs and RCCs prior to the disbursement of any Program funds to the MAs and the RCCs (see below). </w:t>
      </w:r>
    </w:p>
    <w:p w14:paraId="4DC782A6" w14:textId="77777777" w:rsidR="00100E82" w:rsidRPr="00C3372A" w:rsidRDefault="00100E82" w:rsidP="00100E82">
      <w:pPr>
        <w:spacing w:after="0" w:line="240" w:lineRule="auto"/>
        <w:rPr>
          <w:rFonts w:ascii="Times New Roman" w:hAnsi="Times New Roman" w:cs="Times New Roman"/>
        </w:rPr>
      </w:pPr>
    </w:p>
    <w:p w14:paraId="79EBF783" w14:textId="77777777" w:rsidR="00100E82" w:rsidRDefault="00100E82" w:rsidP="00100E82">
      <w:pPr>
        <w:pStyle w:val="NoSpacing"/>
        <w:jc w:val="both"/>
        <w:rPr>
          <w:rFonts w:ascii="Times New Roman" w:hAnsi="Times New Roman"/>
        </w:rPr>
      </w:pPr>
      <w:r w:rsidRPr="00C3372A">
        <w:rPr>
          <w:rFonts w:ascii="Times New Roman" w:hAnsi="Times New Roman"/>
          <w:b/>
        </w:rPr>
        <w:t>There will be a Steering Committee (SC) as part of the institutional and implementation arrangements for the GSCSP which are aligned to the mechanisms established for the implementation of the World Bank funded LGCSP and the GoG DPAT arrangements</w:t>
      </w:r>
      <w:r w:rsidRPr="00C3372A">
        <w:rPr>
          <w:rFonts w:ascii="Times New Roman" w:hAnsi="Times New Roman"/>
        </w:rPr>
        <w:t xml:space="preserve">. Thus, overall policy and strategic oversight and coordination for the Program implementation will be the responsibility of </w:t>
      </w:r>
      <w:bookmarkStart w:id="13" w:name="_Toc510964050"/>
      <w:r w:rsidRPr="00C3372A">
        <w:rPr>
          <w:rFonts w:ascii="Times New Roman" w:hAnsi="Times New Roman"/>
        </w:rPr>
        <w:t xml:space="preserve">an existing inter-agency Steering Committee </w:t>
      </w:r>
      <w:bookmarkEnd w:id="13"/>
      <w:r w:rsidRPr="00C3372A">
        <w:rPr>
          <w:rFonts w:ascii="Times New Roman" w:hAnsi="Times New Roman"/>
        </w:rPr>
        <w:t>that is chaired by the Minister of Local Government and Rural Development (MLGRD). Other agencies who are represented in the Committee include MOF/FDU, the IMCC, NDPC, OHLGS, Office of the Administrator, District Assemblies Common Fund (DACF), Office of Head of Civil Service (OHCS), Ghana Audit Service (GAS), CAGD, National Association of Local Authorities in Ghana (NALAG), Civil Society Representative (LOGNET), and representatives of concerned Development Partners (DPs). The SC is required to meet at least twice a year. In its designated role, the SC will oversee and approve the implementation of participating MAs’ performance assessment, including final approval of scores, and approval of the work plans and budgets, and implementation progress reports, of the implementing MDAs.</w:t>
      </w:r>
    </w:p>
    <w:p w14:paraId="6C835B4B" w14:textId="77777777" w:rsidR="00100E82" w:rsidRDefault="00100E82" w:rsidP="00100E82">
      <w:pPr>
        <w:pStyle w:val="NoSpacing"/>
        <w:jc w:val="both"/>
        <w:rPr>
          <w:rFonts w:ascii="Times New Roman" w:hAnsi="Times New Roman"/>
        </w:rPr>
      </w:pPr>
    </w:p>
    <w:p w14:paraId="06522C15" w14:textId="77777777" w:rsidR="00100E82" w:rsidRDefault="00100E82" w:rsidP="00100E82">
      <w:pPr>
        <w:pStyle w:val="NoSpacing"/>
        <w:jc w:val="both"/>
        <w:rPr>
          <w:rFonts w:ascii="Times New Roman" w:hAnsi="Times New Roman"/>
        </w:rPr>
      </w:pPr>
      <w:r w:rsidRPr="003B1108">
        <w:rPr>
          <w:rFonts w:ascii="Times New Roman" w:hAnsi="Times New Roman"/>
          <w:b/>
        </w:rPr>
        <w:t xml:space="preserve">The overall oversight of technical coordination of the program implementation will be undertaken by the existing LGCSP/DPAT Technical Working Group (TWG), which is chaired by the Executive Secretary of the IMCC Secretariat. </w:t>
      </w:r>
      <w:r w:rsidRPr="003B1108">
        <w:rPr>
          <w:rFonts w:ascii="Times New Roman" w:hAnsi="Times New Roman"/>
        </w:rPr>
        <w:t xml:space="preserve">Membership of the TWG comprises representatives of the agencies that have members in the SC. The TWG will undertake reviews and verification of the MAs’ performance assessments, scrutinize Program implementation progress and accountability reports, identify emerging technical issues and challenges and deliberate on measures to address them. On this basis, the Committee will provide technical guidance to: the implementing MAs and MDAs on measures to improve performance; and the steering committee on policy and strategic issues. </w:t>
      </w:r>
    </w:p>
    <w:p w14:paraId="1971E165" w14:textId="77777777" w:rsidR="00100E82" w:rsidRPr="003B1108" w:rsidRDefault="00100E82" w:rsidP="00100E82">
      <w:pPr>
        <w:spacing w:after="0" w:line="240" w:lineRule="auto"/>
        <w:rPr>
          <w:rFonts w:ascii="Times New Roman" w:eastAsia="Times New Roman" w:hAnsi="Times New Roman" w:cs="Times New Roman"/>
        </w:rPr>
      </w:pPr>
    </w:p>
    <w:p w14:paraId="40E0A945" w14:textId="77777777" w:rsidR="00100E82" w:rsidRDefault="00100E82" w:rsidP="00100E82">
      <w:pPr>
        <w:pStyle w:val="NoSpacing"/>
        <w:jc w:val="both"/>
        <w:rPr>
          <w:rFonts w:ascii="Times New Roman" w:hAnsi="Times New Roman"/>
        </w:rPr>
      </w:pPr>
      <w:r w:rsidRPr="003B1108">
        <w:rPr>
          <w:rFonts w:ascii="Times New Roman" w:eastAsia="Times New Roman" w:hAnsi="Times New Roman"/>
          <w:b/>
        </w:rPr>
        <w:t>The RCCs will support the implementation of the Program by discharging its constitutional and statutory mandate and functions</w:t>
      </w:r>
      <w:r w:rsidRPr="003B1108">
        <w:rPr>
          <w:rFonts w:ascii="Times New Roman" w:eastAsia="Times New Roman" w:hAnsi="Times New Roman"/>
        </w:rPr>
        <w:t xml:space="preserve">. The enabling </w:t>
      </w:r>
      <w:r w:rsidRPr="003B1108">
        <w:rPr>
          <w:rFonts w:ascii="Times New Roman" w:eastAsia="Times New Roman" w:hAnsi="Times New Roman"/>
          <w:color w:val="000000" w:themeColor="text1"/>
        </w:rPr>
        <w:t xml:space="preserve">Local Government Act, 2016 (Cap 936 of the Laws of Ghana) states that </w:t>
      </w:r>
      <w:r w:rsidRPr="003B1108">
        <w:rPr>
          <w:rFonts w:ascii="Times New Roman" w:eastAsia="Times New Roman" w:hAnsi="Times New Roman"/>
        </w:rPr>
        <w:t>RCCs are established for the purposes of: (i) monitoring, co-coordinating and evaluating the performance of the District Assemblies in the region; (ii) monitoring the use of all monies mobilized by the District Assemblies and those allocated and released to the MMDAs by any agency of the central Government; and (iii) reviewing and co-coordinating public services generally in the region. Further, the statute specifies, among others, that the RCC will provide “</w:t>
      </w:r>
      <w:r w:rsidRPr="003B1108">
        <w:rPr>
          <w:rFonts w:ascii="Times New Roman" w:hAnsi="Times New Roman"/>
        </w:rPr>
        <w:t xml:space="preserve">back-stopping support for the performance of any function assigned to the District Assemblies in the region in respect of which a particular District Assembly is deficient in terms of skills and workforce”. In practice, the RCC convenes an annual two-day participatory forum for MMDAs to collaboratively review the RCC’s findings, conclusions and recommendations of annual assessments of the MMDAs. In these processes, the progress and performance assessments in the implementation of this Program in the participating MAs will necessarily and prominently feature. In summary, the RCCs will as a matter of statutory requirement and functional routine: (i) exercise oversight and carry out performance assessments of the Program implementation in the participating MAs; and (ii) avail technical as well as administrative back-stopping support to the MAs. </w:t>
      </w:r>
    </w:p>
    <w:p w14:paraId="05CAA425" w14:textId="77777777" w:rsidR="00100E82" w:rsidRDefault="00100E82" w:rsidP="00100E82">
      <w:pPr>
        <w:pStyle w:val="NoSpacing"/>
        <w:jc w:val="both"/>
        <w:rPr>
          <w:rFonts w:ascii="Times New Roman" w:hAnsi="Times New Roman"/>
        </w:rPr>
      </w:pPr>
    </w:p>
    <w:p w14:paraId="4A07DE62" w14:textId="77777777" w:rsidR="00100E82" w:rsidRPr="003B1108" w:rsidRDefault="00100E82" w:rsidP="00100E82">
      <w:pPr>
        <w:pStyle w:val="NoSpacing"/>
        <w:jc w:val="both"/>
        <w:rPr>
          <w:rFonts w:ascii="Times New Roman" w:hAnsi="Times New Roman"/>
        </w:rPr>
      </w:pPr>
      <w:r w:rsidRPr="003B1108">
        <w:rPr>
          <w:rFonts w:ascii="Times New Roman" w:hAnsi="Times New Roman"/>
          <w:b/>
        </w:rPr>
        <w:t xml:space="preserve">The Participating </w:t>
      </w:r>
      <w:r w:rsidRPr="003B1108">
        <w:rPr>
          <w:rFonts w:ascii="Times New Roman" w:hAnsi="Times New Roman"/>
          <w:b/>
          <w:bCs/>
        </w:rPr>
        <w:t>MAs</w:t>
      </w:r>
      <w:r w:rsidRPr="003B1108">
        <w:rPr>
          <w:rFonts w:ascii="Times New Roman" w:hAnsi="Times New Roman"/>
          <w:b/>
        </w:rPr>
        <w:t xml:space="preserve"> have the primary responsibility for the planning and implementation of the urban infrastructure development and services delivery components of the Program</w:t>
      </w:r>
      <w:r w:rsidRPr="003B1108">
        <w:rPr>
          <w:rFonts w:ascii="Times New Roman" w:hAnsi="Times New Roman"/>
        </w:rPr>
        <w:t xml:space="preserve">. The MAs have also direct responsibilities for budgeting, funds management, accounting and reporting use of the Program funds. Further, the MAs will ensure integrity and fiduciary responsibility, safeguards and grievances redress in execution of implementation activities and use of funds. To these ends, the OHLGS, the MLGRD and the RCCs will supply necessary capacity building and technical back-stopping support to the MAs. In the current institutional system, the MAs are required to prepare and submit comparatively comprehensive quarterly work plans and progress reports to the RCCs. In turn, the RCC is required to undertake quarterly performance assessments of every MMDA in its jurisdiction and report the same to the OHLGS. On its part, the OHLGS undertakes annual performance assessments of all the RCCs and MMDAs under a nationwide performance contracting system. These accountability and performance assessment systems are operational and comprehensive, and will encompass MAs performance in the implementation of this Program. </w:t>
      </w:r>
    </w:p>
    <w:p w14:paraId="67B8A6CB" w14:textId="77777777" w:rsidR="00E65846" w:rsidRPr="00BA3A34" w:rsidRDefault="00106C64" w:rsidP="006F431D">
      <w:pPr>
        <w:pStyle w:val="Heading2"/>
      </w:pPr>
      <w:bookmarkStart w:id="14" w:name="_Toc508892819"/>
      <w:r w:rsidRPr="00BA3A34">
        <w:t>Section II: Methodology</w:t>
      </w:r>
      <w:bookmarkEnd w:id="14"/>
    </w:p>
    <w:p w14:paraId="05B26FDD" w14:textId="77777777" w:rsidR="00104CAA" w:rsidRPr="00BA3A34" w:rsidRDefault="00106C64" w:rsidP="00CA0715">
      <w:pPr>
        <w:pStyle w:val="BodyText"/>
        <w:widowControl w:val="0"/>
        <w:tabs>
          <w:tab w:val="left" w:pos="733"/>
        </w:tabs>
        <w:spacing w:before="120" w:after="120" w:line="240" w:lineRule="auto"/>
        <w:ind w:right="134"/>
        <w:rPr>
          <w:sz w:val="22"/>
          <w:szCs w:val="22"/>
        </w:rPr>
      </w:pPr>
      <w:r w:rsidRPr="00BA3A34">
        <w:rPr>
          <w:sz w:val="22"/>
          <w:szCs w:val="22"/>
        </w:rPr>
        <w:t xml:space="preserve">The </w:t>
      </w:r>
      <w:r w:rsidR="00104CAA" w:rsidRPr="00BA3A34">
        <w:rPr>
          <w:sz w:val="22"/>
          <w:szCs w:val="22"/>
        </w:rPr>
        <w:t>Environmental and Social Systems Assessment (</w:t>
      </w:r>
      <w:r w:rsidRPr="00BA3A34">
        <w:rPr>
          <w:sz w:val="22"/>
          <w:szCs w:val="22"/>
        </w:rPr>
        <w:t>ESSA</w:t>
      </w:r>
      <w:r w:rsidR="00104CAA" w:rsidRPr="00BA3A34">
        <w:rPr>
          <w:sz w:val="22"/>
          <w:szCs w:val="22"/>
        </w:rPr>
        <w:t>) of Ghana</w:t>
      </w:r>
      <w:r w:rsidRPr="00BA3A34">
        <w:rPr>
          <w:sz w:val="22"/>
          <w:szCs w:val="22"/>
        </w:rPr>
        <w:t xml:space="preserve"> </w:t>
      </w:r>
      <w:r w:rsidR="002502A4" w:rsidRPr="00BA3A34">
        <w:rPr>
          <w:sz w:val="22"/>
          <w:szCs w:val="22"/>
        </w:rPr>
        <w:t>was</w:t>
      </w:r>
      <w:r w:rsidRPr="00BA3A34">
        <w:rPr>
          <w:sz w:val="22"/>
          <w:szCs w:val="22"/>
        </w:rPr>
        <w:t xml:space="preserve"> informed by the findings from </w:t>
      </w:r>
      <w:r w:rsidR="002502A4" w:rsidRPr="00BA3A34">
        <w:rPr>
          <w:sz w:val="22"/>
          <w:szCs w:val="22"/>
        </w:rPr>
        <w:t xml:space="preserve">desk review of relevant documents, including the safeguards </w:t>
      </w:r>
      <w:r w:rsidR="00104CAA" w:rsidRPr="00BA3A34">
        <w:rPr>
          <w:sz w:val="22"/>
          <w:szCs w:val="22"/>
        </w:rPr>
        <w:t>frameworks of the ongoing LGCSP;</w:t>
      </w:r>
      <w:r w:rsidR="002502A4" w:rsidRPr="00BA3A34">
        <w:rPr>
          <w:sz w:val="22"/>
          <w:szCs w:val="22"/>
        </w:rPr>
        <w:t xml:space="preserve"> the 2006 Safeguards Diagnostic Report for the Piloting of the Use of Ghanaian</w:t>
      </w:r>
      <w:r w:rsidR="00770D01" w:rsidRPr="00BA3A34">
        <w:rPr>
          <w:sz w:val="22"/>
          <w:szCs w:val="22"/>
        </w:rPr>
        <w:t xml:space="preserve"> Systems to Address Environmental Safeguard Issues under the Ghana Energy Development and Access Project (GEDAP), Progress Reports and Aide Memoires for the LGCSP, Ghana’s Environmental, Social and Health &amp; Safety Laws and Regulations, Ghana’s EIA Procedures and EA Sectoral Guidelines</w:t>
      </w:r>
      <w:r w:rsidR="00553C3C" w:rsidRPr="00BA3A34">
        <w:rPr>
          <w:sz w:val="22"/>
          <w:szCs w:val="22"/>
        </w:rPr>
        <w:t xml:space="preserve"> and environmental, social and resettlement frameworks of existing projects in the World Bank’s portfolio in Ghana.</w:t>
      </w:r>
    </w:p>
    <w:p w14:paraId="4BEFD4E2" w14:textId="169FBCF6" w:rsidR="00106C64" w:rsidRPr="00BA3A34" w:rsidRDefault="00770D01" w:rsidP="00CA0715">
      <w:pPr>
        <w:pStyle w:val="BodyText"/>
        <w:widowControl w:val="0"/>
        <w:tabs>
          <w:tab w:val="left" w:pos="733"/>
        </w:tabs>
        <w:spacing w:before="120" w:after="120" w:line="240" w:lineRule="auto"/>
        <w:ind w:right="134"/>
        <w:rPr>
          <w:sz w:val="22"/>
          <w:szCs w:val="22"/>
        </w:rPr>
      </w:pPr>
      <w:bookmarkStart w:id="15" w:name="_Hlk514120490"/>
      <w:r w:rsidRPr="00BA3A34">
        <w:rPr>
          <w:sz w:val="22"/>
          <w:szCs w:val="22"/>
        </w:rPr>
        <w:t>Field visits and site assessments of representative subprojects</w:t>
      </w:r>
      <w:r w:rsidRPr="00BA3A34">
        <w:rPr>
          <w:rStyle w:val="FootnoteReference"/>
          <w:sz w:val="22"/>
          <w:szCs w:val="22"/>
        </w:rPr>
        <w:footnoteReference w:id="21"/>
      </w:r>
      <w:r w:rsidRPr="00BA3A34">
        <w:rPr>
          <w:sz w:val="22"/>
          <w:szCs w:val="22"/>
        </w:rPr>
        <w:t xml:space="preserve"> under the LGCSP were also conducted by the ESSA Team</w:t>
      </w:r>
      <w:r w:rsidR="00106C64" w:rsidRPr="00BA3A34">
        <w:rPr>
          <w:sz w:val="22"/>
          <w:szCs w:val="22"/>
        </w:rPr>
        <w:t xml:space="preserve"> </w:t>
      </w:r>
      <w:r w:rsidRPr="00BA3A34">
        <w:rPr>
          <w:sz w:val="22"/>
          <w:szCs w:val="22"/>
        </w:rPr>
        <w:t xml:space="preserve">in five </w:t>
      </w:r>
      <w:r w:rsidR="00F01FD1" w:rsidRPr="00BA3A34">
        <w:rPr>
          <w:sz w:val="22"/>
          <w:szCs w:val="22"/>
        </w:rPr>
        <w:t>MMAs</w:t>
      </w:r>
      <w:r w:rsidRPr="00BA3A34">
        <w:rPr>
          <w:sz w:val="22"/>
          <w:szCs w:val="22"/>
        </w:rPr>
        <w:t xml:space="preserve"> located in four Regions</w:t>
      </w:r>
      <w:r w:rsidRPr="00BA3A34">
        <w:rPr>
          <w:rStyle w:val="FootnoteReference"/>
          <w:sz w:val="22"/>
          <w:szCs w:val="22"/>
        </w:rPr>
        <w:footnoteReference w:id="22"/>
      </w:r>
      <w:r w:rsidRPr="00BA3A34">
        <w:rPr>
          <w:sz w:val="22"/>
          <w:szCs w:val="22"/>
        </w:rPr>
        <w:t xml:space="preserve"> to observe actual implementation of the existing frameworks </w:t>
      </w:r>
      <w:r w:rsidR="00163562" w:rsidRPr="00BA3A34">
        <w:rPr>
          <w:sz w:val="22"/>
          <w:szCs w:val="22"/>
        </w:rPr>
        <w:t xml:space="preserve">and specific instruments (such as ESMP and ARAP) </w:t>
      </w:r>
      <w:r w:rsidRPr="00BA3A34">
        <w:rPr>
          <w:sz w:val="22"/>
          <w:szCs w:val="22"/>
        </w:rPr>
        <w:t>under LGCSP</w:t>
      </w:r>
      <w:r w:rsidR="00841E4E" w:rsidRPr="00BA3A34">
        <w:rPr>
          <w:sz w:val="22"/>
          <w:szCs w:val="22"/>
        </w:rPr>
        <w:t xml:space="preserve">. </w:t>
      </w:r>
      <w:r w:rsidR="00163562" w:rsidRPr="00BA3A34">
        <w:rPr>
          <w:sz w:val="22"/>
          <w:szCs w:val="22"/>
        </w:rPr>
        <w:t>Safeguards Team</w:t>
      </w:r>
      <w:r w:rsidR="00104CAA" w:rsidRPr="00BA3A34">
        <w:rPr>
          <w:sz w:val="22"/>
          <w:szCs w:val="22"/>
        </w:rPr>
        <w:t>s</w:t>
      </w:r>
      <w:r w:rsidR="00841E4E" w:rsidRPr="00BA3A34">
        <w:rPr>
          <w:sz w:val="22"/>
          <w:szCs w:val="22"/>
        </w:rPr>
        <w:t xml:space="preserve"> and Focal Point</w:t>
      </w:r>
      <w:r w:rsidR="00104CAA" w:rsidRPr="00BA3A34">
        <w:rPr>
          <w:sz w:val="22"/>
          <w:szCs w:val="22"/>
        </w:rPr>
        <w:t>s</w:t>
      </w:r>
      <w:r w:rsidR="00163562" w:rsidRPr="00BA3A34">
        <w:rPr>
          <w:sz w:val="22"/>
          <w:szCs w:val="22"/>
        </w:rPr>
        <w:t xml:space="preserve"> and Contractors</w:t>
      </w:r>
      <w:r w:rsidR="00841E4E" w:rsidRPr="00BA3A34">
        <w:rPr>
          <w:sz w:val="22"/>
          <w:szCs w:val="22"/>
        </w:rPr>
        <w:t xml:space="preserve"> were interviewed</w:t>
      </w:r>
      <w:r w:rsidR="00163562" w:rsidRPr="00BA3A34">
        <w:rPr>
          <w:sz w:val="22"/>
          <w:szCs w:val="22"/>
        </w:rPr>
        <w:t xml:space="preserve"> on January 23 – 30, 2018</w:t>
      </w:r>
      <w:r w:rsidR="00841E4E" w:rsidRPr="00BA3A34">
        <w:rPr>
          <w:sz w:val="22"/>
          <w:szCs w:val="22"/>
        </w:rPr>
        <w:t xml:space="preserve"> as well as the MLGRD, PP</w:t>
      </w:r>
      <w:r w:rsidR="00887529">
        <w:rPr>
          <w:sz w:val="22"/>
          <w:szCs w:val="22"/>
        </w:rPr>
        <w:t>B</w:t>
      </w:r>
      <w:r w:rsidR="00841E4E" w:rsidRPr="00BA3A34">
        <w:rPr>
          <w:sz w:val="22"/>
          <w:szCs w:val="22"/>
        </w:rPr>
        <w:t>ME</w:t>
      </w:r>
      <w:r w:rsidR="00887529">
        <w:rPr>
          <w:sz w:val="22"/>
          <w:szCs w:val="22"/>
        </w:rPr>
        <w:t>D</w:t>
      </w:r>
      <w:r w:rsidR="00841E4E" w:rsidRPr="00BA3A34">
        <w:rPr>
          <w:sz w:val="22"/>
          <w:szCs w:val="22"/>
        </w:rPr>
        <w:t xml:space="preserve">, National EPA and Regional EPA, the Land Valuation </w:t>
      </w:r>
      <w:r w:rsidR="00D77AB1" w:rsidRPr="00BA3A34">
        <w:rPr>
          <w:sz w:val="22"/>
          <w:szCs w:val="22"/>
        </w:rPr>
        <w:t xml:space="preserve">Division </w:t>
      </w:r>
      <w:r w:rsidR="00841E4E" w:rsidRPr="00BA3A34">
        <w:rPr>
          <w:sz w:val="22"/>
          <w:szCs w:val="22"/>
        </w:rPr>
        <w:t>and Environmental and Social Practitioners</w:t>
      </w:r>
      <w:r w:rsidR="00106C64" w:rsidRPr="00BA3A34">
        <w:rPr>
          <w:sz w:val="22"/>
          <w:szCs w:val="22"/>
        </w:rPr>
        <w:t xml:space="preserve">. </w:t>
      </w:r>
      <w:r w:rsidR="00841E4E" w:rsidRPr="00BA3A34">
        <w:rPr>
          <w:sz w:val="22"/>
          <w:szCs w:val="22"/>
        </w:rPr>
        <w:t xml:space="preserve"> </w:t>
      </w:r>
      <w:r w:rsidR="00841E4E" w:rsidRPr="00867502">
        <w:rPr>
          <w:sz w:val="22"/>
          <w:szCs w:val="22"/>
        </w:rPr>
        <w:t xml:space="preserve">See in Annex </w:t>
      </w:r>
      <w:r w:rsidR="00887529" w:rsidRPr="00867502">
        <w:rPr>
          <w:sz w:val="22"/>
          <w:szCs w:val="22"/>
        </w:rPr>
        <w:t xml:space="preserve">1 </w:t>
      </w:r>
      <w:r w:rsidR="00841E4E" w:rsidRPr="00867502">
        <w:rPr>
          <w:sz w:val="22"/>
          <w:szCs w:val="22"/>
        </w:rPr>
        <w:t>the list of people consulted.</w:t>
      </w:r>
      <w:r w:rsidR="00106C64" w:rsidRPr="00BA3A34">
        <w:rPr>
          <w:sz w:val="22"/>
          <w:szCs w:val="22"/>
        </w:rPr>
        <w:t xml:space="preserve"> </w:t>
      </w:r>
    </w:p>
    <w:bookmarkEnd w:id="15"/>
    <w:p w14:paraId="486F1854" w14:textId="77777777" w:rsidR="00106C64" w:rsidRPr="00BA3A34" w:rsidRDefault="00322804" w:rsidP="00CA0715">
      <w:pPr>
        <w:pStyle w:val="BodyText"/>
        <w:widowControl w:val="0"/>
        <w:tabs>
          <w:tab w:val="left" w:pos="733"/>
        </w:tabs>
        <w:spacing w:before="120" w:after="120" w:line="240" w:lineRule="auto"/>
        <w:ind w:right="134"/>
        <w:rPr>
          <w:sz w:val="22"/>
          <w:szCs w:val="22"/>
        </w:rPr>
      </w:pPr>
      <w:r w:rsidRPr="00BA3A34">
        <w:rPr>
          <w:sz w:val="22"/>
          <w:szCs w:val="22"/>
        </w:rPr>
        <w:t>The assessment of track record and implementation performance relies heavily on how environmental and social requirements and arrangements are carried out under the existing LGCSP</w:t>
      </w:r>
      <w:r w:rsidR="00106C64" w:rsidRPr="00BA3A34">
        <w:rPr>
          <w:sz w:val="22"/>
          <w:szCs w:val="22"/>
        </w:rPr>
        <w:t>.</w:t>
      </w:r>
      <w:r w:rsidRPr="00BA3A34">
        <w:rPr>
          <w:sz w:val="22"/>
          <w:szCs w:val="22"/>
        </w:rPr>
        <w:t xml:space="preserve"> The improvements under the Program are based mainly on the experiences and lessons learned of LGCSP.</w:t>
      </w:r>
      <w:r w:rsidR="00106C64" w:rsidRPr="00BA3A34">
        <w:rPr>
          <w:sz w:val="22"/>
          <w:szCs w:val="22"/>
        </w:rPr>
        <w:t xml:space="preserve"> </w:t>
      </w:r>
    </w:p>
    <w:p w14:paraId="08DDFAB9" w14:textId="55342986" w:rsidR="00322804" w:rsidRPr="00BA3A34" w:rsidRDefault="00322804" w:rsidP="00CA0715">
      <w:pPr>
        <w:pStyle w:val="BodyText"/>
        <w:widowControl w:val="0"/>
        <w:tabs>
          <w:tab w:val="left" w:pos="733"/>
        </w:tabs>
        <w:spacing w:before="120" w:after="120" w:line="240" w:lineRule="auto"/>
        <w:ind w:right="134"/>
        <w:contextualSpacing/>
        <w:rPr>
          <w:sz w:val="22"/>
          <w:szCs w:val="22"/>
        </w:rPr>
      </w:pPr>
      <w:r w:rsidRPr="00BA3A34">
        <w:rPr>
          <w:sz w:val="22"/>
          <w:szCs w:val="22"/>
        </w:rPr>
        <w:t xml:space="preserve">The findings and recommendations of the ESSA were presented to various stakeholders during the </w:t>
      </w:r>
      <w:r w:rsidRPr="00867502">
        <w:rPr>
          <w:sz w:val="22"/>
          <w:szCs w:val="22"/>
        </w:rPr>
        <w:t xml:space="preserve">consultations in Accra on March </w:t>
      </w:r>
      <w:r w:rsidR="00D77AB1" w:rsidRPr="00867502">
        <w:rPr>
          <w:sz w:val="22"/>
          <w:szCs w:val="22"/>
        </w:rPr>
        <w:t>27</w:t>
      </w:r>
      <w:r w:rsidRPr="00867502">
        <w:rPr>
          <w:sz w:val="22"/>
          <w:szCs w:val="22"/>
        </w:rPr>
        <w:t>, 2018.</w:t>
      </w:r>
      <w:r w:rsidRPr="00BA3A34">
        <w:rPr>
          <w:sz w:val="22"/>
          <w:szCs w:val="22"/>
        </w:rPr>
        <w:t xml:space="preserve"> Feedback and inputs from the stakeholders were solicited during the consultations and are considered in the finalization of the ESSA, including the recommendations and the actions in the Program Action Plan. </w:t>
      </w:r>
      <w:r w:rsidR="00841E4E" w:rsidRPr="00BA3A34">
        <w:rPr>
          <w:sz w:val="22"/>
          <w:szCs w:val="22"/>
        </w:rPr>
        <w:t xml:space="preserve">The summary of the ESSA consultation is presented in Section X while the full documentations of the ESSA consultations are shown </w:t>
      </w:r>
      <w:r w:rsidR="00841E4E" w:rsidRPr="00867502">
        <w:rPr>
          <w:sz w:val="22"/>
          <w:szCs w:val="22"/>
        </w:rPr>
        <w:t xml:space="preserve">in Annex </w:t>
      </w:r>
      <w:r w:rsidR="00867502" w:rsidRPr="00867502">
        <w:rPr>
          <w:sz w:val="22"/>
          <w:szCs w:val="22"/>
        </w:rPr>
        <w:t>1</w:t>
      </w:r>
      <w:r w:rsidR="00841E4E" w:rsidRPr="00867502">
        <w:rPr>
          <w:sz w:val="22"/>
          <w:szCs w:val="22"/>
        </w:rPr>
        <w:t>.</w:t>
      </w:r>
    </w:p>
    <w:p w14:paraId="5357A710" w14:textId="77777777" w:rsidR="004311F5" w:rsidRDefault="00106C64" w:rsidP="00CA0715">
      <w:pPr>
        <w:spacing w:before="120" w:after="120" w:line="240" w:lineRule="auto"/>
        <w:contextualSpacing/>
        <w:rPr>
          <w:rFonts w:ascii="Times New Roman" w:hAnsi="Times New Roman" w:cs="Times New Roman"/>
        </w:rPr>
      </w:pPr>
      <w:r w:rsidRPr="00BA3A34">
        <w:rPr>
          <w:rFonts w:ascii="Times New Roman" w:hAnsi="Times New Roman" w:cs="Times New Roman"/>
        </w:rPr>
        <w:t>While the ESSA Update is a product of the World Bank</w:t>
      </w:r>
      <w:r w:rsidRPr="00BA3A34">
        <w:rPr>
          <w:rStyle w:val="FootnoteReference"/>
          <w:rFonts w:ascii="Times New Roman" w:hAnsi="Times New Roman" w:cs="Times New Roman"/>
        </w:rPr>
        <w:footnoteReference w:id="23"/>
      </w:r>
      <w:r w:rsidRPr="00BA3A34">
        <w:rPr>
          <w:rFonts w:ascii="Times New Roman" w:hAnsi="Times New Roman" w:cs="Times New Roman"/>
        </w:rPr>
        <w:t>, the input</w:t>
      </w:r>
      <w:r w:rsidR="00841E4E" w:rsidRPr="00BA3A34">
        <w:rPr>
          <w:rFonts w:ascii="Times New Roman" w:hAnsi="Times New Roman" w:cs="Times New Roman"/>
        </w:rPr>
        <w:t>s</w:t>
      </w:r>
      <w:r w:rsidRPr="00BA3A34">
        <w:rPr>
          <w:rFonts w:ascii="Times New Roman" w:hAnsi="Times New Roman" w:cs="Times New Roman"/>
        </w:rPr>
        <w:t xml:space="preserve"> and support of national</w:t>
      </w:r>
      <w:r w:rsidR="00841E4E" w:rsidRPr="00BA3A34">
        <w:rPr>
          <w:rFonts w:ascii="Times New Roman" w:hAnsi="Times New Roman" w:cs="Times New Roman"/>
        </w:rPr>
        <w:t xml:space="preserve">, regional and MMA </w:t>
      </w:r>
      <w:r w:rsidRPr="00BA3A34">
        <w:rPr>
          <w:rFonts w:ascii="Times New Roman" w:hAnsi="Times New Roman" w:cs="Times New Roman"/>
        </w:rPr>
        <w:t xml:space="preserve">stakeholders </w:t>
      </w:r>
      <w:r w:rsidR="00841E4E" w:rsidRPr="00BA3A34">
        <w:rPr>
          <w:rFonts w:ascii="Times New Roman" w:hAnsi="Times New Roman" w:cs="Times New Roman"/>
        </w:rPr>
        <w:t>have highly been invaluable, and</w:t>
      </w:r>
      <w:r w:rsidRPr="00BA3A34">
        <w:rPr>
          <w:rFonts w:ascii="Times New Roman" w:hAnsi="Times New Roman" w:cs="Times New Roman"/>
        </w:rPr>
        <w:t xml:space="preserve"> sincerely appreciated.</w:t>
      </w:r>
      <w:r w:rsidR="003B1D0C" w:rsidRPr="00BA3A34">
        <w:rPr>
          <w:rFonts w:ascii="Times New Roman" w:hAnsi="Times New Roman" w:cs="Times New Roman"/>
        </w:rPr>
        <w:t xml:space="preserve"> </w:t>
      </w:r>
      <w:r w:rsidRPr="00BA3A34">
        <w:rPr>
          <w:rFonts w:ascii="Times New Roman" w:hAnsi="Times New Roman" w:cs="Times New Roman"/>
        </w:rPr>
        <w:t>On the basis of the findings of the analysis</w:t>
      </w:r>
      <w:r w:rsidR="00841E4E" w:rsidRPr="00BA3A34">
        <w:rPr>
          <w:rFonts w:ascii="Times New Roman" w:hAnsi="Times New Roman" w:cs="Times New Roman"/>
        </w:rPr>
        <w:t xml:space="preserve"> and consultations with stakeholders</w:t>
      </w:r>
      <w:r w:rsidRPr="00BA3A34">
        <w:rPr>
          <w:rFonts w:ascii="Times New Roman" w:hAnsi="Times New Roman" w:cs="Times New Roman"/>
        </w:rPr>
        <w:t xml:space="preserve">, the ESSA proposes recommendations for consideration </w:t>
      </w:r>
      <w:r w:rsidR="00841E4E" w:rsidRPr="00BA3A34">
        <w:rPr>
          <w:rFonts w:ascii="Times New Roman" w:hAnsi="Times New Roman" w:cs="Times New Roman"/>
        </w:rPr>
        <w:t xml:space="preserve">in </w:t>
      </w:r>
      <w:r w:rsidRPr="00BA3A34">
        <w:rPr>
          <w:rFonts w:ascii="Times New Roman" w:hAnsi="Times New Roman" w:cs="Times New Roman"/>
        </w:rPr>
        <w:t>the overall Program Action Plan, Disbursement Linked Indicators, and elements of the revised Program Operations Manual. These actions will strengthen existing national</w:t>
      </w:r>
      <w:r w:rsidR="00841E4E" w:rsidRPr="00BA3A34">
        <w:rPr>
          <w:rFonts w:ascii="Times New Roman" w:hAnsi="Times New Roman" w:cs="Times New Roman"/>
        </w:rPr>
        <w:t>, regional</w:t>
      </w:r>
      <w:r w:rsidRPr="00BA3A34">
        <w:rPr>
          <w:rFonts w:ascii="Times New Roman" w:hAnsi="Times New Roman" w:cs="Times New Roman"/>
        </w:rPr>
        <w:t xml:space="preserve"> and </w:t>
      </w:r>
      <w:r w:rsidR="00841E4E" w:rsidRPr="00BA3A34">
        <w:rPr>
          <w:rFonts w:ascii="Times New Roman" w:hAnsi="Times New Roman" w:cs="Times New Roman"/>
        </w:rPr>
        <w:t xml:space="preserve">sub-national </w:t>
      </w:r>
      <w:r w:rsidRPr="00BA3A34">
        <w:rPr>
          <w:rFonts w:ascii="Times New Roman" w:hAnsi="Times New Roman" w:cs="Times New Roman"/>
        </w:rPr>
        <w:t xml:space="preserve">LG systems, substantially contributing to achieving the program’s desired results. </w:t>
      </w:r>
    </w:p>
    <w:p w14:paraId="0BB97784" w14:textId="4D29D9F6" w:rsidR="003B1D0C" w:rsidRPr="00BA3A34" w:rsidRDefault="003B1D0C" w:rsidP="00CA0715">
      <w:pPr>
        <w:spacing w:before="120" w:after="120" w:line="240" w:lineRule="auto"/>
        <w:contextualSpacing/>
        <w:rPr>
          <w:rFonts w:ascii="Times New Roman" w:hAnsi="Times New Roman" w:cs="Times New Roman"/>
          <w:b/>
        </w:rPr>
      </w:pPr>
    </w:p>
    <w:p w14:paraId="0BB651C2" w14:textId="77777777" w:rsidR="009E459C" w:rsidRPr="00102E0B" w:rsidRDefault="00106C64" w:rsidP="006F431D">
      <w:pPr>
        <w:pStyle w:val="Heading2"/>
      </w:pPr>
      <w:bookmarkStart w:id="16" w:name="_Toc508892820"/>
      <w:r w:rsidRPr="00E15C04">
        <w:t>Section III: De</w:t>
      </w:r>
      <w:r w:rsidR="00E65846" w:rsidRPr="00E15C04">
        <w:t xml:space="preserve">scription </w:t>
      </w:r>
      <w:r w:rsidRPr="00E15C04">
        <w:t>of E</w:t>
      </w:r>
      <w:r w:rsidR="00E65846" w:rsidRPr="00E15C04">
        <w:t xml:space="preserve">nvironmental and </w:t>
      </w:r>
      <w:r w:rsidRPr="00E15C04">
        <w:t>S</w:t>
      </w:r>
      <w:r w:rsidR="00E65846" w:rsidRPr="00E15C04">
        <w:t xml:space="preserve">ocial </w:t>
      </w:r>
      <w:r w:rsidRPr="00E15C04">
        <w:t>R</w:t>
      </w:r>
      <w:r w:rsidR="00E65846" w:rsidRPr="00102E0B">
        <w:t xml:space="preserve">isks </w:t>
      </w:r>
      <w:r w:rsidRPr="00102E0B">
        <w:t>A</w:t>
      </w:r>
      <w:r w:rsidR="00841E4E" w:rsidRPr="00102E0B">
        <w:t xml:space="preserve">ssociated with </w:t>
      </w:r>
      <w:r w:rsidRPr="00102E0B">
        <w:t>the Program</w:t>
      </w:r>
      <w:bookmarkEnd w:id="16"/>
    </w:p>
    <w:p w14:paraId="3845FE7B" w14:textId="34ACC9EB" w:rsidR="00F76C3B" w:rsidRDefault="00F76C3B" w:rsidP="00CA0715">
      <w:pPr>
        <w:pStyle w:val="MainParanoChapter-Ch3"/>
        <w:spacing w:before="120" w:after="120"/>
        <w:contextualSpacing/>
        <w:rPr>
          <w:rFonts w:eastAsia="Calibri"/>
        </w:rPr>
      </w:pPr>
      <w:r w:rsidRPr="00F76C3B">
        <w:rPr>
          <w:lang w:eastAsia="x-none"/>
        </w:rPr>
        <w:t xml:space="preserve">The Program will </w:t>
      </w:r>
      <w:r w:rsidRPr="00F76C3B">
        <w:rPr>
          <w:rFonts w:eastAsia="Calibri"/>
        </w:rPr>
        <w:t>finance priority urban infrastructure works proposed by</w:t>
      </w:r>
      <w:r w:rsidR="00B1688C">
        <w:rPr>
          <w:rFonts w:eastAsia="Calibri"/>
        </w:rPr>
        <w:t xml:space="preserve"> </w:t>
      </w:r>
      <w:r w:rsidRPr="00F76C3B">
        <w:rPr>
          <w:rFonts w:eastAsia="Calibri"/>
        </w:rPr>
        <w:t xml:space="preserve">MA based on its 3-year medium term development plan. It also supports capacity </w:t>
      </w:r>
      <w:r w:rsidRPr="00B1688C">
        <w:rPr>
          <w:rFonts w:eastAsia="Calibri"/>
        </w:rPr>
        <w:t xml:space="preserve">building activities. </w:t>
      </w:r>
      <w:r w:rsidR="004311F5">
        <w:rPr>
          <w:rFonts w:eastAsia="Calibri"/>
        </w:rPr>
        <w:t>E</w:t>
      </w:r>
      <w:r w:rsidRPr="00B1688C">
        <w:rPr>
          <w:rFonts w:eastAsia="Calibri"/>
        </w:rPr>
        <w:t xml:space="preserve">ligible infrastructure investments fall under </w:t>
      </w:r>
      <w:r w:rsidR="004311F5">
        <w:rPr>
          <w:rFonts w:eastAsia="Calibri"/>
        </w:rPr>
        <w:t>5</w:t>
      </w:r>
      <w:r w:rsidRPr="00B1688C">
        <w:rPr>
          <w:rFonts w:eastAsia="Calibri"/>
        </w:rPr>
        <w:t xml:space="preserve"> thematic areas/sectors including: </w:t>
      </w:r>
      <w:r w:rsidRPr="00CA0715">
        <w:rPr>
          <w:rFonts w:eastAsia="Calibri"/>
        </w:rPr>
        <w:t xml:space="preserve">(i) </w:t>
      </w:r>
      <w:r w:rsidR="004311F5" w:rsidRPr="00DB009D">
        <w:rPr>
          <w:rFonts w:eastAsia="Calibri"/>
        </w:rPr>
        <w:t>waste management &amp; sanitation</w:t>
      </w:r>
      <w:r w:rsidRPr="00CA0715">
        <w:rPr>
          <w:rFonts w:eastAsia="Calibri"/>
        </w:rPr>
        <w:t xml:space="preserve">; (ii) </w:t>
      </w:r>
      <w:r w:rsidR="004311F5">
        <w:rPr>
          <w:rFonts w:eastAsia="Calibri"/>
        </w:rPr>
        <w:t>storm water drainage</w:t>
      </w:r>
      <w:r w:rsidRPr="00CA0715">
        <w:rPr>
          <w:rFonts w:eastAsia="Calibri"/>
        </w:rPr>
        <w:t xml:space="preserve">; (iii) </w:t>
      </w:r>
      <w:r w:rsidR="004311F5">
        <w:rPr>
          <w:rFonts w:eastAsia="Calibri"/>
        </w:rPr>
        <w:t>connectivity</w:t>
      </w:r>
      <w:r w:rsidRPr="00CA0715">
        <w:rPr>
          <w:rFonts w:eastAsia="Calibri"/>
        </w:rPr>
        <w:t xml:space="preserve">; (iv) </w:t>
      </w:r>
      <w:r w:rsidR="004311F5">
        <w:rPr>
          <w:rFonts w:eastAsia="Calibri"/>
        </w:rPr>
        <w:t>urban social and economic infrastructure</w:t>
      </w:r>
      <w:r w:rsidRPr="00CA0715">
        <w:rPr>
          <w:rFonts w:eastAsia="Calibri"/>
        </w:rPr>
        <w:t>;</w:t>
      </w:r>
      <w:r w:rsidR="004311F5">
        <w:rPr>
          <w:rFonts w:eastAsia="Calibri"/>
        </w:rPr>
        <w:t xml:space="preserve"> and</w:t>
      </w:r>
      <w:r w:rsidRPr="00CA0715">
        <w:rPr>
          <w:rFonts w:eastAsia="Calibri"/>
        </w:rPr>
        <w:t xml:space="preserve"> (v) </w:t>
      </w:r>
      <w:r w:rsidR="004311F5">
        <w:rPr>
          <w:rFonts w:eastAsia="Calibri"/>
        </w:rPr>
        <w:t xml:space="preserve">disaster management </w:t>
      </w:r>
      <w:r w:rsidRPr="00CA0715">
        <w:rPr>
          <w:rFonts w:eastAsia="Calibri"/>
        </w:rPr>
        <w:t xml:space="preserve"> (see Table </w:t>
      </w:r>
      <w:r w:rsidR="0004236C" w:rsidRPr="00CA0715">
        <w:rPr>
          <w:rFonts w:eastAsia="Calibri"/>
        </w:rPr>
        <w:t xml:space="preserve">10 </w:t>
      </w:r>
      <w:r w:rsidRPr="00CA0715">
        <w:rPr>
          <w:rFonts w:eastAsia="Calibri"/>
        </w:rPr>
        <w:t>for details).</w:t>
      </w:r>
      <w:r w:rsidRPr="00F76C3B">
        <w:rPr>
          <w:rFonts w:eastAsia="Calibri"/>
        </w:rPr>
        <w:t xml:space="preserve"> Majority of the subprojects will involve rehabilitation works and expansion or extension of existing infrastructure within the existing right-of-way and premises. </w:t>
      </w:r>
    </w:p>
    <w:p w14:paraId="07A66B7E" w14:textId="19D5EA54" w:rsidR="00484758" w:rsidRPr="00F76C3B" w:rsidRDefault="00484758" w:rsidP="00CA0715">
      <w:pPr>
        <w:spacing w:before="120" w:after="120" w:line="240" w:lineRule="auto"/>
        <w:jc w:val="both"/>
        <w:rPr>
          <w:rFonts w:ascii="Times New Roman" w:eastAsia="Calibri" w:hAnsi="Times New Roman" w:cs="Times New Roman"/>
          <w:b/>
          <w:bCs/>
          <w:lang w:val="x-none" w:eastAsia="x-none"/>
        </w:rPr>
      </w:pPr>
      <w:bookmarkStart w:id="17" w:name="_Toc496454188"/>
      <w:bookmarkStart w:id="18" w:name="_Toc466013795"/>
      <w:r w:rsidRPr="00F76C3B">
        <w:rPr>
          <w:rFonts w:ascii="Times New Roman" w:eastAsia="Calibri" w:hAnsi="Times New Roman" w:cs="Times New Roman"/>
          <w:b/>
          <w:bCs/>
          <w:lang w:val="x-none" w:eastAsia="x-none"/>
        </w:rPr>
        <w:t xml:space="preserve">Table </w:t>
      </w:r>
      <w:r w:rsidRPr="00F76C3B">
        <w:rPr>
          <w:rFonts w:ascii="Times New Roman" w:eastAsia="Calibri" w:hAnsi="Times New Roman" w:cs="Times New Roman"/>
          <w:b/>
          <w:bCs/>
          <w:lang w:val="x-none" w:eastAsia="x-none"/>
        </w:rPr>
        <w:fldChar w:fldCharType="begin"/>
      </w:r>
      <w:r w:rsidRPr="00F76C3B">
        <w:rPr>
          <w:rFonts w:ascii="Times New Roman" w:eastAsia="Calibri" w:hAnsi="Times New Roman" w:cs="Times New Roman"/>
          <w:b/>
          <w:bCs/>
          <w:lang w:val="x-none" w:eastAsia="x-none"/>
        </w:rPr>
        <w:instrText xml:space="preserve"> SEQ Table \* ARABIC </w:instrText>
      </w:r>
      <w:r w:rsidRPr="00F76C3B">
        <w:rPr>
          <w:rFonts w:ascii="Times New Roman" w:eastAsia="Calibri" w:hAnsi="Times New Roman" w:cs="Times New Roman"/>
          <w:b/>
          <w:bCs/>
          <w:lang w:val="x-none" w:eastAsia="x-none"/>
        </w:rPr>
        <w:fldChar w:fldCharType="separate"/>
      </w:r>
      <w:r w:rsidR="004407AE" w:rsidRPr="00F76C3B">
        <w:rPr>
          <w:rFonts w:ascii="Times New Roman" w:eastAsia="Calibri" w:hAnsi="Times New Roman" w:cs="Times New Roman"/>
          <w:b/>
          <w:bCs/>
          <w:noProof/>
          <w:lang w:val="x-none" w:eastAsia="x-none"/>
        </w:rPr>
        <w:t>1</w:t>
      </w:r>
      <w:r w:rsidRPr="00F76C3B">
        <w:rPr>
          <w:rFonts w:ascii="Times New Roman" w:eastAsia="Calibri" w:hAnsi="Times New Roman" w:cs="Times New Roman"/>
          <w:b/>
          <w:bCs/>
          <w:lang w:val="x-none" w:eastAsia="x-none"/>
        </w:rPr>
        <w:fldChar w:fldCharType="end"/>
      </w:r>
      <w:r w:rsidR="0004236C">
        <w:rPr>
          <w:rFonts w:ascii="Times New Roman" w:eastAsia="Calibri" w:hAnsi="Times New Roman" w:cs="Times New Roman"/>
          <w:b/>
          <w:bCs/>
          <w:lang w:eastAsia="x-none"/>
        </w:rPr>
        <w:t>0</w:t>
      </w:r>
      <w:r w:rsidRPr="00F76C3B">
        <w:rPr>
          <w:rFonts w:ascii="Times New Roman" w:eastAsia="Calibri" w:hAnsi="Times New Roman" w:cs="Times New Roman"/>
          <w:b/>
          <w:bCs/>
          <w:noProof/>
          <w:lang w:eastAsia="x-none"/>
        </w:rPr>
        <w:t xml:space="preserve">: Investment Menu for </w:t>
      </w:r>
      <w:r w:rsidR="00F01FD1" w:rsidRPr="00F76C3B">
        <w:rPr>
          <w:rFonts w:ascii="Times New Roman" w:eastAsia="Calibri" w:hAnsi="Times New Roman" w:cs="Times New Roman"/>
          <w:b/>
          <w:bCs/>
          <w:noProof/>
          <w:lang w:eastAsia="x-none"/>
        </w:rPr>
        <w:t>MAs</w:t>
      </w:r>
      <w:r w:rsidRPr="00F76C3B">
        <w:rPr>
          <w:rFonts w:ascii="Times New Roman" w:eastAsia="Calibri" w:hAnsi="Times New Roman" w:cs="Times New Roman"/>
          <w:b/>
          <w:bCs/>
          <w:noProof/>
          <w:lang w:eastAsia="x-none"/>
        </w:rPr>
        <w:t xml:space="preserve"> - Eligible Areas in Infrastructure and Services</w:t>
      </w:r>
      <w:bookmarkEnd w:id="17"/>
      <w:r w:rsidRPr="00F76C3B">
        <w:rPr>
          <w:rFonts w:ascii="Times New Roman" w:eastAsia="Calibri" w:hAnsi="Times New Roman" w:cs="Times New Roman"/>
          <w:b/>
          <w:bCs/>
          <w:lang w:val="x-none" w:eastAsia="x-none"/>
        </w:rPr>
        <w:t xml:space="preserve"> </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5668"/>
      </w:tblGrid>
      <w:tr w:rsidR="00484758" w:rsidRPr="00F76C3B" w14:paraId="52A37AAC" w14:textId="77777777" w:rsidTr="00DA67AF">
        <w:trPr>
          <w:tblHeader/>
        </w:trPr>
        <w:tc>
          <w:tcPr>
            <w:tcW w:w="2015" w:type="pct"/>
            <w:shd w:val="clear" w:color="auto" w:fill="4472C4"/>
          </w:tcPr>
          <w:p w14:paraId="167678AC" w14:textId="77777777" w:rsidR="00484758" w:rsidRPr="00F76C3B" w:rsidRDefault="00484758" w:rsidP="00CA0715">
            <w:pPr>
              <w:spacing w:before="120" w:after="120" w:line="240" w:lineRule="auto"/>
              <w:jc w:val="both"/>
              <w:rPr>
                <w:rFonts w:ascii="Times New Roman" w:eastAsia="Calibri" w:hAnsi="Times New Roman" w:cs="Times New Roman"/>
                <w:b/>
              </w:rPr>
            </w:pPr>
            <w:r w:rsidRPr="00F76C3B">
              <w:rPr>
                <w:rFonts w:ascii="Times New Roman" w:eastAsia="Calibri" w:hAnsi="Times New Roman" w:cs="Times New Roman"/>
                <w:b/>
              </w:rPr>
              <w:t>Infrastructure/Service</w:t>
            </w:r>
          </w:p>
        </w:tc>
        <w:tc>
          <w:tcPr>
            <w:tcW w:w="2985" w:type="pct"/>
            <w:shd w:val="clear" w:color="auto" w:fill="4472C4"/>
          </w:tcPr>
          <w:p w14:paraId="5A00254A" w14:textId="77777777" w:rsidR="00484758" w:rsidRPr="00F76C3B" w:rsidRDefault="00484758" w:rsidP="00CA0715">
            <w:pPr>
              <w:spacing w:before="120" w:after="120" w:line="240" w:lineRule="auto"/>
              <w:jc w:val="both"/>
              <w:rPr>
                <w:rFonts w:ascii="Times New Roman" w:eastAsia="Calibri" w:hAnsi="Times New Roman" w:cs="Times New Roman"/>
                <w:b/>
              </w:rPr>
            </w:pPr>
            <w:r w:rsidRPr="00F76C3B">
              <w:rPr>
                <w:rFonts w:ascii="Times New Roman" w:eastAsia="Calibri" w:hAnsi="Times New Roman" w:cs="Times New Roman"/>
                <w:b/>
              </w:rPr>
              <w:t>Type</w:t>
            </w:r>
          </w:p>
        </w:tc>
      </w:tr>
      <w:tr w:rsidR="004311F5" w:rsidRPr="00F76C3B" w14:paraId="3FFB181A" w14:textId="77777777" w:rsidTr="00CA0715">
        <w:tc>
          <w:tcPr>
            <w:tcW w:w="2015" w:type="pct"/>
            <w:shd w:val="clear" w:color="auto" w:fill="B6DDE8"/>
            <w:vAlign w:val="center"/>
          </w:tcPr>
          <w:p w14:paraId="24A0333C" w14:textId="6F1E87BB" w:rsidR="004311F5" w:rsidRPr="004311F5" w:rsidRDefault="004311F5" w:rsidP="00CA0715">
            <w:pPr>
              <w:spacing w:before="120" w:after="120" w:line="240" w:lineRule="auto"/>
              <w:rPr>
                <w:rFonts w:ascii="Times New Roman" w:eastAsia="Calibri" w:hAnsi="Times New Roman" w:cs="Times New Roman"/>
                <w:b/>
              </w:rPr>
            </w:pPr>
            <w:r w:rsidRPr="004311F5">
              <w:rPr>
                <w:rFonts w:ascii="Times New Roman" w:eastAsia="Calibri" w:hAnsi="Times New Roman" w:cs="Times New Roman"/>
                <w:b/>
              </w:rPr>
              <w:t>Waste management (liquid and solid)</w:t>
            </w:r>
          </w:p>
        </w:tc>
        <w:tc>
          <w:tcPr>
            <w:tcW w:w="2985" w:type="pct"/>
          </w:tcPr>
          <w:p w14:paraId="5503A1E5" w14:textId="77777777" w:rsidR="004311F5" w:rsidRPr="004311F5" w:rsidRDefault="004311F5" w:rsidP="004311F5">
            <w:pPr>
              <w:spacing w:before="120" w:after="120" w:line="240" w:lineRule="auto"/>
              <w:jc w:val="both"/>
              <w:rPr>
                <w:rFonts w:ascii="Times New Roman" w:eastAsia="Calibri" w:hAnsi="Times New Roman" w:cs="Times New Roman"/>
              </w:rPr>
            </w:pPr>
            <w:r w:rsidRPr="004311F5">
              <w:rPr>
                <w:rFonts w:ascii="Times New Roman" w:eastAsia="Calibri" w:hAnsi="Times New Roman" w:cs="Times New Roman"/>
              </w:rPr>
              <w:t>Solid waste: collection equipment, collection bins, transfer stations, collection points (construction of sanitary landfill excluded)</w:t>
            </w:r>
          </w:p>
          <w:p w14:paraId="4ED1801C" w14:textId="77777777" w:rsidR="004311F5" w:rsidRDefault="004311F5" w:rsidP="004311F5">
            <w:pPr>
              <w:spacing w:before="120" w:after="120" w:line="240" w:lineRule="auto"/>
              <w:jc w:val="both"/>
              <w:rPr>
                <w:rFonts w:ascii="Times New Roman" w:eastAsia="Calibri" w:hAnsi="Times New Roman" w:cs="Times New Roman"/>
              </w:rPr>
            </w:pPr>
            <w:r w:rsidRPr="004311F5">
              <w:rPr>
                <w:rFonts w:ascii="Times New Roman" w:eastAsia="Calibri" w:hAnsi="Times New Roman" w:cs="Times New Roman"/>
              </w:rPr>
              <w:t>Liquid waste: sludge ponds, community septic tanks, vacuum trucks, vacuum handcarts, and others</w:t>
            </w:r>
          </w:p>
          <w:p w14:paraId="30DA40F7" w14:textId="6881CE44" w:rsidR="004311F5" w:rsidRPr="004311F5" w:rsidRDefault="004311F5" w:rsidP="004311F5">
            <w:pPr>
              <w:spacing w:before="120" w:after="120" w:line="240" w:lineRule="auto"/>
              <w:jc w:val="both"/>
              <w:rPr>
                <w:rFonts w:ascii="Times New Roman" w:eastAsia="Calibri" w:hAnsi="Times New Roman" w:cs="Times New Roman"/>
              </w:rPr>
            </w:pPr>
            <w:r w:rsidRPr="00F76C3B">
              <w:rPr>
                <w:rFonts w:ascii="Times New Roman" w:eastAsia="Calibri" w:hAnsi="Times New Roman" w:cs="Times New Roman"/>
                <w:i/>
              </w:rPr>
              <w:t>Construction or rehabilitation of any landfills will be ineligible under the Program as this poses serious risks, takes time to prepare and faces social acceptability issues, which may delay implementation.</w:t>
            </w:r>
          </w:p>
        </w:tc>
      </w:tr>
      <w:tr w:rsidR="004311F5" w:rsidRPr="00F76C3B" w14:paraId="763AAECA" w14:textId="77777777" w:rsidTr="00CA0715">
        <w:tc>
          <w:tcPr>
            <w:tcW w:w="2015" w:type="pct"/>
            <w:shd w:val="clear" w:color="auto" w:fill="B6DDE8"/>
            <w:vAlign w:val="center"/>
          </w:tcPr>
          <w:p w14:paraId="1AF7787A" w14:textId="57CAB34A" w:rsidR="004311F5" w:rsidRPr="004311F5" w:rsidRDefault="004311F5" w:rsidP="00CA0715">
            <w:pPr>
              <w:spacing w:before="120" w:after="120" w:line="240" w:lineRule="auto"/>
              <w:rPr>
                <w:rFonts w:ascii="Times New Roman" w:eastAsia="Calibri" w:hAnsi="Times New Roman" w:cs="Times New Roman"/>
                <w:b/>
              </w:rPr>
            </w:pPr>
            <w:r>
              <w:rPr>
                <w:rFonts w:ascii="Times New Roman" w:eastAsia="Calibri" w:hAnsi="Times New Roman" w:cs="Times New Roman"/>
                <w:b/>
              </w:rPr>
              <w:t>Storm water drainage</w:t>
            </w:r>
          </w:p>
        </w:tc>
        <w:tc>
          <w:tcPr>
            <w:tcW w:w="2985" w:type="pct"/>
          </w:tcPr>
          <w:p w14:paraId="22D5917A" w14:textId="164D11CD" w:rsidR="004311F5" w:rsidRPr="004311F5" w:rsidRDefault="004311F5" w:rsidP="004311F5">
            <w:pPr>
              <w:spacing w:before="120" w:after="120" w:line="240" w:lineRule="auto"/>
              <w:jc w:val="both"/>
              <w:rPr>
                <w:rFonts w:ascii="Times New Roman" w:eastAsia="Calibri" w:hAnsi="Times New Roman" w:cs="Times New Roman"/>
              </w:rPr>
            </w:pPr>
            <w:r w:rsidRPr="00F76C3B">
              <w:rPr>
                <w:rFonts w:ascii="Times New Roman" w:eastAsia="Calibri" w:hAnsi="Times New Roman" w:cs="Times New Roman"/>
              </w:rPr>
              <w:t xml:space="preserve">Drainage systems (follow the guideline developed by the Ministry), flood control systems. </w:t>
            </w:r>
          </w:p>
        </w:tc>
      </w:tr>
      <w:tr w:rsidR="00484758" w:rsidRPr="00F76C3B" w14:paraId="5EE0AB9B" w14:textId="77777777" w:rsidTr="00CA0715">
        <w:tc>
          <w:tcPr>
            <w:tcW w:w="2015" w:type="pct"/>
            <w:shd w:val="clear" w:color="auto" w:fill="B6DDE8"/>
            <w:vAlign w:val="center"/>
          </w:tcPr>
          <w:p w14:paraId="64A5FCD0" w14:textId="0248116E" w:rsidR="00484758" w:rsidRPr="00F76C3B" w:rsidRDefault="004311F5" w:rsidP="00CA0715">
            <w:pPr>
              <w:spacing w:before="120" w:after="120" w:line="240" w:lineRule="auto"/>
              <w:rPr>
                <w:rFonts w:ascii="Times New Roman" w:eastAsia="Calibri" w:hAnsi="Times New Roman" w:cs="Times New Roman"/>
                <w:b/>
              </w:rPr>
            </w:pPr>
            <w:r w:rsidRPr="004311F5">
              <w:rPr>
                <w:rFonts w:ascii="Times New Roman" w:eastAsia="Calibri" w:hAnsi="Times New Roman" w:cs="Times New Roman"/>
                <w:b/>
              </w:rPr>
              <w:t>Connectivity</w:t>
            </w:r>
          </w:p>
        </w:tc>
        <w:tc>
          <w:tcPr>
            <w:tcW w:w="2985" w:type="pct"/>
          </w:tcPr>
          <w:p w14:paraId="2F5DDAB0" w14:textId="54906D9F" w:rsidR="004311F5" w:rsidRDefault="004311F5" w:rsidP="00CA0715">
            <w:pPr>
              <w:spacing w:before="120" w:after="120" w:line="240" w:lineRule="auto"/>
              <w:jc w:val="both"/>
              <w:rPr>
                <w:rFonts w:ascii="Times New Roman" w:eastAsia="Calibri" w:hAnsi="Times New Roman" w:cs="Times New Roman"/>
              </w:rPr>
            </w:pPr>
            <w:r w:rsidRPr="004311F5">
              <w:rPr>
                <w:rFonts w:ascii="Times New Roman" w:eastAsia="Calibri" w:hAnsi="Times New Roman" w:cs="Times New Roman"/>
              </w:rPr>
              <w:t>Urban roads, pedestrian walkways and bicycle paths, paved area, roundabout, street and security lights</w:t>
            </w:r>
            <w:r w:rsidRPr="004311F5">
              <w:rPr>
                <w:rFonts w:ascii="Times New Roman" w:eastAsia="Calibri" w:hAnsi="Times New Roman" w:cs="Times New Roman"/>
                <w:vertAlign w:val="superscript"/>
              </w:rPr>
              <w:footnoteReference w:id="24"/>
            </w:r>
            <w:r w:rsidRPr="004311F5">
              <w:rPr>
                <w:rFonts w:ascii="Times New Roman" w:eastAsia="Calibri" w:hAnsi="Times New Roman" w:cs="Times New Roman"/>
              </w:rPr>
              <w:t xml:space="preserve"> and road signs</w:t>
            </w:r>
          </w:p>
          <w:p w14:paraId="1975FFBD" w14:textId="54A7692D" w:rsidR="004E5E45" w:rsidRPr="00F76C3B" w:rsidRDefault="004E5E45" w:rsidP="00CA0715">
            <w:pPr>
              <w:spacing w:before="120" w:after="120" w:line="240" w:lineRule="auto"/>
              <w:jc w:val="both"/>
              <w:rPr>
                <w:rFonts w:ascii="Times New Roman" w:eastAsia="Calibri" w:hAnsi="Times New Roman" w:cs="Times New Roman"/>
              </w:rPr>
            </w:pPr>
            <w:r w:rsidRPr="00F76C3B">
              <w:rPr>
                <w:rFonts w:ascii="Times New Roman" w:eastAsia="Calibri" w:hAnsi="Times New Roman" w:cs="Times New Roman"/>
                <w:i/>
              </w:rPr>
              <w:t xml:space="preserve">Based on LGCSP experience, </w:t>
            </w:r>
            <w:r w:rsidR="00F01FD1" w:rsidRPr="00F76C3B">
              <w:rPr>
                <w:rFonts w:ascii="Times New Roman" w:eastAsia="Calibri" w:hAnsi="Times New Roman" w:cs="Times New Roman"/>
                <w:i/>
              </w:rPr>
              <w:t>MMAs</w:t>
            </w:r>
            <w:r w:rsidRPr="00F76C3B">
              <w:rPr>
                <w:rFonts w:ascii="Times New Roman" w:eastAsia="Calibri" w:hAnsi="Times New Roman" w:cs="Times New Roman"/>
                <w:i/>
              </w:rPr>
              <w:t xml:space="preserve"> avoid subprojects that would entail large resettlement because of cost involved, time needed to prepare the subprojects and the potential impact on future access to financing. That said, the Program will exclude subprojects that require resettlement of 200 or more people.</w:t>
            </w:r>
          </w:p>
        </w:tc>
      </w:tr>
      <w:tr w:rsidR="004311F5" w:rsidRPr="00F76C3B" w14:paraId="2D633820" w14:textId="77777777" w:rsidTr="00CA0715">
        <w:tc>
          <w:tcPr>
            <w:tcW w:w="2015" w:type="pct"/>
            <w:shd w:val="clear" w:color="auto" w:fill="B6DDE8"/>
            <w:vAlign w:val="center"/>
          </w:tcPr>
          <w:p w14:paraId="6C24511E" w14:textId="5E187D97" w:rsidR="004311F5" w:rsidRPr="00F76C3B" w:rsidRDefault="004311F5" w:rsidP="00CA0715">
            <w:pPr>
              <w:spacing w:before="120" w:after="120" w:line="240" w:lineRule="auto"/>
              <w:rPr>
                <w:rFonts w:ascii="Times New Roman" w:eastAsia="Calibri" w:hAnsi="Times New Roman" w:cs="Times New Roman"/>
                <w:b/>
              </w:rPr>
            </w:pPr>
            <w:r w:rsidRPr="004311F5">
              <w:rPr>
                <w:rFonts w:ascii="Times New Roman" w:eastAsia="Calibri" w:hAnsi="Times New Roman" w:cs="Times New Roman"/>
                <w:b/>
              </w:rPr>
              <w:t>Urban social and economic infrastructure</w:t>
            </w:r>
          </w:p>
        </w:tc>
        <w:tc>
          <w:tcPr>
            <w:tcW w:w="2985" w:type="pct"/>
          </w:tcPr>
          <w:p w14:paraId="4848D6BF" w14:textId="6DD89699" w:rsidR="004311F5" w:rsidRPr="00F76C3B" w:rsidRDefault="004311F5" w:rsidP="00CA0715">
            <w:pPr>
              <w:spacing w:before="120" w:after="120" w:line="240" w:lineRule="auto"/>
              <w:jc w:val="both"/>
              <w:rPr>
                <w:rFonts w:ascii="Times New Roman" w:eastAsia="Calibri" w:hAnsi="Times New Roman" w:cs="Times New Roman"/>
              </w:rPr>
            </w:pPr>
            <w:r w:rsidRPr="004311F5">
              <w:rPr>
                <w:rFonts w:ascii="Times New Roman" w:eastAsia="Calibri" w:hAnsi="Times New Roman" w:cs="Times New Roman"/>
              </w:rPr>
              <w:t>Urban market facilities, transport depots, basic infrastructure for industrial estates, bus terminals, urban parks and greenery</w:t>
            </w:r>
            <w:r w:rsidRPr="004311F5">
              <w:rPr>
                <w:rFonts w:ascii="Times New Roman" w:eastAsia="Calibri" w:hAnsi="Times New Roman" w:cs="Times New Roman"/>
                <w:vertAlign w:val="superscript"/>
              </w:rPr>
              <w:footnoteReference w:id="25"/>
            </w:r>
          </w:p>
        </w:tc>
      </w:tr>
      <w:tr w:rsidR="004311F5" w:rsidRPr="00F76C3B" w14:paraId="764CBD31" w14:textId="77777777" w:rsidTr="00CA0715">
        <w:tc>
          <w:tcPr>
            <w:tcW w:w="2015" w:type="pct"/>
            <w:shd w:val="clear" w:color="auto" w:fill="B6DDE8"/>
            <w:vAlign w:val="center"/>
          </w:tcPr>
          <w:p w14:paraId="152E4C8B" w14:textId="6C2FA980" w:rsidR="004311F5" w:rsidRPr="00F76C3B" w:rsidRDefault="004311F5" w:rsidP="00CA0715">
            <w:pPr>
              <w:spacing w:before="120" w:after="120" w:line="240" w:lineRule="auto"/>
              <w:rPr>
                <w:rFonts w:ascii="Times New Roman" w:eastAsia="Calibri" w:hAnsi="Times New Roman" w:cs="Times New Roman"/>
                <w:b/>
              </w:rPr>
            </w:pPr>
            <w:r w:rsidRPr="00F76C3B">
              <w:rPr>
                <w:rFonts w:ascii="Times New Roman" w:eastAsia="Calibri" w:hAnsi="Times New Roman" w:cs="Times New Roman"/>
                <w:b/>
              </w:rPr>
              <w:t>Urban disaster risk management</w:t>
            </w:r>
          </w:p>
        </w:tc>
        <w:tc>
          <w:tcPr>
            <w:tcW w:w="2985" w:type="pct"/>
          </w:tcPr>
          <w:p w14:paraId="2C3B3428" w14:textId="745EB7D3" w:rsidR="004311F5" w:rsidRPr="00F76C3B" w:rsidRDefault="004311F5" w:rsidP="00CA0715">
            <w:pPr>
              <w:spacing w:before="120" w:after="120" w:line="240" w:lineRule="auto"/>
              <w:jc w:val="both"/>
              <w:rPr>
                <w:rFonts w:ascii="Times New Roman" w:eastAsia="Times New Roman" w:hAnsi="Times New Roman" w:cs="Times New Roman"/>
              </w:rPr>
            </w:pPr>
            <w:r w:rsidRPr="004311F5">
              <w:rPr>
                <w:rFonts w:ascii="Times New Roman" w:eastAsia="Times New Roman" w:hAnsi="Times New Roman" w:cs="Times New Roman"/>
              </w:rPr>
              <w:t>Fire control stations, disaster management equipment (firefighting trucks, rehabilitation and/or construction of new firefighting station and facilities), flood-protection infrastructure (e.g. reinforcement of levees, physical or natural reinforcement)</w:t>
            </w:r>
          </w:p>
        </w:tc>
      </w:tr>
    </w:tbl>
    <w:p w14:paraId="4ABBCCBC" w14:textId="77777777" w:rsidR="004311F5" w:rsidRPr="00BA3A34" w:rsidRDefault="004311F5" w:rsidP="00CA0715">
      <w:pPr>
        <w:tabs>
          <w:tab w:val="left" w:pos="360"/>
        </w:tabs>
        <w:spacing w:before="120" w:after="120" w:line="240" w:lineRule="auto"/>
        <w:jc w:val="both"/>
        <w:rPr>
          <w:rFonts w:ascii="Times New Roman" w:eastAsia="Times New Roman" w:hAnsi="Times New Roman" w:cs="Times New Roman"/>
          <w:lang w:val="x-none" w:eastAsia="x-none"/>
        </w:rPr>
      </w:pPr>
    </w:p>
    <w:p w14:paraId="36B018D5" w14:textId="264130AC" w:rsidR="00484758" w:rsidRPr="009654C2" w:rsidRDefault="00484758" w:rsidP="00CA0715">
      <w:pPr>
        <w:pStyle w:val="MainParanoChapter-Ch3"/>
        <w:spacing w:before="120" w:after="120"/>
        <w:contextualSpacing/>
        <w:rPr>
          <w:rFonts w:eastAsia="Calibri"/>
          <w:sz w:val="22"/>
          <w:szCs w:val="22"/>
        </w:rPr>
      </w:pPr>
      <w:r w:rsidRPr="009654C2">
        <w:rPr>
          <w:rFonts w:eastAsia="Calibri"/>
          <w:sz w:val="22"/>
          <w:szCs w:val="22"/>
        </w:rPr>
        <w:t xml:space="preserve">The Program will </w:t>
      </w:r>
      <w:r w:rsidR="00A65419" w:rsidRPr="009654C2">
        <w:rPr>
          <w:rFonts w:eastAsia="Calibri"/>
          <w:sz w:val="22"/>
          <w:szCs w:val="22"/>
        </w:rPr>
        <w:t xml:space="preserve">exclude </w:t>
      </w:r>
      <w:r w:rsidRPr="009654C2">
        <w:rPr>
          <w:rFonts w:eastAsia="Calibri"/>
          <w:sz w:val="22"/>
          <w:szCs w:val="22"/>
        </w:rPr>
        <w:t>subprojects</w:t>
      </w:r>
      <w:r w:rsidR="00A65419" w:rsidRPr="009654C2">
        <w:rPr>
          <w:rFonts w:eastAsia="Calibri"/>
          <w:sz w:val="22"/>
          <w:szCs w:val="22"/>
        </w:rPr>
        <w:t>/investments</w:t>
      </w:r>
      <w:r w:rsidRPr="009654C2">
        <w:rPr>
          <w:rFonts w:eastAsia="Calibri"/>
          <w:sz w:val="22"/>
          <w:szCs w:val="22"/>
        </w:rPr>
        <w:t xml:space="preserve"> that are likely to have significant </w:t>
      </w:r>
      <w:r w:rsidR="003B1D0C" w:rsidRPr="009654C2">
        <w:rPr>
          <w:rFonts w:eastAsia="Calibri"/>
          <w:sz w:val="22"/>
          <w:szCs w:val="22"/>
        </w:rPr>
        <w:t xml:space="preserve">adverse </w:t>
      </w:r>
      <w:r w:rsidRPr="009654C2">
        <w:rPr>
          <w:rFonts w:eastAsia="Calibri"/>
          <w:sz w:val="22"/>
          <w:szCs w:val="22"/>
        </w:rPr>
        <w:t xml:space="preserve">environment and social </w:t>
      </w:r>
      <w:r w:rsidR="00A65419" w:rsidRPr="009654C2">
        <w:rPr>
          <w:rFonts w:eastAsia="Calibri"/>
          <w:sz w:val="22"/>
          <w:szCs w:val="22"/>
        </w:rPr>
        <w:t xml:space="preserve">impacts and </w:t>
      </w:r>
      <w:r w:rsidRPr="009654C2">
        <w:rPr>
          <w:rFonts w:eastAsia="Calibri"/>
          <w:sz w:val="22"/>
          <w:szCs w:val="22"/>
        </w:rPr>
        <w:t>risks</w:t>
      </w:r>
      <w:r w:rsidR="00A65419" w:rsidRPr="009654C2">
        <w:rPr>
          <w:rFonts w:eastAsia="Calibri"/>
          <w:sz w:val="22"/>
          <w:szCs w:val="22"/>
        </w:rPr>
        <w:t xml:space="preserve"> or those categorize</w:t>
      </w:r>
      <w:r w:rsidR="00A409ED" w:rsidRPr="009654C2">
        <w:rPr>
          <w:rFonts w:eastAsia="Calibri"/>
          <w:sz w:val="22"/>
          <w:szCs w:val="22"/>
        </w:rPr>
        <w:t>d</w:t>
      </w:r>
      <w:r w:rsidR="00A65419" w:rsidRPr="009654C2">
        <w:rPr>
          <w:rFonts w:eastAsia="Calibri"/>
          <w:sz w:val="22"/>
          <w:szCs w:val="22"/>
        </w:rPr>
        <w:t xml:space="preserve"> as A under World Bank safeguard policies and Schedule II category under GoG</w:t>
      </w:r>
      <w:r w:rsidR="003B1D0C" w:rsidRPr="009654C2">
        <w:rPr>
          <w:rFonts w:eastAsia="Calibri"/>
          <w:sz w:val="22"/>
          <w:szCs w:val="22"/>
        </w:rPr>
        <w:t>’s</w:t>
      </w:r>
      <w:r w:rsidR="00A65419" w:rsidRPr="009654C2">
        <w:rPr>
          <w:rFonts w:eastAsia="Calibri"/>
          <w:sz w:val="22"/>
          <w:szCs w:val="22"/>
        </w:rPr>
        <w:t xml:space="preserve"> Environmental Assessment Regulation. </w:t>
      </w:r>
      <w:r w:rsidR="003B1D0C" w:rsidRPr="009654C2">
        <w:rPr>
          <w:rFonts w:eastAsia="Calibri"/>
          <w:sz w:val="22"/>
          <w:szCs w:val="22"/>
        </w:rPr>
        <w:t>These types of subprojects</w:t>
      </w:r>
      <w:r w:rsidR="00A409ED" w:rsidRPr="009654C2">
        <w:rPr>
          <w:rFonts w:eastAsia="Calibri"/>
          <w:sz w:val="22"/>
          <w:szCs w:val="22"/>
        </w:rPr>
        <w:t xml:space="preserve"> mai</w:t>
      </w:r>
      <w:r w:rsidR="003B1D0C" w:rsidRPr="009654C2">
        <w:rPr>
          <w:rFonts w:eastAsia="Calibri"/>
          <w:sz w:val="22"/>
          <w:szCs w:val="22"/>
        </w:rPr>
        <w:t>nly involving</w:t>
      </w:r>
      <w:r w:rsidR="000B27F5" w:rsidRPr="009654C2">
        <w:rPr>
          <w:rFonts w:eastAsia="Calibri"/>
          <w:sz w:val="22"/>
          <w:szCs w:val="22"/>
        </w:rPr>
        <w:t xml:space="preserve"> new construction of</w:t>
      </w:r>
      <w:r w:rsidR="00A409ED" w:rsidRPr="009654C2">
        <w:rPr>
          <w:rFonts w:eastAsia="Calibri"/>
          <w:sz w:val="22"/>
          <w:szCs w:val="22"/>
        </w:rPr>
        <w:t xml:space="preserve"> relatively large scale infrastructure, while highly unlikely to be prioritized by the </w:t>
      </w:r>
      <w:r w:rsidR="00F01FD1" w:rsidRPr="009654C2">
        <w:rPr>
          <w:rFonts w:eastAsia="Calibri"/>
          <w:sz w:val="22"/>
          <w:szCs w:val="22"/>
        </w:rPr>
        <w:t>MMAs</w:t>
      </w:r>
      <w:r w:rsidR="00A409ED" w:rsidRPr="009654C2">
        <w:rPr>
          <w:rFonts w:eastAsia="Calibri"/>
          <w:sz w:val="22"/>
          <w:szCs w:val="22"/>
        </w:rPr>
        <w:t xml:space="preserve"> due to budget constraints</w:t>
      </w:r>
      <w:r w:rsidR="000B27F5" w:rsidRPr="009654C2">
        <w:rPr>
          <w:rFonts w:eastAsia="Calibri"/>
          <w:sz w:val="22"/>
          <w:szCs w:val="22"/>
        </w:rPr>
        <w:t xml:space="preserve"> and time needed to prepare these investments</w:t>
      </w:r>
      <w:r w:rsidR="00A409ED" w:rsidRPr="009654C2">
        <w:rPr>
          <w:rFonts w:eastAsia="Calibri"/>
          <w:sz w:val="22"/>
          <w:szCs w:val="22"/>
        </w:rPr>
        <w:t xml:space="preserve">, will </w:t>
      </w:r>
      <w:r w:rsidR="000B27F5" w:rsidRPr="009654C2">
        <w:rPr>
          <w:rFonts w:eastAsia="Calibri"/>
          <w:sz w:val="22"/>
          <w:szCs w:val="22"/>
        </w:rPr>
        <w:t xml:space="preserve">be excluded from Program financing consistent with the requirements of a Program for Results operation. Subprojects will be screened by the Safeguard Team at the level of </w:t>
      </w:r>
      <w:r w:rsidR="00F01FD1" w:rsidRPr="009654C2">
        <w:rPr>
          <w:rFonts w:eastAsia="Calibri"/>
          <w:sz w:val="22"/>
          <w:szCs w:val="22"/>
        </w:rPr>
        <w:t>MMA</w:t>
      </w:r>
      <w:r w:rsidR="000B27F5" w:rsidRPr="009654C2">
        <w:rPr>
          <w:rFonts w:eastAsia="Calibri"/>
          <w:sz w:val="22"/>
          <w:szCs w:val="22"/>
        </w:rPr>
        <w:t xml:space="preserve"> with support from Regional EPA and PP</w:t>
      </w:r>
      <w:r w:rsidR="00887529">
        <w:rPr>
          <w:rFonts w:eastAsia="Calibri"/>
          <w:sz w:val="22"/>
          <w:szCs w:val="22"/>
        </w:rPr>
        <w:t>B</w:t>
      </w:r>
      <w:r w:rsidR="000B27F5" w:rsidRPr="009654C2">
        <w:rPr>
          <w:rFonts w:eastAsia="Calibri"/>
          <w:sz w:val="22"/>
          <w:szCs w:val="22"/>
        </w:rPr>
        <w:t>ME</w:t>
      </w:r>
      <w:r w:rsidR="00887529">
        <w:rPr>
          <w:rFonts w:eastAsia="Calibri"/>
          <w:sz w:val="22"/>
          <w:szCs w:val="22"/>
        </w:rPr>
        <w:t>D,</w:t>
      </w:r>
      <w:r w:rsidR="000B27F5" w:rsidRPr="009654C2">
        <w:rPr>
          <w:rFonts w:eastAsia="Calibri"/>
          <w:sz w:val="22"/>
          <w:szCs w:val="22"/>
        </w:rPr>
        <w:t xml:space="preserve"> Environmental and Social Specialist</w:t>
      </w:r>
      <w:r w:rsidR="003B1D0C" w:rsidRPr="009654C2">
        <w:rPr>
          <w:rFonts w:eastAsia="Calibri"/>
          <w:sz w:val="22"/>
          <w:szCs w:val="22"/>
        </w:rPr>
        <w:t>,</w:t>
      </w:r>
      <w:r w:rsidR="000B27F5" w:rsidRPr="009654C2">
        <w:rPr>
          <w:rFonts w:eastAsia="Calibri"/>
          <w:sz w:val="22"/>
          <w:szCs w:val="22"/>
        </w:rPr>
        <w:t xml:space="preserve"> and subprojects that are category A or falling under Schedule 2 of </w:t>
      </w:r>
      <w:r w:rsidR="00403B09" w:rsidRPr="009654C2">
        <w:rPr>
          <w:rFonts w:eastAsia="Calibri"/>
          <w:sz w:val="22"/>
          <w:szCs w:val="22"/>
        </w:rPr>
        <w:t>Ghana’s EA Regulation will be excluded from the Program</w:t>
      </w:r>
      <w:r w:rsidR="00975839">
        <w:rPr>
          <w:rFonts w:eastAsia="Calibri"/>
          <w:sz w:val="22"/>
          <w:szCs w:val="22"/>
        </w:rPr>
        <w:t xml:space="preserve"> (Including activities in Table 2B and para.35 of the PAD)</w:t>
      </w:r>
      <w:r w:rsidR="00403B09" w:rsidRPr="009654C2">
        <w:rPr>
          <w:rFonts w:eastAsia="Calibri"/>
          <w:sz w:val="22"/>
          <w:szCs w:val="22"/>
        </w:rPr>
        <w:t xml:space="preserve">. </w:t>
      </w:r>
      <w:r w:rsidR="003B1D0C" w:rsidRPr="009654C2">
        <w:rPr>
          <w:rFonts w:eastAsia="Calibri"/>
          <w:sz w:val="22"/>
          <w:szCs w:val="22"/>
        </w:rPr>
        <w:t xml:space="preserve">More specifically, the </w:t>
      </w:r>
      <w:r w:rsidRPr="009654C2">
        <w:rPr>
          <w:rFonts w:eastAsia="Calibri"/>
          <w:sz w:val="22"/>
          <w:szCs w:val="22"/>
        </w:rPr>
        <w:t xml:space="preserve">following works will be ineligible for financing under the </w:t>
      </w:r>
      <w:r w:rsidR="00A409ED" w:rsidRPr="009654C2">
        <w:rPr>
          <w:rFonts w:eastAsia="Calibri"/>
          <w:sz w:val="22"/>
          <w:szCs w:val="22"/>
        </w:rPr>
        <w:t>P</w:t>
      </w:r>
      <w:r w:rsidRPr="009654C2">
        <w:rPr>
          <w:rFonts w:eastAsia="Calibri"/>
          <w:sz w:val="22"/>
          <w:szCs w:val="22"/>
        </w:rPr>
        <w:t>rogram</w:t>
      </w:r>
      <w:r w:rsidR="00975839">
        <w:rPr>
          <w:rFonts w:eastAsia="Calibri"/>
          <w:sz w:val="22"/>
          <w:szCs w:val="22"/>
        </w:rPr>
        <w:t>:</w:t>
      </w:r>
    </w:p>
    <w:p w14:paraId="1CB57368" w14:textId="77777777" w:rsidR="00484758" w:rsidRPr="009654C2" w:rsidRDefault="00484758" w:rsidP="00CA0715">
      <w:pPr>
        <w:pStyle w:val="MainParanoChapter-Ch3"/>
        <w:numPr>
          <w:ilvl w:val="0"/>
          <w:numId w:val="55"/>
        </w:numPr>
        <w:spacing w:before="0"/>
        <w:contextualSpacing/>
        <w:rPr>
          <w:rFonts w:eastAsia="Calibri"/>
          <w:sz w:val="22"/>
          <w:szCs w:val="22"/>
        </w:rPr>
      </w:pPr>
      <w:r w:rsidRPr="009654C2">
        <w:rPr>
          <w:rFonts w:eastAsia="Calibri"/>
          <w:sz w:val="22"/>
          <w:szCs w:val="22"/>
        </w:rPr>
        <w:t>Road works outside of existing rights-of-way;</w:t>
      </w:r>
    </w:p>
    <w:p w14:paraId="78190FF4" w14:textId="77777777" w:rsidR="00484758" w:rsidRPr="009654C2" w:rsidRDefault="00484758" w:rsidP="00CA0715">
      <w:pPr>
        <w:pStyle w:val="MainParanoChapter-Ch3"/>
        <w:numPr>
          <w:ilvl w:val="0"/>
          <w:numId w:val="41"/>
        </w:numPr>
        <w:spacing w:before="0"/>
        <w:contextualSpacing/>
        <w:rPr>
          <w:rFonts w:eastAsia="Calibri"/>
          <w:sz w:val="22"/>
          <w:szCs w:val="22"/>
        </w:rPr>
      </w:pPr>
      <w:r w:rsidRPr="009654C2">
        <w:rPr>
          <w:rFonts w:eastAsia="Calibri"/>
          <w:sz w:val="22"/>
          <w:szCs w:val="22"/>
        </w:rPr>
        <w:t>Works involving physical relocation of more than 200 people;</w:t>
      </w:r>
    </w:p>
    <w:p w14:paraId="7486062A" w14:textId="77777777" w:rsidR="00484758" w:rsidRPr="009654C2" w:rsidRDefault="00484758" w:rsidP="00CA0715">
      <w:pPr>
        <w:pStyle w:val="MainParanoChapter-Ch3"/>
        <w:numPr>
          <w:ilvl w:val="0"/>
          <w:numId w:val="41"/>
        </w:numPr>
        <w:spacing w:before="0"/>
        <w:contextualSpacing/>
        <w:rPr>
          <w:rFonts w:eastAsia="Calibri"/>
          <w:sz w:val="22"/>
          <w:szCs w:val="22"/>
        </w:rPr>
      </w:pPr>
      <w:r w:rsidRPr="009654C2">
        <w:rPr>
          <w:rFonts w:eastAsia="Calibri"/>
          <w:sz w:val="22"/>
          <w:szCs w:val="22"/>
        </w:rPr>
        <w:t>Likely to adversely create or exacerbate conflict within communities</w:t>
      </w:r>
      <w:r w:rsidR="00403B09" w:rsidRPr="009654C2">
        <w:rPr>
          <w:rFonts w:eastAsia="Calibri"/>
          <w:sz w:val="22"/>
          <w:szCs w:val="22"/>
        </w:rPr>
        <w:t>;</w:t>
      </w:r>
    </w:p>
    <w:p w14:paraId="54A76348" w14:textId="77777777" w:rsidR="00484758" w:rsidRPr="009654C2" w:rsidRDefault="00484758" w:rsidP="00CA0715">
      <w:pPr>
        <w:pStyle w:val="MainParanoChapter-Ch3"/>
        <w:numPr>
          <w:ilvl w:val="0"/>
          <w:numId w:val="41"/>
        </w:numPr>
        <w:spacing w:before="0"/>
        <w:contextualSpacing/>
        <w:rPr>
          <w:rFonts w:eastAsia="Calibri"/>
          <w:sz w:val="22"/>
          <w:szCs w:val="22"/>
        </w:rPr>
      </w:pPr>
      <w:r w:rsidRPr="009654C2">
        <w:rPr>
          <w:rFonts w:eastAsia="Calibri"/>
          <w:sz w:val="22"/>
          <w:szCs w:val="22"/>
        </w:rPr>
        <w:t xml:space="preserve">Have significant adverse impacts on </w:t>
      </w:r>
      <w:r w:rsidR="00403B09" w:rsidRPr="009654C2">
        <w:rPr>
          <w:rFonts w:eastAsia="Calibri"/>
          <w:sz w:val="22"/>
          <w:szCs w:val="22"/>
        </w:rPr>
        <w:t>communities and sensitive receptors;</w:t>
      </w:r>
    </w:p>
    <w:p w14:paraId="34989BE5" w14:textId="1F124AED" w:rsidR="00484758" w:rsidRPr="009654C2" w:rsidRDefault="00484758" w:rsidP="00CA0715">
      <w:pPr>
        <w:pStyle w:val="MainParanoChapter-Ch3"/>
        <w:numPr>
          <w:ilvl w:val="0"/>
          <w:numId w:val="41"/>
        </w:numPr>
        <w:spacing w:before="0"/>
        <w:rPr>
          <w:rFonts w:eastAsia="Calibri"/>
          <w:sz w:val="22"/>
          <w:szCs w:val="22"/>
        </w:rPr>
      </w:pPr>
      <w:r w:rsidRPr="009654C2">
        <w:rPr>
          <w:rFonts w:eastAsia="Calibri"/>
          <w:sz w:val="22"/>
          <w:szCs w:val="22"/>
        </w:rPr>
        <w:t xml:space="preserve">Large scale market construction </w:t>
      </w:r>
      <w:r w:rsidR="00403B09" w:rsidRPr="009654C2">
        <w:rPr>
          <w:rFonts w:eastAsia="Calibri"/>
          <w:sz w:val="22"/>
          <w:szCs w:val="22"/>
        </w:rPr>
        <w:t xml:space="preserve">falling under Schedule 2 of Ghana’s EA Regulation </w:t>
      </w:r>
      <w:r w:rsidRPr="009654C2">
        <w:rPr>
          <w:rFonts w:eastAsia="Calibri"/>
          <w:sz w:val="22"/>
          <w:szCs w:val="22"/>
        </w:rPr>
        <w:t xml:space="preserve">that contribute </w:t>
      </w:r>
      <w:r w:rsidR="008E0AD1" w:rsidRPr="009654C2">
        <w:rPr>
          <w:rFonts w:eastAsia="Calibri"/>
          <w:sz w:val="22"/>
          <w:szCs w:val="22"/>
        </w:rPr>
        <w:t xml:space="preserve">to </w:t>
      </w:r>
      <w:r w:rsidRPr="009654C2">
        <w:rPr>
          <w:rFonts w:eastAsia="Calibri"/>
          <w:sz w:val="22"/>
          <w:szCs w:val="22"/>
        </w:rPr>
        <w:t>large amount of solid wastes in the cities</w:t>
      </w:r>
      <w:r w:rsidR="00403B09" w:rsidRPr="009654C2">
        <w:rPr>
          <w:rFonts w:eastAsia="Calibri"/>
          <w:sz w:val="22"/>
          <w:szCs w:val="22"/>
        </w:rPr>
        <w:t>;</w:t>
      </w:r>
    </w:p>
    <w:p w14:paraId="5DA178C1" w14:textId="77777777" w:rsidR="00484758" w:rsidRPr="009654C2" w:rsidRDefault="00484758" w:rsidP="00CA0715">
      <w:pPr>
        <w:pStyle w:val="MainParanoChapter-Ch3"/>
        <w:numPr>
          <w:ilvl w:val="0"/>
          <w:numId w:val="41"/>
        </w:numPr>
        <w:spacing w:before="0"/>
        <w:rPr>
          <w:rFonts w:eastAsia="Calibri"/>
          <w:sz w:val="22"/>
          <w:szCs w:val="22"/>
        </w:rPr>
      </w:pPr>
      <w:r w:rsidRPr="009654C2">
        <w:rPr>
          <w:rFonts w:eastAsia="Calibri"/>
          <w:sz w:val="22"/>
          <w:szCs w:val="22"/>
        </w:rPr>
        <w:t>Large-scale flood control systems (such as dams or large dykes);</w:t>
      </w:r>
    </w:p>
    <w:p w14:paraId="16A278C8" w14:textId="77777777" w:rsidR="00484758" w:rsidRPr="009654C2" w:rsidRDefault="005E73D8" w:rsidP="00CA0715">
      <w:pPr>
        <w:pStyle w:val="MainParanoChapter-Ch3"/>
        <w:numPr>
          <w:ilvl w:val="0"/>
          <w:numId w:val="41"/>
        </w:numPr>
        <w:spacing w:before="0"/>
        <w:rPr>
          <w:rFonts w:eastAsia="Calibri"/>
          <w:sz w:val="22"/>
          <w:szCs w:val="22"/>
        </w:rPr>
      </w:pPr>
      <w:r w:rsidRPr="009654C2">
        <w:rPr>
          <w:rFonts w:eastAsia="Calibri"/>
          <w:sz w:val="22"/>
          <w:szCs w:val="22"/>
        </w:rPr>
        <w:t>Sanitary landfills</w:t>
      </w:r>
      <w:r w:rsidR="00484758" w:rsidRPr="009654C2">
        <w:rPr>
          <w:rFonts w:eastAsia="Calibri"/>
          <w:sz w:val="22"/>
          <w:szCs w:val="22"/>
        </w:rPr>
        <w:t>;</w:t>
      </w:r>
    </w:p>
    <w:p w14:paraId="72003D03" w14:textId="77777777" w:rsidR="00CE13D5" w:rsidRPr="009654C2" w:rsidRDefault="00484758" w:rsidP="00CA0715">
      <w:pPr>
        <w:pStyle w:val="MainParanoChapter-Ch3"/>
        <w:numPr>
          <w:ilvl w:val="0"/>
          <w:numId w:val="41"/>
        </w:numPr>
        <w:spacing w:before="0"/>
        <w:rPr>
          <w:rFonts w:eastAsia="Calibri"/>
          <w:sz w:val="22"/>
          <w:szCs w:val="22"/>
        </w:rPr>
      </w:pPr>
      <w:r w:rsidRPr="009654C2">
        <w:rPr>
          <w:rFonts w:eastAsia="Calibri"/>
          <w:sz w:val="22"/>
          <w:szCs w:val="22"/>
        </w:rPr>
        <w:t>Activities that would significantly convert natural habitats or significantly alter potentially important biodiversity and/or cultural resource areas.</w:t>
      </w:r>
    </w:p>
    <w:p w14:paraId="0E318A50" w14:textId="5999E4E8" w:rsidR="00CE13D5" w:rsidRPr="009654C2" w:rsidRDefault="00390C91" w:rsidP="009654C2">
      <w:pPr>
        <w:pStyle w:val="MainParanoChapter-Ch3"/>
        <w:rPr>
          <w:rStyle w:val="Heading21"/>
          <w:sz w:val="22"/>
          <w:szCs w:val="22"/>
        </w:rPr>
      </w:pPr>
      <w:r w:rsidRPr="009654C2">
        <w:rPr>
          <w:rStyle w:val="Heading21"/>
          <w:sz w:val="22"/>
          <w:szCs w:val="22"/>
        </w:rPr>
        <w:t xml:space="preserve">3.1. </w:t>
      </w:r>
      <w:r w:rsidR="00CE13D5" w:rsidRPr="009654C2">
        <w:rPr>
          <w:rStyle w:val="Heading21"/>
          <w:sz w:val="22"/>
          <w:szCs w:val="22"/>
        </w:rPr>
        <w:t>Environmental Benefits</w:t>
      </w:r>
    </w:p>
    <w:p w14:paraId="1D93DA09" w14:textId="4FC48965" w:rsidR="00CE13D5" w:rsidRDefault="00FB4335" w:rsidP="00CA0715">
      <w:pPr>
        <w:pStyle w:val="MainParanoChapter-Ch3"/>
        <w:spacing w:before="120" w:after="120"/>
        <w:contextualSpacing/>
        <w:rPr>
          <w:sz w:val="22"/>
          <w:szCs w:val="22"/>
        </w:rPr>
      </w:pPr>
      <w:r w:rsidRPr="009654C2">
        <w:rPr>
          <w:sz w:val="22"/>
          <w:szCs w:val="22"/>
        </w:rPr>
        <w:t xml:space="preserve">Similar to LGCSP, the Program is expected to provide environmental (apart from economic) benefits to beneficiaries and the general public at large. Many of the </w:t>
      </w:r>
      <w:r w:rsidR="00CE13D5" w:rsidRPr="009654C2">
        <w:rPr>
          <w:sz w:val="22"/>
          <w:szCs w:val="22"/>
        </w:rPr>
        <w:t>subprojects</w:t>
      </w:r>
      <w:r w:rsidRPr="009654C2">
        <w:rPr>
          <w:sz w:val="22"/>
          <w:szCs w:val="22"/>
        </w:rPr>
        <w:t xml:space="preserve"> under the existing LGCSP</w:t>
      </w:r>
      <w:r w:rsidR="00CE13D5" w:rsidRPr="009654C2">
        <w:rPr>
          <w:sz w:val="22"/>
          <w:szCs w:val="22"/>
        </w:rPr>
        <w:t xml:space="preserve"> have already contributed positively to environmental sustainability. The following are some examples of environmental benefits: </w:t>
      </w:r>
    </w:p>
    <w:p w14:paraId="41D7B6D1" w14:textId="77777777" w:rsidR="004311F5" w:rsidRPr="009654C2" w:rsidRDefault="004311F5" w:rsidP="00CA0715">
      <w:pPr>
        <w:pStyle w:val="MainParanoChapter-Ch3"/>
        <w:spacing w:before="120" w:after="120"/>
        <w:contextualSpacing/>
        <w:rPr>
          <w:sz w:val="22"/>
          <w:szCs w:val="22"/>
        </w:rPr>
      </w:pPr>
    </w:p>
    <w:p w14:paraId="0BCC1A4C" w14:textId="77777777" w:rsidR="004D432F" w:rsidRPr="00CA0715" w:rsidRDefault="004D432F" w:rsidP="00CA0715">
      <w:pPr>
        <w:pStyle w:val="MainParanoChapter-Ch3"/>
        <w:numPr>
          <w:ilvl w:val="0"/>
          <w:numId w:val="41"/>
        </w:numPr>
        <w:spacing w:before="0"/>
        <w:rPr>
          <w:rFonts w:eastAsia="Calibri"/>
          <w:sz w:val="22"/>
          <w:szCs w:val="22"/>
        </w:rPr>
      </w:pPr>
      <w:r w:rsidRPr="00CA0715">
        <w:rPr>
          <w:rFonts w:eastAsia="Calibri"/>
          <w:sz w:val="22"/>
          <w:szCs w:val="22"/>
        </w:rPr>
        <w:t xml:space="preserve">Improved health and sanitation in schools, public markets, commercial complexes, abattoirs, bus terminals, etc. through provision of sanitation, water and wastewater </w:t>
      </w:r>
      <w:r w:rsidR="003B1D0C" w:rsidRPr="00CA0715">
        <w:rPr>
          <w:rFonts w:eastAsia="Calibri"/>
          <w:sz w:val="22"/>
          <w:szCs w:val="22"/>
        </w:rPr>
        <w:t xml:space="preserve">treatment </w:t>
      </w:r>
      <w:r w:rsidRPr="00CA0715">
        <w:rPr>
          <w:rFonts w:eastAsia="Calibri"/>
          <w:sz w:val="22"/>
          <w:szCs w:val="22"/>
        </w:rPr>
        <w:t>facilities in these establishments;</w:t>
      </w:r>
    </w:p>
    <w:p w14:paraId="30197C93" w14:textId="77777777" w:rsidR="00CE13D5" w:rsidRPr="00CA0715" w:rsidRDefault="00CE13D5" w:rsidP="00CA0715">
      <w:pPr>
        <w:pStyle w:val="MainParanoChapter-Ch3"/>
        <w:numPr>
          <w:ilvl w:val="0"/>
          <w:numId w:val="41"/>
        </w:numPr>
        <w:spacing w:before="0"/>
        <w:rPr>
          <w:rFonts w:eastAsia="Calibri"/>
          <w:sz w:val="22"/>
          <w:szCs w:val="22"/>
        </w:rPr>
      </w:pPr>
      <w:r w:rsidRPr="00CA0715">
        <w:rPr>
          <w:rFonts w:eastAsia="Calibri"/>
          <w:sz w:val="22"/>
          <w:szCs w:val="22"/>
        </w:rPr>
        <w:t>Improved air quality due to improved traffic flow, reduced fuel consumption and dust entrainment through better roads. The improved traffic infrastructure has also reduced vehicle accident hazards;</w:t>
      </w:r>
    </w:p>
    <w:p w14:paraId="5CCCD843" w14:textId="77777777" w:rsidR="00CE13D5" w:rsidRPr="00CA0715" w:rsidRDefault="00CE13D5" w:rsidP="00CA0715">
      <w:pPr>
        <w:pStyle w:val="MainParanoChapter-Ch3"/>
        <w:numPr>
          <w:ilvl w:val="0"/>
          <w:numId w:val="41"/>
        </w:numPr>
        <w:spacing w:before="0"/>
        <w:rPr>
          <w:rFonts w:eastAsia="Calibri"/>
          <w:sz w:val="22"/>
          <w:szCs w:val="22"/>
        </w:rPr>
      </w:pPr>
      <w:r w:rsidRPr="00CA0715">
        <w:rPr>
          <w:rFonts w:eastAsia="Calibri"/>
          <w:sz w:val="22"/>
          <w:szCs w:val="22"/>
        </w:rPr>
        <w:t>Reduced road flooding and reduced roadside erosion through drainage improvement. The improved roadside drains keep contaminated floodwater away from pedestrians, therefore reducing the risk of water-borne diseases;</w:t>
      </w:r>
    </w:p>
    <w:p w14:paraId="39915968" w14:textId="77777777" w:rsidR="00CE13D5" w:rsidRPr="00CA0715" w:rsidRDefault="00CE13D5" w:rsidP="00CA0715">
      <w:pPr>
        <w:pStyle w:val="MainParanoChapter-Ch3"/>
        <w:numPr>
          <w:ilvl w:val="0"/>
          <w:numId w:val="41"/>
        </w:numPr>
        <w:spacing w:before="0"/>
        <w:rPr>
          <w:rFonts w:eastAsia="Calibri"/>
          <w:sz w:val="22"/>
          <w:szCs w:val="22"/>
        </w:rPr>
      </w:pPr>
      <w:r w:rsidRPr="00CA0715">
        <w:rPr>
          <w:rFonts w:eastAsia="Calibri"/>
          <w:sz w:val="22"/>
          <w:szCs w:val="22"/>
        </w:rPr>
        <w:t xml:space="preserve">Public health improvement because of </w:t>
      </w:r>
      <w:r w:rsidR="004D432F" w:rsidRPr="00CA0715">
        <w:rPr>
          <w:rFonts w:eastAsia="Calibri"/>
          <w:sz w:val="22"/>
          <w:szCs w:val="22"/>
        </w:rPr>
        <w:t xml:space="preserve">construction of health centers, </w:t>
      </w:r>
      <w:r w:rsidRPr="00CA0715">
        <w:rPr>
          <w:rFonts w:eastAsia="Calibri"/>
          <w:sz w:val="22"/>
          <w:szCs w:val="22"/>
        </w:rPr>
        <w:t xml:space="preserve">removal of accumulated solid wastes from city streets </w:t>
      </w:r>
      <w:r w:rsidR="004D432F" w:rsidRPr="00CA0715">
        <w:rPr>
          <w:rFonts w:eastAsia="Calibri"/>
          <w:sz w:val="22"/>
          <w:szCs w:val="22"/>
        </w:rPr>
        <w:t xml:space="preserve">and commercial centers </w:t>
      </w:r>
      <w:r w:rsidRPr="00CA0715">
        <w:rPr>
          <w:rFonts w:eastAsia="Calibri"/>
          <w:sz w:val="22"/>
          <w:szCs w:val="22"/>
        </w:rPr>
        <w:t xml:space="preserve">through better solid waste </w:t>
      </w:r>
      <w:r w:rsidR="00FB4335" w:rsidRPr="00CA0715">
        <w:rPr>
          <w:rFonts w:eastAsia="Calibri"/>
          <w:sz w:val="22"/>
          <w:szCs w:val="22"/>
        </w:rPr>
        <w:t>collection;</w:t>
      </w:r>
    </w:p>
    <w:p w14:paraId="181FC72C" w14:textId="77777777" w:rsidR="00CE13D5" w:rsidRPr="00CA0715" w:rsidRDefault="00CE13D5" w:rsidP="00CA0715">
      <w:pPr>
        <w:pStyle w:val="MainParanoChapter-Ch3"/>
        <w:numPr>
          <w:ilvl w:val="0"/>
          <w:numId w:val="41"/>
        </w:numPr>
        <w:spacing w:before="0"/>
        <w:rPr>
          <w:rFonts w:eastAsia="Calibri"/>
          <w:sz w:val="22"/>
          <w:szCs w:val="22"/>
        </w:rPr>
      </w:pPr>
      <w:r w:rsidRPr="00CA0715">
        <w:rPr>
          <w:rFonts w:eastAsia="Calibri"/>
          <w:sz w:val="22"/>
          <w:szCs w:val="22"/>
        </w:rPr>
        <w:t xml:space="preserve">Reduced traffic congestion and reduced pedestrian accident hazard through improved </w:t>
      </w:r>
      <w:r w:rsidR="004D432F" w:rsidRPr="00CA0715">
        <w:rPr>
          <w:rFonts w:eastAsia="Calibri"/>
          <w:sz w:val="22"/>
          <w:szCs w:val="22"/>
        </w:rPr>
        <w:t>bus terminals;</w:t>
      </w:r>
    </w:p>
    <w:p w14:paraId="1628950A" w14:textId="77777777" w:rsidR="004D432F" w:rsidRPr="00CA0715" w:rsidRDefault="00CE13D5" w:rsidP="00CA0715">
      <w:pPr>
        <w:pStyle w:val="MainParanoChapter-Ch3"/>
        <w:numPr>
          <w:ilvl w:val="0"/>
          <w:numId w:val="41"/>
        </w:numPr>
        <w:spacing w:before="0"/>
        <w:rPr>
          <w:rFonts w:eastAsia="Calibri"/>
          <w:sz w:val="22"/>
          <w:szCs w:val="22"/>
        </w:rPr>
      </w:pPr>
      <w:r w:rsidRPr="00CA0715">
        <w:rPr>
          <w:rFonts w:eastAsia="Calibri"/>
          <w:sz w:val="22"/>
          <w:szCs w:val="22"/>
        </w:rPr>
        <w:t xml:space="preserve">Enhanced green cover through </w:t>
      </w:r>
      <w:r w:rsidR="004D432F" w:rsidRPr="00CA0715">
        <w:rPr>
          <w:rFonts w:eastAsia="Calibri"/>
          <w:sz w:val="22"/>
          <w:szCs w:val="22"/>
        </w:rPr>
        <w:t>establishment of public parks</w:t>
      </w:r>
      <w:r w:rsidRPr="00CA0715">
        <w:rPr>
          <w:rFonts w:eastAsia="Calibri"/>
          <w:sz w:val="22"/>
          <w:szCs w:val="22"/>
        </w:rPr>
        <w:t xml:space="preserve"> and landscaping of public areas associated with the planned urban infrastructure</w:t>
      </w:r>
      <w:r w:rsidR="004D432F" w:rsidRPr="00CA0715">
        <w:rPr>
          <w:rFonts w:eastAsia="Calibri"/>
          <w:sz w:val="22"/>
          <w:szCs w:val="22"/>
        </w:rPr>
        <w:t>;</w:t>
      </w:r>
    </w:p>
    <w:p w14:paraId="2DEA60FF" w14:textId="53D87DCF" w:rsidR="00CE13D5" w:rsidRPr="00CA0715" w:rsidRDefault="00CE13D5" w:rsidP="00CA0715">
      <w:pPr>
        <w:pStyle w:val="MainParanoChapter-Ch3"/>
        <w:numPr>
          <w:ilvl w:val="0"/>
          <w:numId w:val="41"/>
        </w:numPr>
        <w:spacing w:before="0"/>
        <w:rPr>
          <w:rFonts w:eastAsia="Calibri"/>
          <w:sz w:val="22"/>
          <w:szCs w:val="22"/>
        </w:rPr>
      </w:pPr>
      <w:r w:rsidRPr="00CA0715">
        <w:rPr>
          <w:rFonts w:eastAsia="Calibri"/>
          <w:sz w:val="22"/>
          <w:szCs w:val="22"/>
        </w:rPr>
        <w:t xml:space="preserve">Increased awareness on the importance of environmental management at the </w:t>
      </w:r>
      <w:r w:rsidR="004D432F" w:rsidRPr="00CA0715">
        <w:rPr>
          <w:rFonts w:eastAsia="Calibri"/>
          <w:sz w:val="22"/>
          <w:szCs w:val="22"/>
        </w:rPr>
        <w:t>MMA</w:t>
      </w:r>
      <w:r w:rsidRPr="00CA0715">
        <w:rPr>
          <w:rFonts w:eastAsia="Calibri"/>
          <w:sz w:val="22"/>
          <w:szCs w:val="22"/>
        </w:rPr>
        <w:t xml:space="preserve"> level that has an effect outside of the </w:t>
      </w:r>
      <w:r w:rsidR="004D432F" w:rsidRPr="00CA0715">
        <w:rPr>
          <w:rFonts w:eastAsia="Calibri"/>
          <w:sz w:val="22"/>
          <w:szCs w:val="22"/>
        </w:rPr>
        <w:t>Program</w:t>
      </w:r>
      <w:r w:rsidRPr="00CA0715">
        <w:rPr>
          <w:rFonts w:eastAsia="Calibri"/>
          <w:sz w:val="22"/>
          <w:szCs w:val="22"/>
        </w:rPr>
        <w:t xml:space="preserve"> investments.</w:t>
      </w:r>
    </w:p>
    <w:p w14:paraId="471C680D" w14:textId="6A8A4536" w:rsidR="00CE13D5" w:rsidRPr="009654C2" w:rsidRDefault="00390C91" w:rsidP="009654C2">
      <w:pPr>
        <w:pStyle w:val="MainParanoChapter-Ch3"/>
        <w:rPr>
          <w:rStyle w:val="Heading21"/>
          <w:sz w:val="22"/>
          <w:szCs w:val="22"/>
        </w:rPr>
      </w:pPr>
      <w:r w:rsidRPr="009654C2">
        <w:rPr>
          <w:rStyle w:val="Heading21"/>
          <w:sz w:val="22"/>
          <w:szCs w:val="22"/>
        </w:rPr>
        <w:t xml:space="preserve">3.2. </w:t>
      </w:r>
      <w:r w:rsidR="00CE13D5" w:rsidRPr="009654C2">
        <w:rPr>
          <w:rStyle w:val="Heading21"/>
          <w:sz w:val="22"/>
          <w:szCs w:val="22"/>
        </w:rPr>
        <w:t>Social Benefits</w:t>
      </w:r>
    </w:p>
    <w:p w14:paraId="67C52E62" w14:textId="77777777" w:rsidR="004311F5" w:rsidRDefault="004311F5" w:rsidP="00CA0715">
      <w:pPr>
        <w:pStyle w:val="MainParanoChapter-Ch3"/>
        <w:spacing w:before="120" w:after="120"/>
        <w:contextualSpacing/>
        <w:rPr>
          <w:sz w:val="22"/>
          <w:szCs w:val="22"/>
        </w:rPr>
      </w:pPr>
    </w:p>
    <w:p w14:paraId="27D0A306" w14:textId="01885F85" w:rsidR="00CE13D5" w:rsidRPr="009654C2" w:rsidRDefault="00CE13D5" w:rsidP="00CA0715">
      <w:pPr>
        <w:pStyle w:val="MainParanoChapter-Ch3"/>
        <w:spacing w:before="120" w:after="120"/>
        <w:contextualSpacing/>
        <w:rPr>
          <w:sz w:val="22"/>
          <w:szCs w:val="22"/>
        </w:rPr>
      </w:pPr>
      <w:r w:rsidRPr="009654C2">
        <w:rPr>
          <w:sz w:val="22"/>
          <w:szCs w:val="22"/>
        </w:rPr>
        <w:t xml:space="preserve">Overall, the </w:t>
      </w:r>
      <w:r w:rsidR="00AA2110" w:rsidRPr="009654C2">
        <w:rPr>
          <w:sz w:val="22"/>
          <w:szCs w:val="22"/>
        </w:rPr>
        <w:t xml:space="preserve">LGCSP </w:t>
      </w:r>
      <w:r w:rsidRPr="009654C2">
        <w:rPr>
          <w:sz w:val="22"/>
          <w:szCs w:val="22"/>
        </w:rPr>
        <w:t xml:space="preserve">has had a number of social benefits, particularly owing to its design to enhance the institutional performance of participating </w:t>
      </w:r>
      <w:r w:rsidR="00F01FD1" w:rsidRPr="009654C2">
        <w:rPr>
          <w:sz w:val="22"/>
          <w:szCs w:val="22"/>
        </w:rPr>
        <w:t>MMA</w:t>
      </w:r>
      <w:r w:rsidR="00296096" w:rsidRPr="009654C2">
        <w:rPr>
          <w:sz w:val="22"/>
          <w:szCs w:val="22"/>
        </w:rPr>
        <w:t>s</w:t>
      </w:r>
      <w:r w:rsidRPr="009654C2">
        <w:rPr>
          <w:sz w:val="22"/>
          <w:szCs w:val="22"/>
        </w:rPr>
        <w:t xml:space="preserve"> to improve urban service delivery to the local community. From the perspective of socio-economic development, new or refurbished streets, centr</w:t>
      </w:r>
      <w:r w:rsidR="00F01FD1" w:rsidRPr="009654C2">
        <w:rPr>
          <w:sz w:val="22"/>
          <w:szCs w:val="22"/>
        </w:rPr>
        <w:t xml:space="preserve">alized and modern market areas and transport terminals </w:t>
      </w:r>
      <w:r w:rsidRPr="009654C2">
        <w:rPr>
          <w:sz w:val="22"/>
          <w:szCs w:val="22"/>
        </w:rPr>
        <w:t>and general improvement in municipal services are all enabling factors for the community. The following are some examples of social benefits:</w:t>
      </w:r>
    </w:p>
    <w:p w14:paraId="0A0AF107" w14:textId="77777777" w:rsidR="009F7C31" w:rsidRPr="009654C2" w:rsidRDefault="009F7C31" w:rsidP="00CA0715">
      <w:pPr>
        <w:pStyle w:val="MainParanoChapter-Ch3"/>
        <w:spacing w:before="120" w:after="120"/>
        <w:contextualSpacing/>
        <w:rPr>
          <w:sz w:val="22"/>
          <w:szCs w:val="22"/>
        </w:rPr>
      </w:pPr>
    </w:p>
    <w:p w14:paraId="60CD56D5" w14:textId="77777777" w:rsidR="00F01FD1" w:rsidRPr="00CA0715" w:rsidRDefault="00CE13D5" w:rsidP="00CA0715">
      <w:pPr>
        <w:pStyle w:val="MainParanoChapter-Ch3"/>
        <w:numPr>
          <w:ilvl w:val="0"/>
          <w:numId w:val="41"/>
        </w:numPr>
        <w:spacing w:before="0"/>
        <w:rPr>
          <w:rFonts w:eastAsia="Calibri"/>
          <w:sz w:val="22"/>
          <w:szCs w:val="22"/>
        </w:rPr>
      </w:pPr>
      <w:r w:rsidRPr="00CA0715">
        <w:rPr>
          <w:rFonts w:eastAsia="Calibri"/>
          <w:sz w:val="22"/>
          <w:szCs w:val="22"/>
        </w:rPr>
        <w:t xml:space="preserve">Improved community accessibility to schools, health centers, </w:t>
      </w:r>
      <w:r w:rsidR="00F01FD1" w:rsidRPr="00CA0715">
        <w:rPr>
          <w:rFonts w:eastAsia="Calibri"/>
          <w:sz w:val="22"/>
          <w:szCs w:val="22"/>
        </w:rPr>
        <w:t xml:space="preserve">public markets and commercial centers </w:t>
      </w:r>
      <w:r w:rsidRPr="00CA0715">
        <w:rPr>
          <w:rFonts w:eastAsia="Calibri"/>
          <w:sz w:val="22"/>
          <w:szCs w:val="22"/>
        </w:rPr>
        <w:t>through better roads;</w:t>
      </w:r>
    </w:p>
    <w:p w14:paraId="4089198C" w14:textId="77777777" w:rsidR="00CE13D5" w:rsidRPr="00CA0715" w:rsidRDefault="00F01FD1" w:rsidP="00CA0715">
      <w:pPr>
        <w:pStyle w:val="MainParanoChapter-Ch3"/>
        <w:numPr>
          <w:ilvl w:val="0"/>
          <w:numId w:val="41"/>
        </w:numPr>
        <w:spacing w:before="0"/>
        <w:rPr>
          <w:rFonts w:eastAsia="Calibri"/>
          <w:sz w:val="22"/>
          <w:szCs w:val="22"/>
        </w:rPr>
      </w:pPr>
      <w:r w:rsidRPr="00CA0715">
        <w:rPr>
          <w:rFonts w:eastAsia="Calibri"/>
          <w:sz w:val="22"/>
          <w:szCs w:val="22"/>
        </w:rPr>
        <w:t>Improved accessibility of schools through construction of disability-friendly schools;</w:t>
      </w:r>
    </w:p>
    <w:p w14:paraId="66A5E679" w14:textId="77777777" w:rsidR="00CE13D5" w:rsidRPr="00CA0715" w:rsidRDefault="00CE13D5" w:rsidP="00CA0715">
      <w:pPr>
        <w:pStyle w:val="MainParanoChapter-Ch3"/>
        <w:numPr>
          <w:ilvl w:val="0"/>
          <w:numId w:val="41"/>
        </w:numPr>
        <w:spacing w:before="0"/>
        <w:rPr>
          <w:rFonts w:eastAsia="Calibri"/>
          <w:sz w:val="22"/>
          <w:szCs w:val="22"/>
        </w:rPr>
      </w:pPr>
      <w:r w:rsidRPr="00CA0715">
        <w:rPr>
          <w:rFonts w:eastAsia="Calibri"/>
          <w:sz w:val="22"/>
          <w:szCs w:val="22"/>
        </w:rPr>
        <w:t>Improved security and safety through improved walkways and street lights;</w:t>
      </w:r>
    </w:p>
    <w:p w14:paraId="0587AF44" w14:textId="77777777" w:rsidR="00F01FD1" w:rsidRPr="00CA0715" w:rsidRDefault="00F01FD1" w:rsidP="00CA0715">
      <w:pPr>
        <w:pStyle w:val="MainParanoChapter-Ch3"/>
        <w:numPr>
          <w:ilvl w:val="0"/>
          <w:numId w:val="41"/>
        </w:numPr>
        <w:spacing w:before="0"/>
        <w:rPr>
          <w:rFonts w:eastAsia="Calibri"/>
          <w:sz w:val="22"/>
          <w:szCs w:val="22"/>
        </w:rPr>
      </w:pPr>
      <w:r w:rsidRPr="00CA0715">
        <w:rPr>
          <w:rFonts w:eastAsia="Calibri"/>
          <w:sz w:val="22"/>
          <w:szCs w:val="22"/>
        </w:rPr>
        <w:t>Better conditions for vendors, stall and business owners and customers along commercial centers and public markets;</w:t>
      </w:r>
    </w:p>
    <w:p w14:paraId="415B681E" w14:textId="77777777" w:rsidR="00F01FD1" w:rsidRPr="00CA0715" w:rsidRDefault="00F01FD1" w:rsidP="00CA0715">
      <w:pPr>
        <w:pStyle w:val="MainParanoChapter-Ch3"/>
        <w:numPr>
          <w:ilvl w:val="0"/>
          <w:numId w:val="41"/>
        </w:numPr>
        <w:spacing w:before="0"/>
        <w:rPr>
          <w:rFonts w:eastAsia="Calibri"/>
          <w:sz w:val="22"/>
          <w:szCs w:val="22"/>
        </w:rPr>
      </w:pPr>
      <w:r w:rsidRPr="00CA0715">
        <w:rPr>
          <w:rFonts w:eastAsia="Calibri"/>
          <w:sz w:val="22"/>
          <w:szCs w:val="22"/>
        </w:rPr>
        <w:t xml:space="preserve">Better conditions and safe environment for drivers and commuters through improved bus terminals; </w:t>
      </w:r>
    </w:p>
    <w:p w14:paraId="6AB62B60" w14:textId="77777777" w:rsidR="00CE13D5" w:rsidRPr="00CA0715" w:rsidRDefault="00CE13D5" w:rsidP="00CA0715">
      <w:pPr>
        <w:pStyle w:val="MainParanoChapter-Ch3"/>
        <w:numPr>
          <w:ilvl w:val="0"/>
          <w:numId w:val="41"/>
        </w:numPr>
        <w:spacing w:before="0"/>
        <w:rPr>
          <w:rFonts w:eastAsia="Calibri"/>
          <w:sz w:val="22"/>
          <w:szCs w:val="22"/>
        </w:rPr>
      </w:pPr>
      <w:r w:rsidRPr="00CA0715">
        <w:rPr>
          <w:rFonts w:eastAsia="Calibri"/>
          <w:sz w:val="22"/>
          <w:szCs w:val="22"/>
        </w:rPr>
        <w:t>Employment opportunities for the community through construction and maintenance of the municipal infrastructure. Positive economic impact on livelihood and the businesses through better accessibility and improved security; and</w:t>
      </w:r>
    </w:p>
    <w:p w14:paraId="69AAF1F7" w14:textId="77777777" w:rsidR="00AA2110" w:rsidRPr="00CA0715" w:rsidRDefault="00CE13D5" w:rsidP="00CA0715">
      <w:pPr>
        <w:pStyle w:val="MainParanoChapter-Ch3"/>
        <w:numPr>
          <w:ilvl w:val="0"/>
          <w:numId w:val="41"/>
        </w:numPr>
        <w:spacing w:before="0"/>
        <w:rPr>
          <w:rFonts w:eastAsia="Calibri"/>
          <w:sz w:val="22"/>
          <w:szCs w:val="22"/>
        </w:rPr>
      </w:pPr>
      <w:r w:rsidRPr="00CA0715">
        <w:rPr>
          <w:rFonts w:eastAsia="Calibri"/>
          <w:sz w:val="22"/>
          <w:szCs w:val="22"/>
        </w:rPr>
        <w:t>Strengthened local capacity to deliver. The experience gained by municipal officials in managing the environmental and social impacts of infrastructure investment should strengthen their capacity to manage municipal growth in more sustainable ways.</w:t>
      </w:r>
    </w:p>
    <w:p w14:paraId="5E1186BE" w14:textId="77777777" w:rsidR="00CE13D5" w:rsidRPr="00CA0715" w:rsidRDefault="00AA2110" w:rsidP="00CA0715">
      <w:pPr>
        <w:pStyle w:val="MainParanoChapter-Ch3"/>
        <w:numPr>
          <w:ilvl w:val="0"/>
          <w:numId w:val="41"/>
        </w:numPr>
        <w:spacing w:before="0"/>
        <w:rPr>
          <w:rFonts w:eastAsia="Calibri"/>
          <w:sz w:val="22"/>
          <w:szCs w:val="22"/>
        </w:rPr>
      </w:pPr>
      <w:r w:rsidRPr="00CA0715">
        <w:rPr>
          <w:rFonts w:eastAsia="Calibri"/>
          <w:sz w:val="22"/>
          <w:szCs w:val="22"/>
        </w:rPr>
        <w:t>Awareness creation and empowerment of citizens to participate in decision making and exact accountability from duty bearers.</w:t>
      </w:r>
      <w:r w:rsidR="00CE13D5" w:rsidRPr="00CA0715">
        <w:rPr>
          <w:rFonts w:eastAsia="Calibri"/>
          <w:sz w:val="22"/>
          <w:szCs w:val="22"/>
        </w:rPr>
        <w:t xml:space="preserve"> </w:t>
      </w:r>
      <w:r w:rsidRPr="00CA0715">
        <w:rPr>
          <w:rFonts w:eastAsia="Calibri"/>
          <w:sz w:val="22"/>
          <w:szCs w:val="22"/>
        </w:rPr>
        <w:t>Through various project activities the citizens in the selected MMAs have been stimulated to demand accountability from public officials</w:t>
      </w:r>
    </w:p>
    <w:p w14:paraId="2320880F" w14:textId="444DFCC2" w:rsidR="00786ADE" w:rsidRPr="009654C2" w:rsidRDefault="00786ADE" w:rsidP="009654C2">
      <w:pPr>
        <w:pStyle w:val="MainParanoChapter-Ch3"/>
        <w:rPr>
          <w:rStyle w:val="Heading21"/>
          <w:sz w:val="22"/>
          <w:szCs w:val="22"/>
        </w:rPr>
      </w:pPr>
      <w:r w:rsidRPr="009654C2">
        <w:rPr>
          <w:rStyle w:val="Heading21"/>
          <w:sz w:val="22"/>
          <w:szCs w:val="22"/>
        </w:rPr>
        <w:t>3.3 Potential Environmental Impacts and Risks</w:t>
      </w:r>
    </w:p>
    <w:p w14:paraId="4E322CB1" w14:textId="35268DF4" w:rsidR="00484758" w:rsidRPr="009654C2" w:rsidRDefault="00484758" w:rsidP="00CA0715">
      <w:pPr>
        <w:pStyle w:val="MainParanoChapter-Ch3"/>
        <w:spacing w:before="120" w:after="120"/>
        <w:contextualSpacing/>
        <w:rPr>
          <w:rFonts w:eastAsia="Symbol"/>
          <w:sz w:val="22"/>
          <w:szCs w:val="22"/>
        </w:rPr>
      </w:pPr>
      <w:r w:rsidRPr="009654C2">
        <w:rPr>
          <w:rFonts w:eastAsia="Symbol"/>
          <w:sz w:val="22"/>
          <w:szCs w:val="22"/>
        </w:rPr>
        <w:t xml:space="preserve">This section outlines the potential </w:t>
      </w:r>
      <w:r w:rsidR="000435D4" w:rsidRPr="009654C2">
        <w:rPr>
          <w:rFonts w:eastAsia="Symbol"/>
          <w:sz w:val="22"/>
          <w:szCs w:val="22"/>
        </w:rPr>
        <w:t xml:space="preserve">negative </w:t>
      </w:r>
      <w:r w:rsidRPr="009654C2">
        <w:rPr>
          <w:rFonts w:eastAsia="Symbol"/>
          <w:sz w:val="22"/>
          <w:szCs w:val="22"/>
        </w:rPr>
        <w:t xml:space="preserve">environmental impacts </w:t>
      </w:r>
      <w:r w:rsidR="003C1830" w:rsidRPr="009654C2">
        <w:rPr>
          <w:rFonts w:eastAsia="Symbol"/>
          <w:sz w:val="22"/>
          <w:szCs w:val="22"/>
        </w:rPr>
        <w:t xml:space="preserve">and risks </w:t>
      </w:r>
      <w:r w:rsidRPr="009654C2">
        <w:rPr>
          <w:rFonts w:eastAsia="Symbol"/>
          <w:sz w:val="22"/>
          <w:szCs w:val="22"/>
        </w:rPr>
        <w:t xml:space="preserve">that could be generated from the implementation of the proposed </w:t>
      </w:r>
      <w:r w:rsidR="005F2A44" w:rsidRPr="009654C2">
        <w:rPr>
          <w:rFonts w:eastAsia="Symbol"/>
          <w:sz w:val="22"/>
          <w:szCs w:val="22"/>
        </w:rPr>
        <w:t>Program</w:t>
      </w:r>
      <w:r w:rsidR="0046559D" w:rsidRPr="009654C2">
        <w:rPr>
          <w:rFonts w:eastAsia="Symbol"/>
          <w:sz w:val="22"/>
          <w:szCs w:val="22"/>
        </w:rPr>
        <w:t>. T</w:t>
      </w:r>
      <w:r w:rsidRPr="009654C2">
        <w:rPr>
          <w:rFonts w:eastAsia="Symbol"/>
          <w:sz w:val="22"/>
          <w:szCs w:val="22"/>
        </w:rPr>
        <w:t>hese impacts w</w:t>
      </w:r>
      <w:r w:rsidR="0046559D" w:rsidRPr="009654C2">
        <w:rPr>
          <w:rFonts w:eastAsia="Symbol"/>
          <w:sz w:val="22"/>
          <w:szCs w:val="22"/>
        </w:rPr>
        <w:t>ere identified through review of</w:t>
      </w:r>
      <w:r w:rsidRPr="009654C2">
        <w:rPr>
          <w:rFonts w:eastAsia="Symbol"/>
          <w:sz w:val="22"/>
          <w:szCs w:val="22"/>
        </w:rPr>
        <w:t xml:space="preserve"> relevant documents, comprehensive stakeholder consultation</w:t>
      </w:r>
      <w:r w:rsidR="0046559D" w:rsidRPr="009654C2">
        <w:rPr>
          <w:rFonts w:eastAsia="Symbol"/>
          <w:sz w:val="22"/>
          <w:szCs w:val="22"/>
        </w:rPr>
        <w:t>s,</w:t>
      </w:r>
      <w:r w:rsidRPr="009654C2">
        <w:rPr>
          <w:rFonts w:eastAsia="Symbol"/>
          <w:sz w:val="22"/>
          <w:szCs w:val="22"/>
        </w:rPr>
        <w:t xml:space="preserve"> field visit</w:t>
      </w:r>
      <w:r w:rsidR="005F2A44" w:rsidRPr="009654C2">
        <w:rPr>
          <w:rFonts w:eastAsia="Symbol"/>
          <w:sz w:val="22"/>
          <w:szCs w:val="22"/>
        </w:rPr>
        <w:t>s</w:t>
      </w:r>
      <w:r w:rsidRPr="009654C2">
        <w:rPr>
          <w:rFonts w:eastAsia="Symbol"/>
          <w:sz w:val="22"/>
          <w:szCs w:val="22"/>
        </w:rPr>
        <w:t xml:space="preserve"> of the existing beneficiaries and </w:t>
      </w:r>
      <w:r w:rsidR="005F2A44" w:rsidRPr="009654C2">
        <w:rPr>
          <w:rFonts w:eastAsia="Symbol"/>
          <w:sz w:val="22"/>
          <w:szCs w:val="22"/>
        </w:rPr>
        <w:t>completed and ongoing subprojects under the LGCSP</w:t>
      </w:r>
      <w:r w:rsidR="0046559D" w:rsidRPr="009654C2">
        <w:rPr>
          <w:rFonts w:eastAsia="Symbol"/>
          <w:sz w:val="22"/>
          <w:szCs w:val="22"/>
        </w:rPr>
        <w:t xml:space="preserve"> and knowledge and experiences for the same </w:t>
      </w:r>
      <w:r w:rsidR="003C1830" w:rsidRPr="009654C2">
        <w:rPr>
          <w:rFonts w:eastAsia="Symbol"/>
          <w:sz w:val="22"/>
          <w:szCs w:val="22"/>
        </w:rPr>
        <w:t>types o</w:t>
      </w:r>
      <w:r w:rsidR="0046559D" w:rsidRPr="009654C2">
        <w:rPr>
          <w:rFonts w:eastAsia="Symbol"/>
          <w:sz w:val="22"/>
          <w:szCs w:val="22"/>
        </w:rPr>
        <w:t>f subprojects financed by the Bank.</w:t>
      </w:r>
    </w:p>
    <w:p w14:paraId="75E960A2" w14:textId="77777777" w:rsidR="003C1830" w:rsidRPr="009654C2" w:rsidRDefault="003C1830" w:rsidP="00CA0715">
      <w:pPr>
        <w:pStyle w:val="MainParanoChapter-Ch3"/>
        <w:spacing w:before="120" w:after="120"/>
        <w:contextualSpacing/>
        <w:rPr>
          <w:rFonts w:eastAsia="Calibri"/>
          <w:sz w:val="22"/>
          <w:szCs w:val="22"/>
        </w:rPr>
      </w:pPr>
    </w:p>
    <w:p w14:paraId="152D1AFE" w14:textId="1D332441" w:rsidR="00484758" w:rsidRDefault="00484758" w:rsidP="00CA0715">
      <w:pPr>
        <w:pStyle w:val="MainParanoChapter-Ch3"/>
        <w:spacing w:before="120" w:after="120"/>
        <w:contextualSpacing/>
        <w:rPr>
          <w:rFonts w:eastAsia="Calibri"/>
          <w:sz w:val="22"/>
          <w:szCs w:val="22"/>
        </w:rPr>
      </w:pPr>
      <w:r w:rsidRPr="009654C2">
        <w:rPr>
          <w:rFonts w:eastAsia="Calibri"/>
          <w:sz w:val="22"/>
          <w:szCs w:val="22"/>
        </w:rPr>
        <w:t xml:space="preserve">The </w:t>
      </w:r>
      <w:r w:rsidR="0046559D" w:rsidRPr="009654C2">
        <w:rPr>
          <w:rFonts w:eastAsia="Calibri"/>
          <w:sz w:val="22"/>
          <w:szCs w:val="22"/>
        </w:rPr>
        <w:t>Program’s environmental impacts and risks</w:t>
      </w:r>
      <w:r w:rsidR="00F81162" w:rsidRPr="009654C2">
        <w:rPr>
          <w:rFonts w:eastAsia="Calibri"/>
          <w:sz w:val="22"/>
          <w:szCs w:val="22"/>
        </w:rPr>
        <w:t xml:space="preserve"> similar to the ongoing LGCSP,</w:t>
      </w:r>
      <w:r w:rsidRPr="009654C2">
        <w:rPr>
          <w:rFonts w:eastAsia="Calibri"/>
          <w:sz w:val="22"/>
          <w:szCs w:val="22"/>
        </w:rPr>
        <w:t xml:space="preserve"> </w:t>
      </w:r>
      <w:r w:rsidR="00F81162" w:rsidRPr="009654C2">
        <w:rPr>
          <w:rFonts w:eastAsia="Calibri"/>
          <w:sz w:val="22"/>
          <w:szCs w:val="22"/>
        </w:rPr>
        <w:t xml:space="preserve">are mainly construction-related. </w:t>
      </w:r>
      <w:r w:rsidR="003C1830" w:rsidRPr="009654C2">
        <w:rPr>
          <w:rFonts w:eastAsia="Calibri"/>
          <w:sz w:val="22"/>
          <w:szCs w:val="22"/>
        </w:rPr>
        <w:t xml:space="preserve">Based on LGCSP experience, MMAs opted to implement </w:t>
      </w:r>
      <w:r w:rsidRPr="009654C2">
        <w:rPr>
          <w:rFonts w:eastAsia="Calibri"/>
          <w:sz w:val="22"/>
          <w:szCs w:val="22"/>
        </w:rPr>
        <w:t xml:space="preserve">relatively small </w:t>
      </w:r>
      <w:r w:rsidR="00F81162" w:rsidRPr="009654C2">
        <w:rPr>
          <w:rFonts w:eastAsia="Calibri"/>
          <w:sz w:val="22"/>
          <w:szCs w:val="22"/>
        </w:rPr>
        <w:t>to medium-sized</w:t>
      </w:r>
      <w:r w:rsidR="003C1830" w:rsidRPr="009654C2">
        <w:rPr>
          <w:rFonts w:eastAsia="Calibri"/>
          <w:sz w:val="22"/>
          <w:szCs w:val="22"/>
        </w:rPr>
        <w:t xml:space="preserve"> subprojects</w:t>
      </w:r>
      <w:r w:rsidRPr="009654C2">
        <w:rPr>
          <w:rFonts w:eastAsia="Calibri"/>
          <w:sz w:val="22"/>
          <w:szCs w:val="22"/>
        </w:rPr>
        <w:t xml:space="preserve"> within the existing </w:t>
      </w:r>
      <w:r w:rsidR="00C9339C" w:rsidRPr="009654C2">
        <w:rPr>
          <w:rFonts w:eastAsia="Calibri"/>
          <w:sz w:val="22"/>
          <w:szCs w:val="22"/>
        </w:rPr>
        <w:t>R</w:t>
      </w:r>
      <w:r w:rsidRPr="009654C2">
        <w:rPr>
          <w:rFonts w:eastAsia="Calibri"/>
          <w:sz w:val="22"/>
          <w:szCs w:val="22"/>
        </w:rPr>
        <w:t>ight-of-</w:t>
      </w:r>
      <w:r w:rsidR="00C9339C" w:rsidRPr="009654C2">
        <w:rPr>
          <w:rFonts w:eastAsia="Calibri"/>
          <w:sz w:val="22"/>
          <w:szCs w:val="22"/>
        </w:rPr>
        <w:t>W</w:t>
      </w:r>
      <w:r w:rsidRPr="009654C2">
        <w:rPr>
          <w:rFonts w:eastAsia="Calibri"/>
          <w:sz w:val="22"/>
          <w:szCs w:val="22"/>
        </w:rPr>
        <w:t xml:space="preserve">ay </w:t>
      </w:r>
      <w:r w:rsidR="00C9339C" w:rsidRPr="009654C2">
        <w:rPr>
          <w:rFonts w:eastAsia="Calibri"/>
          <w:sz w:val="22"/>
          <w:szCs w:val="22"/>
        </w:rPr>
        <w:t xml:space="preserve">(RoW) </w:t>
      </w:r>
      <w:r w:rsidR="00F81162" w:rsidRPr="009654C2">
        <w:rPr>
          <w:rFonts w:eastAsia="Calibri"/>
          <w:sz w:val="22"/>
          <w:szCs w:val="22"/>
        </w:rPr>
        <w:t>or premises</w:t>
      </w:r>
      <w:r w:rsidR="003C1830" w:rsidRPr="009654C2">
        <w:rPr>
          <w:rFonts w:eastAsia="Calibri"/>
          <w:sz w:val="22"/>
          <w:szCs w:val="22"/>
        </w:rPr>
        <w:t xml:space="preserve"> with minimal land acquisition</w:t>
      </w:r>
      <w:r w:rsidR="00C9339C" w:rsidRPr="009654C2">
        <w:rPr>
          <w:rFonts w:eastAsia="Calibri"/>
          <w:sz w:val="22"/>
          <w:szCs w:val="22"/>
        </w:rPr>
        <w:t xml:space="preserve"> requirements</w:t>
      </w:r>
      <w:r w:rsidR="003C1830" w:rsidRPr="009654C2">
        <w:rPr>
          <w:rFonts w:eastAsia="Calibri"/>
          <w:sz w:val="22"/>
          <w:szCs w:val="22"/>
        </w:rPr>
        <w:t>, if any at all, mainly because of limited budget allocation</w:t>
      </w:r>
      <w:r w:rsidR="00F81162" w:rsidRPr="009654C2">
        <w:rPr>
          <w:rFonts w:eastAsia="Calibri"/>
          <w:sz w:val="22"/>
          <w:szCs w:val="22"/>
        </w:rPr>
        <w:t>.</w:t>
      </w:r>
      <w:r w:rsidR="003C1830" w:rsidRPr="009654C2">
        <w:rPr>
          <w:rFonts w:eastAsia="Calibri"/>
          <w:sz w:val="22"/>
          <w:szCs w:val="22"/>
        </w:rPr>
        <w:t xml:space="preserve"> MMAs also wanted to speed up implementation and did not want to get stuck in lengthy process of acquiring lands and preparing assessments and plans </w:t>
      </w:r>
      <w:r w:rsidR="00C9339C" w:rsidRPr="009654C2">
        <w:rPr>
          <w:rFonts w:eastAsia="Calibri"/>
          <w:sz w:val="22"/>
          <w:szCs w:val="22"/>
        </w:rPr>
        <w:t xml:space="preserve">required </w:t>
      </w:r>
      <w:r w:rsidR="003C1830" w:rsidRPr="009654C2">
        <w:rPr>
          <w:rFonts w:eastAsia="Calibri"/>
          <w:sz w:val="22"/>
          <w:szCs w:val="22"/>
        </w:rPr>
        <w:t>for high risk investments.</w:t>
      </w:r>
      <w:r w:rsidR="00F81162" w:rsidRPr="009654C2">
        <w:rPr>
          <w:rFonts w:eastAsia="Calibri"/>
          <w:sz w:val="22"/>
          <w:szCs w:val="22"/>
        </w:rPr>
        <w:t xml:space="preserve"> That said, impacts have been observed to be</w:t>
      </w:r>
      <w:r w:rsidRPr="009654C2">
        <w:rPr>
          <w:rFonts w:eastAsia="Calibri"/>
          <w:sz w:val="22"/>
          <w:szCs w:val="22"/>
        </w:rPr>
        <w:t xml:space="preserve"> limited</w:t>
      </w:r>
      <w:r w:rsidR="00F81162" w:rsidRPr="009654C2">
        <w:rPr>
          <w:rFonts w:eastAsia="Calibri"/>
          <w:sz w:val="22"/>
          <w:szCs w:val="22"/>
        </w:rPr>
        <w:t xml:space="preserve"> </w:t>
      </w:r>
      <w:r w:rsidR="003C1830" w:rsidRPr="009654C2">
        <w:rPr>
          <w:rFonts w:eastAsia="Calibri"/>
          <w:sz w:val="22"/>
          <w:szCs w:val="22"/>
        </w:rPr>
        <w:t xml:space="preserve">and confined </w:t>
      </w:r>
      <w:r w:rsidR="00F81162" w:rsidRPr="009654C2">
        <w:rPr>
          <w:rFonts w:eastAsia="Calibri"/>
          <w:sz w:val="22"/>
          <w:szCs w:val="22"/>
        </w:rPr>
        <w:t xml:space="preserve">within the physical </w:t>
      </w:r>
      <w:r w:rsidRPr="009654C2">
        <w:rPr>
          <w:rFonts w:eastAsia="Calibri"/>
          <w:sz w:val="22"/>
          <w:szCs w:val="22"/>
        </w:rPr>
        <w:t xml:space="preserve">footprint of </w:t>
      </w:r>
      <w:r w:rsidR="00F81162" w:rsidRPr="009654C2">
        <w:rPr>
          <w:rFonts w:eastAsia="Calibri"/>
          <w:sz w:val="22"/>
          <w:szCs w:val="22"/>
        </w:rPr>
        <w:t>subprojects and standard</w:t>
      </w:r>
      <w:r w:rsidRPr="009654C2">
        <w:rPr>
          <w:rFonts w:eastAsia="Calibri"/>
          <w:sz w:val="22"/>
          <w:szCs w:val="22"/>
        </w:rPr>
        <w:t xml:space="preserve"> mitigation measures are known and effective. </w:t>
      </w:r>
      <w:r w:rsidR="0046559D" w:rsidRPr="009654C2">
        <w:rPr>
          <w:rFonts w:eastAsia="Calibri"/>
          <w:sz w:val="22"/>
          <w:szCs w:val="22"/>
        </w:rPr>
        <w:t>In addition, s</w:t>
      </w:r>
      <w:r w:rsidR="00F81162" w:rsidRPr="009654C2">
        <w:rPr>
          <w:rFonts w:eastAsia="Calibri"/>
          <w:sz w:val="22"/>
          <w:szCs w:val="22"/>
        </w:rPr>
        <w:t xml:space="preserve">ince the </w:t>
      </w:r>
      <w:r w:rsidRPr="009654C2">
        <w:rPr>
          <w:rFonts w:eastAsia="Calibri"/>
          <w:sz w:val="22"/>
          <w:szCs w:val="22"/>
        </w:rPr>
        <w:t xml:space="preserve">Program activities are </w:t>
      </w:r>
      <w:r w:rsidR="00F81162" w:rsidRPr="009654C2">
        <w:rPr>
          <w:rFonts w:eastAsia="Calibri"/>
          <w:sz w:val="22"/>
          <w:szCs w:val="22"/>
        </w:rPr>
        <w:t xml:space="preserve">located in urban areas and within existing ROW or premises, </w:t>
      </w:r>
      <w:r w:rsidRPr="009654C2">
        <w:rPr>
          <w:rFonts w:eastAsia="Calibri"/>
          <w:sz w:val="22"/>
          <w:szCs w:val="22"/>
        </w:rPr>
        <w:t>encroach</w:t>
      </w:r>
      <w:r w:rsidR="00F81162" w:rsidRPr="009654C2">
        <w:rPr>
          <w:rFonts w:eastAsia="Calibri"/>
          <w:sz w:val="22"/>
          <w:szCs w:val="22"/>
        </w:rPr>
        <w:t>ment in or degradation of natural</w:t>
      </w:r>
      <w:r w:rsidRPr="009654C2">
        <w:rPr>
          <w:rFonts w:eastAsia="Calibri"/>
          <w:sz w:val="22"/>
          <w:szCs w:val="22"/>
        </w:rPr>
        <w:t xml:space="preserve"> habitats</w:t>
      </w:r>
      <w:r w:rsidR="003C1830" w:rsidRPr="009654C2">
        <w:rPr>
          <w:rFonts w:eastAsia="Calibri"/>
          <w:sz w:val="22"/>
          <w:szCs w:val="22"/>
        </w:rPr>
        <w:t xml:space="preserve"> has not taken place under LGCSP and</w:t>
      </w:r>
      <w:r w:rsidRPr="009654C2">
        <w:rPr>
          <w:rFonts w:eastAsia="Calibri"/>
          <w:sz w:val="22"/>
          <w:szCs w:val="22"/>
        </w:rPr>
        <w:t xml:space="preserve"> </w:t>
      </w:r>
      <w:r w:rsidR="0070613A" w:rsidRPr="009654C2">
        <w:rPr>
          <w:rFonts w:eastAsia="Calibri"/>
          <w:sz w:val="22"/>
          <w:szCs w:val="22"/>
        </w:rPr>
        <w:t>is not expected</w:t>
      </w:r>
      <w:r w:rsidR="003C1830" w:rsidRPr="009654C2">
        <w:rPr>
          <w:rFonts w:eastAsia="Calibri"/>
          <w:sz w:val="22"/>
          <w:szCs w:val="22"/>
        </w:rPr>
        <w:t xml:space="preserve"> to also happen under the Program</w:t>
      </w:r>
      <w:r w:rsidRPr="009654C2">
        <w:rPr>
          <w:rFonts w:eastAsia="Calibri"/>
          <w:sz w:val="22"/>
          <w:szCs w:val="22"/>
        </w:rPr>
        <w:t xml:space="preserve">. </w:t>
      </w:r>
      <w:r w:rsidR="0070613A" w:rsidRPr="009654C2">
        <w:rPr>
          <w:rFonts w:eastAsia="Calibri"/>
          <w:sz w:val="22"/>
          <w:szCs w:val="22"/>
        </w:rPr>
        <w:t>E</w:t>
      </w:r>
      <w:r w:rsidRPr="009654C2">
        <w:rPr>
          <w:rFonts w:eastAsia="Calibri"/>
          <w:sz w:val="22"/>
          <w:szCs w:val="22"/>
        </w:rPr>
        <w:t xml:space="preserve">nvironmental </w:t>
      </w:r>
      <w:r w:rsidR="0046559D" w:rsidRPr="009654C2">
        <w:rPr>
          <w:rFonts w:eastAsia="Calibri"/>
          <w:sz w:val="22"/>
          <w:szCs w:val="22"/>
        </w:rPr>
        <w:t xml:space="preserve">impacts </w:t>
      </w:r>
      <w:r w:rsidRPr="009654C2">
        <w:rPr>
          <w:rFonts w:eastAsia="Calibri"/>
          <w:sz w:val="22"/>
          <w:szCs w:val="22"/>
        </w:rPr>
        <w:t>of</w:t>
      </w:r>
      <w:r w:rsidR="0046559D" w:rsidRPr="009654C2">
        <w:rPr>
          <w:rFonts w:eastAsia="Calibri"/>
          <w:sz w:val="22"/>
          <w:szCs w:val="22"/>
        </w:rPr>
        <w:t xml:space="preserve"> civil works related to sub</w:t>
      </w:r>
      <w:r w:rsidRPr="009654C2">
        <w:rPr>
          <w:rFonts w:eastAsia="Calibri"/>
          <w:sz w:val="22"/>
          <w:szCs w:val="22"/>
        </w:rPr>
        <w:t>projects are temporary in nature</w:t>
      </w:r>
      <w:r w:rsidR="0046559D" w:rsidRPr="009654C2">
        <w:rPr>
          <w:rFonts w:eastAsia="Calibri"/>
          <w:sz w:val="22"/>
          <w:szCs w:val="22"/>
        </w:rPr>
        <w:t>,</w:t>
      </w:r>
      <w:r w:rsidR="0070613A" w:rsidRPr="009654C2">
        <w:rPr>
          <w:rFonts w:eastAsia="Calibri"/>
          <w:sz w:val="22"/>
          <w:szCs w:val="22"/>
        </w:rPr>
        <w:t xml:space="preserve"> manageable</w:t>
      </w:r>
      <w:r w:rsidR="0046559D" w:rsidRPr="009654C2">
        <w:rPr>
          <w:rFonts w:eastAsia="Calibri"/>
          <w:sz w:val="22"/>
          <w:szCs w:val="22"/>
        </w:rPr>
        <w:t xml:space="preserve"> and localized</w:t>
      </w:r>
      <w:r w:rsidR="0070613A" w:rsidRPr="009654C2">
        <w:rPr>
          <w:rFonts w:eastAsia="Calibri"/>
          <w:sz w:val="22"/>
          <w:szCs w:val="22"/>
        </w:rPr>
        <w:t xml:space="preserve">. </w:t>
      </w:r>
      <w:r w:rsidRPr="009654C2">
        <w:rPr>
          <w:rFonts w:eastAsia="Calibri"/>
          <w:sz w:val="22"/>
          <w:szCs w:val="22"/>
        </w:rPr>
        <w:t xml:space="preserve">The potential environmental impacts </w:t>
      </w:r>
      <w:r w:rsidR="0070613A" w:rsidRPr="009654C2">
        <w:rPr>
          <w:rFonts w:eastAsia="Calibri"/>
          <w:sz w:val="22"/>
          <w:szCs w:val="22"/>
        </w:rPr>
        <w:t xml:space="preserve">from the Program are </w:t>
      </w:r>
      <w:r w:rsidRPr="009654C2">
        <w:rPr>
          <w:rFonts w:eastAsia="Calibri"/>
          <w:sz w:val="22"/>
          <w:szCs w:val="22"/>
        </w:rPr>
        <w:t xml:space="preserve">discussed </w:t>
      </w:r>
      <w:r w:rsidR="0046559D" w:rsidRPr="009654C2">
        <w:rPr>
          <w:rFonts w:eastAsia="Calibri"/>
          <w:sz w:val="22"/>
          <w:szCs w:val="22"/>
        </w:rPr>
        <w:t xml:space="preserve">in more detail </w:t>
      </w:r>
      <w:r w:rsidRPr="009654C2">
        <w:rPr>
          <w:rFonts w:eastAsia="Calibri"/>
          <w:sz w:val="22"/>
          <w:szCs w:val="22"/>
        </w:rPr>
        <w:t>below.</w:t>
      </w:r>
    </w:p>
    <w:p w14:paraId="4E0287B6" w14:textId="77777777" w:rsidR="004311F5" w:rsidRPr="009654C2" w:rsidRDefault="004311F5" w:rsidP="00CA0715">
      <w:pPr>
        <w:pStyle w:val="MainParanoChapter-Ch3"/>
        <w:spacing w:before="120" w:after="120"/>
        <w:contextualSpacing/>
        <w:rPr>
          <w:rFonts w:eastAsia="Calibri"/>
          <w:sz w:val="22"/>
          <w:szCs w:val="22"/>
        </w:rPr>
      </w:pPr>
    </w:p>
    <w:p w14:paraId="7E714ABA" w14:textId="1502C9A1" w:rsidR="00484758" w:rsidRDefault="00484758" w:rsidP="00CA0715">
      <w:pPr>
        <w:pStyle w:val="MainParanoChapter-Ch3"/>
        <w:spacing w:before="120" w:after="120"/>
        <w:contextualSpacing/>
        <w:rPr>
          <w:sz w:val="22"/>
          <w:szCs w:val="22"/>
        </w:rPr>
      </w:pPr>
      <w:bookmarkStart w:id="19" w:name="_Toc488516279"/>
      <w:bookmarkStart w:id="20" w:name="_Toc496454522"/>
      <w:r w:rsidRPr="009654C2">
        <w:rPr>
          <w:rFonts w:eastAsia="Calibri"/>
          <w:b/>
          <w:bCs/>
          <w:i/>
          <w:sz w:val="22"/>
          <w:szCs w:val="22"/>
          <w:lang w:val="x-none"/>
        </w:rPr>
        <w:t xml:space="preserve">Environmental implication </w:t>
      </w:r>
      <w:r w:rsidRPr="009654C2">
        <w:rPr>
          <w:rFonts w:eastAsia="Calibri"/>
          <w:b/>
          <w:bCs/>
          <w:i/>
          <w:sz w:val="22"/>
          <w:szCs w:val="22"/>
        </w:rPr>
        <w:t>of</w:t>
      </w:r>
      <w:r w:rsidRPr="009654C2">
        <w:rPr>
          <w:rFonts w:eastAsia="Calibri"/>
          <w:b/>
          <w:bCs/>
          <w:i/>
          <w:sz w:val="22"/>
          <w:szCs w:val="22"/>
          <w:lang w:val="x-none"/>
        </w:rPr>
        <w:t xml:space="preserve"> construction materials</w:t>
      </w:r>
      <w:bookmarkEnd w:id="19"/>
      <w:bookmarkEnd w:id="20"/>
      <w:r w:rsidR="003C1830" w:rsidRPr="009654C2">
        <w:rPr>
          <w:rFonts w:eastAsia="Calibri"/>
          <w:b/>
          <w:bCs/>
          <w:i/>
          <w:sz w:val="22"/>
          <w:szCs w:val="22"/>
        </w:rPr>
        <w:t xml:space="preserve"> and construction</w:t>
      </w:r>
      <w:r w:rsidR="003C1830" w:rsidRPr="009654C2">
        <w:rPr>
          <w:rFonts w:eastAsia="Calibri"/>
          <w:bCs/>
          <w:sz w:val="22"/>
          <w:szCs w:val="22"/>
        </w:rPr>
        <w:t xml:space="preserve">. </w:t>
      </w:r>
      <w:r w:rsidR="008864C8" w:rsidRPr="009654C2">
        <w:rPr>
          <w:sz w:val="22"/>
          <w:szCs w:val="22"/>
        </w:rPr>
        <w:t xml:space="preserve">Construction works require </w:t>
      </w:r>
      <w:r w:rsidRPr="009654C2">
        <w:rPr>
          <w:sz w:val="22"/>
          <w:szCs w:val="22"/>
          <w:lang w:val="x-none"/>
        </w:rPr>
        <w:t>sourcing</w:t>
      </w:r>
      <w:r w:rsidR="00D33B24" w:rsidRPr="009654C2">
        <w:rPr>
          <w:sz w:val="22"/>
          <w:szCs w:val="22"/>
        </w:rPr>
        <w:t>, extraction</w:t>
      </w:r>
      <w:r w:rsidR="00211F20" w:rsidRPr="009654C2">
        <w:rPr>
          <w:sz w:val="22"/>
          <w:szCs w:val="22"/>
        </w:rPr>
        <w:t xml:space="preserve"> and</w:t>
      </w:r>
      <w:r w:rsidR="008864C8" w:rsidRPr="009654C2">
        <w:rPr>
          <w:sz w:val="22"/>
          <w:szCs w:val="22"/>
        </w:rPr>
        <w:t xml:space="preserve"> hauling</w:t>
      </w:r>
      <w:r w:rsidRPr="009654C2">
        <w:rPr>
          <w:sz w:val="22"/>
          <w:szCs w:val="22"/>
          <w:lang w:val="x-none"/>
        </w:rPr>
        <w:t xml:space="preserve"> of construction materials (</w:t>
      </w:r>
      <w:r w:rsidR="005B79EB" w:rsidRPr="009654C2">
        <w:rPr>
          <w:sz w:val="22"/>
          <w:szCs w:val="22"/>
        </w:rPr>
        <w:t>aggregates</w:t>
      </w:r>
      <w:r w:rsidRPr="009654C2">
        <w:rPr>
          <w:sz w:val="22"/>
          <w:szCs w:val="22"/>
        </w:rPr>
        <w:t xml:space="preserve">, </w:t>
      </w:r>
      <w:r w:rsidRPr="009654C2">
        <w:rPr>
          <w:sz w:val="22"/>
          <w:szCs w:val="22"/>
          <w:lang w:val="x-none"/>
        </w:rPr>
        <w:t>gravel, sand</w:t>
      </w:r>
      <w:r w:rsidR="005B79EB" w:rsidRPr="009654C2">
        <w:rPr>
          <w:sz w:val="22"/>
          <w:szCs w:val="22"/>
        </w:rPr>
        <w:t>,</w:t>
      </w:r>
      <w:r w:rsidRPr="009654C2">
        <w:rPr>
          <w:sz w:val="22"/>
          <w:szCs w:val="22"/>
          <w:lang w:val="x-none"/>
        </w:rPr>
        <w:t xml:space="preserve"> etc.) fr</w:t>
      </w:r>
      <w:r w:rsidR="00D33B24" w:rsidRPr="009654C2">
        <w:rPr>
          <w:sz w:val="22"/>
          <w:szCs w:val="22"/>
          <w:lang w:val="x-none"/>
        </w:rPr>
        <w:t xml:space="preserve">om borrows pits and </w:t>
      </w:r>
      <w:r w:rsidR="003C1830" w:rsidRPr="009654C2">
        <w:rPr>
          <w:sz w:val="22"/>
          <w:szCs w:val="22"/>
        </w:rPr>
        <w:t xml:space="preserve">quarry areas </w:t>
      </w:r>
      <w:r w:rsidR="003A154D" w:rsidRPr="009654C2">
        <w:rPr>
          <w:sz w:val="22"/>
          <w:szCs w:val="22"/>
        </w:rPr>
        <w:t>to the construction site</w:t>
      </w:r>
      <w:r w:rsidR="002945D1" w:rsidRPr="009654C2">
        <w:rPr>
          <w:sz w:val="22"/>
          <w:szCs w:val="22"/>
        </w:rPr>
        <w:t xml:space="preserve"> as well as </w:t>
      </w:r>
      <w:r w:rsidR="000C5922" w:rsidRPr="009654C2">
        <w:rPr>
          <w:sz w:val="22"/>
          <w:szCs w:val="22"/>
        </w:rPr>
        <w:t>management of construction</w:t>
      </w:r>
      <w:r w:rsidR="002945D1" w:rsidRPr="009654C2">
        <w:rPr>
          <w:sz w:val="22"/>
          <w:szCs w:val="22"/>
        </w:rPr>
        <w:t xml:space="preserve"> sites</w:t>
      </w:r>
      <w:r w:rsidR="00D33B24" w:rsidRPr="009654C2">
        <w:rPr>
          <w:sz w:val="22"/>
          <w:szCs w:val="22"/>
          <w:lang w:val="x-none"/>
        </w:rPr>
        <w:t>. Depending on the sourcing and siting of construction materials, impacts would include removal of vegetation</w:t>
      </w:r>
      <w:r w:rsidR="00D33B24" w:rsidRPr="009654C2">
        <w:rPr>
          <w:sz w:val="22"/>
          <w:szCs w:val="22"/>
        </w:rPr>
        <w:t>, collapse and erosion of unstable slopes and sedimentation of nearby water bodies (if there</w:t>
      </w:r>
      <w:r w:rsidR="002945D1" w:rsidRPr="009654C2">
        <w:rPr>
          <w:sz w:val="22"/>
          <w:szCs w:val="22"/>
        </w:rPr>
        <w:t xml:space="preserve"> are</w:t>
      </w:r>
      <w:r w:rsidR="00D33B24" w:rsidRPr="009654C2">
        <w:rPr>
          <w:sz w:val="22"/>
          <w:szCs w:val="22"/>
        </w:rPr>
        <w:t xml:space="preserve">). Extraction </w:t>
      </w:r>
      <w:r w:rsidR="00087215" w:rsidRPr="009654C2">
        <w:rPr>
          <w:sz w:val="22"/>
          <w:szCs w:val="22"/>
        </w:rPr>
        <w:t xml:space="preserve">and hauling </w:t>
      </w:r>
      <w:r w:rsidR="00D33B24" w:rsidRPr="009654C2">
        <w:rPr>
          <w:sz w:val="22"/>
          <w:szCs w:val="22"/>
        </w:rPr>
        <w:t>can also expose workers and communities to health impacts and risks especially if extraction is not done properly and site restoration is not carried our properly and on time</w:t>
      </w:r>
      <w:r w:rsidR="002945D1" w:rsidRPr="009654C2">
        <w:rPr>
          <w:sz w:val="22"/>
          <w:szCs w:val="22"/>
        </w:rPr>
        <w:t>,</w:t>
      </w:r>
      <w:r w:rsidR="00087215" w:rsidRPr="009654C2">
        <w:rPr>
          <w:sz w:val="22"/>
          <w:szCs w:val="22"/>
        </w:rPr>
        <w:t xml:space="preserve"> and</w:t>
      </w:r>
      <w:r w:rsidR="002945D1" w:rsidRPr="009654C2">
        <w:rPr>
          <w:sz w:val="22"/>
          <w:szCs w:val="22"/>
        </w:rPr>
        <w:t xml:space="preserve"> when</w:t>
      </w:r>
      <w:r w:rsidR="00087215" w:rsidRPr="009654C2">
        <w:rPr>
          <w:sz w:val="22"/>
          <w:szCs w:val="22"/>
        </w:rPr>
        <w:t xml:space="preserve"> hauling</w:t>
      </w:r>
      <w:r w:rsidR="002945D1" w:rsidRPr="009654C2">
        <w:rPr>
          <w:sz w:val="22"/>
          <w:szCs w:val="22"/>
        </w:rPr>
        <w:t xml:space="preserve"> of materials</w:t>
      </w:r>
      <w:r w:rsidR="00087215" w:rsidRPr="009654C2">
        <w:rPr>
          <w:sz w:val="22"/>
          <w:szCs w:val="22"/>
        </w:rPr>
        <w:t xml:space="preserve"> passes through communities</w:t>
      </w:r>
      <w:r w:rsidR="00D33B24" w:rsidRPr="009654C2">
        <w:rPr>
          <w:sz w:val="22"/>
          <w:szCs w:val="22"/>
        </w:rPr>
        <w:t xml:space="preserve">. Extraction may also require acquisition of land. </w:t>
      </w:r>
      <w:r w:rsidRPr="009654C2">
        <w:rPr>
          <w:sz w:val="22"/>
          <w:szCs w:val="22"/>
          <w:lang w:val="x-none"/>
        </w:rPr>
        <w:t xml:space="preserve">The exact location of the </w:t>
      </w:r>
      <w:r w:rsidR="00D33B24" w:rsidRPr="009654C2">
        <w:rPr>
          <w:sz w:val="22"/>
          <w:szCs w:val="22"/>
        </w:rPr>
        <w:t>sub</w:t>
      </w:r>
      <w:r w:rsidRPr="009654C2">
        <w:rPr>
          <w:sz w:val="22"/>
          <w:szCs w:val="22"/>
          <w:lang w:val="x-none"/>
        </w:rPr>
        <w:t>project and the management of the sourcing of construction materials are the key issues here</w:t>
      </w:r>
      <w:r w:rsidR="00D33B24" w:rsidRPr="009654C2">
        <w:rPr>
          <w:sz w:val="22"/>
          <w:szCs w:val="22"/>
        </w:rPr>
        <w:t xml:space="preserve">. </w:t>
      </w:r>
    </w:p>
    <w:p w14:paraId="26FDDB83" w14:textId="77777777" w:rsidR="004311F5" w:rsidRDefault="004311F5" w:rsidP="00CA0715">
      <w:pPr>
        <w:pStyle w:val="MainParanoChapter-Ch3"/>
        <w:spacing w:before="120" w:after="120"/>
        <w:contextualSpacing/>
        <w:rPr>
          <w:sz w:val="22"/>
          <w:szCs w:val="22"/>
        </w:rPr>
      </w:pPr>
    </w:p>
    <w:p w14:paraId="5B4CB436" w14:textId="03EF53AA" w:rsidR="000C5922" w:rsidRDefault="00484758" w:rsidP="00CA0715">
      <w:pPr>
        <w:pStyle w:val="MainParanoChapter-Ch3"/>
        <w:spacing w:before="120" w:after="120"/>
        <w:contextualSpacing/>
        <w:rPr>
          <w:sz w:val="22"/>
          <w:szCs w:val="22"/>
          <w:lang w:val="en-GB" w:eastAsia="da-DK"/>
        </w:rPr>
      </w:pPr>
      <w:bookmarkStart w:id="21" w:name="_Toc496454523"/>
      <w:r w:rsidRPr="009654C2">
        <w:rPr>
          <w:rFonts w:eastAsia="Calibri"/>
          <w:b/>
          <w:bCs/>
          <w:i/>
          <w:sz w:val="22"/>
          <w:szCs w:val="22"/>
        </w:rPr>
        <w:t xml:space="preserve">Implications on </w:t>
      </w:r>
      <w:r w:rsidR="002945D1" w:rsidRPr="009654C2">
        <w:rPr>
          <w:rFonts w:eastAsia="Calibri"/>
          <w:b/>
          <w:bCs/>
          <w:i/>
          <w:sz w:val="22"/>
          <w:szCs w:val="22"/>
        </w:rPr>
        <w:t>a</w:t>
      </w:r>
      <w:r w:rsidRPr="009654C2">
        <w:rPr>
          <w:rFonts w:eastAsia="Calibri"/>
          <w:b/>
          <w:bCs/>
          <w:i/>
          <w:sz w:val="22"/>
          <w:szCs w:val="22"/>
          <w:lang w:val="x-none"/>
        </w:rPr>
        <w:t>ir quality</w:t>
      </w:r>
      <w:bookmarkEnd w:id="21"/>
      <w:r w:rsidR="000C5922" w:rsidRPr="009654C2">
        <w:rPr>
          <w:rFonts w:eastAsia="Calibri"/>
          <w:b/>
          <w:bCs/>
          <w:i/>
          <w:sz w:val="22"/>
          <w:szCs w:val="22"/>
        </w:rPr>
        <w:t xml:space="preserve"> and </w:t>
      </w:r>
      <w:r w:rsidR="002945D1" w:rsidRPr="009654C2">
        <w:rPr>
          <w:rFonts w:eastAsia="Calibri"/>
          <w:b/>
          <w:bCs/>
          <w:i/>
          <w:sz w:val="22"/>
          <w:szCs w:val="22"/>
        </w:rPr>
        <w:t>n</w:t>
      </w:r>
      <w:r w:rsidR="000C5922" w:rsidRPr="009654C2">
        <w:rPr>
          <w:rFonts w:eastAsia="Calibri"/>
          <w:b/>
          <w:bCs/>
          <w:i/>
          <w:sz w:val="22"/>
          <w:szCs w:val="22"/>
        </w:rPr>
        <w:t>oise</w:t>
      </w:r>
      <w:r w:rsidR="002945D1" w:rsidRPr="009654C2">
        <w:rPr>
          <w:rFonts w:eastAsia="Calibri"/>
          <w:bCs/>
          <w:sz w:val="22"/>
          <w:szCs w:val="22"/>
        </w:rPr>
        <w:t xml:space="preserve">. </w:t>
      </w:r>
      <w:r w:rsidR="00087215" w:rsidRPr="009654C2">
        <w:rPr>
          <w:sz w:val="22"/>
          <w:szCs w:val="22"/>
          <w:lang w:eastAsia="da-DK"/>
        </w:rPr>
        <w:t xml:space="preserve">During </w:t>
      </w:r>
      <w:r w:rsidR="00EA3054" w:rsidRPr="009654C2">
        <w:rPr>
          <w:sz w:val="22"/>
          <w:szCs w:val="22"/>
          <w:lang w:eastAsia="da-DK"/>
        </w:rPr>
        <w:t>c</w:t>
      </w:r>
      <w:r w:rsidR="00087215" w:rsidRPr="009654C2">
        <w:rPr>
          <w:sz w:val="22"/>
          <w:szCs w:val="22"/>
          <w:lang w:eastAsia="da-DK"/>
        </w:rPr>
        <w:t>onstruction, there may be localized air quality deterioration from dusts</w:t>
      </w:r>
      <w:r w:rsidRPr="009654C2">
        <w:rPr>
          <w:sz w:val="22"/>
          <w:szCs w:val="22"/>
          <w:lang w:val="en-GB" w:eastAsia="da-DK"/>
        </w:rPr>
        <w:t xml:space="preserve"> and exhaust emissions from concurrent construction activity with multiple crews operating</w:t>
      </w:r>
      <w:r w:rsidR="000C5922" w:rsidRPr="009654C2">
        <w:rPr>
          <w:sz w:val="22"/>
          <w:szCs w:val="22"/>
          <w:lang w:val="en-GB" w:eastAsia="da-DK"/>
        </w:rPr>
        <w:t xml:space="preserve"> and ehicles and </w:t>
      </w:r>
      <w:r w:rsidRPr="009654C2">
        <w:rPr>
          <w:sz w:val="22"/>
          <w:szCs w:val="22"/>
          <w:lang w:val="en-GB" w:eastAsia="da-DK"/>
        </w:rPr>
        <w:t xml:space="preserve">road equipment. </w:t>
      </w:r>
      <w:r w:rsidR="00620035" w:rsidRPr="009654C2">
        <w:rPr>
          <w:rFonts w:eastAsia="Calibri"/>
          <w:sz w:val="22"/>
          <w:szCs w:val="22"/>
        </w:rPr>
        <w:t xml:space="preserve">Noise </w:t>
      </w:r>
      <w:r w:rsidR="000C5922" w:rsidRPr="009654C2">
        <w:rPr>
          <w:rFonts w:eastAsia="Calibri"/>
          <w:sz w:val="22"/>
          <w:szCs w:val="22"/>
        </w:rPr>
        <w:t xml:space="preserve">from construction works </w:t>
      </w:r>
      <w:r w:rsidR="00620035" w:rsidRPr="009654C2">
        <w:rPr>
          <w:rFonts w:eastAsia="Calibri"/>
          <w:sz w:val="22"/>
          <w:szCs w:val="22"/>
        </w:rPr>
        <w:t>may disturb neighboring communities. This impact will be temporary and can be minimized by adopting appropriate mitigation measures</w:t>
      </w:r>
      <w:r w:rsidR="002945D1" w:rsidRPr="009654C2">
        <w:rPr>
          <w:rFonts w:eastAsia="Calibri"/>
          <w:sz w:val="22"/>
          <w:szCs w:val="22"/>
        </w:rPr>
        <w:t>,</w:t>
      </w:r>
      <w:r w:rsidR="00620035" w:rsidRPr="009654C2">
        <w:rPr>
          <w:rFonts w:eastAsia="Calibri"/>
          <w:sz w:val="22"/>
          <w:szCs w:val="22"/>
        </w:rPr>
        <w:t xml:space="preserve"> including maintaining equipment and vehicles to manufacturers’ standards and limiting operating times to daylight hours.</w:t>
      </w:r>
      <w:r w:rsidR="002945D1" w:rsidRPr="009654C2">
        <w:rPr>
          <w:rFonts w:eastAsia="Calibri"/>
          <w:sz w:val="22"/>
          <w:szCs w:val="22"/>
        </w:rPr>
        <w:t xml:space="preserve"> </w:t>
      </w:r>
      <w:r w:rsidR="000C5922" w:rsidRPr="009654C2">
        <w:rPr>
          <w:sz w:val="22"/>
          <w:szCs w:val="22"/>
          <w:lang w:val="en-GB" w:eastAsia="da-DK"/>
        </w:rPr>
        <w:t>During operation, some completed infrastructure such as abattoir</w:t>
      </w:r>
      <w:r w:rsidR="002945D1" w:rsidRPr="009654C2">
        <w:rPr>
          <w:sz w:val="22"/>
          <w:szCs w:val="22"/>
          <w:lang w:val="en-GB" w:eastAsia="da-DK"/>
        </w:rPr>
        <w:t>s</w:t>
      </w:r>
      <w:r w:rsidR="000C5922" w:rsidRPr="009654C2">
        <w:rPr>
          <w:sz w:val="22"/>
          <w:szCs w:val="22"/>
          <w:lang w:val="en-GB" w:eastAsia="da-DK"/>
        </w:rPr>
        <w:t xml:space="preserve"> and public markets, may </w:t>
      </w:r>
      <w:r w:rsidR="002945D1" w:rsidRPr="009654C2">
        <w:rPr>
          <w:sz w:val="22"/>
          <w:szCs w:val="22"/>
          <w:lang w:val="en-GB" w:eastAsia="da-DK"/>
        </w:rPr>
        <w:t>emit bad odor</w:t>
      </w:r>
      <w:r w:rsidR="000C5922" w:rsidRPr="009654C2">
        <w:rPr>
          <w:sz w:val="22"/>
          <w:szCs w:val="22"/>
          <w:lang w:val="en-GB" w:eastAsia="da-DK"/>
        </w:rPr>
        <w:t xml:space="preserve"> and </w:t>
      </w:r>
      <w:r w:rsidR="002945D1" w:rsidRPr="009654C2">
        <w:rPr>
          <w:sz w:val="22"/>
          <w:szCs w:val="22"/>
          <w:lang w:val="en-GB" w:eastAsia="da-DK"/>
        </w:rPr>
        <w:t xml:space="preserve">contribute to </w:t>
      </w:r>
      <w:r w:rsidR="000C5922" w:rsidRPr="009654C2">
        <w:rPr>
          <w:sz w:val="22"/>
          <w:szCs w:val="22"/>
          <w:lang w:val="en-GB" w:eastAsia="da-DK"/>
        </w:rPr>
        <w:t xml:space="preserve">air quality deterioration if liquid and solid wastes generated from these facilities are not managed properly. </w:t>
      </w:r>
    </w:p>
    <w:p w14:paraId="0F696672" w14:textId="77777777" w:rsidR="004311F5" w:rsidRPr="009654C2" w:rsidRDefault="004311F5" w:rsidP="00CA0715">
      <w:pPr>
        <w:pStyle w:val="MainParanoChapter-Ch3"/>
        <w:spacing w:before="120" w:after="120"/>
        <w:contextualSpacing/>
        <w:rPr>
          <w:sz w:val="22"/>
          <w:szCs w:val="22"/>
          <w:lang w:val="en-GB" w:eastAsia="da-DK"/>
        </w:rPr>
      </w:pPr>
    </w:p>
    <w:p w14:paraId="28AA5229" w14:textId="4120EA93" w:rsidR="00484758" w:rsidRDefault="002945D1" w:rsidP="00CA0715">
      <w:pPr>
        <w:pStyle w:val="MainParanoChapter-Ch3"/>
        <w:spacing w:before="120" w:after="120"/>
        <w:contextualSpacing/>
        <w:rPr>
          <w:sz w:val="22"/>
          <w:szCs w:val="22"/>
        </w:rPr>
      </w:pPr>
      <w:bookmarkStart w:id="22" w:name="_Toc488516280"/>
      <w:bookmarkStart w:id="23" w:name="_Toc496454524"/>
      <w:r w:rsidRPr="009654C2">
        <w:rPr>
          <w:rFonts w:eastAsia="Calibri"/>
          <w:b/>
          <w:bCs/>
          <w:i/>
          <w:sz w:val="22"/>
          <w:szCs w:val="22"/>
          <w:lang w:val="x-none"/>
        </w:rPr>
        <w:t xml:space="preserve">Implications on </w:t>
      </w:r>
      <w:r w:rsidR="00484758" w:rsidRPr="009654C2">
        <w:rPr>
          <w:rFonts w:eastAsia="Calibri"/>
          <w:b/>
          <w:bCs/>
          <w:i/>
          <w:sz w:val="22"/>
          <w:szCs w:val="22"/>
          <w:lang w:val="x-none"/>
        </w:rPr>
        <w:t>Physical Cultural Resources</w:t>
      </w:r>
      <w:bookmarkEnd w:id="22"/>
      <w:bookmarkEnd w:id="23"/>
      <w:r w:rsidRPr="009654C2">
        <w:rPr>
          <w:rFonts w:eastAsia="Calibri"/>
          <w:bCs/>
          <w:sz w:val="22"/>
          <w:szCs w:val="22"/>
        </w:rPr>
        <w:t xml:space="preserve">. </w:t>
      </w:r>
      <w:r w:rsidR="000C5922" w:rsidRPr="009654C2">
        <w:rPr>
          <w:sz w:val="22"/>
          <w:szCs w:val="22"/>
        </w:rPr>
        <w:t xml:space="preserve">Any subproject activities that involve excavation and civil works could potentially affect PCRs buried underneath the earth or located along the physical footprint of subprojects. </w:t>
      </w:r>
      <w:r w:rsidR="00CE13D5" w:rsidRPr="009654C2">
        <w:rPr>
          <w:sz w:val="22"/>
          <w:szCs w:val="22"/>
        </w:rPr>
        <w:t>However, given that subprojects are mainly rehabilitation or extension within existing ROW and premises</w:t>
      </w:r>
      <w:r w:rsidRPr="009654C2">
        <w:rPr>
          <w:sz w:val="22"/>
          <w:szCs w:val="22"/>
        </w:rPr>
        <w:t>,</w:t>
      </w:r>
      <w:r w:rsidR="00CE13D5" w:rsidRPr="009654C2">
        <w:rPr>
          <w:sz w:val="22"/>
          <w:szCs w:val="22"/>
        </w:rPr>
        <w:t xml:space="preserve"> and impacts o</w:t>
      </w:r>
      <w:r w:rsidRPr="009654C2">
        <w:rPr>
          <w:sz w:val="22"/>
          <w:szCs w:val="22"/>
        </w:rPr>
        <w:t>n PCRs will be avoided as part of the subproject design,</w:t>
      </w:r>
      <w:r w:rsidR="00CE13D5" w:rsidRPr="009654C2">
        <w:rPr>
          <w:sz w:val="22"/>
          <w:szCs w:val="22"/>
        </w:rPr>
        <w:t xml:space="preserve"> potential impacts are deemed to be minimal, if not, highly unlikely. As part of subproject screening, </w:t>
      </w:r>
      <w:r w:rsidR="00484758" w:rsidRPr="009654C2">
        <w:rPr>
          <w:sz w:val="22"/>
          <w:szCs w:val="22"/>
          <w:lang w:val="x-none"/>
        </w:rPr>
        <w:t>infrastructures</w:t>
      </w:r>
      <w:r w:rsidR="00484758" w:rsidRPr="009654C2">
        <w:rPr>
          <w:sz w:val="22"/>
          <w:szCs w:val="22"/>
        </w:rPr>
        <w:t xml:space="preserve"> will</w:t>
      </w:r>
      <w:r w:rsidRPr="009654C2">
        <w:rPr>
          <w:sz w:val="22"/>
          <w:szCs w:val="22"/>
          <w:lang w:val="x-none"/>
        </w:rPr>
        <w:t xml:space="preserve"> avoid</w:t>
      </w:r>
      <w:r w:rsidR="00484758" w:rsidRPr="009654C2">
        <w:rPr>
          <w:sz w:val="22"/>
          <w:szCs w:val="22"/>
          <w:lang w:val="x-none"/>
        </w:rPr>
        <w:t xml:space="preserve"> sites of archeological, cultural, religious, and historic value. </w:t>
      </w:r>
      <w:r w:rsidR="00CE13D5" w:rsidRPr="009654C2">
        <w:rPr>
          <w:sz w:val="22"/>
          <w:szCs w:val="22"/>
        </w:rPr>
        <w:t>F</w:t>
      </w:r>
      <w:r w:rsidR="00484758" w:rsidRPr="009654C2">
        <w:rPr>
          <w:sz w:val="22"/>
          <w:szCs w:val="22"/>
        </w:rPr>
        <w:t xml:space="preserve">or </w:t>
      </w:r>
      <w:r w:rsidR="00484758" w:rsidRPr="009654C2">
        <w:rPr>
          <w:sz w:val="22"/>
          <w:szCs w:val="22"/>
          <w:lang w:val="x-none"/>
        </w:rPr>
        <w:t xml:space="preserve">the possibility of “chance finds” </w:t>
      </w:r>
      <w:r w:rsidR="00484758" w:rsidRPr="009654C2">
        <w:rPr>
          <w:sz w:val="22"/>
          <w:szCs w:val="22"/>
        </w:rPr>
        <w:t xml:space="preserve">for </w:t>
      </w:r>
      <w:r w:rsidR="00CE13D5" w:rsidRPr="009654C2">
        <w:rPr>
          <w:sz w:val="22"/>
          <w:szCs w:val="22"/>
        </w:rPr>
        <w:t>unknown cultural heritage, the P</w:t>
      </w:r>
      <w:r w:rsidR="00484758" w:rsidRPr="009654C2">
        <w:rPr>
          <w:sz w:val="22"/>
          <w:szCs w:val="22"/>
        </w:rPr>
        <w:t>rogram will follow the standard chance find procedur</w:t>
      </w:r>
      <w:r w:rsidR="00CE13D5" w:rsidRPr="009654C2">
        <w:rPr>
          <w:sz w:val="22"/>
          <w:szCs w:val="22"/>
        </w:rPr>
        <w:t xml:space="preserve">e </w:t>
      </w:r>
      <w:r w:rsidRPr="009654C2">
        <w:rPr>
          <w:sz w:val="22"/>
          <w:szCs w:val="22"/>
        </w:rPr>
        <w:t xml:space="preserve">and GoG’s law on cultural </w:t>
      </w:r>
      <w:r w:rsidR="00C50B40">
        <w:rPr>
          <w:sz w:val="22"/>
          <w:szCs w:val="22"/>
        </w:rPr>
        <w:t>r</w:t>
      </w:r>
      <w:r w:rsidR="00C9339C" w:rsidRPr="009654C2">
        <w:rPr>
          <w:sz w:val="22"/>
          <w:szCs w:val="22"/>
        </w:rPr>
        <w:t>esources</w:t>
      </w:r>
      <w:r w:rsidRPr="009654C2">
        <w:rPr>
          <w:sz w:val="22"/>
          <w:szCs w:val="22"/>
        </w:rPr>
        <w:t xml:space="preserve">, </w:t>
      </w:r>
      <w:r w:rsidR="00CE13D5" w:rsidRPr="009654C2">
        <w:rPr>
          <w:sz w:val="22"/>
          <w:szCs w:val="22"/>
        </w:rPr>
        <w:t xml:space="preserve">which will be included in contractor’s contract. </w:t>
      </w:r>
    </w:p>
    <w:p w14:paraId="26D3F394" w14:textId="77777777" w:rsidR="004311F5" w:rsidRPr="009654C2" w:rsidRDefault="004311F5" w:rsidP="00CA0715">
      <w:pPr>
        <w:pStyle w:val="MainParanoChapter-Ch3"/>
        <w:spacing w:before="120" w:after="120"/>
        <w:contextualSpacing/>
        <w:rPr>
          <w:sz w:val="22"/>
          <w:szCs w:val="22"/>
        </w:rPr>
      </w:pPr>
    </w:p>
    <w:p w14:paraId="57E468B7" w14:textId="686C10E4" w:rsidR="00EF3E70" w:rsidRDefault="00484758" w:rsidP="00CA0715">
      <w:pPr>
        <w:pStyle w:val="MainParanoChapter-Ch3"/>
        <w:spacing w:before="120" w:after="120"/>
        <w:contextualSpacing/>
        <w:rPr>
          <w:sz w:val="22"/>
          <w:szCs w:val="22"/>
          <w:lang w:val="x-none"/>
        </w:rPr>
      </w:pPr>
      <w:bookmarkStart w:id="24" w:name="_Toc488516281"/>
      <w:bookmarkStart w:id="25" w:name="_Toc496454526"/>
      <w:r w:rsidRPr="009654C2">
        <w:rPr>
          <w:rFonts w:eastAsia="Calibri"/>
          <w:b/>
          <w:bCs/>
          <w:i/>
          <w:sz w:val="22"/>
          <w:szCs w:val="22"/>
          <w:lang w:val="x-none"/>
        </w:rPr>
        <w:t>Potential for Soil erosion</w:t>
      </w:r>
      <w:bookmarkEnd w:id="24"/>
      <w:bookmarkEnd w:id="25"/>
      <w:r w:rsidR="002945D1" w:rsidRPr="009654C2">
        <w:rPr>
          <w:rFonts w:eastAsia="Calibri"/>
          <w:bCs/>
          <w:sz w:val="22"/>
          <w:szCs w:val="22"/>
        </w:rPr>
        <w:t xml:space="preserve">. </w:t>
      </w:r>
      <w:r w:rsidRPr="009654C2">
        <w:rPr>
          <w:sz w:val="22"/>
          <w:szCs w:val="22"/>
          <w:lang w:val="x-none"/>
        </w:rPr>
        <w:t>Soil erosion could result around infrastructure, undermining the foundation of the infrastructure itself, and reduce its operational</w:t>
      </w:r>
      <w:r w:rsidR="00CE13D5" w:rsidRPr="009654C2">
        <w:rPr>
          <w:sz w:val="22"/>
          <w:szCs w:val="22"/>
          <w:lang w:val="x-none"/>
        </w:rPr>
        <w:t xml:space="preserve"> life greatly. Soil erosion along the physical footprint of the subproject could </w:t>
      </w:r>
      <w:r w:rsidR="00CE13D5" w:rsidRPr="009654C2">
        <w:rPr>
          <w:sz w:val="22"/>
          <w:szCs w:val="22"/>
        </w:rPr>
        <w:t xml:space="preserve">affect </w:t>
      </w:r>
      <w:r w:rsidR="00CE13D5" w:rsidRPr="009654C2">
        <w:rPr>
          <w:sz w:val="22"/>
          <w:szCs w:val="22"/>
          <w:lang w:val="x-none"/>
        </w:rPr>
        <w:t xml:space="preserve"> nearby waterways</w:t>
      </w:r>
      <w:r w:rsidR="00CE13D5" w:rsidRPr="009654C2">
        <w:rPr>
          <w:sz w:val="22"/>
          <w:szCs w:val="22"/>
        </w:rPr>
        <w:t>, its quality and aquatic life</w:t>
      </w:r>
      <w:r w:rsidR="00CE13D5" w:rsidRPr="009654C2">
        <w:rPr>
          <w:sz w:val="22"/>
          <w:szCs w:val="22"/>
          <w:lang w:val="x-none"/>
        </w:rPr>
        <w:t xml:space="preserve"> as well as adjacent or neighboring </w:t>
      </w:r>
      <w:r w:rsidR="002945D1" w:rsidRPr="009654C2">
        <w:rPr>
          <w:sz w:val="22"/>
          <w:szCs w:val="22"/>
        </w:rPr>
        <w:t xml:space="preserve">lands and </w:t>
      </w:r>
      <w:r w:rsidR="00CE13D5" w:rsidRPr="009654C2">
        <w:rPr>
          <w:sz w:val="22"/>
          <w:szCs w:val="22"/>
          <w:lang w:val="x-none"/>
        </w:rPr>
        <w:t>properties.</w:t>
      </w:r>
      <w:r w:rsidR="002945D1" w:rsidRPr="009654C2">
        <w:rPr>
          <w:sz w:val="22"/>
          <w:szCs w:val="22"/>
        </w:rPr>
        <w:t xml:space="preserve"> Again given the scale of physical works, soil erosion is predicted to be minimal and localized.</w:t>
      </w:r>
      <w:r w:rsidRPr="009654C2">
        <w:rPr>
          <w:sz w:val="22"/>
          <w:szCs w:val="22"/>
          <w:lang w:val="x-none"/>
        </w:rPr>
        <w:t xml:space="preserve"> </w:t>
      </w:r>
      <w:bookmarkStart w:id="26" w:name="_Toc496454527"/>
    </w:p>
    <w:p w14:paraId="14D0D831" w14:textId="77777777" w:rsidR="004311F5" w:rsidRPr="009654C2" w:rsidRDefault="004311F5" w:rsidP="00CA0715">
      <w:pPr>
        <w:pStyle w:val="MainParanoChapter-Ch3"/>
        <w:spacing w:before="120" w:after="120"/>
        <w:contextualSpacing/>
        <w:rPr>
          <w:rFonts w:eastAsia="Calibri"/>
          <w:b/>
          <w:bCs/>
          <w:i/>
          <w:sz w:val="22"/>
          <w:szCs w:val="22"/>
        </w:rPr>
      </w:pPr>
    </w:p>
    <w:p w14:paraId="1BD9D38D" w14:textId="1736B843" w:rsidR="00484758" w:rsidRDefault="00484758" w:rsidP="00CA0715">
      <w:pPr>
        <w:pStyle w:val="MainParanoChapter-Ch3"/>
        <w:spacing w:before="120" w:after="120"/>
        <w:contextualSpacing/>
        <w:rPr>
          <w:sz w:val="22"/>
          <w:szCs w:val="22"/>
          <w:lang w:val="x-none"/>
        </w:rPr>
      </w:pPr>
      <w:r w:rsidRPr="009654C2">
        <w:rPr>
          <w:rFonts w:eastAsia="Calibri"/>
          <w:b/>
          <w:bCs/>
          <w:i/>
          <w:sz w:val="22"/>
          <w:szCs w:val="22"/>
        </w:rPr>
        <w:t>Implication o</w:t>
      </w:r>
      <w:r w:rsidR="002945D1" w:rsidRPr="009654C2">
        <w:rPr>
          <w:rFonts w:eastAsia="Calibri"/>
          <w:b/>
          <w:bCs/>
          <w:i/>
          <w:sz w:val="22"/>
          <w:szCs w:val="22"/>
        </w:rPr>
        <w:t>n</w:t>
      </w:r>
      <w:r w:rsidRPr="009654C2">
        <w:rPr>
          <w:rFonts w:eastAsia="Calibri"/>
          <w:b/>
          <w:bCs/>
          <w:i/>
          <w:sz w:val="22"/>
          <w:szCs w:val="22"/>
        </w:rPr>
        <w:t xml:space="preserve"> </w:t>
      </w:r>
      <w:r w:rsidR="002945D1" w:rsidRPr="009654C2">
        <w:rPr>
          <w:rFonts w:eastAsia="Calibri"/>
          <w:b/>
          <w:bCs/>
          <w:i/>
          <w:sz w:val="22"/>
          <w:szCs w:val="22"/>
        </w:rPr>
        <w:t>s</w:t>
      </w:r>
      <w:r w:rsidRPr="009654C2">
        <w:rPr>
          <w:rFonts w:eastAsia="Calibri"/>
          <w:b/>
          <w:bCs/>
          <w:i/>
          <w:sz w:val="22"/>
          <w:szCs w:val="22"/>
        </w:rPr>
        <w:t xml:space="preserve">olid </w:t>
      </w:r>
      <w:r w:rsidR="002945D1" w:rsidRPr="009654C2">
        <w:rPr>
          <w:rFonts w:eastAsia="Calibri"/>
          <w:b/>
          <w:bCs/>
          <w:i/>
          <w:sz w:val="22"/>
          <w:szCs w:val="22"/>
        </w:rPr>
        <w:t xml:space="preserve">and liquid </w:t>
      </w:r>
      <w:r w:rsidRPr="009654C2">
        <w:rPr>
          <w:rFonts w:eastAsia="Calibri"/>
          <w:b/>
          <w:bCs/>
          <w:i/>
          <w:sz w:val="22"/>
          <w:szCs w:val="22"/>
        </w:rPr>
        <w:t>waste</w:t>
      </w:r>
      <w:r w:rsidR="002945D1" w:rsidRPr="009654C2">
        <w:rPr>
          <w:rFonts w:eastAsia="Calibri"/>
          <w:b/>
          <w:bCs/>
          <w:i/>
          <w:sz w:val="22"/>
          <w:szCs w:val="22"/>
        </w:rPr>
        <w:t>s</w:t>
      </w:r>
      <w:bookmarkEnd w:id="26"/>
      <w:r w:rsidR="002945D1" w:rsidRPr="009654C2">
        <w:rPr>
          <w:rFonts w:eastAsia="Calibri"/>
          <w:bCs/>
          <w:sz w:val="22"/>
          <w:szCs w:val="22"/>
        </w:rPr>
        <w:t xml:space="preserve">. </w:t>
      </w:r>
      <w:r w:rsidRPr="009654C2">
        <w:rPr>
          <w:rFonts w:eastAsia="Calibri"/>
          <w:sz w:val="22"/>
          <w:szCs w:val="22"/>
          <w:lang w:eastAsia="en-ZW"/>
        </w:rPr>
        <w:t>Waste</w:t>
      </w:r>
      <w:r w:rsidR="00941244" w:rsidRPr="009654C2">
        <w:rPr>
          <w:rFonts w:eastAsia="Calibri"/>
          <w:sz w:val="22"/>
          <w:szCs w:val="22"/>
          <w:lang w:eastAsia="en-ZW"/>
        </w:rPr>
        <w:t xml:space="preserve">s are generated during construction from physical works and by workers. </w:t>
      </w:r>
      <w:r w:rsidRPr="009654C2">
        <w:rPr>
          <w:rFonts w:eastAsia="Calibri"/>
          <w:sz w:val="22"/>
          <w:szCs w:val="22"/>
          <w:lang w:eastAsia="en-ZW"/>
        </w:rPr>
        <w:t>Indiscriminate disposal and/or storage of solid and liquid wastes including, cem</w:t>
      </w:r>
      <w:r w:rsidR="002945D1" w:rsidRPr="009654C2">
        <w:rPr>
          <w:rFonts w:eastAsia="Calibri"/>
          <w:sz w:val="22"/>
          <w:szCs w:val="22"/>
          <w:lang w:eastAsia="en-ZW"/>
        </w:rPr>
        <w:t>ent and other material packages and</w:t>
      </w:r>
      <w:r w:rsidRPr="009654C2">
        <w:rPr>
          <w:rFonts w:eastAsia="Calibri"/>
          <w:sz w:val="22"/>
          <w:szCs w:val="22"/>
          <w:lang w:eastAsia="en-ZW"/>
        </w:rPr>
        <w:t xml:space="preserve"> left over construction materials, have potential to generate impact on the nearby environment and health and safety of the workers, local community, and the beneficiaries. </w:t>
      </w:r>
      <w:r w:rsidRPr="009654C2">
        <w:rPr>
          <w:rFonts w:eastAsia="Calibri"/>
          <w:sz w:val="22"/>
          <w:szCs w:val="22"/>
        </w:rPr>
        <w:t>Solid waste</w:t>
      </w:r>
      <w:r w:rsidR="002945D1" w:rsidRPr="009654C2">
        <w:rPr>
          <w:rFonts w:eastAsia="Calibri"/>
          <w:sz w:val="22"/>
          <w:szCs w:val="22"/>
        </w:rPr>
        <w:t>s</w:t>
      </w:r>
      <w:r w:rsidRPr="009654C2">
        <w:rPr>
          <w:rFonts w:eastAsia="Calibri"/>
          <w:sz w:val="22"/>
          <w:szCs w:val="22"/>
        </w:rPr>
        <w:t xml:space="preserve"> during the construction include paper wrapping, scrap metal, excavated soils, polythene, plastic and metal will cause pollution and littering of the immediate and localized environment.</w:t>
      </w:r>
      <w:r w:rsidR="00941244" w:rsidRPr="009654C2">
        <w:rPr>
          <w:rFonts w:eastAsia="Calibri"/>
          <w:sz w:val="22"/>
          <w:szCs w:val="22"/>
        </w:rPr>
        <w:t xml:space="preserve"> Solid and liquid wastes from workers and workers’ camps, if not collected, stored, disposed and managed properly, can also cause pollution and affect the health of workers and nearb</w:t>
      </w:r>
      <w:r w:rsidR="002945D1" w:rsidRPr="009654C2">
        <w:rPr>
          <w:rFonts w:eastAsia="Calibri"/>
          <w:sz w:val="22"/>
          <w:szCs w:val="22"/>
        </w:rPr>
        <w:t>y communitie</w:t>
      </w:r>
      <w:r w:rsidR="00941244" w:rsidRPr="009654C2">
        <w:rPr>
          <w:rFonts w:eastAsia="Calibri"/>
          <w:sz w:val="22"/>
          <w:szCs w:val="22"/>
        </w:rPr>
        <w:t>s.</w:t>
      </w:r>
      <w:r w:rsidRPr="009654C2">
        <w:rPr>
          <w:sz w:val="22"/>
          <w:szCs w:val="22"/>
          <w:lang w:val="x-none"/>
        </w:rPr>
        <w:t xml:space="preserve"> </w:t>
      </w:r>
    </w:p>
    <w:p w14:paraId="29479A8A" w14:textId="77777777" w:rsidR="004311F5" w:rsidRPr="009654C2" w:rsidRDefault="004311F5" w:rsidP="00CA0715">
      <w:pPr>
        <w:pStyle w:val="MainParanoChapter-Ch3"/>
        <w:spacing w:before="120" w:after="120"/>
        <w:contextualSpacing/>
        <w:rPr>
          <w:sz w:val="22"/>
          <w:szCs w:val="22"/>
          <w:lang w:val="x-none"/>
        </w:rPr>
      </w:pPr>
    </w:p>
    <w:p w14:paraId="190B43F7" w14:textId="0E6753FF" w:rsidR="001E4056" w:rsidRDefault="00484758" w:rsidP="00CA0715">
      <w:pPr>
        <w:pStyle w:val="MainParanoChapter-Ch3"/>
        <w:spacing w:before="120" w:after="120"/>
        <w:contextualSpacing/>
        <w:rPr>
          <w:b/>
          <w:i/>
          <w:sz w:val="22"/>
          <w:szCs w:val="22"/>
        </w:rPr>
      </w:pPr>
      <w:bookmarkStart w:id="27" w:name="_Toc488516283"/>
      <w:bookmarkStart w:id="28" w:name="_Toc496454529"/>
      <w:r w:rsidRPr="009654C2">
        <w:rPr>
          <w:rFonts w:eastAsia="Calibri"/>
          <w:b/>
          <w:bCs/>
          <w:i/>
          <w:sz w:val="22"/>
          <w:szCs w:val="22"/>
        </w:rPr>
        <w:t xml:space="preserve">Potential </w:t>
      </w:r>
      <w:r w:rsidR="002945D1" w:rsidRPr="009654C2">
        <w:rPr>
          <w:rFonts w:eastAsia="Calibri"/>
          <w:b/>
          <w:bCs/>
          <w:i/>
          <w:sz w:val="22"/>
          <w:szCs w:val="22"/>
        </w:rPr>
        <w:t>d</w:t>
      </w:r>
      <w:r w:rsidRPr="009654C2">
        <w:rPr>
          <w:rFonts w:eastAsia="Calibri"/>
          <w:b/>
          <w:bCs/>
          <w:i/>
          <w:sz w:val="22"/>
          <w:szCs w:val="22"/>
        </w:rPr>
        <w:t>epletion and p</w:t>
      </w:r>
      <w:r w:rsidR="002945D1" w:rsidRPr="009654C2">
        <w:rPr>
          <w:rFonts w:eastAsia="Calibri"/>
          <w:b/>
          <w:bCs/>
          <w:i/>
          <w:sz w:val="22"/>
          <w:szCs w:val="22"/>
        </w:rPr>
        <w:t>ollution of surface and ground</w:t>
      </w:r>
      <w:r w:rsidRPr="009654C2">
        <w:rPr>
          <w:rFonts w:eastAsia="Calibri"/>
          <w:b/>
          <w:bCs/>
          <w:i/>
          <w:sz w:val="22"/>
          <w:szCs w:val="22"/>
        </w:rPr>
        <w:t xml:space="preserve"> water resources</w:t>
      </w:r>
      <w:bookmarkEnd w:id="27"/>
      <w:bookmarkEnd w:id="28"/>
      <w:r w:rsidR="002945D1" w:rsidRPr="009654C2">
        <w:rPr>
          <w:rFonts w:eastAsia="Calibri"/>
          <w:bCs/>
          <w:sz w:val="22"/>
          <w:szCs w:val="22"/>
        </w:rPr>
        <w:t xml:space="preserve">. </w:t>
      </w:r>
      <w:r w:rsidRPr="009654C2">
        <w:rPr>
          <w:sz w:val="22"/>
          <w:szCs w:val="22"/>
        </w:rPr>
        <w:t xml:space="preserve">Water required for construction purposes could potentially place greater demand on both surface and groundwater resources. Drainage systems in urban areas to </w:t>
      </w:r>
      <w:r w:rsidR="00941244" w:rsidRPr="009654C2">
        <w:rPr>
          <w:sz w:val="22"/>
          <w:szCs w:val="22"/>
        </w:rPr>
        <w:t xml:space="preserve">divert flood water could have </w:t>
      </w:r>
      <w:r w:rsidRPr="009654C2">
        <w:rPr>
          <w:sz w:val="22"/>
          <w:szCs w:val="22"/>
        </w:rPr>
        <w:t xml:space="preserve">environmental impact on water courses, resulting in pollution with solid waste debris, wastewater, and silt, and thereby a significant reduction in the human and ecological value of the water course. </w:t>
      </w:r>
      <w:r w:rsidR="00941244" w:rsidRPr="009654C2">
        <w:rPr>
          <w:sz w:val="22"/>
          <w:szCs w:val="22"/>
        </w:rPr>
        <w:t>Liquid and solid wastes from construction site and worker’s camp can pollute surface water bodies</w:t>
      </w:r>
      <w:r w:rsidR="00EF3E70" w:rsidRPr="009654C2">
        <w:rPr>
          <w:b/>
          <w:i/>
          <w:sz w:val="22"/>
          <w:szCs w:val="22"/>
        </w:rPr>
        <w:t xml:space="preserve">. </w:t>
      </w:r>
      <w:bookmarkStart w:id="29" w:name="_Toc213306973"/>
    </w:p>
    <w:p w14:paraId="2D0E28DE" w14:textId="77777777" w:rsidR="004311F5" w:rsidRDefault="004311F5" w:rsidP="00CA0715">
      <w:pPr>
        <w:pStyle w:val="MainParanoChapter-Ch3"/>
        <w:spacing w:before="120" w:after="120"/>
        <w:contextualSpacing/>
        <w:rPr>
          <w:b/>
          <w:i/>
          <w:sz w:val="22"/>
          <w:szCs w:val="22"/>
        </w:rPr>
      </w:pPr>
    </w:p>
    <w:p w14:paraId="194121FC" w14:textId="03C4171A" w:rsidR="00435AB2" w:rsidRPr="009654C2" w:rsidRDefault="00EF3E70" w:rsidP="00CA0715">
      <w:pPr>
        <w:pStyle w:val="MainParanoChapter-Ch3"/>
        <w:spacing w:before="120" w:after="120"/>
        <w:contextualSpacing/>
        <w:rPr>
          <w:sz w:val="22"/>
          <w:szCs w:val="22"/>
        </w:rPr>
      </w:pPr>
      <w:r w:rsidRPr="009654C2">
        <w:rPr>
          <w:b/>
          <w:i/>
          <w:sz w:val="22"/>
          <w:szCs w:val="22"/>
        </w:rPr>
        <w:t>C</w:t>
      </w:r>
      <w:r w:rsidR="00C9339C" w:rsidRPr="009654C2">
        <w:rPr>
          <w:b/>
          <w:i/>
          <w:sz w:val="22"/>
          <w:szCs w:val="22"/>
        </w:rPr>
        <w:t>ommunity and occupational health and safety</w:t>
      </w:r>
      <w:r w:rsidR="004C0AFC" w:rsidRPr="009654C2">
        <w:rPr>
          <w:sz w:val="22"/>
          <w:szCs w:val="22"/>
        </w:rPr>
        <w:t xml:space="preserve">. </w:t>
      </w:r>
      <w:r w:rsidR="004C0AFC" w:rsidRPr="009654C2">
        <w:rPr>
          <w:rFonts w:eastAsia="Calibri"/>
          <w:bCs/>
          <w:sz w:val="22"/>
          <w:szCs w:val="22"/>
        </w:rPr>
        <w:t>C</w:t>
      </w:r>
      <w:r w:rsidR="004C0AFC" w:rsidRPr="009654C2">
        <w:rPr>
          <w:rFonts w:eastAsia="Calibri"/>
          <w:sz w:val="22"/>
          <w:szCs w:val="22"/>
        </w:rPr>
        <w:t xml:space="preserve">ommunity and occupational health and safety issues are among the main concern of the Program. The significant concern of health and safety will arise during the construction predominantly during excavation works, operation of equipment and machinery, transport of construction materials and influx of outside workers to the project site, among others. During operation of completed facilities, health and safety issues could remain a concern if those completed facilities are not properly managed. For example, improper operation of abattoir could expose workers to pollution, and wastes generated in commercial centers and public markets, if not properly collected and disposed, could cause health and safety concerns for the beneficiaries and communities.  </w:t>
      </w:r>
      <w:r w:rsidR="00435AB2" w:rsidRPr="009654C2">
        <w:rPr>
          <w:sz w:val="22"/>
          <w:szCs w:val="22"/>
        </w:rPr>
        <w:t>Dust, disruption of access and damage to public utilities will also negatively affect the community in the project area if proper measure is not taken.</w:t>
      </w:r>
    </w:p>
    <w:p w14:paraId="3B6B1B8C" w14:textId="77777777" w:rsidR="004311F5" w:rsidRDefault="004311F5" w:rsidP="00CA0715">
      <w:pPr>
        <w:pStyle w:val="MainParanoChapter-Ch3"/>
        <w:spacing w:before="120" w:after="120"/>
        <w:contextualSpacing/>
        <w:rPr>
          <w:rFonts w:eastAsia="Calibri"/>
          <w:b/>
          <w:bCs/>
          <w:i/>
          <w:sz w:val="22"/>
          <w:szCs w:val="22"/>
        </w:rPr>
      </w:pPr>
      <w:bookmarkStart w:id="30" w:name="_Toc488516284"/>
      <w:bookmarkStart w:id="31" w:name="_Toc496454532"/>
    </w:p>
    <w:p w14:paraId="704EF63F" w14:textId="6CCE24EA" w:rsidR="00EF3E70" w:rsidRPr="009654C2" w:rsidRDefault="00CF4324" w:rsidP="00CA0715">
      <w:pPr>
        <w:pStyle w:val="MainParanoChapter-Ch3"/>
        <w:spacing w:before="120" w:after="120"/>
        <w:contextualSpacing/>
        <w:rPr>
          <w:rFonts w:eastAsia="Calibri"/>
          <w:b/>
          <w:i/>
          <w:sz w:val="22"/>
          <w:szCs w:val="22"/>
        </w:rPr>
      </w:pPr>
      <w:r w:rsidRPr="009654C2">
        <w:rPr>
          <w:rFonts w:eastAsia="Calibri"/>
          <w:b/>
          <w:bCs/>
          <w:i/>
          <w:sz w:val="22"/>
          <w:szCs w:val="22"/>
        </w:rPr>
        <w:t>Implication for c</w:t>
      </w:r>
      <w:r w:rsidR="00484758" w:rsidRPr="009654C2">
        <w:rPr>
          <w:rFonts w:eastAsia="Calibri"/>
          <w:b/>
          <w:bCs/>
          <w:i/>
          <w:sz w:val="22"/>
          <w:szCs w:val="22"/>
        </w:rPr>
        <w:t xml:space="preserve">umulative </w:t>
      </w:r>
      <w:r w:rsidRPr="009654C2">
        <w:rPr>
          <w:rFonts w:eastAsia="Calibri"/>
          <w:b/>
          <w:bCs/>
          <w:i/>
          <w:sz w:val="22"/>
          <w:szCs w:val="22"/>
        </w:rPr>
        <w:t>i</w:t>
      </w:r>
      <w:r w:rsidR="00484758" w:rsidRPr="009654C2">
        <w:rPr>
          <w:rFonts w:eastAsia="Calibri"/>
          <w:b/>
          <w:bCs/>
          <w:i/>
          <w:sz w:val="22"/>
          <w:szCs w:val="22"/>
        </w:rPr>
        <w:t xml:space="preserve">mpacts of the </w:t>
      </w:r>
      <w:r w:rsidRPr="009654C2">
        <w:rPr>
          <w:rFonts w:eastAsia="Calibri"/>
          <w:b/>
          <w:bCs/>
          <w:i/>
          <w:sz w:val="22"/>
          <w:szCs w:val="22"/>
        </w:rPr>
        <w:t>Program</w:t>
      </w:r>
      <w:bookmarkEnd w:id="29"/>
      <w:bookmarkEnd w:id="30"/>
      <w:bookmarkEnd w:id="31"/>
      <w:r w:rsidRPr="009654C2">
        <w:rPr>
          <w:rFonts w:eastAsia="Calibri"/>
          <w:bCs/>
          <w:sz w:val="22"/>
          <w:szCs w:val="22"/>
        </w:rPr>
        <w:t xml:space="preserve">. </w:t>
      </w:r>
      <w:r w:rsidR="00EF0B17" w:rsidRPr="009654C2">
        <w:rPr>
          <w:sz w:val="22"/>
          <w:szCs w:val="22"/>
        </w:rPr>
        <w:t xml:space="preserve">The Program activities are small to medium scale </w:t>
      </w:r>
      <w:r w:rsidR="001D0C66" w:rsidRPr="009654C2">
        <w:rPr>
          <w:sz w:val="22"/>
          <w:szCs w:val="22"/>
        </w:rPr>
        <w:t xml:space="preserve">and will </w:t>
      </w:r>
      <w:r w:rsidR="0081079B" w:rsidRPr="009654C2">
        <w:rPr>
          <w:sz w:val="22"/>
          <w:szCs w:val="22"/>
        </w:rPr>
        <w:t>mainly</w:t>
      </w:r>
      <w:r w:rsidR="001D0C66" w:rsidRPr="009654C2">
        <w:rPr>
          <w:sz w:val="22"/>
          <w:szCs w:val="22"/>
        </w:rPr>
        <w:t xml:space="preserve"> involve rehabilitation or extension or expansion of existing facilities within the existing ROW and premises just like the ongoing LGCSP. That said, the Program activities are expected to have insignificant cumulative impacts.</w:t>
      </w:r>
    </w:p>
    <w:p w14:paraId="7C18E0D7" w14:textId="5069EF7D" w:rsidR="00EF3E70" w:rsidRDefault="00EF3E70" w:rsidP="009654C2">
      <w:pPr>
        <w:spacing w:before="120" w:after="120" w:line="360" w:lineRule="auto"/>
        <w:contextualSpacing/>
        <w:jc w:val="both"/>
        <w:rPr>
          <w:rFonts w:ascii="Times New Roman" w:eastAsia="Calibri" w:hAnsi="Times New Roman" w:cs="Times New Roman"/>
          <w:b/>
          <w:i/>
          <w:lang w:val="x-none" w:eastAsia="x-none"/>
        </w:rPr>
      </w:pPr>
    </w:p>
    <w:p w14:paraId="1E4DD70C" w14:textId="4D13650F" w:rsidR="00AF620E" w:rsidRPr="00EF3E70" w:rsidRDefault="00AF620E">
      <w:pPr>
        <w:spacing w:before="120" w:after="120" w:line="360" w:lineRule="auto"/>
        <w:jc w:val="both"/>
        <w:rPr>
          <w:rStyle w:val="Heading21"/>
        </w:rPr>
      </w:pPr>
      <w:r w:rsidRPr="00EF3E70">
        <w:rPr>
          <w:rStyle w:val="Heading21"/>
        </w:rPr>
        <w:t xml:space="preserve">3.4 Potential Social </w:t>
      </w:r>
      <w:r w:rsidRPr="001E4056">
        <w:rPr>
          <w:rStyle w:val="Heading21"/>
        </w:rPr>
        <w:t>Impacts</w:t>
      </w:r>
      <w:r w:rsidRPr="00EF3E70">
        <w:rPr>
          <w:rStyle w:val="Heading21"/>
        </w:rPr>
        <w:t xml:space="preserve"> and Risks</w:t>
      </w:r>
    </w:p>
    <w:p w14:paraId="5D364178" w14:textId="5078DEC4" w:rsidR="004311F5" w:rsidRPr="00AF620E" w:rsidRDefault="00484758" w:rsidP="00CA0715">
      <w:pPr>
        <w:spacing w:before="120" w:after="120" w:line="240" w:lineRule="auto"/>
        <w:jc w:val="both"/>
        <w:rPr>
          <w:rFonts w:ascii="Times New Roman" w:eastAsia="Times New Roman" w:hAnsi="Times New Roman" w:cs="Times New Roman"/>
          <w:lang w:eastAsia="x-none"/>
        </w:rPr>
      </w:pPr>
      <w:r w:rsidRPr="00AF620E">
        <w:rPr>
          <w:rFonts w:ascii="Times New Roman" w:eastAsia="Times New Roman" w:hAnsi="Times New Roman" w:cs="Times New Roman"/>
          <w:b/>
          <w:bCs/>
          <w:i/>
        </w:rPr>
        <w:t>Risk</w:t>
      </w:r>
      <w:r w:rsidR="00CF4324" w:rsidRPr="00AF620E">
        <w:rPr>
          <w:rFonts w:ascii="Times New Roman" w:eastAsia="Times New Roman" w:hAnsi="Times New Roman" w:cs="Times New Roman"/>
          <w:b/>
          <w:bCs/>
          <w:i/>
        </w:rPr>
        <w:t xml:space="preserve"> related to l</w:t>
      </w:r>
      <w:r w:rsidRPr="00AF620E">
        <w:rPr>
          <w:rFonts w:ascii="Times New Roman" w:eastAsia="Times New Roman" w:hAnsi="Times New Roman" w:cs="Times New Roman"/>
          <w:b/>
          <w:bCs/>
          <w:i/>
        </w:rPr>
        <w:t>a</w:t>
      </w:r>
      <w:r w:rsidR="00CF4324" w:rsidRPr="00AF620E">
        <w:rPr>
          <w:rFonts w:ascii="Times New Roman" w:eastAsia="Times New Roman" w:hAnsi="Times New Roman" w:cs="Times New Roman"/>
          <w:b/>
          <w:bCs/>
          <w:i/>
        </w:rPr>
        <w:t>nd acquisition and resettlement</w:t>
      </w:r>
      <w:r w:rsidR="00CF4324" w:rsidRPr="00AF620E">
        <w:rPr>
          <w:rFonts w:ascii="Times New Roman" w:eastAsia="Times New Roman" w:hAnsi="Times New Roman" w:cs="Times New Roman"/>
          <w:bCs/>
        </w:rPr>
        <w:t xml:space="preserve">. </w:t>
      </w:r>
      <w:r w:rsidR="00F715DE" w:rsidRPr="00AF620E">
        <w:rPr>
          <w:rFonts w:ascii="Times New Roman" w:eastAsia="Times New Roman" w:hAnsi="Times New Roman" w:cs="Times New Roman"/>
          <w:bCs/>
        </w:rPr>
        <w:t>While majority of the subproject</w:t>
      </w:r>
      <w:r w:rsidR="00C9339C" w:rsidRPr="00AF620E">
        <w:rPr>
          <w:rFonts w:ascii="Times New Roman" w:eastAsia="Times New Roman" w:hAnsi="Times New Roman" w:cs="Times New Roman"/>
          <w:bCs/>
        </w:rPr>
        <w:t>s</w:t>
      </w:r>
      <w:r w:rsidR="00F715DE" w:rsidRPr="00AF620E">
        <w:rPr>
          <w:rFonts w:ascii="Times New Roman" w:eastAsia="Times New Roman" w:hAnsi="Times New Roman" w:cs="Times New Roman"/>
          <w:bCs/>
        </w:rPr>
        <w:t xml:space="preserve"> will be implemented within the existing ROW and premises, there might be a few cases where lands maybe acquired for the project and some individuals may be physically displaced. The impact is </w:t>
      </w:r>
      <w:r w:rsidR="00C9339C" w:rsidRPr="00AF620E">
        <w:rPr>
          <w:rFonts w:ascii="Times New Roman" w:eastAsia="Times New Roman" w:hAnsi="Times New Roman" w:cs="Times New Roman"/>
          <w:bCs/>
        </w:rPr>
        <w:t xml:space="preserve">expected </w:t>
      </w:r>
      <w:r w:rsidR="00F715DE" w:rsidRPr="00AF620E">
        <w:rPr>
          <w:rFonts w:ascii="Times New Roman" w:eastAsia="Times New Roman" w:hAnsi="Times New Roman" w:cs="Times New Roman"/>
          <w:bCs/>
        </w:rPr>
        <w:t xml:space="preserve">mainly </w:t>
      </w:r>
      <w:r w:rsidR="00C9339C" w:rsidRPr="00AF620E">
        <w:rPr>
          <w:rFonts w:ascii="Times New Roman" w:eastAsia="Times New Roman" w:hAnsi="Times New Roman" w:cs="Times New Roman"/>
          <w:bCs/>
        </w:rPr>
        <w:t xml:space="preserve">to be </w:t>
      </w:r>
      <w:r w:rsidR="00F715DE" w:rsidRPr="00AF620E">
        <w:rPr>
          <w:rFonts w:ascii="Times New Roman" w:eastAsia="Times New Roman" w:hAnsi="Times New Roman" w:cs="Times New Roman"/>
          <w:bCs/>
        </w:rPr>
        <w:t>on temporary relocation of vendors, hawkers, drivers and individuals during the construction of public markets and commercial centers, which could potentially affect on their incomes and livelihood</w:t>
      </w:r>
      <w:r w:rsidR="00C9339C" w:rsidRPr="00AF620E">
        <w:rPr>
          <w:rFonts w:ascii="Times New Roman" w:eastAsia="Times New Roman" w:hAnsi="Times New Roman" w:cs="Times New Roman"/>
          <w:bCs/>
        </w:rPr>
        <w:t>,</w:t>
      </w:r>
      <w:r w:rsidR="00F715DE" w:rsidRPr="00AF620E">
        <w:rPr>
          <w:rFonts w:ascii="Times New Roman" w:eastAsia="Times New Roman" w:hAnsi="Times New Roman" w:cs="Times New Roman"/>
          <w:bCs/>
        </w:rPr>
        <w:t xml:space="preserve"> if they are not properly relocated albeit temporarily.</w:t>
      </w:r>
      <w:r w:rsidR="000469B7" w:rsidRPr="00AF620E">
        <w:rPr>
          <w:rFonts w:ascii="Times New Roman" w:eastAsia="Times New Roman" w:hAnsi="Times New Roman" w:cs="Times New Roman"/>
          <w:lang w:eastAsia="x-none"/>
        </w:rPr>
        <w:t xml:space="preserve"> As experienced </w:t>
      </w:r>
      <w:r w:rsidR="00C9339C" w:rsidRPr="00AF620E">
        <w:rPr>
          <w:rFonts w:ascii="Times New Roman" w:eastAsia="Times New Roman" w:hAnsi="Times New Roman" w:cs="Times New Roman"/>
          <w:lang w:eastAsia="x-none"/>
        </w:rPr>
        <w:t xml:space="preserve">under the </w:t>
      </w:r>
      <w:r w:rsidR="000469B7" w:rsidRPr="00AF620E">
        <w:rPr>
          <w:rFonts w:ascii="Times New Roman" w:eastAsia="Times New Roman" w:hAnsi="Times New Roman" w:cs="Times New Roman"/>
          <w:lang w:eastAsia="x-none"/>
        </w:rPr>
        <w:t>LGCSP, MMAs prioritized subprojects that require</w:t>
      </w:r>
      <w:r w:rsidR="00C9339C" w:rsidRPr="00AF620E">
        <w:rPr>
          <w:rFonts w:ascii="Times New Roman" w:eastAsia="Times New Roman" w:hAnsi="Times New Roman" w:cs="Times New Roman"/>
          <w:lang w:eastAsia="x-none"/>
        </w:rPr>
        <w:t>d</w:t>
      </w:r>
      <w:r w:rsidR="000469B7" w:rsidRPr="00AF620E">
        <w:rPr>
          <w:rFonts w:ascii="Times New Roman" w:eastAsia="Times New Roman" w:hAnsi="Times New Roman" w:cs="Times New Roman"/>
          <w:lang w:eastAsia="x-none"/>
        </w:rPr>
        <w:t xml:space="preserve"> no or minimal land acquisition. The</w:t>
      </w:r>
      <w:r w:rsidR="00C9339C" w:rsidRPr="00AF620E">
        <w:rPr>
          <w:rFonts w:ascii="Times New Roman" w:eastAsia="Times New Roman" w:hAnsi="Times New Roman" w:cs="Times New Roman"/>
          <w:lang w:eastAsia="x-none"/>
        </w:rPr>
        <w:t>se had</w:t>
      </w:r>
      <w:r w:rsidR="000469B7" w:rsidRPr="00AF620E">
        <w:rPr>
          <w:rFonts w:ascii="Times New Roman" w:eastAsia="Times New Roman" w:hAnsi="Times New Roman" w:cs="Times New Roman"/>
          <w:lang w:eastAsia="x-none"/>
        </w:rPr>
        <w:t xml:space="preserve"> temporary impacts on livelihoods and access</w:t>
      </w:r>
      <w:r w:rsidR="00F715DE" w:rsidRPr="00AF620E">
        <w:rPr>
          <w:rFonts w:ascii="Times New Roman" w:eastAsia="Times New Roman" w:hAnsi="Times New Roman" w:cs="Times New Roman"/>
          <w:lang w:eastAsia="x-none"/>
        </w:rPr>
        <w:t xml:space="preserve">ibility during construction but, as mentioned, </w:t>
      </w:r>
      <w:r w:rsidR="000469B7" w:rsidRPr="00AF620E">
        <w:rPr>
          <w:rFonts w:ascii="Times New Roman" w:eastAsia="Times New Roman" w:hAnsi="Times New Roman" w:cs="Times New Roman"/>
          <w:lang w:eastAsia="x-none"/>
        </w:rPr>
        <w:t xml:space="preserve">these are mainly </w:t>
      </w:r>
      <w:r w:rsidR="000469B7" w:rsidRPr="00BE6F08">
        <w:rPr>
          <w:rStyle w:val="Heading21"/>
        </w:rPr>
        <w:t>temporary</w:t>
      </w:r>
      <w:r w:rsidR="000469B7" w:rsidRPr="00AF620E">
        <w:rPr>
          <w:rFonts w:ascii="Times New Roman" w:eastAsia="Times New Roman" w:hAnsi="Times New Roman" w:cs="Times New Roman"/>
          <w:lang w:eastAsia="x-none"/>
        </w:rPr>
        <w:t xml:space="preserve"> and expected to only last for a few months </w:t>
      </w:r>
      <w:r w:rsidR="00F715DE" w:rsidRPr="00AF620E">
        <w:rPr>
          <w:rFonts w:ascii="Times New Roman" w:eastAsia="Times New Roman" w:hAnsi="Times New Roman" w:cs="Times New Roman"/>
          <w:lang w:eastAsia="x-none"/>
        </w:rPr>
        <w:t xml:space="preserve">while construction is going on and affected vendors, hawkers, drivers, etc. were provided with temporary relocation areas to allow them to continue their </w:t>
      </w:r>
      <w:r w:rsidR="00C9339C" w:rsidRPr="00AF620E">
        <w:rPr>
          <w:rFonts w:ascii="Times New Roman" w:eastAsia="Times New Roman" w:hAnsi="Times New Roman" w:cs="Times New Roman"/>
          <w:lang w:eastAsia="x-none"/>
        </w:rPr>
        <w:t xml:space="preserve">respective </w:t>
      </w:r>
      <w:r w:rsidR="00F715DE" w:rsidRPr="00AF620E">
        <w:rPr>
          <w:rFonts w:ascii="Times New Roman" w:eastAsia="Times New Roman" w:hAnsi="Times New Roman" w:cs="Times New Roman"/>
          <w:lang w:eastAsia="x-none"/>
        </w:rPr>
        <w:t>trades.</w:t>
      </w:r>
      <w:r w:rsidR="004C0AFC" w:rsidRPr="00AF620E">
        <w:rPr>
          <w:rFonts w:ascii="Times New Roman" w:eastAsia="Times New Roman" w:hAnsi="Times New Roman" w:cs="Times New Roman"/>
          <w:lang w:eastAsia="x-none"/>
        </w:rPr>
        <w:t xml:space="preserve"> Although</w:t>
      </w:r>
      <w:r w:rsidR="008E0AD1" w:rsidRPr="00AF620E">
        <w:rPr>
          <w:rFonts w:ascii="Times New Roman" w:eastAsia="Times New Roman" w:hAnsi="Times New Roman" w:cs="Times New Roman"/>
          <w:lang w:eastAsia="x-none"/>
        </w:rPr>
        <w:t xml:space="preserve"> </w:t>
      </w:r>
      <w:r w:rsidR="004C0AFC" w:rsidRPr="00AF620E">
        <w:rPr>
          <w:rFonts w:ascii="Times New Roman" w:eastAsia="Times New Roman" w:hAnsi="Times New Roman" w:cs="Times New Roman"/>
          <w:lang w:eastAsia="x-none"/>
        </w:rPr>
        <w:t xml:space="preserve">temporary relocation of PAPs under the LGCSP </w:t>
      </w:r>
      <w:r w:rsidR="00C1352D" w:rsidRPr="00AF620E">
        <w:rPr>
          <w:rFonts w:ascii="Times New Roman" w:eastAsia="Times New Roman" w:hAnsi="Times New Roman" w:cs="Times New Roman"/>
          <w:lang w:eastAsia="x-none"/>
        </w:rPr>
        <w:t xml:space="preserve">has been managed satisfactorily due mainly to the </w:t>
      </w:r>
      <w:r w:rsidR="008E0AD1" w:rsidRPr="00AF620E">
        <w:rPr>
          <w:rFonts w:ascii="Times New Roman" w:eastAsia="Times New Roman" w:hAnsi="Times New Roman" w:cs="Times New Roman"/>
          <w:lang w:eastAsia="x-none"/>
        </w:rPr>
        <w:t xml:space="preserve">small number </w:t>
      </w:r>
      <w:r w:rsidR="00C1352D" w:rsidRPr="00AF620E">
        <w:rPr>
          <w:rFonts w:ascii="Times New Roman" w:eastAsia="Times New Roman" w:hAnsi="Times New Roman" w:cs="Times New Roman"/>
          <w:lang w:eastAsia="x-none"/>
        </w:rPr>
        <w:t xml:space="preserve"> of PAPs impacted,</w:t>
      </w:r>
      <w:r w:rsidR="004C0AFC" w:rsidRPr="00AF620E">
        <w:rPr>
          <w:rFonts w:ascii="Times New Roman" w:eastAsia="Times New Roman" w:hAnsi="Times New Roman" w:cs="Times New Roman"/>
          <w:lang w:eastAsia="x-none"/>
        </w:rPr>
        <w:t xml:space="preserve"> there is </w:t>
      </w:r>
      <w:r w:rsidR="00171E9D" w:rsidRPr="00AF620E">
        <w:rPr>
          <w:rFonts w:ascii="Times New Roman" w:eastAsia="Times New Roman" w:hAnsi="Times New Roman" w:cs="Times New Roman"/>
          <w:lang w:eastAsia="x-none"/>
        </w:rPr>
        <w:t>potential</w:t>
      </w:r>
      <w:r w:rsidR="004C0AFC" w:rsidRPr="00AF620E">
        <w:rPr>
          <w:rFonts w:ascii="Times New Roman" w:eastAsia="Times New Roman" w:hAnsi="Times New Roman" w:cs="Times New Roman"/>
          <w:lang w:eastAsia="x-none"/>
        </w:rPr>
        <w:t xml:space="preserve"> risk of impacts escalating if</w:t>
      </w:r>
      <w:r w:rsidR="00C1352D" w:rsidRPr="00AF620E">
        <w:rPr>
          <w:rFonts w:ascii="Times New Roman" w:eastAsia="Times New Roman" w:hAnsi="Times New Roman" w:cs="Times New Roman"/>
          <w:lang w:eastAsia="x-none"/>
        </w:rPr>
        <w:t xml:space="preserve"> subproject activities require </w:t>
      </w:r>
      <w:r w:rsidR="004C0AFC" w:rsidRPr="00AF620E">
        <w:rPr>
          <w:rFonts w:ascii="Times New Roman" w:eastAsia="Times New Roman" w:hAnsi="Times New Roman" w:cs="Times New Roman"/>
          <w:lang w:eastAsia="x-none"/>
        </w:rPr>
        <w:t xml:space="preserve">permanent physical resettlement of PAPS. Currently, there appears to be lack of clarity </w:t>
      </w:r>
      <w:r w:rsidR="00435AB2" w:rsidRPr="00AF620E">
        <w:rPr>
          <w:rFonts w:ascii="Times New Roman" w:eastAsia="Times New Roman" w:hAnsi="Times New Roman" w:cs="Times New Roman"/>
          <w:lang w:eastAsia="x-none"/>
        </w:rPr>
        <w:t xml:space="preserve">in existing national legislations </w:t>
      </w:r>
      <w:r w:rsidR="004C0AFC" w:rsidRPr="00AF620E">
        <w:rPr>
          <w:rFonts w:ascii="Times New Roman" w:eastAsia="Times New Roman" w:hAnsi="Times New Roman" w:cs="Times New Roman"/>
          <w:lang w:eastAsia="x-none"/>
        </w:rPr>
        <w:t xml:space="preserve">on the institutional responsibilities for </w:t>
      </w:r>
      <w:r w:rsidR="00435AB2" w:rsidRPr="00AF620E">
        <w:rPr>
          <w:rFonts w:ascii="Times New Roman" w:eastAsia="Times New Roman" w:hAnsi="Times New Roman" w:cs="Times New Roman"/>
          <w:lang w:eastAsia="x-none"/>
        </w:rPr>
        <w:t>implementing and managing long term physical displacements</w:t>
      </w:r>
      <w:r w:rsidR="003973B1" w:rsidRPr="00AF620E">
        <w:rPr>
          <w:rFonts w:ascii="Times New Roman" w:eastAsia="Times New Roman" w:hAnsi="Times New Roman" w:cs="Times New Roman"/>
          <w:lang w:eastAsia="x-none"/>
        </w:rPr>
        <w:t xml:space="preserve"> resulting from infrastructure development, except for resettlement resulting from mining activities</w:t>
      </w:r>
      <w:r w:rsidR="00435AB2" w:rsidRPr="00AF620E">
        <w:rPr>
          <w:rFonts w:ascii="Times New Roman" w:eastAsia="Times New Roman" w:hAnsi="Times New Roman" w:cs="Times New Roman"/>
          <w:lang w:eastAsia="x-none"/>
        </w:rPr>
        <w:t xml:space="preserve">. </w:t>
      </w:r>
      <w:r w:rsidR="00C1352D" w:rsidRPr="00AF620E">
        <w:rPr>
          <w:rFonts w:ascii="Times New Roman" w:eastAsia="Times New Roman" w:hAnsi="Times New Roman" w:cs="Times New Roman"/>
          <w:lang w:eastAsia="x-none"/>
        </w:rPr>
        <w:t xml:space="preserve"> To address this the Program will propose</w:t>
      </w:r>
      <w:r w:rsidR="00794B82" w:rsidRPr="00AF620E">
        <w:rPr>
          <w:rFonts w:ascii="Times New Roman" w:eastAsia="Times New Roman" w:hAnsi="Times New Roman" w:cs="Times New Roman"/>
          <w:lang w:eastAsia="x-none"/>
        </w:rPr>
        <w:t xml:space="preserve"> measures such as increased awareness and capacity building among designated safeguards staff under the MLGRD and the participating MMAs and the EPA and the LVD to enhance their capacity to expeditiously handle resettlement issues.</w:t>
      </w:r>
      <w:r w:rsidR="008E0AD1" w:rsidRPr="00AF620E">
        <w:rPr>
          <w:rFonts w:ascii="Times New Roman" w:eastAsia="Times New Roman" w:hAnsi="Times New Roman" w:cs="Times New Roman"/>
          <w:lang w:eastAsia="x-none"/>
        </w:rPr>
        <w:t xml:space="preserve"> Developing protocols for collaboration and cooperation will also be supported by the Program. </w:t>
      </w:r>
    </w:p>
    <w:p w14:paraId="5D095D55" w14:textId="77777777" w:rsidR="001E4056" w:rsidRDefault="000822D5" w:rsidP="00CA0715">
      <w:pPr>
        <w:spacing w:before="120" w:after="120" w:line="240" w:lineRule="auto"/>
        <w:jc w:val="both"/>
        <w:rPr>
          <w:rFonts w:ascii="Times New Roman" w:eastAsia="Times New Roman" w:hAnsi="Times New Roman" w:cs="Times New Roman"/>
          <w:lang w:eastAsia="x-none"/>
        </w:rPr>
      </w:pPr>
      <w:r w:rsidRPr="00AF620E">
        <w:rPr>
          <w:rFonts w:ascii="Times New Roman" w:eastAsia="Times New Roman" w:hAnsi="Times New Roman" w:cs="Times New Roman"/>
          <w:b/>
          <w:i/>
          <w:lang w:eastAsia="x-none"/>
        </w:rPr>
        <w:t>Risks associated with voluntary land donations</w:t>
      </w:r>
      <w:r w:rsidRPr="00AF620E">
        <w:rPr>
          <w:rFonts w:ascii="Times New Roman" w:eastAsia="Times New Roman" w:hAnsi="Times New Roman" w:cs="Times New Roman"/>
          <w:lang w:eastAsia="x-none"/>
        </w:rPr>
        <w:t xml:space="preserve">. </w:t>
      </w:r>
      <w:r w:rsidR="003E71E3" w:rsidRPr="00AF620E">
        <w:rPr>
          <w:rFonts w:ascii="Times New Roman" w:eastAsia="Times New Roman" w:hAnsi="Times New Roman" w:cs="Times New Roman"/>
          <w:lang w:eastAsia="x-none"/>
        </w:rPr>
        <w:t xml:space="preserve"> </w:t>
      </w:r>
      <w:r w:rsidR="00BA63F4" w:rsidRPr="00AF620E">
        <w:rPr>
          <w:rFonts w:ascii="Times New Roman" w:eastAsia="Times New Roman" w:hAnsi="Times New Roman" w:cs="Times New Roman"/>
          <w:lang w:eastAsia="x-none"/>
        </w:rPr>
        <w:t>Under the LGCSP b</w:t>
      </w:r>
      <w:r w:rsidR="003E71E3" w:rsidRPr="00AF620E">
        <w:rPr>
          <w:rFonts w:ascii="Times New Roman" w:eastAsia="Times New Roman" w:hAnsi="Times New Roman" w:cs="Times New Roman"/>
          <w:lang w:eastAsia="x-none"/>
        </w:rPr>
        <w:t xml:space="preserve">eneficiary </w:t>
      </w:r>
      <w:r w:rsidR="00BA63F4" w:rsidRPr="00AF620E">
        <w:rPr>
          <w:rFonts w:ascii="Times New Roman" w:eastAsia="Times New Roman" w:hAnsi="Times New Roman" w:cs="Times New Roman"/>
          <w:lang w:eastAsia="x-none"/>
        </w:rPr>
        <w:t>c</w:t>
      </w:r>
      <w:r w:rsidR="003E71E3" w:rsidRPr="00AF620E">
        <w:rPr>
          <w:rFonts w:ascii="Times New Roman" w:eastAsia="Times New Roman" w:hAnsi="Times New Roman" w:cs="Times New Roman"/>
          <w:lang w:eastAsia="x-none"/>
        </w:rPr>
        <w:t xml:space="preserve">ommunities in their bid to attract more support for infrastructure development such as commercial markets, clinics and community centers have offered to donate land freely to the MMAs. </w:t>
      </w:r>
      <w:r w:rsidR="000328DB" w:rsidRPr="00AF620E">
        <w:rPr>
          <w:rFonts w:ascii="Times New Roman" w:eastAsia="Times New Roman" w:hAnsi="Times New Roman" w:cs="Times New Roman"/>
          <w:lang w:eastAsia="x-none"/>
        </w:rPr>
        <w:t xml:space="preserve">Although </w:t>
      </w:r>
      <w:r w:rsidR="00C24F12" w:rsidRPr="00AF620E">
        <w:rPr>
          <w:rFonts w:ascii="Times New Roman" w:eastAsia="Times New Roman" w:hAnsi="Times New Roman" w:cs="Times New Roman"/>
          <w:lang w:eastAsia="x-none"/>
        </w:rPr>
        <w:t>these donations</w:t>
      </w:r>
      <w:r w:rsidR="000328DB" w:rsidRPr="00AF620E">
        <w:rPr>
          <w:rFonts w:ascii="Times New Roman" w:eastAsia="Times New Roman" w:hAnsi="Times New Roman" w:cs="Times New Roman"/>
          <w:lang w:eastAsia="x-none"/>
        </w:rPr>
        <w:t xml:space="preserve"> may be done in good faith they are often not </w:t>
      </w:r>
      <w:r w:rsidR="003E71E3" w:rsidRPr="00AF620E">
        <w:rPr>
          <w:rFonts w:ascii="Times New Roman" w:eastAsia="Times New Roman" w:hAnsi="Times New Roman" w:cs="Times New Roman"/>
          <w:lang w:eastAsia="x-none"/>
        </w:rPr>
        <w:t>accompanied by evidence of consultations and Memorandum of Understanding (MoU) amongst community members and the MMAs. Land is an intergenerational property</w:t>
      </w:r>
      <w:r w:rsidR="000328DB" w:rsidRPr="00AF620E">
        <w:rPr>
          <w:rFonts w:ascii="Times New Roman" w:eastAsia="Times New Roman" w:hAnsi="Times New Roman" w:cs="Times New Roman"/>
          <w:lang w:eastAsia="x-none"/>
        </w:rPr>
        <w:t xml:space="preserve"> and</w:t>
      </w:r>
      <w:r w:rsidR="00BA63F4" w:rsidRPr="00AF620E">
        <w:rPr>
          <w:rFonts w:ascii="Times New Roman" w:eastAsia="Times New Roman" w:hAnsi="Times New Roman" w:cs="Times New Roman"/>
          <w:lang w:eastAsia="x-none"/>
        </w:rPr>
        <w:t xml:space="preserve"> tenure in Ghana is regulated under a pluralistic regime, which combin</w:t>
      </w:r>
      <w:r w:rsidR="000328DB" w:rsidRPr="00AF620E">
        <w:rPr>
          <w:rFonts w:ascii="Times New Roman" w:eastAsia="Times New Roman" w:hAnsi="Times New Roman" w:cs="Times New Roman"/>
          <w:lang w:eastAsia="x-none"/>
        </w:rPr>
        <w:t xml:space="preserve">es both statutory and customary practices. It is therefore </w:t>
      </w:r>
      <w:r w:rsidR="00BA63F4" w:rsidRPr="00AF620E">
        <w:rPr>
          <w:rFonts w:ascii="Times New Roman" w:eastAsia="Times New Roman" w:hAnsi="Times New Roman" w:cs="Times New Roman"/>
          <w:lang w:eastAsia="x-none"/>
        </w:rPr>
        <w:t xml:space="preserve">important that such transfers are well documented to protect the investment of </w:t>
      </w:r>
      <w:r w:rsidR="000328DB" w:rsidRPr="00AF620E">
        <w:rPr>
          <w:rFonts w:ascii="Times New Roman" w:eastAsia="Times New Roman" w:hAnsi="Times New Roman" w:cs="Times New Roman"/>
          <w:lang w:eastAsia="x-none"/>
        </w:rPr>
        <w:t xml:space="preserve">public funds. The Program will not preclude the acceptance and the subsequent use of funds on land donated by beneficiary communities, however, due diligence will be required in the assessment of such land donations. The Program will provide measures to ensure that safeguards officers at the MMAs have the capacity to conduct appropriate assessments to ensure that </w:t>
      </w:r>
      <w:r w:rsidR="00C24F12" w:rsidRPr="00AF620E">
        <w:rPr>
          <w:rFonts w:ascii="Times New Roman" w:eastAsia="Times New Roman" w:hAnsi="Times New Roman" w:cs="Times New Roman"/>
          <w:lang w:eastAsia="x-none"/>
        </w:rPr>
        <w:t xml:space="preserve">such beneficiary </w:t>
      </w:r>
      <w:r w:rsidR="000328DB" w:rsidRPr="00AF620E">
        <w:rPr>
          <w:rFonts w:ascii="Times New Roman" w:eastAsia="Times New Roman" w:hAnsi="Times New Roman" w:cs="Times New Roman"/>
          <w:lang w:eastAsia="x-none"/>
        </w:rPr>
        <w:t>communit</w:t>
      </w:r>
      <w:r w:rsidR="00C24F12" w:rsidRPr="00AF620E">
        <w:rPr>
          <w:rFonts w:ascii="Times New Roman" w:eastAsia="Times New Roman" w:hAnsi="Times New Roman" w:cs="Times New Roman"/>
          <w:lang w:eastAsia="x-none"/>
        </w:rPr>
        <w:t>ies have</w:t>
      </w:r>
      <w:r w:rsidR="000328DB" w:rsidRPr="00AF620E">
        <w:rPr>
          <w:rFonts w:ascii="Times New Roman" w:eastAsia="Times New Roman" w:hAnsi="Times New Roman" w:cs="Times New Roman"/>
          <w:lang w:eastAsia="x-none"/>
        </w:rPr>
        <w:t xml:space="preserve"> adequate land to support livelihoods of its members</w:t>
      </w:r>
      <w:r w:rsidR="00C24F12" w:rsidRPr="00AF620E">
        <w:rPr>
          <w:rFonts w:ascii="Times New Roman" w:eastAsia="Times New Roman" w:hAnsi="Times New Roman" w:cs="Times New Roman"/>
          <w:lang w:eastAsia="x-none"/>
        </w:rPr>
        <w:t xml:space="preserve"> after any such donations</w:t>
      </w:r>
      <w:r w:rsidR="000328DB" w:rsidRPr="00AF620E">
        <w:rPr>
          <w:rFonts w:ascii="Times New Roman" w:eastAsia="Times New Roman" w:hAnsi="Times New Roman" w:cs="Times New Roman"/>
          <w:lang w:eastAsia="x-none"/>
        </w:rPr>
        <w:t>.</w:t>
      </w:r>
    </w:p>
    <w:p w14:paraId="608F6AC1" w14:textId="15118AE0" w:rsidR="00484758" w:rsidRPr="00AF620E" w:rsidRDefault="00435AB2" w:rsidP="00CA0715">
      <w:pPr>
        <w:spacing w:before="120" w:after="120" w:line="240" w:lineRule="auto"/>
        <w:jc w:val="both"/>
        <w:rPr>
          <w:rFonts w:ascii="Times New Roman" w:eastAsia="Times New Roman" w:hAnsi="Times New Roman" w:cs="Times New Roman"/>
          <w:lang w:eastAsia="x-none"/>
        </w:rPr>
      </w:pPr>
      <w:r w:rsidRPr="00AF620E">
        <w:rPr>
          <w:rFonts w:ascii="Times New Roman" w:eastAsia="Calibri" w:hAnsi="Times New Roman" w:cs="Times New Roman"/>
          <w:b/>
          <w:i/>
        </w:rPr>
        <w:t>Potential risks associated with labor influx and child labor</w:t>
      </w:r>
      <w:r w:rsidRPr="00AF620E">
        <w:rPr>
          <w:rFonts w:ascii="Times New Roman" w:eastAsia="Calibri" w:hAnsi="Times New Roman" w:cs="Times New Roman"/>
        </w:rPr>
        <w:t>. O</w:t>
      </w:r>
      <w:r w:rsidR="00484758" w:rsidRPr="00AF620E">
        <w:rPr>
          <w:rFonts w:ascii="Times New Roman" w:eastAsia="Times New Roman" w:hAnsi="Times New Roman" w:cs="Times New Roman"/>
          <w:lang w:val="x-none" w:eastAsia="x-none"/>
        </w:rPr>
        <w:t xml:space="preserve">ne of the major objectives of the Program is to create job opportunities to significant number of unskilled and semi-skilled laborers within the </w:t>
      </w:r>
      <w:r w:rsidR="00484758" w:rsidRPr="00AF620E">
        <w:rPr>
          <w:rFonts w:ascii="Times New Roman" w:eastAsia="Times New Roman" w:hAnsi="Times New Roman" w:cs="Times New Roman"/>
          <w:lang w:eastAsia="x-none"/>
        </w:rPr>
        <w:t xml:space="preserve">locality in </w:t>
      </w:r>
      <w:r w:rsidR="00484758" w:rsidRPr="00AF620E">
        <w:rPr>
          <w:rFonts w:ascii="Times New Roman" w:eastAsia="Times New Roman" w:hAnsi="Times New Roman" w:cs="Times New Roman"/>
          <w:lang w:val="x-none" w:eastAsia="x-none"/>
        </w:rPr>
        <w:t>urban areas.</w:t>
      </w:r>
      <w:r w:rsidR="00484758" w:rsidRPr="00AF620E">
        <w:rPr>
          <w:rFonts w:ascii="Times New Roman" w:eastAsia="Times New Roman" w:hAnsi="Times New Roman" w:cs="Times New Roman"/>
          <w:lang w:eastAsia="x-none"/>
        </w:rPr>
        <w:t xml:space="preserve"> From </w:t>
      </w:r>
      <w:r w:rsidR="000469B7" w:rsidRPr="00AF620E">
        <w:rPr>
          <w:rFonts w:ascii="Times New Roman" w:eastAsia="Times New Roman" w:hAnsi="Times New Roman" w:cs="Times New Roman"/>
          <w:lang w:eastAsia="x-none"/>
        </w:rPr>
        <w:t xml:space="preserve">LGCSP experience, </w:t>
      </w:r>
      <w:r w:rsidR="00484758" w:rsidRPr="00AF620E">
        <w:rPr>
          <w:rFonts w:ascii="Times New Roman" w:eastAsia="Times New Roman" w:hAnsi="Times New Roman" w:cs="Times New Roman"/>
          <w:lang w:eastAsia="x-none"/>
        </w:rPr>
        <w:t xml:space="preserve">labor influx </w:t>
      </w:r>
      <w:r w:rsidR="000469B7" w:rsidRPr="00AF620E">
        <w:rPr>
          <w:rFonts w:ascii="Times New Roman" w:eastAsia="Times New Roman" w:hAnsi="Times New Roman" w:cs="Times New Roman"/>
          <w:lang w:eastAsia="x-none"/>
        </w:rPr>
        <w:t>is deemed largely insignificant though in a very few cases there were a few contractors who brought in more workers from outside due to misbehavior of some locals such as going home early before dismissal time or not reporting back to work after lunch.</w:t>
      </w:r>
      <w:r w:rsidR="00484758" w:rsidRPr="00AF620E">
        <w:rPr>
          <w:rFonts w:ascii="Times New Roman" w:eastAsia="Times New Roman" w:hAnsi="Times New Roman" w:cs="Times New Roman"/>
          <w:lang w:eastAsia="x-none"/>
        </w:rPr>
        <w:t xml:space="preserve"> </w:t>
      </w:r>
      <w:r w:rsidRPr="00AF620E">
        <w:rPr>
          <w:rFonts w:ascii="Times New Roman" w:eastAsia="Times New Roman" w:hAnsi="Times New Roman" w:cs="Times New Roman"/>
          <w:lang w:eastAsia="x-none"/>
        </w:rPr>
        <w:t>However, d</w:t>
      </w:r>
      <w:r w:rsidRPr="00AF620E">
        <w:rPr>
          <w:rFonts w:ascii="Times New Roman" w:eastAsia="Times New Roman" w:hAnsi="Times New Roman" w:cs="Times New Roman"/>
          <w:bCs/>
        </w:rPr>
        <w:t>ue to the relative small scale of subprojects and the location of subprojects in u</w:t>
      </w:r>
      <w:r w:rsidR="00A118A0" w:rsidRPr="00AF620E">
        <w:rPr>
          <w:rFonts w:ascii="Times New Roman" w:eastAsia="Times New Roman" w:hAnsi="Times New Roman" w:cs="Times New Roman"/>
          <w:bCs/>
        </w:rPr>
        <w:t>rban areas with a substantial</w:t>
      </w:r>
      <w:r w:rsidRPr="00AF620E">
        <w:rPr>
          <w:rFonts w:ascii="Times New Roman" w:eastAsia="Times New Roman" w:hAnsi="Times New Roman" w:cs="Times New Roman"/>
          <w:bCs/>
        </w:rPr>
        <w:t xml:space="preserve"> pool of labor</w:t>
      </w:r>
      <w:r w:rsidR="00A118A0" w:rsidRPr="00AF620E">
        <w:rPr>
          <w:rFonts w:ascii="Times New Roman" w:eastAsia="Times New Roman" w:hAnsi="Times New Roman" w:cs="Times New Roman"/>
          <w:bCs/>
        </w:rPr>
        <w:t xml:space="preserve"> often available</w:t>
      </w:r>
      <w:r w:rsidRPr="00AF620E">
        <w:rPr>
          <w:rFonts w:ascii="Times New Roman" w:eastAsia="Times New Roman" w:hAnsi="Times New Roman" w:cs="Times New Roman"/>
          <w:bCs/>
        </w:rPr>
        <w:t xml:space="preserve">, it is not expected that the </w:t>
      </w:r>
      <w:r w:rsidR="00A118A0" w:rsidRPr="00AF620E">
        <w:rPr>
          <w:rFonts w:ascii="Times New Roman" w:eastAsia="Times New Roman" w:hAnsi="Times New Roman" w:cs="Times New Roman"/>
          <w:bCs/>
        </w:rPr>
        <w:t>Program</w:t>
      </w:r>
      <w:r w:rsidRPr="00AF620E">
        <w:rPr>
          <w:rFonts w:ascii="Times New Roman" w:eastAsia="Times New Roman" w:hAnsi="Times New Roman" w:cs="Times New Roman"/>
          <w:bCs/>
        </w:rPr>
        <w:t xml:space="preserve"> will induce an influx of</w:t>
      </w:r>
      <w:r w:rsidR="00A118A0" w:rsidRPr="00AF620E">
        <w:rPr>
          <w:rFonts w:ascii="Times New Roman" w:eastAsia="Times New Roman" w:hAnsi="Times New Roman" w:cs="Times New Roman"/>
          <w:bCs/>
        </w:rPr>
        <w:t xml:space="preserve"> </w:t>
      </w:r>
      <w:r w:rsidRPr="00AF620E">
        <w:rPr>
          <w:rFonts w:ascii="Times New Roman" w:eastAsia="Times New Roman" w:hAnsi="Times New Roman" w:cs="Times New Roman"/>
          <w:bCs/>
        </w:rPr>
        <w:t xml:space="preserve">workers from outside the </w:t>
      </w:r>
      <w:r w:rsidR="00A118A0" w:rsidRPr="00AF620E">
        <w:rPr>
          <w:rFonts w:ascii="Times New Roman" w:eastAsia="Times New Roman" w:hAnsi="Times New Roman" w:cs="Times New Roman"/>
          <w:bCs/>
        </w:rPr>
        <w:t xml:space="preserve">impact </w:t>
      </w:r>
      <w:r w:rsidRPr="00AF620E">
        <w:rPr>
          <w:rFonts w:ascii="Times New Roman" w:eastAsia="Times New Roman" w:hAnsi="Times New Roman" w:cs="Times New Roman"/>
          <w:bCs/>
        </w:rPr>
        <w:t>communit</w:t>
      </w:r>
      <w:r w:rsidR="00A118A0" w:rsidRPr="00AF620E">
        <w:rPr>
          <w:rFonts w:ascii="Times New Roman" w:eastAsia="Times New Roman" w:hAnsi="Times New Roman" w:cs="Times New Roman"/>
          <w:bCs/>
        </w:rPr>
        <w:t>ies</w:t>
      </w:r>
      <w:r w:rsidR="00A118A0" w:rsidRPr="00AF620E">
        <w:rPr>
          <w:rFonts w:ascii="Times New Roman" w:eastAsia="Times New Roman" w:hAnsi="Times New Roman" w:cs="Times New Roman"/>
          <w:lang w:eastAsia="x-none"/>
        </w:rPr>
        <w:t>. A</w:t>
      </w:r>
      <w:r w:rsidR="000469B7" w:rsidRPr="00AF620E">
        <w:rPr>
          <w:rFonts w:ascii="Times New Roman" w:eastAsia="Times New Roman" w:hAnsi="Times New Roman" w:cs="Times New Roman"/>
          <w:lang w:eastAsia="x-none"/>
        </w:rPr>
        <w:t xml:space="preserve">s much as possible, MMAs </w:t>
      </w:r>
      <w:r w:rsidR="009C1DC5" w:rsidRPr="00AF620E">
        <w:rPr>
          <w:rFonts w:ascii="Times New Roman" w:eastAsia="Times New Roman" w:hAnsi="Times New Roman" w:cs="Times New Roman"/>
          <w:lang w:eastAsia="x-none"/>
        </w:rPr>
        <w:t xml:space="preserve">would require contractors to </w:t>
      </w:r>
      <w:r w:rsidR="00484758" w:rsidRPr="00AF620E">
        <w:rPr>
          <w:rFonts w:ascii="Times New Roman" w:eastAsia="Times New Roman" w:hAnsi="Times New Roman" w:cs="Times New Roman"/>
          <w:lang w:eastAsia="x-none"/>
        </w:rPr>
        <w:t xml:space="preserve">use local labor </w:t>
      </w:r>
      <w:r w:rsidR="009C1DC5" w:rsidRPr="00AF620E">
        <w:rPr>
          <w:rFonts w:ascii="Times New Roman" w:eastAsia="Times New Roman" w:hAnsi="Times New Roman" w:cs="Times New Roman"/>
          <w:lang w:eastAsia="x-none"/>
        </w:rPr>
        <w:t>to</w:t>
      </w:r>
      <w:r w:rsidR="00484758" w:rsidRPr="00AF620E">
        <w:rPr>
          <w:rFonts w:ascii="Times New Roman" w:eastAsia="Times New Roman" w:hAnsi="Times New Roman" w:cs="Times New Roman"/>
          <w:lang w:eastAsia="x-none"/>
        </w:rPr>
        <w:t xml:space="preserve"> creat</w:t>
      </w:r>
      <w:r w:rsidR="009C1DC5" w:rsidRPr="00AF620E">
        <w:rPr>
          <w:rFonts w:ascii="Times New Roman" w:eastAsia="Times New Roman" w:hAnsi="Times New Roman" w:cs="Times New Roman"/>
          <w:lang w:eastAsia="x-none"/>
        </w:rPr>
        <w:t>e employment and j</w:t>
      </w:r>
      <w:r w:rsidR="00484758" w:rsidRPr="00AF620E">
        <w:rPr>
          <w:rFonts w:ascii="Times New Roman" w:eastAsia="Times New Roman" w:hAnsi="Times New Roman" w:cs="Times New Roman"/>
          <w:lang w:eastAsia="x-none"/>
        </w:rPr>
        <w:t>ob opportunity to the locals</w:t>
      </w:r>
      <w:r w:rsidR="009C1DC5" w:rsidRPr="00AF620E">
        <w:rPr>
          <w:rFonts w:ascii="Times New Roman" w:eastAsia="Times New Roman" w:hAnsi="Times New Roman" w:cs="Times New Roman"/>
          <w:lang w:eastAsia="x-none"/>
        </w:rPr>
        <w:t>.</w:t>
      </w:r>
      <w:r w:rsidR="00A118A0" w:rsidRPr="00AF620E">
        <w:rPr>
          <w:rFonts w:ascii="Times New Roman" w:eastAsia="Times New Roman" w:hAnsi="Times New Roman" w:cs="Times New Roman"/>
          <w:lang w:eastAsia="x-none"/>
        </w:rPr>
        <w:t xml:space="preserve"> This is important to avert potential social tensions between hos</w:t>
      </w:r>
      <w:r w:rsidR="008E0AD1" w:rsidRPr="00AF620E">
        <w:rPr>
          <w:rFonts w:ascii="Times New Roman" w:eastAsia="Times New Roman" w:hAnsi="Times New Roman" w:cs="Times New Roman"/>
          <w:lang w:eastAsia="x-none"/>
        </w:rPr>
        <w:t>t</w:t>
      </w:r>
      <w:r w:rsidR="00A118A0" w:rsidRPr="00AF620E">
        <w:rPr>
          <w:rFonts w:ascii="Times New Roman" w:eastAsia="Times New Roman" w:hAnsi="Times New Roman" w:cs="Times New Roman"/>
          <w:lang w:eastAsia="x-none"/>
        </w:rPr>
        <w:t xml:space="preserve"> communities and contractors and also the potential for other increasingly prominent social risks that the </w:t>
      </w:r>
      <w:r w:rsidR="008E0AD1" w:rsidRPr="00AF620E">
        <w:rPr>
          <w:rFonts w:ascii="Times New Roman" w:eastAsia="Times New Roman" w:hAnsi="Times New Roman" w:cs="Times New Roman"/>
          <w:lang w:eastAsia="x-none"/>
        </w:rPr>
        <w:t>B</w:t>
      </w:r>
      <w:r w:rsidR="00A118A0" w:rsidRPr="00AF620E">
        <w:rPr>
          <w:rFonts w:ascii="Times New Roman" w:eastAsia="Times New Roman" w:hAnsi="Times New Roman" w:cs="Times New Roman"/>
          <w:lang w:eastAsia="x-none"/>
        </w:rPr>
        <w:t>ank</w:t>
      </w:r>
      <w:r w:rsidR="008E0AD1" w:rsidRPr="00AF620E">
        <w:rPr>
          <w:rFonts w:ascii="Times New Roman" w:eastAsia="Times New Roman" w:hAnsi="Times New Roman" w:cs="Times New Roman"/>
          <w:lang w:eastAsia="x-none"/>
        </w:rPr>
        <w:t xml:space="preserve"> and clients</w:t>
      </w:r>
      <w:r w:rsidR="00A118A0" w:rsidRPr="00AF620E">
        <w:rPr>
          <w:rFonts w:ascii="Times New Roman" w:eastAsia="Times New Roman" w:hAnsi="Times New Roman" w:cs="Times New Roman"/>
          <w:lang w:eastAsia="x-none"/>
        </w:rPr>
        <w:t xml:space="preserve"> ha</w:t>
      </w:r>
      <w:r w:rsidR="008E0AD1" w:rsidRPr="00AF620E">
        <w:rPr>
          <w:rFonts w:ascii="Times New Roman" w:eastAsia="Times New Roman" w:hAnsi="Times New Roman" w:cs="Times New Roman"/>
          <w:lang w:eastAsia="x-none"/>
        </w:rPr>
        <w:t>ve</w:t>
      </w:r>
      <w:r w:rsidR="00A118A0" w:rsidRPr="00AF620E">
        <w:rPr>
          <w:rFonts w:ascii="Times New Roman" w:eastAsia="Times New Roman" w:hAnsi="Times New Roman" w:cs="Times New Roman"/>
          <w:lang w:eastAsia="x-none"/>
        </w:rPr>
        <w:t xml:space="preserve"> had to deal with such as Gender-Based Violence (GBV), under-age commercial sex resulting in HIV/AIDS and other sexually transmitted diseases.</w:t>
      </w:r>
      <w:r w:rsidR="009C1DC5" w:rsidRPr="00AF620E">
        <w:rPr>
          <w:rFonts w:ascii="Times New Roman" w:eastAsia="Times New Roman" w:hAnsi="Times New Roman" w:cs="Times New Roman"/>
          <w:lang w:eastAsia="x-none"/>
        </w:rPr>
        <w:t xml:space="preserve"> </w:t>
      </w:r>
      <w:r w:rsidR="00484758" w:rsidRPr="00AF620E">
        <w:rPr>
          <w:rFonts w:ascii="Times New Roman" w:eastAsia="Times New Roman" w:hAnsi="Times New Roman" w:cs="Times New Roman"/>
          <w:lang w:eastAsia="x-none"/>
        </w:rPr>
        <w:t>On the other hand,</w:t>
      </w:r>
      <w:r w:rsidR="00484758" w:rsidRPr="00AF620E">
        <w:rPr>
          <w:rFonts w:ascii="Times New Roman" w:eastAsia="Times New Roman" w:hAnsi="Times New Roman" w:cs="Times New Roman"/>
          <w:lang w:val="x-none" w:eastAsia="x-none"/>
        </w:rPr>
        <w:t xml:space="preserve"> job opportunities may signal young children to skip school in the hope of employment thus encourag</w:t>
      </w:r>
      <w:r w:rsidR="00A118A0" w:rsidRPr="00AF620E">
        <w:rPr>
          <w:rFonts w:ascii="Times New Roman" w:eastAsia="Times New Roman" w:hAnsi="Times New Roman" w:cs="Times New Roman"/>
          <w:lang w:eastAsia="x-none"/>
        </w:rPr>
        <w:t>ing</w:t>
      </w:r>
      <w:r w:rsidR="00484758" w:rsidRPr="00AF620E">
        <w:rPr>
          <w:rFonts w:ascii="Times New Roman" w:eastAsia="Times New Roman" w:hAnsi="Times New Roman" w:cs="Times New Roman"/>
          <w:lang w:val="x-none" w:eastAsia="x-none"/>
        </w:rPr>
        <w:t xml:space="preserve"> child labor</w:t>
      </w:r>
      <w:r w:rsidR="00484758" w:rsidRPr="00AF620E">
        <w:rPr>
          <w:rFonts w:ascii="Times New Roman" w:eastAsia="Times New Roman" w:hAnsi="Times New Roman" w:cs="Times New Roman"/>
          <w:lang w:eastAsia="x-none"/>
        </w:rPr>
        <w:t xml:space="preserve"> if not managed well.</w:t>
      </w:r>
      <w:r w:rsidR="00484758" w:rsidRPr="00AF620E">
        <w:rPr>
          <w:rFonts w:ascii="Times New Roman" w:eastAsia="Times New Roman" w:hAnsi="Times New Roman" w:cs="Times New Roman"/>
          <w:lang w:val="x-none" w:eastAsia="x-none"/>
        </w:rPr>
        <w:t xml:space="preserve"> </w:t>
      </w:r>
      <w:r w:rsidR="00484758" w:rsidRPr="00AF620E">
        <w:rPr>
          <w:rFonts w:ascii="Times New Roman" w:eastAsia="Times New Roman" w:hAnsi="Times New Roman" w:cs="Times New Roman"/>
          <w:lang w:eastAsia="x-none"/>
        </w:rPr>
        <w:t xml:space="preserve"> </w:t>
      </w:r>
    </w:p>
    <w:p w14:paraId="2DA13EB0" w14:textId="4659DC5C" w:rsidR="00E65846" w:rsidRPr="00C3416F" w:rsidRDefault="008300D5" w:rsidP="006F431D">
      <w:pPr>
        <w:pStyle w:val="Heading2"/>
      </w:pPr>
      <w:r w:rsidRPr="005C121C">
        <w:rPr>
          <w:rFonts w:eastAsia="Times New Roman"/>
        </w:rPr>
        <w:br w:type="page"/>
      </w:r>
      <w:bookmarkStart w:id="32" w:name="_Toc508892821"/>
      <w:r w:rsidR="00106C64" w:rsidRPr="005C121C">
        <w:t>Section IV</w:t>
      </w:r>
      <w:r w:rsidR="00E65846" w:rsidRPr="005C121C">
        <w:t>: Description of Program Environmental and Social Management System</w:t>
      </w:r>
      <w:bookmarkEnd w:id="32"/>
    </w:p>
    <w:p w14:paraId="70C0E926" w14:textId="7EE5F3BD" w:rsidR="00FC1478" w:rsidRPr="00B1688C" w:rsidRDefault="00390C91" w:rsidP="006F431D">
      <w:pPr>
        <w:pStyle w:val="Heading2"/>
        <w:rPr>
          <w:rStyle w:val="Heading21"/>
          <w:b/>
          <w:sz w:val="28"/>
        </w:rPr>
      </w:pPr>
      <w:bookmarkStart w:id="33" w:name="_Toc508892822"/>
      <w:r w:rsidRPr="00B1688C">
        <w:rPr>
          <w:rStyle w:val="Heading21"/>
          <w:b/>
          <w:sz w:val="28"/>
        </w:rPr>
        <w:t xml:space="preserve">4.1 </w:t>
      </w:r>
      <w:r w:rsidR="00C81FAC" w:rsidRPr="00B1688C">
        <w:rPr>
          <w:rStyle w:val="Heading21"/>
          <w:b/>
          <w:sz w:val="28"/>
        </w:rPr>
        <w:t>Legislative and Regulatory Framework</w:t>
      </w:r>
      <w:bookmarkEnd w:id="33"/>
    </w:p>
    <w:p w14:paraId="14442F31" w14:textId="60268942" w:rsidR="00C16880" w:rsidRPr="009654C2" w:rsidRDefault="00390C91" w:rsidP="006F431D">
      <w:pPr>
        <w:pStyle w:val="Heading2"/>
      </w:pPr>
      <w:bookmarkStart w:id="34" w:name="_Toc508892823"/>
      <w:r>
        <w:t xml:space="preserve">4.1.1 </w:t>
      </w:r>
      <w:r w:rsidR="00C16880" w:rsidRPr="009654C2">
        <w:t>Environmental Assessment</w:t>
      </w:r>
      <w:r w:rsidR="00C16880" w:rsidRPr="009654C2">
        <w:rPr>
          <w:rStyle w:val="FootnoteReference"/>
          <w:rFonts w:ascii="Times New Roman" w:hAnsi="Times New Roman"/>
          <w:iCs/>
          <w:color w:val="000000" w:themeColor="text1"/>
          <w:sz w:val="22"/>
          <w:szCs w:val="22"/>
        </w:rPr>
        <w:footnoteReference w:id="26"/>
      </w:r>
      <w:bookmarkEnd w:id="34"/>
    </w:p>
    <w:p w14:paraId="0FB66C30" w14:textId="2DCD2F07" w:rsidR="00C16880" w:rsidRPr="009654C2" w:rsidRDefault="00C16880" w:rsidP="00CA0715">
      <w:pPr>
        <w:pStyle w:val="ListParagraph"/>
        <w:numPr>
          <w:ilvl w:val="0"/>
          <w:numId w:val="40"/>
        </w:numPr>
        <w:autoSpaceDE w:val="0"/>
        <w:autoSpaceDN w:val="0"/>
        <w:adjustRightInd w:val="0"/>
        <w:spacing w:before="120" w:after="120" w:line="240" w:lineRule="auto"/>
        <w:jc w:val="both"/>
        <w:rPr>
          <w:rFonts w:ascii="Times New Roman" w:hAnsi="Times New Roman" w:cs="Times New Roman"/>
          <w:iCs/>
          <w:color w:val="000000" w:themeColor="text1"/>
        </w:rPr>
      </w:pPr>
      <w:r w:rsidRPr="009654C2">
        <w:rPr>
          <w:rFonts w:ascii="Times New Roman" w:hAnsi="Times New Roman" w:cs="Times New Roman"/>
          <w:b/>
          <w:iCs/>
          <w:color w:val="000000" w:themeColor="text1"/>
        </w:rPr>
        <w:t>Legislation</w:t>
      </w:r>
      <w:r w:rsidRPr="009654C2">
        <w:rPr>
          <w:rFonts w:ascii="Times New Roman" w:hAnsi="Times New Roman" w:cs="Times New Roman"/>
          <w:iCs/>
          <w:color w:val="000000" w:themeColor="text1"/>
        </w:rPr>
        <w:t>. The Envi</w:t>
      </w:r>
      <w:r w:rsidR="00C152FE" w:rsidRPr="009654C2">
        <w:rPr>
          <w:rFonts w:ascii="Times New Roman" w:hAnsi="Times New Roman" w:cs="Times New Roman"/>
          <w:iCs/>
          <w:color w:val="000000" w:themeColor="text1"/>
        </w:rPr>
        <w:t>ronmental Protection Agency Act</w:t>
      </w:r>
      <w:r w:rsidRPr="009654C2">
        <w:rPr>
          <w:rFonts w:ascii="Times New Roman" w:hAnsi="Times New Roman" w:cs="Times New Roman"/>
          <w:iCs/>
          <w:color w:val="000000" w:themeColor="text1"/>
        </w:rPr>
        <w:t>, 1994 is the framework legislation for EA in Ghana. In its entirety, it defines requirements that will govern EA for the Program. Section 1 of the Act established the Environmental Protection Agency (EPA). Section 2 mandates the EPA, inter alia to:</w:t>
      </w:r>
      <w:r w:rsidR="00790606">
        <w:rPr>
          <w:rFonts w:ascii="Times New Roman" w:hAnsi="Times New Roman" w:cs="Times New Roman"/>
          <w:iCs/>
          <w:color w:val="000000" w:themeColor="text1"/>
        </w:rPr>
        <w:t xml:space="preserve"> </w:t>
      </w:r>
      <w:r w:rsidRPr="009654C2">
        <w:rPr>
          <w:rFonts w:ascii="Times New Roman" w:hAnsi="Times New Roman" w:cs="Times New Roman"/>
          <w:iCs/>
          <w:color w:val="000000" w:themeColor="text1"/>
        </w:rPr>
        <w:t>ssue environmental permits and pollution abatement notices for controlling the volume, types, constituents and effects of discharges, emissions, deposits or other sources of pollutants and of substances which are hazardous or potentially dangerous to the quality of the environment or any segment of the environment.</w:t>
      </w:r>
    </w:p>
    <w:p w14:paraId="7F240C90" w14:textId="3391E06F" w:rsidR="00C16880" w:rsidRPr="009654C2" w:rsidRDefault="00C16880" w:rsidP="00CA0715">
      <w:pPr>
        <w:pStyle w:val="ListParagraph"/>
        <w:numPr>
          <w:ilvl w:val="0"/>
          <w:numId w:val="40"/>
        </w:numPr>
        <w:autoSpaceDE w:val="0"/>
        <w:autoSpaceDN w:val="0"/>
        <w:adjustRightInd w:val="0"/>
        <w:spacing w:before="120" w:after="120" w:line="240" w:lineRule="auto"/>
        <w:jc w:val="both"/>
        <w:rPr>
          <w:rFonts w:ascii="Times New Roman" w:hAnsi="Times New Roman" w:cs="Times New Roman"/>
          <w:iCs/>
          <w:color w:val="000000" w:themeColor="text1"/>
        </w:rPr>
      </w:pPr>
      <w:r w:rsidRPr="009654C2">
        <w:rPr>
          <w:rFonts w:ascii="Times New Roman" w:hAnsi="Times New Roman" w:cs="Times New Roman"/>
          <w:iCs/>
          <w:color w:val="000000" w:themeColor="text1"/>
        </w:rPr>
        <w:t>Issue notice in the form of directives, procedures or warnings to such bodies as it may determine for the purpose of controlling the volume, intensity and quality of noise in the environment.</w:t>
      </w:r>
    </w:p>
    <w:p w14:paraId="7AA142D7" w14:textId="7E5BC156" w:rsidR="00C16880" w:rsidRPr="009654C2" w:rsidRDefault="00C16880" w:rsidP="00CA0715">
      <w:pPr>
        <w:pStyle w:val="ListParagraph"/>
        <w:numPr>
          <w:ilvl w:val="0"/>
          <w:numId w:val="40"/>
        </w:numPr>
        <w:autoSpaceDE w:val="0"/>
        <w:autoSpaceDN w:val="0"/>
        <w:adjustRightInd w:val="0"/>
        <w:spacing w:before="120" w:after="120" w:line="240" w:lineRule="auto"/>
        <w:jc w:val="both"/>
        <w:rPr>
          <w:rFonts w:ascii="Times New Roman" w:hAnsi="Times New Roman" w:cs="Times New Roman"/>
          <w:iCs/>
          <w:color w:val="000000" w:themeColor="text1"/>
        </w:rPr>
      </w:pPr>
      <w:r w:rsidRPr="009654C2">
        <w:rPr>
          <w:rFonts w:ascii="Times New Roman" w:hAnsi="Times New Roman" w:cs="Times New Roman"/>
          <w:iCs/>
          <w:color w:val="000000" w:themeColor="text1"/>
        </w:rPr>
        <w:t>Prescribe standards and guidelines relating to the pollution of air, water, land and other forms of environmental pollution, including the discharge of wastes and the control of toxic substances.</w:t>
      </w:r>
    </w:p>
    <w:p w14:paraId="44CDF6CA" w14:textId="2114F73B" w:rsidR="00C16880" w:rsidRPr="009654C2" w:rsidRDefault="00C16880" w:rsidP="00CA0715">
      <w:pPr>
        <w:pStyle w:val="ListParagraph"/>
        <w:numPr>
          <w:ilvl w:val="0"/>
          <w:numId w:val="40"/>
        </w:numPr>
        <w:autoSpaceDE w:val="0"/>
        <w:autoSpaceDN w:val="0"/>
        <w:adjustRightInd w:val="0"/>
        <w:spacing w:before="120" w:after="120" w:line="240" w:lineRule="auto"/>
        <w:jc w:val="both"/>
        <w:rPr>
          <w:rFonts w:ascii="Times New Roman" w:hAnsi="Times New Roman" w:cs="Times New Roman"/>
          <w:iCs/>
          <w:color w:val="000000" w:themeColor="text1"/>
        </w:rPr>
      </w:pPr>
      <w:r w:rsidRPr="009654C2">
        <w:rPr>
          <w:rFonts w:ascii="Times New Roman" w:hAnsi="Times New Roman" w:cs="Times New Roman"/>
          <w:iCs/>
          <w:color w:val="000000" w:themeColor="text1"/>
        </w:rPr>
        <w:t xml:space="preserve">Ensure compliance with any required </w:t>
      </w:r>
      <w:r w:rsidR="000D0CE6" w:rsidRPr="009654C2">
        <w:rPr>
          <w:rFonts w:ascii="Times New Roman" w:hAnsi="Times New Roman" w:cs="Times New Roman"/>
          <w:iCs/>
          <w:color w:val="000000" w:themeColor="text1"/>
        </w:rPr>
        <w:t>EIA procedures in the planning and execution of development projects, including compliance in respect of existing projects.</w:t>
      </w:r>
    </w:p>
    <w:p w14:paraId="2C817941" w14:textId="77777777" w:rsidR="000D0CE6" w:rsidRPr="00790606" w:rsidRDefault="000D0CE6" w:rsidP="00CA0715">
      <w:pPr>
        <w:autoSpaceDE w:val="0"/>
        <w:autoSpaceDN w:val="0"/>
        <w:adjustRightInd w:val="0"/>
        <w:spacing w:before="120" w:after="120" w:line="240" w:lineRule="auto"/>
        <w:jc w:val="both"/>
        <w:rPr>
          <w:rFonts w:ascii="Times New Roman" w:hAnsi="Times New Roman" w:cs="Times New Roman"/>
          <w:iCs/>
          <w:color w:val="000000" w:themeColor="text1"/>
        </w:rPr>
      </w:pPr>
      <w:r w:rsidRPr="00790606">
        <w:rPr>
          <w:rFonts w:ascii="Times New Roman" w:hAnsi="Times New Roman" w:cs="Times New Roman"/>
          <w:b/>
          <w:iCs/>
          <w:color w:val="000000" w:themeColor="text1"/>
        </w:rPr>
        <w:t>Regulations</w:t>
      </w:r>
      <w:r w:rsidRPr="00790606">
        <w:rPr>
          <w:rFonts w:ascii="Times New Roman" w:hAnsi="Times New Roman" w:cs="Times New Roman"/>
          <w:iCs/>
          <w:color w:val="000000" w:themeColor="text1"/>
        </w:rPr>
        <w:t>. The procedures for compliance with EA requirements are the Environmental Assessment Regulations, 1999, or Legislative Instrument (LI) 1652. LI 1652 consists of Thirty Regulations and Five Schedules detailing procedures to be followed in the E</w:t>
      </w:r>
      <w:r w:rsidR="00C152FE" w:rsidRPr="00790606">
        <w:rPr>
          <w:rFonts w:ascii="Times New Roman" w:hAnsi="Times New Roman" w:cs="Times New Roman"/>
          <w:iCs/>
          <w:color w:val="000000" w:themeColor="text1"/>
        </w:rPr>
        <w:t>A process. It is in three parts:</w:t>
      </w:r>
      <w:r w:rsidRPr="00790606">
        <w:rPr>
          <w:rFonts w:ascii="Times New Roman" w:hAnsi="Times New Roman" w:cs="Times New Roman"/>
          <w:iCs/>
          <w:color w:val="000000" w:themeColor="text1"/>
        </w:rPr>
        <w:t xml:space="preserve"> Part 1 deals with environmental permits, the registration of new and existing undertakings, screening and fees. Part 2 describes the various types and levels of EA Reports – Preliminary Environmental Report (PER), Scoping Report, Environmental Impact Statement (EIS) – and prescribes actions to be taken by the EPA upon submission of such reports within specified deadlines. This part also provides for public participation during the EIS study as well as review of environmental reports. Part 3 contains miscellaneous provisions dealing with the submission of annual environmental reports; suspension, cancellation or revocation of permits</w:t>
      </w:r>
      <w:r w:rsidR="005D653B" w:rsidRPr="00790606">
        <w:rPr>
          <w:rFonts w:ascii="Times New Roman" w:hAnsi="Times New Roman" w:cs="Times New Roman"/>
          <w:iCs/>
          <w:color w:val="000000" w:themeColor="text1"/>
        </w:rPr>
        <w:t xml:space="preserve"> and certificates; complaints by aggrieved persons; gazette publication; offenses and penalties; appeals; interpretation and schedules. Fees and charges for permit processing were specified in 2002, as amended in 2017.</w:t>
      </w:r>
    </w:p>
    <w:p w14:paraId="16E6076D" w14:textId="77777777" w:rsidR="005D653B" w:rsidRPr="00790606" w:rsidRDefault="005D653B" w:rsidP="00CA0715">
      <w:pPr>
        <w:autoSpaceDE w:val="0"/>
        <w:autoSpaceDN w:val="0"/>
        <w:adjustRightInd w:val="0"/>
        <w:spacing w:before="120" w:after="120" w:line="240" w:lineRule="auto"/>
        <w:jc w:val="both"/>
        <w:rPr>
          <w:rFonts w:ascii="Times New Roman" w:hAnsi="Times New Roman" w:cs="Times New Roman"/>
        </w:rPr>
      </w:pPr>
      <w:r w:rsidRPr="00790606">
        <w:rPr>
          <w:rFonts w:ascii="Times New Roman" w:hAnsi="Times New Roman" w:cs="Times New Roman"/>
        </w:rPr>
        <w:t>LI 1652 defines EA as "the process for the orderly and systematic evaluation of a proposal</w:t>
      </w:r>
      <w:r w:rsidR="00C152FE" w:rsidRPr="00790606">
        <w:rPr>
          <w:rFonts w:ascii="Times New Roman" w:hAnsi="Times New Roman" w:cs="Times New Roman"/>
        </w:rPr>
        <w:t xml:space="preserve"> </w:t>
      </w:r>
      <w:r w:rsidRPr="00790606">
        <w:rPr>
          <w:rFonts w:ascii="Times New Roman" w:hAnsi="Times New Roman" w:cs="Times New Roman"/>
        </w:rPr>
        <w:t>including its alternatives and objectives and its effect on the environment including the mitigation and</w:t>
      </w:r>
      <w:r w:rsidR="00C152FE" w:rsidRPr="00790606">
        <w:rPr>
          <w:rFonts w:ascii="Times New Roman" w:hAnsi="Times New Roman" w:cs="Times New Roman"/>
        </w:rPr>
        <w:t xml:space="preserve"> </w:t>
      </w:r>
      <w:r w:rsidRPr="00790606">
        <w:rPr>
          <w:rFonts w:ascii="Times New Roman" w:hAnsi="Times New Roman" w:cs="Times New Roman"/>
        </w:rPr>
        <w:t>management of those effects: the process extends from the initial concept of the proposal through implementation</w:t>
      </w:r>
      <w:r w:rsidR="00A82081" w:rsidRPr="00790606">
        <w:rPr>
          <w:rFonts w:ascii="Times New Roman" w:hAnsi="Times New Roman" w:cs="Times New Roman"/>
        </w:rPr>
        <w:t xml:space="preserve"> </w:t>
      </w:r>
      <w:r w:rsidRPr="00790606">
        <w:rPr>
          <w:rFonts w:ascii="Times New Roman" w:hAnsi="Times New Roman" w:cs="Times New Roman"/>
        </w:rPr>
        <w:t>to completion, and where appropriate, decommissioning." Environmental impact is</w:t>
      </w:r>
      <w:r w:rsidR="00C152FE" w:rsidRPr="00790606">
        <w:rPr>
          <w:rFonts w:ascii="Times New Roman" w:hAnsi="Times New Roman" w:cs="Times New Roman"/>
        </w:rPr>
        <w:t xml:space="preserve"> </w:t>
      </w:r>
      <w:r w:rsidRPr="00790606">
        <w:rPr>
          <w:rFonts w:ascii="Times New Roman" w:hAnsi="Times New Roman" w:cs="Times New Roman"/>
        </w:rPr>
        <w:t>given a wide definition under LI 1652. It includes any direct or indirect, positive or negative change</w:t>
      </w:r>
      <w:r w:rsidR="00C152FE" w:rsidRPr="00790606">
        <w:rPr>
          <w:rFonts w:ascii="Times New Roman" w:hAnsi="Times New Roman" w:cs="Times New Roman"/>
        </w:rPr>
        <w:t xml:space="preserve"> </w:t>
      </w:r>
      <w:r w:rsidRPr="00790606">
        <w:rPr>
          <w:rFonts w:ascii="Times New Roman" w:hAnsi="Times New Roman" w:cs="Times New Roman"/>
        </w:rPr>
        <w:t>in the environment caused by man-made works or activity when such changes affect life in general,</w:t>
      </w:r>
      <w:r w:rsidR="00C152FE" w:rsidRPr="00790606">
        <w:rPr>
          <w:rFonts w:ascii="Times New Roman" w:hAnsi="Times New Roman" w:cs="Times New Roman"/>
        </w:rPr>
        <w:t xml:space="preserve"> </w:t>
      </w:r>
      <w:r w:rsidRPr="00790606">
        <w:rPr>
          <w:rFonts w:ascii="Times New Roman" w:hAnsi="Times New Roman" w:cs="Times New Roman"/>
        </w:rPr>
        <w:t>biodiversity, the quality or a significant quantity of natural or environmental resources and their use,</w:t>
      </w:r>
      <w:r w:rsidR="00C152FE" w:rsidRPr="00790606">
        <w:rPr>
          <w:rFonts w:ascii="Times New Roman" w:hAnsi="Times New Roman" w:cs="Times New Roman"/>
        </w:rPr>
        <w:t xml:space="preserve"> well-b</w:t>
      </w:r>
      <w:r w:rsidRPr="00790606">
        <w:rPr>
          <w:rFonts w:ascii="Times New Roman" w:hAnsi="Times New Roman" w:cs="Times New Roman"/>
        </w:rPr>
        <w:t>eing, health, personal safety, habits, customs, cultural heritage or legitimate means of livelihood.</w:t>
      </w:r>
      <w:r w:rsidR="00C152FE" w:rsidRPr="00790606">
        <w:rPr>
          <w:rFonts w:ascii="Times New Roman" w:hAnsi="Times New Roman" w:cs="Times New Roman"/>
        </w:rPr>
        <w:t xml:space="preserve"> </w:t>
      </w:r>
      <w:r w:rsidRPr="00790606">
        <w:rPr>
          <w:rFonts w:ascii="Times New Roman" w:hAnsi="Times New Roman" w:cs="Times New Roman"/>
        </w:rPr>
        <w:t>This implies that any assessment should cover the above definition in its entirety and hence</w:t>
      </w:r>
      <w:r w:rsidR="00C152FE" w:rsidRPr="00790606">
        <w:rPr>
          <w:rFonts w:ascii="Times New Roman" w:hAnsi="Times New Roman" w:cs="Times New Roman"/>
        </w:rPr>
        <w:t xml:space="preserve"> </w:t>
      </w:r>
      <w:r w:rsidRPr="00790606">
        <w:rPr>
          <w:rFonts w:ascii="Times New Roman" w:hAnsi="Times New Roman" w:cs="Times New Roman"/>
        </w:rPr>
        <w:t>make provision for socio-economic and health impact assessments as an integral part of the EA process.</w:t>
      </w:r>
    </w:p>
    <w:p w14:paraId="4BC0E2AD" w14:textId="77777777" w:rsidR="005D653B" w:rsidRPr="00790606" w:rsidRDefault="005D653B" w:rsidP="00CA0715">
      <w:pPr>
        <w:autoSpaceDE w:val="0"/>
        <w:autoSpaceDN w:val="0"/>
        <w:adjustRightInd w:val="0"/>
        <w:spacing w:before="120" w:after="120" w:line="240" w:lineRule="auto"/>
        <w:contextualSpacing/>
        <w:jc w:val="both"/>
        <w:rPr>
          <w:rFonts w:ascii="Times New Roman" w:hAnsi="Times New Roman" w:cs="Times New Roman"/>
        </w:rPr>
      </w:pPr>
      <w:r w:rsidRPr="00790606">
        <w:rPr>
          <w:rFonts w:ascii="Times New Roman" w:hAnsi="Times New Roman" w:cs="Times New Roman"/>
        </w:rPr>
        <w:t>Schedule 1 of LI 1652 provides the list of undertakings that require registration with EPA and</w:t>
      </w:r>
      <w:r w:rsidR="00C152FE" w:rsidRPr="00790606">
        <w:rPr>
          <w:rFonts w:ascii="Times New Roman" w:hAnsi="Times New Roman" w:cs="Times New Roman"/>
        </w:rPr>
        <w:t xml:space="preserve"> </w:t>
      </w:r>
      <w:r w:rsidRPr="00790606">
        <w:rPr>
          <w:rFonts w:ascii="Times New Roman" w:hAnsi="Times New Roman" w:cs="Times New Roman"/>
        </w:rPr>
        <w:t>issuance of an environment permit. Schedule 2 lists undertakings for which EIS is mandatory. EIS is also required for any proposed undertaking or development to be located in any of the</w:t>
      </w:r>
      <w:r w:rsidR="00C152FE" w:rsidRPr="00790606">
        <w:rPr>
          <w:rFonts w:ascii="Times New Roman" w:hAnsi="Times New Roman" w:cs="Times New Roman"/>
        </w:rPr>
        <w:t xml:space="preserve"> </w:t>
      </w:r>
      <w:r w:rsidRPr="00790606">
        <w:rPr>
          <w:rFonts w:ascii="Times New Roman" w:hAnsi="Times New Roman" w:cs="Times New Roman"/>
        </w:rPr>
        <w:t>areas broadly defined as environmentally sensitive in Schedule 5 of LI 1652:</w:t>
      </w:r>
    </w:p>
    <w:p w14:paraId="3987CAA0" w14:textId="77777777" w:rsidR="005D653B" w:rsidRPr="00790606" w:rsidRDefault="005D653B" w:rsidP="00CA0715">
      <w:pPr>
        <w:autoSpaceDE w:val="0"/>
        <w:autoSpaceDN w:val="0"/>
        <w:adjustRightInd w:val="0"/>
        <w:spacing w:before="120" w:after="120" w:line="240" w:lineRule="auto"/>
        <w:contextualSpacing/>
        <w:jc w:val="both"/>
        <w:rPr>
          <w:rFonts w:ascii="Times New Roman" w:hAnsi="Times New Roman" w:cs="Times New Roman"/>
        </w:rPr>
      </w:pPr>
      <w:r w:rsidRPr="00790606">
        <w:rPr>
          <w:rFonts w:ascii="Times New Roman" w:hAnsi="Times New Roman" w:cs="Times New Roman"/>
        </w:rPr>
        <w:t>* Parks, reserves and sanctuaries declared by law, including sacred groves;</w:t>
      </w:r>
    </w:p>
    <w:p w14:paraId="29753D29" w14:textId="77777777" w:rsidR="005D653B" w:rsidRPr="00790606" w:rsidRDefault="005D653B" w:rsidP="00CA0715">
      <w:pPr>
        <w:autoSpaceDE w:val="0"/>
        <w:autoSpaceDN w:val="0"/>
        <w:adjustRightInd w:val="0"/>
        <w:spacing w:before="120" w:after="120" w:line="240" w:lineRule="auto"/>
        <w:contextualSpacing/>
        <w:jc w:val="both"/>
        <w:rPr>
          <w:rFonts w:ascii="Times New Roman" w:hAnsi="Times New Roman" w:cs="Times New Roman"/>
        </w:rPr>
      </w:pPr>
      <w:r w:rsidRPr="00790606">
        <w:rPr>
          <w:rFonts w:ascii="Times New Roman" w:hAnsi="Times New Roman" w:cs="Times New Roman"/>
        </w:rPr>
        <w:t>* Areas with potential tourist value;</w:t>
      </w:r>
    </w:p>
    <w:p w14:paraId="11B809FD" w14:textId="77777777" w:rsidR="005D653B" w:rsidRPr="00790606" w:rsidRDefault="005D653B" w:rsidP="00CA0715">
      <w:pPr>
        <w:autoSpaceDE w:val="0"/>
        <w:autoSpaceDN w:val="0"/>
        <w:adjustRightInd w:val="0"/>
        <w:spacing w:before="120" w:after="120" w:line="240" w:lineRule="auto"/>
        <w:contextualSpacing/>
        <w:jc w:val="both"/>
        <w:rPr>
          <w:rFonts w:ascii="Times New Roman" w:hAnsi="Times New Roman" w:cs="Times New Roman"/>
        </w:rPr>
      </w:pPr>
      <w:r w:rsidRPr="00790606">
        <w:rPr>
          <w:rFonts w:ascii="Times New Roman" w:hAnsi="Times New Roman" w:cs="Times New Roman"/>
        </w:rPr>
        <w:t>* Habitat of endangered or threatened species of indigenous flora or fauna;</w:t>
      </w:r>
    </w:p>
    <w:p w14:paraId="5C63FC4F" w14:textId="77777777" w:rsidR="005D653B" w:rsidRPr="00790606" w:rsidRDefault="005D653B" w:rsidP="00CA0715">
      <w:pPr>
        <w:autoSpaceDE w:val="0"/>
        <w:autoSpaceDN w:val="0"/>
        <w:adjustRightInd w:val="0"/>
        <w:spacing w:before="120" w:after="120" w:line="240" w:lineRule="auto"/>
        <w:contextualSpacing/>
        <w:jc w:val="both"/>
        <w:rPr>
          <w:rFonts w:ascii="Times New Roman" w:hAnsi="Times New Roman" w:cs="Times New Roman"/>
        </w:rPr>
      </w:pPr>
      <w:r w:rsidRPr="00790606">
        <w:rPr>
          <w:rFonts w:ascii="Times New Roman" w:hAnsi="Times New Roman" w:cs="Times New Roman"/>
        </w:rPr>
        <w:t>* Areas of unique historic, archeological or scientific interest;</w:t>
      </w:r>
    </w:p>
    <w:p w14:paraId="02D354E5" w14:textId="77777777" w:rsidR="005D653B" w:rsidRPr="00790606" w:rsidRDefault="005D653B" w:rsidP="00CA0715">
      <w:pPr>
        <w:autoSpaceDE w:val="0"/>
        <w:autoSpaceDN w:val="0"/>
        <w:adjustRightInd w:val="0"/>
        <w:spacing w:before="120" w:after="120" w:line="240" w:lineRule="auto"/>
        <w:contextualSpacing/>
        <w:jc w:val="both"/>
        <w:rPr>
          <w:rFonts w:ascii="Times New Roman" w:hAnsi="Times New Roman" w:cs="Times New Roman"/>
        </w:rPr>
      </w:pPr>
      <w:r w:rsidRPr="00790606">
        <w:rPr>
          <w:rFonts w:ascii="Times New Roman" w:hAnsi="Times New Roman" w:cs="Times New Roman"/>
        </w:rPr>
        <w:t>* Areas traditionally occupied by cultural communities;</w:t>
      </w:r>
    </w:p>
    <w:p w14:paraId="006C81C7" w14:textId="77777777" w:rsidR="005D653B" w:rsidRPr="00790606" w:rsidRDefault="005D653B" w:rsidP="00CA0715">
      <w:pPr>
        <w:autoSpaceDE w:val="0"/>
        <w:autoSpaceDN w:val="0"/>
        <w:adjustRightInd w:val="0"/>
        <w:spacing w:before="120" w:after="120" w:line="240" w:lineRule="auto"/>
        <w:contextualSpacing/>
        <w:jc w:val="both"/>
        <w:rPr>
          <w:rFonts w:ascii="Times New Roman" w:hAnsi="Times New Roman" w:cs="Times New Roman"/>
        </w:rPr>
      </w:pPr>
      <w:r w:rsidRPr="00790606">
        <w:rPr>
          <w:rFonts w:ascii="Times New Roman" w:hAnsi="Times New Roman" w:cs="Times New Roman"/>
        </w:rPr>
        <w:t>* Areas prone to natural disasters;</w:t>
      </w:r>
    </w:p>
    <w:p w14:paraId="5DBB65B1" w14:textId="77777777" w:rsidR="005D653B" w:rsidRPr="00790606" w:rsidRDefault="005D653B" w:rsidP="00CA0715">
      <w:pPr>
        <w:autoSpaceDE w:val="0"/>
        <w:autoSpaceDN w:val="0"/>
        <w:adjustRightInd w:val="0"/>
        <w:spacing w:before="120" w:after="120" w:line="240" w:lineRule="auto"/>
        <w:contextualSpacing/>
        <w:jc w:val="both"/>
        <w:rPr>
          <w:rFonts w:ascii="Times New Roman" w:hAnsi="Times New Roman" w:cs="Times New Roman"/>
        </w:rPr>
      </w:pPr>
      <w:r w:rsidRPr="00790606">
        <w:rPr>
          <w:rFonts w:ascii="Times New Roman" w:hAnsi="Times New Roman" w:cs="Times New Roman"/>
        </w:rPr>
        <w:t>* Areas prone to bushfires;</w:t>
      </w:r>
    </w:p>
    <w:p w14:paraId="79392330" w14:textId="77777777" w:rsidR="005D653B" w:rsidRPr="00790606" w:rsidRDefault="005D653B" w:rsidP="00CA0715">
      <w:pPr>
        <w:autoSpaceDE w:val="0"/>
        <w:autoSpaceDN w:val="0"/>
        <w:adjustRightInd w:val="0"/>
        <w:spacing w:before="120" w:after="120" w:line="240" w:lineRule="auto"/>
        <w:contextualSpacing/>
        <w:jc w:val="both"/>
        <w:rPr>
          <w:rFonts w:ascii="Times New Roman" w:hAnsi="Times New Roman" w:cs="Times New Roman"/>
        </w:rPr>
      </w:pPr>
      <w:r w:rsidRPr="00790606">
        <w:rPr>
          <w:rFonts w:ascii="Times New Roman" w:hAnsi="Times New Roman" w:cs="Times New Roman"/>
        </w:rPr>
        <w:t>* Hilly areas with critical slopes;</w:t>
      </w:r>
    </w:p>
    <w:p w14:paraId="2007EB1D" w14:textId="77777777" w:rsidR="005D653B" w:rsidRPr="00790606" w:rsidRDefault="005D653B" w:rsidP="00CA0715">
      <w:pPr>
        <w:autoSpaceDE w:val="0"/>
        <w:autoSpaceDN w:val="0"/>
        <w:adjustRightInd w:val="0"/>
        <w:spacing w:before="120" w:after="120" w:line="240" w:lineRule="auto"/>
        <w:contextualSpacing/>
        <w:jc w:val="both"/>
        <w:rPr>
          <w:rFonts w:ascii="Times New Roman" w:hAnsi="Times New Roman" w:cs="Times New Roman"/>
        </w:rPr>
      </w:pPr>
      <w:r w:rsidRPr="00790606">
        <w:rPr>
          <w:rFonts w:ascii="Times New Roman" w:hAnsi="Times New Roman" w:cs="Times New Roman"/>
        </w:rPr>
        <w:t>* Areas classified as prime agricultural lands;</w:t>
      </w:r>
    </w:p>
    <w:p w14:paraId="6AD388FB" w14:textId="77777777" w:rsidR="005D653B" w:rsidRPr="00790606" w:rsidRDefault="005D653B" w:rsidP="00CA0715">
      <w:pPr>
        <w:autoSpaceDE w:val="0"/>
        <w:autoSpaceDN w:val="0"/>
        <w:adjustRightInd w:val="0"/>
        <w:spacing w:before="120" w:after="120" w:line="240" w:lineRule="auto"/>
        <w:contextualSpacing/>
        <w:jc w:val="both"/>
        <w:rPr>
          <w:rFonts w:ascii="Times New Roman" w:hAnsi="Times New Roman" w:cs="Times New Roman"/>
        </w:rPr>
      </w:pPr>
      <w:r w:rsidRPr="00790606">
        <w:rPr>
          <w:rFonts w:ascii="Times New Roman" w:hAnsi="Times New Roman" w:cs="Times New Roman"/>
        </w:rPr>
        <w:t>* Recharge areas of aquifers;</w:t>
      </w:r>
    </w:p>
    <w:p w14:paraId="503AF008" w14:textId="77777777" w:rsidR="005D653B" w:rsidRPr="00790606" w:rsidRDefault="005D653B" w:rsidP="00CA0715">
      <w:pPr>
        <w:autoSpaceDE w:val="0"/>
        <w:autoSpaceDN w:val="0"/>
        <w:adjustRightInd w:val="0"/>
        <w:spacing w:before="120" w:after="120" w:line="240" w:lineRule="auto"/>
        <w:contextualSpacing/>
        <w:jc w:val="both"/>
        <w:rPr>
          <w:rFonts w:ascii="Times New Roman" w:hAnsi="Times New Roman" w:cs="Times New Roman"/>
        </w:rPr>
      </w:pPr>
      <w:r w:rsidRPr="00790606">
        <w:rPr>
          <w:rFonts w:ascii="Times New Roman" w:hAnsi="Times New Roman" w:cs="Times New Roman"/>
        </w:rPr>
        <w:t>* Water bodies used for domestic supply, or located in protected areas, or supporting wildlife or</w:t>
      </w:r>
    </w:p>
    <w:p w14:paraId="00173DA6" w14:textId="77777777" w:rsidR="005D653B" w:rsidRPr="00790606" w:rsidRDefault="005D653B" w:rsidP="00CA0715">
      <w:pPr>
        <w:autoSpaceDE w:val="0"/>
        <w:autoSpaceDN w:val="0"/>
        <w:adjustRightInd w:val="0"/>
        <w:spacing w:before="120" w:after="120" w:line="240" w:lineRule="auto"/>
        <w:contextualSpacing/>
        <w:jc w:val="both"/>
        <w:rPr>
          <w:rFonts w:ascii="Times New Roman" w:hAnsi="Times New Roman" w:cs="Times New Roman"/>
        </w:rPr>
      </w:pPr>
      <w:r w:rsidRPr="00790606">
        <w:rPr>
          <w:rFonts w:ascii="Times New Roman" w:hAnsi="Times New Roman" w:cs="Times New Roman"/>
        </w:rPr>
        <w:t>fishery activities; and</w:t>
      </w:r>
      <w:r w:rsidR="00A82081" w:rsidRPr="00790606">
        <w:rPr>
          <w:rFonts w:ascii="Times New Roman" w:hAnsi="Times New Roman" w:cs="Times New Roman"/>
        </w:rPr>
        <w:t xml:space="preserve"> </w:t>
      </w:r>
      <w:r w:rsidRPr="00790606">
        <w:rPr>
          <w:rFonts w:ascii="Times New Roman" w:hAnsi="Times New Roman" w:cs="Times New Roman"/>
        </w:rPr>
        <w:t>Mangrove areas.</w:t>
      </w:r>
    </w:p>
    <w:p w14:paraId="16A4BB82" w14:textId="77777777" w:rsidR="00A82081" w:rsidRPr="00790606" w:rsidRDefault="00A82081" w:rsidP="00CA0715">
      <w:pPr>
        <w:autoSpaceDE w:val="0"/>
        <w:autoSpaceDN w:val="0"/>
        <w:adjustRightInd w:val="0"/>
        <w:spacing w:before="120" w:after="120" w:line="240" w:lineRule="auto"/>
        <w:contextualSpacing/>
        <w:jc w:val="both"/>
        <w:rPr>
          <w:rFonts w:ascii="Times New Roman" w:hAnsi="Times New Roman" w:cs="Times New Roman"/>
        </w:rPr>
      </w:pPr>
    </w:p>
    <w:p w14:paraId="32B8C350" w14:textId="200E8AFD" w:rsidR="005D653B" w:rsidRPr="00790606" w:rsidRDefault="005D653B" w:rsidP="00CA0715">
      <w:pPr>
        <w:autoSpaceDE w:val="0"/>
        <w:autoSpaceDN w:val="0"/>
        <w:adjustRightInd w:val="0"/>
        <w:spacing w:before="120" w:after="120" w:line="240" w:lineRule="auto"/>
        <w:jc w:val="both"/>
        <w:rPr>
          <w:rFonts w:ascii="Times New Roman" w:hAnsi="Times New Roman" w:cs="Times New Roman"/>
        </w:rPr>
      </w:pPr>
      <w:r w:rsidRPr="00790606">
        <w:rPr>
          <w:rFonts w:ascii="Times New Roman" w:hAnsi="Times New Roman" w:cs="Times New Roman"/>
          <w:b/>
          <w:bCs/>
          <w:i/>
          <w:iCs/>
        </w:rPr>
        <w:t xml:space="preserve">Procedures. </w:t>
      </w:r>
      <w:r w:rsidRPr="00790606">
        <w:rPr>
          <w:rFonts w:ascii="Times New Roman" w:hAnsi="Times New Roman" w:cs="Times New Roman"/>
        </w:rPr>
        <w:t xml:space="preserve">EPA published </w:t>
      </w:r>
      <w:r w:rsidRPr="00790606">
        <w:rPr>
          <w:rFonts w:ascii="Times New Roman" w:hAnsi="Times New Roman" w:cs="Times New Roman"/>
          <w:i/>
          <w:iCs/>
        </w:rPr>
        <w:t xml:space="preserve">Environmental Impact Assessment Procedures </w:t>
      </w:r>
      <w:r w:rsidRPr="00790606">
        <w:rPr>
          <w:rFonts w:ascii="Times New Roman" w:hAnsi="Times New Roman" w:cs="Times New Roman"/>
        </w:rPr>
        <w:t>in 1995 to provide</w:t>
      </w:r>
      <w:r w:rsidR="00037519" w:rsidRPr="00790606">
        <w:rPr>
          <w:rFonts w:ascii="Times New Roman" w:hAnsi="Times New Roman" w:cs="Times New Roman"/>
        </w:rPr>
        <w:t xml:space="preserve"> </w:t>
      </w:r>
      <w:r w:rsidRPr="00790606">
        <w:rPr>
          <w:rFonts w:ascii="Times New Roman" w:hAnsi="Times New Roman" w:cs="Times New Roman"/>
        </w:rPr>
        <w:t>guidance on complying with the EA requirements of the EPA Act. Although the document predates</w:t>
      </w:r>
      <w:r w:rsidR="00037519" w:rsidRPr="00790606">
        <w:rPr>
          <w:rFonts w:ascii="Times New Roman" w:hAnsi="Times New Roman" w:cs="Times New Roman"/>
        </w:rPr>
        <w:t xml:space="preserve"> </w:t>
      </w:r>
      <w:r w:rsidRPr="00790606">
        <w:rPr>
          <w:rFonts w:ascii="Times New Roman" w:hAnsi="Times New Roman" w:cs="Times New Roman"/>
        </w:rPr>
        <w:t>LI 1652, it is generally consistent with the Regulations and remains relevant and operational. It</w:t>
      </w:r>
      <w:r w:rsidR="00037519" w:rsidRPr="00790606">
        <w:rPr>
          <w:rFonts w:ascii="Times New Roman" w:hAnsi="Times New Roman" w:cs="Times New Roman"/>
        </w:rPr>
        <w:t xml:space="preserve"> </w:t>
      </w:r>
      <w:r w:rsidRPr="00790606">
        <w:rPr>
          <w:rFonts w:ascii="Times New Roman" w:hAnsi="Times New Roman" w:cs="Times New Roman"/>
        </w:rPr>
        <w:t>describes in detail the stepwise EA process, which is shown in Figure 1 and described below.</w:t>
      </w:r>
    </w:p>
    <w:p w14:paraId="04CFD20E" w14:textId="0ECC6A98" w:rsidR="005D653B" w:rsidRPr="00790606" w:rsidRDefault="005D653B" w:rsidP="00CA0715">
      <w:pPr>
        <w:autoSpaceDE w:val="0"/>
        <w:autoSpaceDN w:val="0"/>
        <w:adjustRightInd w:val="0"/>
        <w:spacing w:after="0" w:line="240" w:lineRule="auto"/>
        <w:jc w:val="both"/>
        <w:rPr>
          <w:rFonts w:ascii="Times New Roman" w:hAnsi="Times New Roman" w:cs="Times New Roman"/>
        </w:rPr>
      </w:pPr>
      <w:r w:rsidRPr="00790606">
        <w:rPr>
          <w:rFonts w:ascii="Times New Roman" w:hAnsi="Times New Roman" w:cs="Times New Roman"/>
          <w:i/>
          <w:iCs/>
        </w:rPr>
        <w:t xml:space="preserve">* Registration with EPA. </w:t>
      </w:r>
      <w:r w:rsidRPr="00790606">
        <w:rPr>
          <w:rFonts w:ascii="Times New Roman" w:hAnsi="Times New Roman" w:cs="Times New Roman"/>
        </w:rPr>
        <w:t>The proponent of any activity required by LI 1652 to register submits a</w:t>
      </w:r>
      <w:r w:rsidR="00037519" w:rsidRPr="00790606">
        <w:rPr>
          <w:rFonts w:ascii="Times New Roman" w:hAnsi="Times New Roman" w:cs="Times New Roman"/>
        </w:rPr>
        <w:t xml:space="preserve"> </w:t>
      </w:r>
      <w:r w:rsidRPr="00790606">
        <w:rPr>
          <w:rFonts w:ascii="Times New Roman" w:hAnsi="Times New Roman" w:cs="Times New Roman"/>
        </w:rPr>
        <w:t>Registration Form.</w:t>
      </w:r>
    </w:p>
    <w:p w14:paraId="050EC357" w14:textId="77777777" w:rsidR="005D653B" w:rsidRPr="00790606" w:rsidRDefault="005D653B" w:rsidP="00CA0715">
      <w:pPr>
        <w:autoSpaceDE w:val="0"/>
        <w:autoSpaceDN w:val="0"/>
        <w:adjustRightInd w:val="0"/>
        <w:spacing w:after="0" w:line="240" w:lineRule="auto"/>
        <w:jc w:val="both"/>
        <w:rPr>
          <w:rFonts w:ascii="Times New Roman" w:hAnsi="Times New Roman" w:cs="Times New Roman"/>
        </w:rPr>
      </w:pPr>
      <w:r w:rsidRPr="00790606">
        <w:rPr>
          <w:rFonts w:ascii="Times New Roman" w:hAnsi="Times New Roman" w:cs="Times New Roman"/>
          <w:i/>
          <w:iCs/>
        </w:rPr>
        <w:t xml:space="preserve">* Screening. </w:t>
      </w:r>
      <w:r w:rsidRPr="00790606">
        <w:rPr>
          <w:rFonts w:ascii="Times New Roman" w:hAnsi="Times New Roman" w:cs="Times New Roman"/>
        </w:rPr>
        <w:t>EPA determines whether a proposed development should be subjected to further assessment,</w:t>
      </w:r>
      <w:r w:rsidR="00C152FE" w:rsidRPr="00790606">
        <w:rPr>
          <w:rFonts w:ascii="Times New Roman" w:hAnsi="Times New Roman" w:cs="Times New Roman"/>
        </w:rPr>
        <w:t xml:space="preserve"> </w:t>
      </w:r>
      <w:r w:rsidRPr="00790606">
        <w:rPr>
          <w:rFonts w:ascii="Times New Roman" w:hAnsi="Times New Roman" w:cs="Times New Roman"/>
        </w:rPr>
        <w:t>and if so, the level of assessment that will be required. A site inspection by EPA officers</w:t>
      </w:r>
    </w:p>
    <w:p w14:paraId="2268A564" w14:textId="77777777" w:rsidR="005D653B" w:rsidRPr="00790606" w:rsidRDefault="005D653B" w:rsidP="00CA0715">
      <w:pPr>
        <w:autoSpaceDE w:val="0"/>
        <w:autoSpaceDN w:val="0"/>
        <w:adjustRightInd w:val="0"/>
        <w:spacing w:after="0" w:line="240" w:lineRule="auto"/>
        <w:jc w:val="both"/>
        <w:rPr>
          <w:rFonts w:ascii="Times New Roman" w:hAnsi="Times New Roman" w:cs="Times New Roman"/>
        </w:rPr>
      </w:pPr>
      <w:r w:rsidRPr="00790606">
        <w:rPr>
          <w:rFonts w:ascii="Times New Roman" w:hAnsi="Times New Roman" w:cs="Times New Roman"/>
        </w:rPr>
        <w:t>is conducted and a screening report presented to a cross-sectoral EA Technical Review</w:t>
      </w:r>
      <w:r w:rsidR="00C152FE" w:rsidRPr="00790606">
        <w:rPr>
          <w:rFonts w:ascii="Times New Roman" w:hAnsi="Times New Roman" w:cs="Times New Roman"/>
        </w:rPr>
        <w:t xml:space="preserve"> </w:t>
      </w:r>
      <w:r w:rsidRPr="00790606">
        <w:rPr>
          <w:rFonts w:ascii="Times New Roman" w:hAnsi="Times New Roman" w:cs="Times New Roman"/>
        </w:rPr>
        <w:t>Committee (EA/TRC) (see below) for decision-making within 25 days of registration. The decision</w:t>
      </w:r>
      <w:r w:rsidR="00C152FE" w:rsidRPr="00790606">
        <w:rPr>
          <w:rFonts w:ascii="Times New Roman" w:hAnsi="Times New Roman" w:cs="Times New Roman"/>
        </w:rPr>
        <w:t xml:space="preserve"> </w:t>
      </w:r>
      <w:r w:rsidRPr="00790606">
        <w:rPr>
          <w:rFonts w:ascii="Times New Roman" w:hAnsi="Times New Roman" w:cs="Times New Roman"/>
        </w:rPr>
        <w:t>can be one of four:</w:t>
      </w:r>
    </w:p>
    <w:p w14:paraId="7578DF1A" w14:textId="77777777" w:rsidR="005D653B" w:rsidRPr="00790606" w:rsidRDefault="005D653B" w:rsidP="00CA0715">
      <w:pPr>
        <w:autoSpaceDE w:val="0"/>
        <w:autoSpaceDN w:val="0"/>
        <w:adjustRightInd w:val="0"/>
        <w:spacing w:after="0" w:line="240" w:lineRule="auto"/>
        <w:jc w:val="both"/>
        <w:rPr>
          <w:rFonts w:ascii="Times New Roman" w:hAnsi="Times New Roman" w:cs="Times New Roman"/>
        </w:rPr>
      </w:pPr>
      <w:r w:rsidRPr="00790606">
        <w:rPr>
          <w:rFonts w:ascii="Times New Roman" w:hAnsi="Times New Roman" w:cs="Times New Roman"/>
        </w:rPr>
        <w:t>o Environmental permit declined (objection to the project);</w:t>
      </w:r>
    </w:p>
    <w:p w14:paraId="3913E6DA" w14:textId="77777777" w:rsidR="005D653B" w:rsidRPr="00790606" w:rsidRDefault="005D653B" w:rsidP="00CA0715">
      <w:pPr>
        <w:autoSpaceDE w:val="0"/>
        <w:autoSpaceDN w:val="0"/>
        <w:adjustRightInd w:val="0"/>
        <w:spacing w:after="0" w:line="240" w:lineRule="auto"/>
        <w:jc w:val="both"/>
        <w:rPr>
          <w:rFonts w:ascii="Times New Roman" w:hAnsi="Times New Roman" w:cs="Times New Roman"/>
        </w:rPr>
      </w:pPr>
      <w:r w:rsidRPr="00790606">
        <w:rPr>
          <w:rFonts w:ascii="Times New Roman" w:hAnsi="Times New Roman" w:cs="Times New Roman"/>
        </w:rPr>
        <w:t>o Environmental permit issued (no objections);</w:t>
      </w:r>
    </w:p>
    <w:p w14:paraId="4B8BFD28" w14:textId="77777777" w:rsidR="005D653B" w:rsidRPr="00790606" w:rsidRDefault="005D653B" w:rsidP="00CA0715">
      <w:pPr>
        <w:autoSpaceDE w:val="0"/>
        <w:autoSpaceDN w:val="0"/>
        <w:adjustRightInd w:val="0"/>
        <w:spacing w:after="0" w:line="240" w:lineRule="auto"/>
        <w:jc w:val="both"/>
        <w:rPr>
          <w:rFonts w:ascii="Times New Roman" w:hAnsi="Times New Roman" w:cs="Times New Roman"/>
        </w:rPr>
      </w:pPr>
      <w:r w:rsidRPr="00790606">
        <w:rPr>
          <w:rFonts w:ascii="Times New Roman" w:hAnsi="Times New Roman" w:cs="Times New Roman"/>
        </w:rPr>
        <w:t>o PER required; or</w:t>
      </w:r>
    </w:p>
    <w:p w14:paraId="547BB7B4" w14:textId="39D0363A" w:rsidR="005D653B" w:rsidRDefault="005D653B" w:rsidP="00CA0715">
      <w:pPr>
        <w:autoSpaceDE w:val="0"/>
        <w:autoSpaceDN w:val="0"/>
        <w:adjustRightInd w:val="0"/>
        <w:spacing w:after="0" w:line="240" w:lineRule="auto"/>
        <w:jc w:val="both"/>
        <w:rPr>
          <w:rFonts w:ascii="Times New Roman" w:hAnsi="Times New Roman" w:cs="Times New Roman"/>
        </w:rPr>
      </w:pPr>
      <w:r w:rsidRPr="00790606">
        <w:rPr>
          <w:rFonts w:ascii="Times New Roman" w:hAnsi="Times New Roman" w:cs="Times New Roman"/>
        </w:rPr>
        <w:t>o EIS required;</w:t>
      </w:r>
    </w:p>
    <w:p w14:paraId="03BD2CD0" w14:textId="77777777" w:rsidR="004311F5" w:rsidRPr="00790606" w:rsidRDefault="004311F5" w:rsidP="00CA0715">
      <w:pPr>
        <w:autoSpaceDE w:val="0"/>
        <w:autoSpaceDN w:val="0"/>
        <w:adjustRightInd w:val="0"/>
        <w:spacing w:after="0" w:line="240" w:lineRule="auto"/>
        <w:jc w:val="both"/>
        <w:rPr>
          <w:rFonts w:ascii="Times New Roman" w:hAnsi="Times New Roman" w:cs="Times New Roman"/>
        </w:rPr>
      </w:pPr>
    </w:p>
    <w:p w14:paraId="18282792" w14:textId="77777777" w:rsidR="005D653B" w:rsidRPr="00790606" w:rsidRDefault="005D653B" w:rsidP="00CA0715">
      <w:pPr>
        <w:autoSpaceDE w:val="0"/>
        <w:autoSpaceDN w:val="0"/>
        <w:adjustRightInd w:val="0"/>
        <w:spacing w:before="120" w:after="120" w:line="240" w:lineRule="auto"/>
        <w:jc w:val="both"/>
        <w:rPr>
          <w:rFonts w:ascii="Times New Roman" w:hAnsi="Times New Roman" w:cs="Times New Roman"/>
        </w:rPr>
      </w:pPr>
      <w:r w:rsidRPr="00790606">
        <w:rPr>
          <w:rFonts w:ascii="Times New Roman" w:hAnsi="Times New Roman" w:cs="Times New Roman"/>
        </w:rPr>
        <w:t>Consultations with relevant stakeholders, particularly institutions responsible for land use</w:t>
      </w:r>
      <w:r w:rsidR="00C152FE" w:rsidRPr="00790606">
        <w:rPr>
          <w:rFonts w:ascii="Times New Roman" w:hAnsi="Times New Roman" w:cs="Times New Roman"/>
        </w:rPr>
        <w:t xml:space="preserve"> </w:t>
      </w:r>
      <w:r w:rsidRPr="00790606">
        <w:rPr>
          <w:rFonts w:ascii="Times New Roman" w:hAnsi="Times New Roman" w:cs="Times New Roman"/>
        </w:rPr>
        <w:t>zoning, fire, planning permits and persons and communities likely to be affected are important</w:t>
      </w:r>
      <w:r w:rsidR="00C152FE" w:rsidRPr="00790606">
        <w:rPr>
          <w:rFonts w:ascii="Times New Roman" w:hAnsi="Times New Roman" w:cs="Times New Roman"/>
        </w:rPr>
        <w:t xml:space="preserve"> </w:t>
      </w:r>
      <w:r w:rsidRPr="00790606">
        <w:rPr>
          <w:rFonts w:ascii="Times New Roman" w:hAnsi="Times New Roman" w:cs="Times New Roman"/>
        </w:rPr>
        <w:t>ingredients in the screening decision.</w:t>
      </w:r>
    </w:p>
    <w:p w14:paraId="35312555" w14:textId="2842B3DC" w:rsidR="005D653B" w:rsidRPr="00790606" w:rsidRDefault="005D653B" w:rsidP="00CA0715">
      <w:pPr>
        <w:autoSpaceDE w:val="0"/>
        <w:autoSpaceDN w:val="0"/>
        <w:adjustRightInd w:val="0"/>
        <w:spacing w:before="120" w:after="120" w:line="240" w:lineRule="auto"/>
        <w:contextualSpacing/>
        <w:jc w:val="both"/>
        <w:rPr>
          <w:rFonts w:ascii="Times New Roman" w:hAnsi="Times New Roman" w:cs="Times New Roman"/>
          <w:iCs/>
          <w:color w:val="FF0000"/>
        </w:rPr>
      </w:pPr>
      <w:r w:rsidRPr="00790606">
        <w:rPr>
          <w:rFonts w:ascii="Times New Roman" w:hAnsi="Times New Roman" w:cs="Times New Roman"/>
          <w:i/>
          <w:iCs/>
        </w:rPr>
        <w:t xml:space="preserve">* Scoping. </w:t>
      </w:r>
      <w:r w:rsidRPr="00790606">
        <w:rPr>
          <w:rFonts w:ascii="Times New Roman" w:hAnsi="Times New Roman" w:cs="Times New Roman"/>
        </w:rPr>
        <w:t>Whenever the result of the screening or the review of a PER (submitted as the result of</w:t>
      </w:r>
      <w:r w:rsidR="005A1758" w:rsidRPr="00790606">
        <w:rPr>
          <w:rFonts w:ascii="Times New Roman" w:hAnsi="Times New Roman" w:cs="Times New Roman"/>
        </w:rPr>
        <w:t xml:space="preserve"> </w:t>
      </w:r>
      <w:r w:rsidRPr="00790606">
        <w:rPr>
          <w:rFonts w:ascii="Times New Roman" w:hAnsi="Times New Roman" w:cs="Times New Roman"/>
        </w:rPr>
        <w:t>screening) indicates that significant adverse environmental impacts may result from the undertaking,</w:t>
      </w:r>
      <w:r w:rsidR="005A1758" w:rsidRPr="00790606">
        <w:rPr>
          <w:rFonts w:ascii="Times New Roman" w:hAnsi="Times New Roman" w:cs="Times New Roman"/>
        </w:rPr>
        <w:t xml:space="preserve"> </w:t>
      </w:r>
      <w:r w:rsidRPr="00790606">
        <w:rPr>
          <w:rFonts w:ascii="Times New Roman" w:hAnsi="Times New Roman" w:cs="Times New Roman"/>
        </w:rPr>
        <w:t>EPA requires the proponent to submit an EIS. In this instance, the proponent first commissions</w:t>
      </w:r>
      <w:r w:rsidR="005A1758" w:rsidRPr="00790606">
        <w:rPr>
          <w:rFonts w:ascii="Times New Roman" w:hAnsi="Times New Roman" w:cs="Times New Roman"/>
        </w:rPr>
        <w:t xml:space="preserve"> </w:t>
      </w:r>
      <w:r w:rsidRPr="00790606">
        <w:rPr>
          <w:rFonts w:ascii="Times New Roman" w:hAnsi="Times New Roman" w:cs="Times New Roman"/>
        </w:rPr>
        <w:t>or undertakes a scoping exercise. This involves widespread consultations with interested</w:t>
      </w:r>
      <w:r w:rsidR="005A1758" w:rsidRPr="00790606">
        <w:rPr>
          <w:rFonts w:ascii="Times New Roman" w:hAnsi="Times New Roman" w:cs="Times New Roman"/>
        </w:rPr>
        <w:t xml:space="preserve"> </w:t>
      </w:r>
      <w:r w:rsidRPr="00790606">
        <w:rPr>
          <w:rFonts w:ascii="Times New Roman" w:hAnsi="Times New Roman" w:cs="Times New Roman"/>
        </w:rPr>
        <w:t>and/or affected parties, in order to identify all key environmental and social issues and to determine</w:t>
      </w:r>
      <w:r w:rsidR="005A1758" w:rsidRPr="00790606">
        <w:rPr>
          <w:rFonts w:ascii="Times New Roman" w:hAnsi="Times New Roman" w:cs="Times New Roman"/>
        </w:rPr>
        <w:t xml:space="preserve"> </w:t>
      </w:r>
      <w:r w:rsidRPr="00790606">
        <w:rPr>
          <w:rFonts w:ascii="Times New Roman" w:hAnsi="Times New Roman" w:cs="Times New Roman"/>
        </w:rPr>
        <w:t>how the concerns of all parties will be addressed. As a part of the scoping process, the proponent</w:t>
      </w:r>
      <w:r w:rsidR="005A1758" w:rsidRPr="00790606">
        <w:rPr>
          <w:rFonts w:ascii="Times New Roman" w:hAnsi="Times New Roman" w:cs="Times New Roman"/>
        </w:rPr>
        <w:t xml:space="preserve"> </w:t>
      </w:r>
      <w:r w:rsidRPr="00790606">
        <w:rPr>
          <w:rFonts w:ascii="Times New Roman" w:hAnsi="Times New Roman" w:cs="Times New Roman"/>
        </w:rPr>
        <w:t>is expected to: (a) give notices of the proposed undertaking to all relevant Ministries, Department</w:t>
      </w:r>
      <w:r w:rsidR="005A1758" w:rsidRPr="00790606">
        <w:rPr>
          <w:rFonts w:ascii="Times New Roman" w:hAnsi="Times New Roman" w:cs="Times New Roman"/>
        </w:rPr>
        <w:t xml:space="preserve"> </w:t>
      </w:r>
      <w:r w:rsidRPr="00790606">
        <w:rPr>
          <w:rFonts w:ascii="Times New Roman" w:hAnsi="Times New Roman" w:cs="Times New Roman"/>
        </w:rPr>
        <w:t>and Agencies as well as Metropolitan, Municipal or District Assemblies; and (b) advertise</w:t>
      </w:r>
      <w:r w:rsidR="00037519" w:rsidRPr="00790606">
        <w:rPr>
          <w:rFonts w:ascii="Times New Roman" w:hAnsi="Times New Roman" w:cs="Times New Roman"/>
        </w:rPr>
        <w:t xml:space="preserve"> </w:t>
      </w:r>
      <w:r w:rsidRPr="00790606">
        <w:rPr>
          <w:rFonts w:ascii="Times New Roman" w:hAnsi="Times New Roman" w:cs="Times New Roman"/>
        </w:rPr>
        <w:t>in at least one national newspaper and a newspaper circulating in the locality where the proposed</w:t>
      </w:r>
      <w:r w:rsidR="00037519" w:rsidRPr="00790606">
        <w:rPr>
          <w:rFonts w:ascii="Times New Roman" w:hAnsi="Times New Roman" w:cs="Times New Roman"/>
        </w:rPr>
        <w:t xml:space="preserve"> </w:t>
      </w:r>
      <w:r w:rsidRPr="00790606">
        <w:rPr>
          <w:rFonts w:ascii="Times New Roman" w:hAnsi="Times New Roman" w:cs="Times New Roman"/>
        </w:rPr>
        <w:t>project is to be located. The proponent prepares a Scoping Report, which includes a draft</w:t>
      </w:r>
      <w:r w:rsidR="00037519" w:rsidRPr="00790606">
        <w:rPr>
          <w:rFonts w:ascii="Times New Roman" w:hAnsi="Times New Roman" w:cs="Times New Roman"/>
        </w:rPr>
        <w:t xml:space="preserve"> </w:t>
      </w:r>
      <w:r w:rsidRPr="00790606">
        <w:rPr>
          <w:rFonts w:ascii="Times New Roman" w:hAnsi="Times New Roman" w:cs="Times New Roman"/>
        </w:rPr>
        <w:t>Terms of Reference (TOR) for the EIS and submits it to EPA which reviews it with the assistance</w:t>
      </w:r>
      <w:r w:rsidR="00037519" w:rsidRPr="00790606">
        <w:rPr>
          <w:rFonts w:ascii="Times New Roman" w:hAnsi="Times New Roman" w:cs="Times New Roman"/>
        </w:rPr>
        <w:t xml:space="preserve"> </w:t>
      </w:r>
      <w:r w:rsidRPr="00790606">
        <w:rPr>
          <w:rFonts w:ascii="Times New Roman" w:hAnsi="Times New Roman" w:cs="Times New Roman"/>
        </w:rPr>
        <w:t>of the EA/TRC and provides comments within 15 days. The draft TOR can be rejected or approved</w:t>
      </w:r>
      <w:r w:rsidR="00037519" w:rsidRPr="00790606">
        <w:rPr>
          <w:rFonts w:ascii="Times New Roman" w:hAnsi="Times New Roman" w:cs="Times New Roman"/>
        </w:rPr>
        <w:t xml:space="preserve"> </w:t>
      </w:r>
      <w:r w:rsidRPr="00790606">
        <w:rPr>
          <w:rFonts w:ascii="Times New Roman" w:hAnsi="Times New Roman" w:cs="Times New Roman"/>
        </w:rPr>
        <w:t>or revisions/modifications may be required. The proponent is also expected to make copies</w:t>
      </w:r>
      <w:r w:rsidR="00037519" w:rsidRPr="00790606">
        <w:rPr>
          <w:rFonts w:ascii="Times New Roman" w:hAnsi="Times New Roman" w:cs="Times New Roman"/>
        </w:rPr>
        <w:t xml:space="preserve"> </w:t>
      </w:r>
      <w:r w:rsidRPr="00790606">
        <w:rPr>
          <w:rFonts w:ascii="Times New Roman" w:hAnsi="Times New Roman" w:cs="Times New Roman"/>
        </w:rPr>
        <w:t>of the Scoping Report available for inspection by the general public in the locality of the proposed</w:t>
      </w:r>
      <w:r w:rsidR="00037519" w:rsidRPr="00790606">
        <w:rPr>
          <w:rFonts w:ascii="Times New Roman" w:hAnsi="Times New Roman" w:cs="Times New Roman"/>
        </w:rPr>
        <w:t xml:space="preserve"> </w:t>
      </w:r>
      <w:r w:rsidRPr="00790606">
        <w:rPr>
          <w:rFonts w:ascii="Times New Roman" w:hAnsi="Times New Roman" w:cs="Times New Roman"/>
        </w:rPr>
        <w:t>undertaking.</w:t>
      </w:r>
    </w:p>
    <w:p w14:paraId="3971EDDE" w14:textId="77777777" w:rsidR="00A82081" w:rsidRPr="00790606" w:rsidRDefault="00A82081" w:rsidP="009654C2">
      <w:pPr>
        <w:autoSpaceDE w:val="0"/>
        <w:autoSpaceDN w:val="0"/>
        <w:adjustRightInd w:val="0"/>
        <w:spacing w:before="120" w:after="120" w:line="360" w:lineRule="auto"/>
        <w:jc w:val="both"/>
        <w:rPr>
          <w:rFonts w:ascii="Times New Roman" w:hAnsi="Times New Roman" w:cs="Times New Roman"/>
          <w:iCs/>
          <w:color w:val="FF0000"/>
        </w:rPr>
      </w:pPr>
    </w:p>
    <w:p w14:paraId="62BF3C22" w14:textId="77777777" w:rsidR="00A82081" w:rsidRPr="00790606" w:rsidRDefault="00A82081" w:rsidP="009654C2">
      <w:pPr>
        <w:spacing w:before="120" w:after="120" w:line="360" w:lineRule="auto"/>
        <w:jc w:val="both"/>
        <w:rPr>
          <w:rFonts w:ascii="Times New Roman" w:hAnsi="Times New Roman" w:cs="Times New Roman"/>
          <w:iCs/>
          <w:color w:val="FF0000"/>
        </w:rPr>
      </w:pPr>
      <w:r w:rsidRPr="00790606">
        <w:rPr>
          <w:rFonts w:ascii="Times New Roman" w:hAnsi="Times New Roman" w:cs="Times New Roman"/>
          <w:iCs/>
          <w:color w:val="FF0000"/>
        </w:rPr>
        <w:br w:type="page"/>
      </w:r>
    </w:p>
    <w:p w14:paraId="442D46C7" w14:textId="77777777" w:rsidR="005C121C" w:rsidRDefault="00A82081" w:rsidP="005C121C">
      <w:pPr>
        <w:keepNext/>
        <w:autoSpaceDE w:val="0"/>
        <w:autoSpaceDN w:val="0"/>
        <w:adjustRightInd w:val="0"/>
        <w:spacing w:before="120" w:after="120" w:line="360" w:lineRule="auto"/>
        <w:jc w:val="both"/>
      </w:pPr>
      <w:r w:rsidRPr="009654C2">
        <w:rPr>
          <w:rFonts w:ascii="Times New Roman" w:hAnsi="Times New Roman" w:cs="Times New Roman"/>
          <w:iCs/>
          <w:noProof/>
          <w:color w:val="FF0000"/>
        </w:rPr>
        <w:drawing>
          <wp:inline distT="0" distB="0" distL="0" distR="0" wp14:anchorId="34EDA503" wp14:editId="71430DEA">
            <wp:extent cx="5495925" cy="71249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96483" cy="7125657"/>
                    </a:xfrm>
                    <a:prstGeom prst="rect">
                      <a:avLst/>
                    </a:prstGeom>
                    <a:noFill/>
                    <a:ln>
                      <a:noFill/>
                    </a:ln>
                  </pic:spPr>
                </pic:pic>
              </a:graphicData>
            </a:graphic>
          </wp:inline>
        </w:drawing>
      </w:r>
    </w:p>
    <w:p w14:paraId="5D72C010" w14:textId="3B17EF4A" w:rsidR="00A82081" w:rsidRPr="009654C2" w:rsidRDefault="005C121C" w:rsidP="005C121C">
      <w:pPr>
        <w:pStyle w:val="Caption"/>
        <w:jc w:val="both"/>
        <w:rPr>
          <w:iCs/>
          <w:color w:val="FF0000"/>
        </w:rPr>
      </w:pPr>
      <w:r>
        <w:t xml:space="preserve">Figure </w:t>
      </w:r>
      <w:r w:rsidR="00F4337E">
        <w:fldChar w:fldCharType="begin"/>
      </w:r>
      <w:r w:rsidR="00F4337E">
        <w:instrText xml:space="preserve"> SEQ Figure \* ARABIC </w:instrText>
      </w:r>
      <w:r w:rsidR="00F4337E">
        <w:fldChar w:fldCharType="separate"/>
      </w:r>
      <w:r>
        <w:rPr>
          <w:noProof/>
        </w:rPr>
        <w:t>1</w:t>
      </w:r>
      <w:r w:rsidR="00F4337E">
        <w:rPr>
          <w:noProof/>
        </w:rPr>
        <w:fldChar w:fldCharType="end"/>
      </w:r>
      <w:r>
        <w:rPr>
          <w:lang w:val="en-US"/>
        </w:rPr>
        <w:t xml:space="preserve"> Ghana EA Process</w:t>
      </w:r>
    </w:p>
    <w:p w14:paraId="163F0C3E" w14:textId="77777777" w:rsidR="00A82081" w:rsidRPr="009654C2" w:rsidRDefault="00A82081" w:rsidP="009654C2">
      <w:pPr>
        <w:spacing w:before="120" w:after="120" w:line="360" w:lineRule="auto"/>
        <w:jc w:val="both"/>
        <w:rPr>
          <w:rFonts w:ascii="Times New Roman" w:hAnsi="Times New Roman" w:cs="Times New Roman"/>
          <w:iCs/>
          <w:color w:val="FF0000"/>
        </w:rPr>
      </w:pPr>
      <w:r w:rsidRPr="009654C2">
        <w:rPr>
          <w:rFonts w:ascii="Times New Roman" w:hAnsi="Times New Roman" w:cs="Times New Roman"/>
          <w:iCs/>
          <w:color w:val="FF0000"/>
        </w:rPr>
        <w:br w:type="page"/>
      </w:r>
    </w:p>
    <w:p w14:paraId="6C8C8D07" w14:textId="76444F36" w:rsidR="00A82081" w:rsidRPr="009654C2" w:rsidRDefault="00A82081" w:rsidP="00CA0715">
      <w:pPr>
        <w:autoSpaceDE w:val="0"/>
        <w:autoSpaceDN w:val="0"/>
        <w:adjustRightInd w:val="0"/>
        <w:spacing w:before="120" w:after="120" w:line="240" w:lineRule="auto"/>
        <w:jc w:val="both"/>
        <w:rPr>
          <w:rFonts w:ascii="Times New Roman" w:hAnsi="Times New Roman" w:cs="Times New Roman"/>
        </w:rPr>
      </w:pPr>
      <w:r w:rsidRPr="009654C2">
        <w:rPr>
          <w:rFonts w:ascii="Times New Roman" w:hAnsi="Times New Roman" w:cs="Times New Roman"/>
          <w:i/>
          <w:iCs/>
        </w:rPr>
        <w:t xml:space="preserve">Environmental Impact Statement. </w:t>
      </w:r>
      <w:r w:rsidRPr="009654C2">
        <w:rPr>
          <w:rFonts w:ascii="Times New Roman" w:hAnsi="Times New Roman" w:cs="Times New Roman"/>
        </w:rPr>
        <w:t xml:space="preserve">LI 1652 specifies the required content of an EIS. During implementation </w:t>
      </w:r>
      <w:r w:rsidR="00173E1C" w:rsidRPr="009654C2">
        <w:rPr>
          <w:rFonts w:ascii="Times New Roman" w:hAnsi="Times New Roman" w:cs="Times New Roman"/>
        </w:rPr>
        <w:t xml:space="preserve"> o</w:t>
      </w:r>
      <w:r w:rsidRPr="009654C2">
        <w:rPr>
          <w:rFonts w:ascii="Times New Roman" w:hAnsi="Times New Roman" w:cs="Times New Roman"/>
        </w:rPr>
        <w:t>f the study, the proponent is required to initiate a public information and consultation</w:t>
      </w:r>
      <w:r w:rsidR="00173E1C" w:rsidRPr="009654C2">
        <w:rPr>
          <w:rFonts w:ascii="Times New Roman" w:hAnsi="Times New Roman" w:cs="Times New Roman"/>
        </w:rPr>
        <w:t xml:space="preserve"> </w:t>
      </w:r>
      <w:r w:rsidRPr="009654C2">
        <w:rPr>
          <w:rFonts w:ascii="Times New Roman" w:hAnsi="Times New Roman" w:cs="Times New Roman"/>
        </w:rPr>
        <w:t>program for the area likely to be affected by the undertaking. Copies of all reports of the</w:t>
      </w:r>
      <w:r w:rsidR="00173E1C" w:rsidRPr="009654C2">
        <w:rPr>
          <w:rFonts w:ascii="Times New Roman" w:hAnsi="Times New Roman" w:cs="Times New Roman"/>
        </w:rPr>
        <w:t xml:space="preserve"> </w:t>
      </w:r>
      <w:r w:rsidRPr="009654C2">
        <w:rPr>
          <w:rFonts w:ascii="Times New Roman" w:hAnsi="Times New Roman" w:cs="Times New Roman"/>
        </w:rPr>
        <w:t>study shall be made available to EPA and relevant stakeholders. Public concern shall be recorded</w:t>
      </w:r>
      <w:r w:rsidR="00173E1C" w:rsidRPr="009654C2">
        <w:rPr>
          <w:rFonts w:ascii="Times New Roman" w:hAnsi="Times New Roman" w:cs="Times New Roman"/>
        </w:rPr>
        <w:t xml:space="preserve"> </w:t>
      </w:r>
      <w:r w:rsidRPr="009654C2">
        <w:rPr>
          <w:rFonts w:ascii="Times New Roman" w:hAnsi="Times New Roman" w:cs="Times New Roman"/>
        </w:rPr>
        <w:t>and must be addressed by the EIS. The proponent submits the final draft EIS to EPA.</w:t>
      </w:r>
    </w:p>
    <w:p w14:paraId="547E8168" w14:textId="74CEECF8" w:rsidR="00A82081" w:rsidRPr="009654C2" w:rsidRDefault="00A82081" w:rsidP="00CA0715">
      <w:pPr>
        <w:autoSpaceDE w:val="0"/>
        <w:autoSpaceDN w:val="0"/>
        <w:adjustRightInd w:val="0"/>
        <w:spacing w:before="120" w:after="120" w:line="240" w:lineRule="auto"/>
        <w:jc w:val="both"/>
        <w:rPr>
          <w:rFonts w:ascii="Times New Roman" w:hAnsi="Times New Roman" w:cs="Times New Roman"/>
        </w:rPr>
      </w:pPr>
      <w:r w:rsidRPr="009654C2">
        <w:rPr>
          <w:rFonts w:ascii="Times New Roman" w:hAnsi="Times New Roman" w:cs="Times New Roman"/>
          <w:i/>
          <w:iCs/>
        </w:rPr>
        <w:t xml:space="preserve">* EPA Review. </w:t>
      </w:r>
      <w:r w:rsidRPr="009654C2">
        <w:rPr>
          <w:rFonts w:ascii="Times New Roman" w:hAnsi="Times New Roman" w:cs="Times New Roman"/>
        </w:rPr>
        <w:t>The report is reviewed by the EA/TRC, which is composed of representatives of</w:t>
      </w:r>
      <w:r w:rsidR="00173E1C" w:rsidRPr="009654C2">
        <w:rPr>
          <w:rFonts w:ascii="Times New Roman" w:hAnsi="Times New Roman" w:cs="Times New Roman"/>
        </w:rPr>
        <w:t xml:space="preserve"> </w:t>
      </w:r>
      <w:r w:rsidRPr="009654C2">
        <w:rPr>
          <w:rFonts w:ascii="Times New Roman" w:hAnsi="Times New Roman" w:cs="Times New Roman"/>
        </w:rPr>
        <w:t>various Ministries, Departments and Agencies, among which are the Ministry of Environment</w:t>
      </w:r>
      <w:r w:rsidR="00173E1C" w:rsidRPr="009654C2">
        <w:rPr>
          <w:rFonts w:ascii="Times New Roman" w:hAnsi="Times New Roman" w:cs="Times New Roman"/>
        </w:rPr>
        <w:t xml:space="preserve"> </w:t>
      </w:r>
      <w:r w:rsidRPr="009654C2">
        <w:rPr>
          <w:rFonts w:ascii="Times New Roman" w:hAnsi="Times New Roman" w:cs="Times New Roman"/>
        </w:rPr>
        <w:t>and Science, Ministry of Mines, Ministry for Works and Housing, Town and Country Planning</w:t>
      </w:r>
      <w:r w:rsidR="00173E1C" w:rsidRPr="009654C2">
        <w:rPr>
          <w:rFonts w:ascii="Times New Roman" w:hAnsi="Times New Roman" w:cs="Times New Roman"/>
        </w:rPr>
        <w:t xml:space="preserve"> </w:t>
      </w:r>
      <w:r w:rsidRPr="009654C2">
        <w:rPr>
          <w:rFonts w:ascii="Times New Roman" w:hAnsi="Times New Roman" w:cs="Times New Roman"/>
        </w:rPr>
        <w:t>Department, Factories Inspectorate Department and Centre for Scientific and Industrial Research.</w:t>
      </w:r>
      <w:r w:rsidR="00173E1C" w:rsidRPr="009654C2">
        <w:rPr>
          <w:rFonts w:ascii="Times New Roman" w:hAnsi="Times New Roman" w:cs="Times New Roman"/>
        </w:rPr>
        <w:t xml:space="preserve"> </w:t>
      </w:r>
      <w:r w:rsidRPr="009654C2">
        <w:rPr>
          <w:rFonts w:ascii="Times New Roman" w:hAnsi="Times New Roman" w:cs="Times New Roman"/>
        </w:rPr>
        <w:t>An EA/TRC has existed for some time at the central level and handles all proposed undertakings</w:t>
      </w:r>
      <w:r w:rsidR="00173E1C" w:rsidRPr="009654C2">
        <w:rPr>
          <w:rFonts w:ascii="Times New Roman" w:hAnsi="Times New Roman" w:cs="Times New Roman"/>
        </w:rPr>
        <w:t xml:space="preserve"> </w:t>
      </w:r>
      <w:r w:rsidRPr="009654C2">
        <w:rPr>
          <w:rFonts w:ascii="Times New Roman" w:hAnsi="Times New Roman" w:cs="Times New Roman"/>
        </w:rPr>
        <w:t>for which EIS is mandatory (i.e., those listed in Schedule 2 of LI 1652). Four regional EA/TRCs</w:t>
      </w:r>
      <w:r w:rsidR="00173E1C" w:rsidRPr="009654C2">
        <w:rPr>
          <w:rFonts w:ascii="Times New Roman" w:hAnsi="Times New Roman" w:cs="Times New Roman"/>
        </w:rPr>
        <w:t xml:space="preserve"> </w:t>
      </w:r>
      <w:r w:rsidRPr="009654C2">
        <w:rPr>
          <w:rFonts w:ascii="Times New Roman" w:hAnsi="Times New Roman" w:cs="Times New Roman"/>
        </w:rPr>
        <w:t>were established during 2005 to facilitate quicker review and follow-up. Regional offices deal</w:t>
      </w:r>
      <w:r w:rsidR="00173E1C" w:rsidRPr="009654C2">
        <w:rPr>
          <w:rFonts w:ascii="Times New Roman" w:hAnsi="Times New Roman" w:cs="Times New Roman"/>
        </w:rPr>
        <w:t xml:space="preserve"> </w:t>
      </w:r>
      <w:r w:rsidRPr="009654C2">
        <w:rPr>
          <w:rFonts w:ascii="Times New Roman" w:hAnsi="Times New Roman" w:cs="Times New Roman"/>
        </w:rPr>
        <w:t>with the initial registration of proposals and with review of PERs, hence the regional committees</w:t>
      </w:r>
      <w:r w:rsidR="00173E1C" w:rsidRPr="009654C2">
        <w:rPr>
          <w:rFonts w:ascii="Times New Roman" w:hAnsi="Times New Roman" w:cs="Times New Roman"/>
        </w:rPr>
        <w:t xml:space="preserve"> </w:t>
      </w:r>
      <w:r w:rsidRPr="009654C2">
        <w:rPr>
          <w:rFonts w:ascii="Times New Roman" w:hAnsi="Times New Roman" w:cs="Times New Roman"/>
        </w:rPr>
        <w:t>deal with small and medium-scale projects not located in sensitive areas. EA/TRCs will be operational</w:t>
      </w:r>
      <w:r w:rsidR="00173E1C" w:rsidRPr="009654C2">
        <w:rPr>
          <w:rFonts w:ascii="Times New Roman" w:hAnsi="Times New Roman" w:cs="Times New Roman"/>
        </w:rPr>
        <w:t xml:space="preserve"> </w:t>
      </w:r>
      <w:r w:rsidRPr="009654C2">
        <w:rPr>
          <w:rFonts w:ascii="Times New Roman" w:hAnsi="Times New Roman" w:cs="Times New Roman"/>
        </w:rPr>
        <w:t>in the other six EPA regions by September 30, 2006. The review committee is required to:</w:t>
      </w:r>
    </w:p>
    <w:p w14:paraId="6F62CF55" w14:textId="01F0E261" w:rsidR="00A82081" w:rsidRPr="009654C2" w:rsidRDefault="00A82081" w:rsidP="00CA0715">
      <w:pPr>
        <w:autoSpaceDE w:val="0"/>
        <w:autoSpaceDN w:val="0"/>
        <w:adjustRightInd w:val="0"/>
        <w:spacing w:after="0" w:line="240" w:lineRule="auto"/>
        <w:jc w:val="both"/>
        <w:rPr>
          <w:rFonts w:ascii="Times New Roman" w:hAnsi="Times New Roman" w:cs="Times New Roman"/>
        </w:rPr>
      </w:pPr>
      <w:r w:rsidRPr="009654C2">
        <w:rPr>
          <w:rFonts w:ascii="Times New Roman" w:hAnsi="Times New Roman" w:cs="Times New Roman"/>
        </w:rPr>
        <w:t>o Assist the EPA in screening/reviewing all EA applications and reports (EISs, PERs, Annual</w:t>
      </w:r>
      <w:r w:rsidR="006F431D">
        <w:rPr>
          <w:rFonts w:ascii="Times New Roman" w:hAnsi="Times New Roman" w:cs="Times New Roman"/>
        </w:rPr>
        <w:t xml:space="preserve"> </w:t>
      </w:r>
      <w:r w:rsidRPr="009654C2">
        <w:rPr>
          <w:rFonts w:ascii="Times New Roman" w:hAnsi="Times New Roman" w:cs="Times New Roman"/>
        </w:rPr>
        <w:t>Environmental Reports,</w:t>
      </w:r>
      <w:r w:rsidR="00C152FE" w:rsidRPr="009654C2">
        <w:rPr>
          <w:rFonts w:ascii="Times New Roman" w:hAnsi="Times New Roman" w:cs="Times New Roman"/>
        </w:rPr>
        <w:t xml:space="preserve"> EMP and other related reports):</w:t>
      </w:r>
    </w:p>
    <w:p w14:paraId="3CB8DCE6" w14:textId="77777777" w:rsidR="00A82081" w:rsidRPr="009654C2" w:rsidRDefault="00A82081" w:rsidP="00CA0715">
      <w:pPr>
        <w:autoSpaceDE w:val="0"/>
        <w:autoSpaceDN w:val="0"/>
        <w:adjustRightInd w:val="0"/>
        <w:spacing w:after="0" w:line="240" w:lineRule="auto"/>
        <w:jc w:val="both"/>
        <w:rPr>
          <w:rFonts w:ascii="Times New Roman" w:hAnsi="Times New Roman" w:cs="Times New Roman"/>
        </w:rPr>
      </w:pPr>
      <w:r w:rsidRPr="009654C2">
        <w:rPr>
          <w:rFonts w:ascii="Times New Roman" w:hAnsi="Times New Roman" w:cs="Times New Roman"/>
        </w:rPr>
        <w:t>o Make recommendations to the Executive Director or Regional Director for final decision</w:t>
      </w:r>
      <w:r w:rsidR="00DE2734" w:rsidRPr="009654C2">
        <w:rPr>
          <w:rFonts w:ascii="Times New Roman" w:hAnsi="Times New Roman" w:cs="Times New Roman"/>
        </w:rPr>
        <w:t xml:space="preserve"> </w:t>
      </w:r>
      <w:r w:rsidRPr="009654C2">
        <w:rPr>
          <w:rFonts w:ascii="Times New Roman" w:hAnsi="Times New Roman" w:cs="Times New Roman"/>
        </w:rPr>
        <w:t>making;</w:t>
      </w:r>
    </w:p>
    <w:p w14:paraId="4E8C8A39" w14:textId="07FF2159" w:rsidR="00A82081" w:rsidRPr="009654C2" w:rsidRDefault="00A82081" w:rsidP="00CA0715">
      <w:pPr>
        <w:autoSpaceDE w:val="0"/>
        <w:autoSpaceDN w:val="0"/>
        <w:adjustRightInd w:val="0"/>
        <w:spacing w:after="0" w:line="240" w:lineRule="auto"/>
        <w:jc w:val="both"/>
        <w:rPr>
          <w:rFonts w:ascii="Times New Roman" w:hAnsi="Times New Roman" w:cs="Times New Roman"/>
        </w:rPr>
      </w:pPr>
      <w:r w:rsidRPr="009654C2">
        <w:rPr>
          <w:rFonts w:ascii="Times New Roman" w:hAnsi="Times New Roman" w:cs="Times New Roman"/>
        </w:rPr>
        <w:t>o Provide technical advice on conduct of assessments and related studies for undertakings and</w:t>
      </w:r>
      <w:r w:rsidR="006F431D">
        <w:rPr>
          <w:rFonts w:ascii="Times New Roman" w:hAnsi="Times New Roman" w:cs="Times New Roman"/>
        </w:rPr>
        <w:t xml:space="preserve"> </w:t>
      </w:r>
      <w:r w:rsidRPr="009654C2">
        <w:rPr>
          <w:rFonts w:ascii="Times New Roman" w:hAnsi="Times New Roman" w:cs="Times New Roman"/>
        </w:rPr>
        <w:t>the reports submitted on them;</w:t>
      </w:r>
    </w:p>
    <w:p w14:paraId="009F89FF" w14:textId="77777777" w:rsidR="00A82081" w:rsidRPr="009654C2" w:rsidRDefault="00A82081" w:rsidP="00CA0715">
      <w:pPr>
        <w:autoSpaceDE w:val="0"/>
        <w:autoSpaceDN w:val="0"/>
        <w:adjustRightInd w:val="0"/>
        <w:spacing w:after="0" w:line="240" w:lineRule="auto"/>
        <w:jc w:val="both"/>
        <w:rPr>
          <w:rFonts w:ascii="Times New Roman" w:hAnsi="Times New Roman" w:cs="Times New Roman"/>
        </w:rPr>
      </w:pPr>
      <w:r w:rsidRPr="009654C2">
        <w:rPr>
          <w:rFonts w:ascii="Times New Roman" w:hAnsi="Times New Roman" w:cs="Times New Roman"/>
        </w:rPr>
        <w:t>o Make recommendations on the adequacy of the assessments and any observed gaps;</w:t>
      </w:r>
    </w:p>
    <w:p w14:paraId="088593C5" w14:textId="7F1FE246" w:rsidR="00A82081" w:rsidRPr="009654C2" w:rsidRDefault="00A82081" w:rsidP="00CA0715">
      <w:pPr>
        <w:autoSpaceDE w:val="0"/>
        <w:autoSpaceDN w:val="0"/>
        <w:adjustRightInd w:val="0"/>
        <w:spacing w:after="0" w:line="240" w:lineRule="auto"/>
        <w:jc w:val="both"/>
        <w:rPr>
          <w:rFonts w:ascii="Times New Roman" w:hAnsi="Times New Roman" w:cs="Times New Roman"/>
        </w:rPr>
      </w:pPr>
      <w:r w:rsidRPr="009654C2">
        <w:rPr>
          <w:rFonts w:ascii="Times New Roman" w:hAnsi="Times New Roman" w:cs="Times New Roman"/>
        </w:rPr>
        <w:t>o Advise on the seriousness of such gaps and the risks or otherwise to decisions required to be</w:t>
      </w:r>
      <w:r w:rsidR="006F431D">
        <w:rPr>
          <w:rFonts w:ascii="Times New Roman" w:hAnsi="Times New Roman" w:cs="Times New Roman"/>
        </w:rPr>
        <w:t xml:space="preserve"> </w:t>
      </w:r>
      <w:r w:rsidRPr="009654C2">
        <w:rPr>
          <w:rFonts w:ascii="Times New Roman" w:hAnsi="Times New Roman" w:cs="Times New Roman"/>
        </w:rPr>
        <w:t>made;</w:t>
      </w:r>
    </w:p>
    <w:p w14:paraId="3BD33C21" w14:textId="5B75E967" w:rsidR="00A82081" w:rsidRPr="009654C2" w:rsidRDefault="00A82081" w:rsidP="00CA0715">
      <w:pPr>
        <w:autoSpaceDE w:val="0"/>
        <w:autoSpaceDN w:val="0"/>
        <w:adjustRightInd w:val="0"/>
        <w:spacing w:after="0" w:line="240" w:lineRule="auto"/>
        <w:jc w:val="both"/>
        <w:rPr>
          <w:rFonts w:ascii="Times New Roman" w:hAnsi="Times New Roman" w:cs="Times New Roman"/>
        </w:rPr>
      </w:pPr>
      <w:r w:rsidRPr="009654C2">
        <w:rPr>
          <w:rFonts w:ascii="Times New Roman" w:hAnsi="Times New Roman" w:cs="Times New Roman"/>
        </w:rPr>
        <w:t>o Recommend whether the undertaking as proposed may be accepted or rejected, the conditions</w:t>
      </w:r>
      <w:r w:rsidR="006F431D">
        <w:rPr>
          <w:rFonts w:ascii="Times New Roman" w:hAnsi="Times New Roman" w:cs="Times New Roman"/>
        </w:rPr>
        <w:t xml:space="preserve"> </w:t>
      </w:r>
      <w:r w:rsidRPr="009654C2">
        <w:rPr>
          <w:rFonts w:ascii="Times New Roman" w:hAnsi="Times New Roman" w:cs="Times New Roman"/>
        </w:rPr>
        <w:t>of acceptance if any, or the reasons for rejection; and</w:t>
      </w:r>
      <w:r w:rsidR="00C152FE" w:rsidRPr="009654C2">
        <w:rPr>
          <w:rFonts w:ascii="Times New Roman" w:hAnsi="Times New Roman" w:cs="Times New Roman"/>
        </w:rPr>
        <w:t>,</w:t>
      </w:r>
    </w:p>
    <w:p w14:paraId="31B69FE7" w14:textId="77777777" w:rsidR="00A82081" w:rsidRPr="009654C2" w:rsidRDefault="00A82081" w:rsidP="00CA0715">
      <w:pPr>
        <w:autoSpaceDE w:val="0"/>
        <w:autoSpaceDN w:val="0"/>
        <w:adjustRightInd w:val="0"/>
        <w:spacing w:after="0" w:line="240" w:lineRule="auto"/>
        <w:jc w:val="both"/>
        <w:rPr>
          <w:rFonts w:ascii="Times New Roman" w:hAnsi="Times New Roman" w:cs="Times New Roman"/>
        </w:rPr>
      </w:pPr>
      <w:r w:rsidRPr="009654C2">
        <w:rPr>
          <w:rFonts w:ascii="Times New Roman" w:hAnsi="Times New Roman" w:cs="Times New Roman"/>
        </w:rPr>
        <w:t>o Provide guidance on how any outstanding issues/area may be satisfactorily addressed.</w:t>
      </w:r>
    </w:p>
    <w:p w14:paraId="7BB11EBE" w14:textId="2F500FA6" w:rsidR="007C737A" w:rsidRPr="009654C2" w:rsidRDefault="00A82081" w:rsidP="00CA0715">
      <w:pPr>
        <w:autoSpaceDE w:val="0"/>
        <w:autoSpaceDN w:val="0"/>
        <w:adjustRightInd w:val="0"/>
        <w:spacing w:before="120" w:after="120" w:line="240" w:lineRule="auto"/>
        <w:jc w:val="both"/>
        <w:rPr>
          <w:rFonts w:ascii="Times New Roman" w:hAnsi="Times New Roman" w:cs="Times New Roman"/>
          <w:i/>
          <w:iCs/>
        </w:rPr>
      </w:pPr>
      <w:r w:rsidRPr="009654C2">
        <w:rPr>
          <w:rFonts w:ascii="Times New Roman" w:hAnsi="Times New Roman" w:cs="Times New Roman"/>
          <w:i/>
          <w:iCs/>
        </w:rPr>
        <w:t xml:space="preserve">* Public Consultation. </w:t>
      </w:r>
      <w:r w:rsidRPr="009654C2">
        <w:rPr>
          <w:rFonts w:ascii="Times New Roman" w:hAnsi="Times New Roman" w:cs="Times New Roman"/>
        </w:rPr>
        <w:t>Public consultation is inherent in the EA process from screening to permit</w:t>
      </w:r>
      <w:r w:rsidR="006F431D">
        <w:rPr>
          <w:rFonts w:ascii="Times New Roman" w:hAnsi="Times New Roman" w:cs="Times New Roman"/>
        </w:rPr>
        <w:t xml:space="preserve"> </w:t>
      </w:r>
      <w:r w:rsidRPr="009654C2">
        <w:rPr>
          <w:rFonts w:ascii="Times New Roman" w:hAnsi="Times New Roman" w:cs="Times New Roman"/>
        </w:rPr>
        <w:t xml:space="preserve">issuance. According to LI 1652 and the </w:t>
      </w:r>
      <w:r w:rsidRPr="009654C2">
        <w:rPr>
          <w:rFonts w:ascii="Times New Roman" w:hAnsi="Times New Roman" w:cs="Times New Roman"/>
          <w:i/>
          <w:iCs/>
        </w:rPr>
        <w:t xml:space="preserve">Environmental Impact Assessment Procedures, </w:t>
      </w:r>
      <w:r w:rsidRPr="009654C2">
        <w:rPr>
          <w:rFonts w:ascii="Times New Roman" w:hAnsi="Times New Roman" w:cs="Times New Roman"/>
        </w:rPr>
        <w:t>the concerns</w:t>
      </w:r>
      <w:r w:rsidR="006F431D">
        <w:rPr>
          <w:rFonts w:ascii="Times New Roman" w:hAnsi="Times New Roman" w:cs="Times New Roman"/>
        </w:rPr>
        <w:t xml:space="preserve"> </w:t>
      </w:r>
      <w:r w:rsidRPr="009654C2">
        <w:rPr>
          <w:rFonts w:ascii="Times New Roman" w:hAnsi="Times New Roman" w:cs="Times New Roman"/>
        </w:rPr>
        <w:t>of the public, if any, and in particular concerns of immediate residents of the project site,</w:t>
      </w:r>
      <w:r w:rsidR="00C152FE" w:rsidRPr="009654C2">
        <w:rPr>
          <w:rFonts w:ascii="Times New Roman" w:hAnsi="Times New Roman" w:cs="Times New Roman"/>
        </w:rPr>
        <w:t xml:space="preserve"> </w:t>
      </w:r>
      <w:r w:rsidRPr="009654C2">
        <w:rPr>
          <w:rFonts w:ascii="Times New Roman" w:hAnsi="Times New Roman" w:cs="Times New Roman"/>
        </w:rPr>
        <w:t>must be taken into account at the screening stage. A proponent required to prepare an EIS must</w:t>
      </w:r>
      <w:r w:rsidR="00C152FE" w:rsidRPr="009654C2">
        <w:rPr>
          <w:rFonts w:ascii="Times New Roman" w:hAnsi="Times New Roman" w:cs="Times New Roman"/>
        </w:rPr>
        <w:t xml:space="preserve"> </w:t>
      </w:r>
      <w:r w:rsidRPr="009654C2">
        <w:rPr>
          <w:rFonts w:ascii="Times New Roman" w:hAnsi="Times New Roman" w:cs="Times New Roman"/>
        </w:rPr>
        <w:t>notify relevant ministries, government departments, and the relevant Metropolitan, Municipal or</w:t>
      </w:r>
      <w:r w:rsidR="00C152FE" w:rsidRPr="009654C2">
        <w:rPr>
          <w:rFonts w:ascii="Times New Roman" w:hAnsi="Times New Roman" w:cs="Times New Roman"/>
        </w:rPr>
        <w:t xml:space="preserve"> </w:t>
      </w:r>
      <w:r w:rsidRPr="009654C2">
        <w:rPr>
          <w:rFonts w:ascii="Times New Roman" w:hAnsi="Times New Roman" w:cs="Times New Roman"/>
        </w:rPr>
        <w:t>District Assembly of the proposed undertaking and advertise it in at least one national and one local</w:t>
      </w:r>
      <w:r w:rsidR="00C152FE" w:rsidRPr="009654C2">
        <w:rPr>
          <w:rFonts w:ascii="Times New Roman" w:hAnsi="Times New Roman" w:cs="Times New Roman"/>
        </w:rPr>
        <w:t xml:space="preserve"> </w:t>
      </w:r>
      <w:r w:rsidRPr="009654C2">
        <w:rPr>
          <w:rFonts w:ascii="Times New Roman" w:hAnsi="Times New Roman" w:cs="Times New Roman"/>
        </w:rPr>
        <w:t>newspaper. Scoping reports must be made available for public inspection in the locality of the</w:t>
      </w:r>
      <w:r w:rsidR="00C152FE" w:rsidRPr="009654C2">
        <w:rPr>
          <w:rFonts w:ascii="Times New Roman" w:hAnsi="Times New Roman" w:cs="Times New Roman"/>
        </w:rPr>
        <w:t xml:space="preserve"> </w:t>
      </w:r>
      <w:r w:rsidRPr="009654C2">
        <w:rPr>
          <w:rFonts w:ascii="Times New Roman" w:hAnsi="Times New Roman" w:cs="Times New Roman"/>
        </w:rPr>
        <w:t>proposed project. The TOR for an EIS must provide for consultation with members of the public</w:t>
      </w:r>
      <w:r w:rsidR="00C152FE" w:rsidRPr="009654C2">
        <w:rPr>
          <w:rFonts w:ascii="Times New Roman" w:hAnsi="Times New Roman" w:cs="Times New Roman"/>
        </w:rPr>
        <w:t xml:space="preserve"> </w:t>
      </w:r>
      <w:r w:rsidRPr="009654C2">
        <w:rPr>
          <w:rFonts w:ascii="Times New Roman" w:hAnsi="Times New Roman" w:cs="Times New Roman"/>
        </w:rPr>
        <w:t>that might be affected by the proposed project. During the review of a draft EIA, copies are</w:t>
      </w:r>
      <w:r w:rsidR="00C152FE" w:rsidRPr="009654C2">
        <w:rPr>
          <w:rFonts w:ascii="Times New Roman" w:hAnsi="Times New Roman" w:cs="Times New Roman"/>
        </w:rPr>
        <w:t xml:space="preserve"> </w:t>
      </w:r>
      <w:r w:rsidRPr="009654C2">
        <w:rPr>
          <w:rFonts w:ascii="Times New Roman" w:hAnsi="Times New Roman" w:cs="Times New Roman"/>
        </w:rPr>
        <w:t>placed at vantage points including the EPA Library, relevant District Assembly, EPA Regional</w:t>
      </w:r>
      <w:r w:rsidR="00C152FE" w:rsidRPr="009654C2">
        <w:rPr>
          <w:rFonts w:ascii="Times New Roman" w:hAnsi="Times New Roman" w:cs="Times New Roman"/>
        </w:rPr>
        <w:t xml:space="preserve"> </w:t>
      </w:r>
      <w:r w:rsidRPr="009654C2">
        <w:rPr>
          <w:rFonts w:ascii="Times New Roman" w:hAnsi="Times New Roman" w:cs="Times New Roman"/>
        </w:rPr>
        <w:t>Offices and the sectoral ministry responsible for a particular undertaking. EPA posts a public notice</w:t>
      </w:r>
      <w:r w:rsidR="00C152FE" w:rsidRPr="009654C2">
        <w:rPr>
          <w:rFonts w:ascii="Times New Roman" w:hAnsi="Times New Roman" w:cs="Times New Roman"/>
        </w:rPr>
        <w:t xml:space="preserve"> </w:t>
      </w:r>
      <w:r w:rsidRPr="009654C2">
        <w:rPr>
          <w:rFonts w:ascii="Times New Roman" w:hAnsi="Times New Roman" w:cs="Times New Roman"/>
        </w:rPr>
        <w:t>in the national and local newspapers about the EIS publication and its availability for public</w:t>
      </w:r>
      <w:r w:rsidR="00C152FE" w:rsidRPr="009654C2">
        <w:rPr>
          <w:rFonts w:ascii="Times New Roman" w:hAnsi="Times New Roman" w:cs="Times New Roman"/>
        </w:rPr>
        <w:t xml:space="preserve"> </w:t>
      </w:r>
      <w:r w:rsidRPr="009654C2">
        <w:rPr>
          <w:rFonts w:ascii="Times New Roman" w:hAnsi="Times New Roman" w:cs="Times New Roman"/>
        </w:rPr>
        <w:t>comments for a 21 -day period.</w:t>
      </w:r>
    </w:p>
    <w:p w14:paraId="63788FA5" w14:textId="2AE3685E" w:rsidR="00A82081" w:rsidRPr="009654C2" w:rsidRDefault="00A82081" w:rsidP="00CA0715">
      <w:pPr>
        <w:autoSpaceDE w:val="0"/>
        <w:autoSpaceDN w:val="0"/>
        <w:adjustRightInd w:val="0"/>
        <w:spacing w:before="120" w:after="120" w:line="240" w:lineRule="auto"/>
        <w:contextualSpacing/>
        <w:jc w:val="both"/>
        <w:rPr>
          <w:rFonts w:ascii="Times New Roman" w:hAnsi="Times New Roman" w:cs="Times New Roman"/>
        </w:rPr>
      </w:pPr>
      <w:r w:rsidRPr="009654C2">
        <w:rPr>
          <w:rFonts w:ascii="Times New Roman" w:hAnsi="Times New Roman" w:cs="Times New Roman"/>
          <w:i/>
          <w:iCs/>
        </w:rPr>
        <w:t xml:space="preserve">* Public Hearings. </w:t>
      </w:r>
      <w:r w:rsidRPr="009654C2">
        <w:rPr>
          <w:rFonts w:ascii="Times New Roman" w:hAnsi="Times New Roman" w:cs="Times New Roman"/>
        </w:rPr>
        <w:t>Regulation 17 of LI 1652 specifies three conditions that oblige EPA to hold a</w:t>
      </w:r>
      <w:r w:rsidR="00173E1C" w:rsidRPr="009654C2">
        <w:rPr>
          <w:rFonts w:ascii="Times New Roman" w:hAnsi="Times New Roman" w:cs="Times New Roman"/>
        </w:rPr>
        <w:t xml:space="preserve"> </w:t>
      </w:r>
      <w:r w:rsidRPr="009654C2">
        <w:rPr>
          <w:rFonts w:ascii="Times New Roman" w:hAnsi="Times New Roman" w:cs="Times New Roman"/>
        </w:rPr>
        <w:t>public hearing on a proposed project:</w:t>
      </w:r>
    </w:p>
    <w:p w14:paraId="302706E6" w14:textId="77777777" w:rsidR="00173E1C" w:rsidRPr="009654C2" w:rsidRDefault="00A82081" w:rsidP="00CA0715">
      <w:pPr>
        <w:autoSpaceDE w:val="0"/>
        <w:autoSpaceDN w:val="0"/>
        <w:adjustRightInd w:val="0"/>
        <w:spacing w:before="120" w:after="120" w:line="240" w:lineRule="auto"/>
        <w:contextualSpacing/>
        <w:jc w:val="both"/>
        <w:rPr>
          <w:rFonts w:ascii="Times New Roman" w:hAnsi="Times New Roman" w:cs="Times New Roman"/>
        </w:rPr>
      </w:pPr>
      <w:r w:rsidRPr="009654C2">
        <w:rPr>
          <w:rFonts w:ascii="Times New Roman" w:hAnsi="Times New Roman" w:cs="Times New Roman"/>
        </w:rPr>
        <w:t>o When a notice issued under Regulation 16 of LI 1652 results in great public reaction to the</w:t>
      </w:r>
      <w:r w:rsidR="00173E1C" w:rsidRPr="009654C2">
        <w:rPr>
          <w:rFonts w:ascii="Times New Roman" w:hAnsi="Times New Roman" w:cs="Times New Roman"/>
        </w:rPr>
        <w:t xml:space="preserve"> </w:t>
      </w:r>
      <w:r w:rsidRPr="009654C2">
        <w:rPr>
          <w:rFonts w:ascii="Times New Roman" w:hAnsi="Times New Roman" w:cs="Times New Roman"/>
        </w:rPr>
        <w:t>commencement of the proposed undertaking;</w:t>
      </w:r>
    </w:p>
    <w:p w14:paraId="3224B02E" w14:textId="7EE19BE8" w:rsidR="00A82081" w:rsidRPr="009654C2" w:rsidRDefault="00A82081" w:rsidP="00CA0715">
      <w:pPr>
        <w:autoSpaceDE w:val="0"/>
        <w:autoSpaceDN w:val="0"/>
        <w:adjustRightInd w:val="0"/>
        <w:spacing w:before="120" w:after="120" w:line="240" w:lineRule="auto"/>
        <w:contextualSpacing/>
        <w:jc w:val="both"/>
        <w:rPr>
          <w:rFonts w:ascii="Times New Roman" w:hAnsi="Times New Roman" w:cs="Times New Roman"/>
        </w:rPr>
      </w:pPr>
      <w:r w:rsidRPr="009654C2">
        <w:rPr>
          <w:rFonts w:ascii="Times New Roman" w:hAnsi="Times New Roman" w:cs="Times New Roman"/>
        </w:rPr>
        <w:t>o When the undertaking will involve the dislocation, relocation or resettlement of communities;</w:t>
      </w:r>
      <w:r w:rsidR="00C152FE" w:rsidRPr="009654C2">
        <w:rPr>
          <w:rFonts w:ascii="Times New Roman" w:hAnsi="Times New Roman" w:cs="Times New Roman"/>
        </w:rPr>
        <w:t xml:space="preserve"> </w:t>
      </w:r>
      <w:r w:rsidRPr="009654C2">
        <w:rPr>
          <w:rFonts w:ascii="Times New Roman" w:hAnsi="Times New Roman" w:cs="Times New Roman"/>
        </w:rPr>
        <w:t>and</w:t>
      </w:r>
      <w:r w:rsidR="007C737A" w:rsidRPr="009654C2">
        <w:rPr>
          <w:rFonts w:ascii="Times New Roman" w:hAnsi="Times New Roman" w:cs="Times New Roman"/>
        </w:rPr>
        <w:t>,</w:t>
      </w:r>
    </w:p>
    <w:p w14:paraId="23E14D2A" w14:textId="5AFEB779" w:rsidR="00A82081" w:rsidRDefault="00A82081" w:rsidP="00CA0715">
      <w:pPr>
        <w:autoSpaceDE w:val="0"/>
        <w:autoSpaceDN w:val="0"/>
        <w:adjustRightInd w:val="0"/>
        <w:spacing w:before="120" w:after="120" w:line="240" w:lineRule="auto"/>
        <w:contextualSpacing/>
        <w:jc w:val="both"/>
        <w:rPr>
          <w:rFonts w:ascii="Times New Roman" w:hAnsi="Times New Roman" w:cs="Times New Roman"/>
        </w:rPr>
      </w:pPr>
      <w:r w:rsidRPr="009654C2">
        <w:rPr>
          <w:rFonts w:ascii="Times New Roman" w:hAnsi="Times New Roman" w:cs="Times New Roman"/>
        </w:rPr>
        <w:t>o When EPA considers that, the undertaking could have extensive and far reaching effects on</w:t>
      </w:r>
      <w:r w:rsidR="006F431D">
        <w:rPr>
          <w:rFonts w:ascii="Times New Roman" w:hAnsi="Times New Roman" w:cs="Times New Roman"/>
        </w:rPr>
        <w:t xml:space="preserve"> </w:t>
      </w:r>
      <w:r w:rsidRPr="009654C2">
        <w:rPr>
          <w:rFonts w:ascii="Times New Roman" w:hAnsi="Times New Roman" w:cs="Times New Roman"/>
        </w:rPr>
        <w:t>the environment.</w:t>
      </w:r>
      <w:r w:rsidR="00173E1C" w:rsidRPr="009654C2">
        <w:rPr>
          <w:rFonts w:ascii="Times New Roman" w:hAnsi="Times New Roman" w:cs="Times New Roman"/>
        </w:rPr>
        <w:t xml:space="preserve"> </w:t>
      </w:r>
    </w:p>
    <w:p w14:paraId="5572B7EB" w14:textId="77777777" w:rsidR="006F431D" w:rsidRPr="009654C2" w:rsidRDefault="006F431D" w:rsidP="00CA0715">
      <w:pPr>
        <w:autoSpaceDE w:val="0"/>
        <w:autoSpaceDN w:val="0"/>
        <w:adjustRightInd w:val="0"/>
        <w:spacing w:before="120" w:after="120" w:line="240" w:lineRule="auto"/>
        <w:contextualSpacing/>
        <w:jc w:val="both"/>
        <w:rPr>
          <w:rFonts w:ascii="Times New Roman" w:hAnsi="Times New Roman" w:cs="Times New Roman"/>
        </w:rPr>
      </w:pPr>
    </w:p>
    <w:p w14:paraId="0ECF79A1" w14:textId="2E191176" w:rsidR="00A82081" w:rsidRPr="009654C2" w:rsidRDefault="00A82081" w:rsidP="00CA0715">
      <w:pPr>
        <w:autoSpaceDE w:val="0"/>
        <w:autoSpaceDN w:val="0"/>
        <w:adjustRightInd w:val="0"/>
        <w:spacing w:before="120" w:after="120" w:line="240" w:lineRule="auto"/>
        <w:jc w:val="both"/>
        <w:rPr>
          <w:rFonts w:ascii="Times New Roman" w:hAnsi="Times New Roman" w:cs="Times New Roman"/>
          <w:i/>
          <w:iCs/>
        </w:rPr>
      </w:pPr>
      <w:r w:rsidRPr="009654C2">
        <w:rPr>
          <w:rFonts w:ascii="Times New Roman" w:hAnsi="Times New Roman" w:cs="Times New Roman"/>
        </w:rPr>
        <w:t>Where a public hearing is held, the processing of an application may be extended beyond the prescribed</w:t>
      </w:r>
      <w:r w:rsidR="00173E1C" w:rsidRPr="009654C2">
        <w:rPr>
          <w:rFonts w:ascii="Times New Roman" w:hAnsi="Times New Roman" w:cs="Times New Roman"/>
        </w:rPr>
        <w:t xml:space="preserve"> </w:t>
      </w:r>
      <w:r w:rsidRPr="009654C2">
        <w:rPr>
          <w:rFonts w:ascii="Times New Roman" w:hAnsi="Times New Roman" w:cs="Times New Roman"/>
        </w:rPr>
        <w:t>timelines required for EPA's actions and decision-making. In discussions with EPA officials,</w:t>
      </w:r>
      <w:r w:rsidR="00173E1C" w:rsidRPr="009654C2">
        <w:rPr>
          <w:rFonts w:ascii="Times New Roman" w:hAnsi="Times New Roman" w:cs="Times New Roman"/>
        </w:rPr>
        <w:t xml:space="preserve"> </w:t>
      </w:r>
      <w:r w:rsidRPr="009654C2">
        <w:rPr>
          <w:rFonts w:ascii="Times New Roman" w:hAnsi="Times New Roman" w:cs="Times New Roman"/>
        </w:rPr>
        <w:t>it was mentioned that the proponent's presentation at a public hearing needs to be in the local</w:t>
      </w:r>
      <w:r w:rsidR="00173E1C" w:rsidRPr="009654C2">
        <w:rPr>
          <w:rFonts w:ascii="Times New Roman" w:hAnsi="Times New Roman" w:cs="Times New Roman"/>
        </w:rPr>
        <w:t xml:space="preserve"> </w:t>
      </w:r>
      <w:r w:rsidRPr="009654C2">
        <w:rPr>
          <w:rFonts w:ascii="Times New Roman" w:hAnsi="Times New Roman" w:cs="Times New Roman"/>
        </w:rPr>
        <w:t xml:space="preserve">language, but this does not appear in the </w:t>
      </w:r>
      <w:r w:rsidRPr="009654C2">
        <w:rPr>
          <w:rFonts w:ascii="Times New Roman" w:hAnsi="Times New Roman" w:cs="Times New Roman"/>
          <w:i/>
          <w:iCs/>
        </w:rPr>
        <w:t>EA Regulations.</w:t>
      </w:r>
    </w:p>
    <w:p w14:paraId="4879DEEB" w14:textId="77777777" w:rsidR="007C737A" w:rsidRPr="009654C2" w:rsidRDefault="007C737A" w:rsidP="00CA0715">
      <w:pPr>
        <w:autoSpaceDE w:val="0"/>
        <w:autoSpaceDN w:val="0"/>
        <w:adjustRightInd w:val="0"/>
        <w:spacing w:before="120" w:after="120" w:line="240" w:lineRule="auto"/>
        <w:jc w:val="both"/>
        <w:rPr>
          <w:rFonts w:ascii="Times New Roman" w:hAnsi="Times New Roman" w:cs="Times New Roman"/>
          <w:i/>
          <w:iCs/>
        </w:rPr>
      </w:pPr>
    </w:p>
    <w:p w14:paraId="2E00730D" w14:textId="5991655A" w:rsidR="006F431D" w:rsidRDefault="00A82081" w:rsidP="00CA0715">
      <w:pPr>
        <w:autoSpaceDE w:val="0"/>
        <w:autoSpaceDN w:val="0"/>
        <w:adjustRightInd w:val="0"/>
        <w:spacing w:before="120" w:after="120" w:line="240" w:lineRule="auto"/>
        <w:contextualSpacing/>
        <w:jc w:val="both"/>
        <w:rPr>
          <w:rFonts w:ascii="Times New Roman" w:hAnsi="Times New Roman" w:cs="Times New Roman"/>
        </w:rPr>
      </w:pPr>
      <w:r w:rsidRPr="009654C2">
        <w:rPr>
          <w:rFonts w:ascii="Times New Roman" w:hAnsi="Times New Roman" w:cs="Times New Roman"/>
          <w:i/>
          <w:iCs/>
        </w:rPr>
        <w:t xml:space="preserve">* Environmental Permitting Decision (EPD). </w:t>
      </w:r>
      <w:r w:rsidRPr="009654C2">
        <w:rPr>
          <w:rFonts w:ascii="Times New Roman" w:hAnsi="Times New Roman" w:cs="Times New Roman"/>
        </w:rPr>
        <w:t>Once the draft EIS is found acceptable by the EPA,</w:t>
      </w:r>
      <w:r w:rsidR="00173E1C" w:rsidRPr="009654C2">
        <w:rPr>
          <w:rFonts w:ascii="Times New Roman" w:hAnsi="Times New Roman" w:cs="Times New Roman"/>
        </w:rPr>
        <w:t xml:space="preserve"> </w:t>
      </w:r>
      <w:r w:rsidRPr="009654C2">
        <w:rPr>
          <w:rFonts w:ascii="Times New Roman" w:hAnsi="Times New Roman" w:cs="Times New Roman"/>
        </w:rPr>
        <w:t>the proponent is notified to finalize the report and submit eight hard copies and an electronic</w:t>
      </w:r>
      <w:r w:rsidR="00173E1C" w:rsidRPr="009654C2">
        <w:rPr>
          <w:rFonts w:ascii="Times New Roman" w:hAnsi="Times New Roman" w:cs="Times New Roman"/>
        </w:rPr>
        <w:t xml:space="preserve"> </w:t>
      </w:r>
      <w:r w:rsidRPr="009654C2">
        <w:rPr>
          <w:rFonts w:ascii="Times New Roman" w:hAnsi="Times New Roman" w:cs="Times New Roman"/>
        </w:rPr>
        <w:t>copy. Within 15 working days after submission, EPA issues the environmental permit and publishes</w:t>
      </w:r>
      <w:r w:rsidR="00173E1C" w:rsidRPr="009654C2">
        <w:rPr>
          <w:rFonts w:ascii="Times New Roman" w:hAnsi="Times New Roman" w:cs="Times New Roman"/>
        </w:rPr>
        <w:t xml:space="preserve"> </w:t>
      </w:r>
      <w:r w:rsidRPr="009654C2">
        <w:rPr>
          <w:rFonts w:ascii="Times New Roman" w:hAnsi="Times New Roman" w:cs="Times New Roman"/>
        </w:rPr>
        <w:t>an official notice of the approval in the Gazette within three months after issuance.</w:t>
      </w:r>
    </w:p>
    <w:p w14:paraId="39EA0DFB" w14:textId="77777777" w:rsidR="006F431D" w:rsidRPr="009654C2" w:rsidRDefault="006F431D" w:rsidP="00CA0715">
      <w:pPr>
        <w:autoSpaceDE w:val="0"/>
        <w:autoSpaceDN w:val="0"/>
        <w:adjustRightInd w:val="0"/>
        <w:spacing w:before="120" w:after="120" w:line="240" w:lineRule="auto"/>
        <w:contextualSpacing/>
        <w:jc w:val="both"/>
        <w:rPr>
          <w:rFonts w:ascii="Times New Roman" w:hAnsi="Times New Roman" w:cs="Times New Roman"/>
        </w:rPr>
      </w:pPr>
    </w:p>
    <w:p w14:paraId="73309F76" w14:textId="43B557E3" w:rsidR="007C737A" w:rsidRDefault="00A82081" w:rsidP="00CA0715">
      <w:pPr>
        <w:autoSpaceDE w:val="0"/>
        <w:autoSpaceDN w:val="0"/>
        <w:adjustRightInd w:val="0"/>
        <w:spacing w:before="120" w:after="120" w:line="240" w:lineRule="auto"/>
        <w:contextualSpacing/>
        <w:jc w:val="both"/>
        <w:rPr>
          <w:rFonts w:ascii="Times New Roman" w:hAnsi="Times New Roman" w:cs="Times New Roman"/>
          <w:i/>
          <w:iCs/>
        </w:rPr>
      </w:pPr>
      <w:r w:rsidRPr="009654C2">
        <w:rPr>
          <w:rFonts w:ascii="Times New Roman" w:hAnsi="Times New Roman" w:cs="Times New Roman"/>
          <w:i/>
          <w:iCs/>
        </w:rPr>
        <w:t xml:space="preserve">* Fees. </w:t>
      </w:r>
      <w:r w:rsidRPr="009654C2">
        <w:rPr>
          <w:rFonts w:ascii="Times New Roman" w:hAnsi="Times New Roman" w:cs="Times New Roman"/>
        </w:rPr>
        <w:t xml:space="preserve">An amendment to the </w:t>
      </w:r>
      <w:r w:rsidRPr="009654C2">
        <w:rPr>
          <w:rFonts w:ascii="Times New Roman" w:hAnsi="Times New Roman" w:cs="Times New Roman"/>
          <w:i/>
          <w:iCs/>
        </w:rPr>
        <w:t xml:space="preserve">EA Regulations, </w:t>
      </w:r>
      <w:r w:rsidRPr="009654C2">
        <w:rPr>
          <w:rFonts w:ascii="Times New Roman" w:hAnsi="Times New Roman" w:cs="Times New Roman"/>
        </w:rPr>
        <w:t>LI 1703 of 2002, specifies two separate fees that a</w:t>
      </w:r>
      <w:r w:rsidR="00173E1C" w:rsidRPr="009654C2">
        <w:rPr>
          <w:rFonts w:ascii="Times New Roman" w:hAnsi="Times New Roman" w:cs="Times New Roman"/>
        </w:rPr>
        <w:t xml:space="preserve"> </w:t>
      </w:r>
      <w:r w:rsidRPr="009654C2">
        <w:rPr>
          <w:rFonts w:ascii="Times New Roman" w:hAnsi="Times New Roman" w:cs="Times New Roman"/>
        </w:rPr>
        <w:t>proponent pays to EPA for processing applications and issuing permits. The amounts vary with</w:t>
      </w:r>
      <w:r w:rsidR="00173E1C" w:rsidRPr="009654C2">
        <w:rPr>
          <w:rFonts w:ascii="Times New Roman" w:hAnsi="Times New Roman" w:cs="Times New Roman"/>
        </w:rPr>
        <w:t xml:space="preserve"> </w:t>
      </w:r>
      <w:r w:rsidRPr="009654C2">
        <w:rPr>
          <w:rFonts w:ascii="Times New Roman" w:hAnsi="Times New Roman" w:cs="Times New Roman"/>
        </w:rPr>
        <w:t>project sector and size. A portion of the fees goes into the National Environment Fund that was</w:t>
      </w:r>
      <w:r w:rsidR="00173E1C" w:rsidRPr="009654C2">
        <w:rPr>
          <w:rFonts w:ascii="Times New Roman" w:hAnsi="Times New Roman" w:cs="Times New Roman"/>
        </w:rPr>
        <w:t xml:space="preserve"> </w:t>
      </w:r>
      <w:r w:rsidRPr="009654C2">
        <w:rPr>
          <w:rFonts w:ascii="Times New Roman" w:hAnsi="Times New Roman" w:cs="Times New Roman"/>
        </w:rPr>
        <w:t xml:space="preserve">established by the </w:t>
      </w:r>
      <w:r w:rsidRPr="009654C2">
        <w:rPr>
          <w:rFonts w:ascii="Times New Roman" w:hAnsi="Times New Roman" w:cs="Times New Roman"/>
          <w:i/>
          <w:iCs/>
        </w:rPr>
        <w:t xml:space="preserve">EPA Act. </w:t>
      </w:r>
      <w:r w:rsidRPr="009654C2">
        <w:rPr>
          <w:rFonts w:ascii="Times New Roman" w:hAnsi="Times New Roman" w:cs="Times New Roman"/>
        </w:rPr>
        <w:t>Fund proceeds may be spent on environmental education of the general</w:t>
      </w:r>
      <w:r w:rsidR="00173E1C" w:rsidRPr="009654C2">
        <w:rPr>
          <w:rFonts w:ascii="Times New Roman" w:hAnsi="Times New Roman" w:cs="Times New Roman"/>
        </w:rPr>
        <w:t xml:space="preserve"> </w:t>
      </w:r>
      <w:r w:rsidRPr="009654C2">
        <w:rPr>
          <w:rFonts w:ascii="Times New Roman" w:hAnsi="Times New Roman" w:cs="Times New Roman"/>
        </w:rPr>
        <w:t>public, research, studies and investigations, human resources development, and other purposes</w:t>
      </w:r>
      <w:r w:rsidR="00173E1C" w:rsidRPr="009654C2">
        <w:rPr>
          <w:rFonts w:ascii="Times New Roman" w:hAnsi="Times New Roman" w:cs="Times New Roman"/>
        </w:rPr>
        <w:t xml:space="preserve"> </w:t>
      </w:r>
      <w:r w:rsidRPr="009654C2">
        <w:rPr>
          <w:rFonts w:ascii="Times New Roman" w:hAnsi="Times New Roman" w:cs="Times New Roman"/>
        </w:rPr>
        <w:t>agreed in consultation between the Minister of Environment and the Board of EPA.</w:t>
      </w:r>
    </w:p>
    <w:p w14:paraId="7D7153A9" w14:textId="77777777" w:rsidR="006F431D" w:rsidRPr="009654C2" w:rsidRDefault="006F431D" w:rsidP="00CA0715">
      <w:pPr>
        <w:autoSpaceDE w:val="0"/>
        <w:autoSpaceDN w:val="0"/>
        <w:adjustRightInd w:val="0"/>
        <w:spacing w:before="120" w:after="120" w:line="240" w:lineRule="auto"/>
        <w:contextualSpacing/>
        <w:jc w:val="both"/>
        <w:rPr>
          <w:rFonts w:ascii="Times New Roman" w:hAnsi="Times New Roman" w:cs="Times New Roman"/>
          <w:i/>
          <w:iCs/>
        </w:rPr>
      </w:pPr>
    </w:p>
    <w:p w14:paraId="155015A9" w14:textId="27FFA9E0" w:rsidR="00A82081" w:rsidRPr="009654C2" w:rsidRDefault="00A82081" w:rsidP="00CA0715">
      <w:pPr>
        <w:autoSpaceDE w:val="0"/>
        <w:autoSpaceDN w:val="0"/>
        <w:adjustRightInd w:val="0"/>
        <w:spacing w:before="120" w:after="120" w:line="240" w:lineRule="auto"/>
        <w:contextualSpacing/>
        <w:jc w:val="both"/>
        <w:rPr>
          <w:rFonts w:ascii="Times New Roman" w:hAnsi="Times New Roman" w:cs="Times New Roman"/>
        </w:rPr>
      </w:pPr>
      <w:r w:rsidRPr="009654C2">
        <w:rPr>
          <w:rFonts w:ascii="Times New Roman" w:hAnsi="Times New Roman" w:cs="Times New Roman"/>
          <w:i/>
          <w:iCs/>
        </w:rPr>
        <w:t xml:space="preserve">* Appeals. </w:t>
      </w:r>
      <w:r w:rsidRPr="009654C2">
        <w:rPr>
          <w:rFonts w:ascii="Times New Roman" w:hAnsi="Times New Roman" w:cs="Times New Roman"/>
        </w:rPr>
        <w:t>A person aggrieved by a decision or action of the Agency, including a decision not to</w:t>
      </w:r>
      <w:r w:rsidR="00173E1C" w:rsidRPr="009654C2">
        <w:rPr>
          <w:rFonts w:ascii="Times New Roman" w:hAnsi="Times New Roman" w:cs="Times New Roman"/>
        </w:rPr>
        <w:t xml:space="preserve"> </w:t>
      </w:r>
      <w:r w:rsidRPr="009654C2">
        <w:rPr>
          <w:rFonts w:ascii="Times New Roman" w:hAnsi="Times New Roman" w:cs="Times New Roman"/>
        </w:rPr>
        <w:t>hold a public hearing, may submit a complaint in writing to the Minister of Environment. The</w:t>
      </w:r>
      <w:r w:rsidR="00173E1C" w:rsidRPr="009654C2">
        <w:rPr>
          <w:rFonts w:ascii="Times New Roman" w:hAnsi="Times New Roman" w:cs="Times New Roman"/>
        </w:rPr>
        <w:t xml:space="preserve"> </w:t>
      </w:r>
      <w:r w:rsidRPr="009654C2">
        <w:rPr>
          <w:rFonts w:ascii="Times New Roman" w:hAnsi="Times New Roman" w:cs="Times New Roman"/>
        </w:rPr>
        <w:t>complaint shall be submitted to the Minister within 30 days of the complainant's becoming aware</w:t>
      </w:r>
      <w:r w:rsidR="00173E1C" w:rsidRPr="009654C2">
        <w:rPr>
          <w:rFonts w:ascii="Times New Roman" w:hAnsi="Times New Roman" w:cs="Times New Roman"/>
        </w:rPr>
        <w:t xml:space="preserve"> </w:t>
      </w:r>
      <w:r w:rsidRPr="009654C2">
        <w:rPr>
          <w:rFonts w:ascii="Times New Roman" w:hAnsi="Times New Roman" w:cs="Times New Roman"/>
        </w:rPr>
        <w:t>of the decision. The Minister has 14 days in which to appoint a panel with members as specified</w:t>
      </w:r>
      <w:r w:rsidR="00173E1C" w:rsidRPr="009654C2">
        <w:rPr>
          <w:rFonts w:ascii="Times New Roman" w:hAnsi="Times New Roman" w:cs="Times New Roman"/>
        </w:rPr>
        <w:t xml:space="preserve"> </w:t>
      </w:r>
      <w:r w:rsidRPr="009654C2">
        <w:rPr>
          <w:rFonts w:ascii="Times New Roman" w:hAnsi="Times New Roman" w:cs="Times New Roman"/>
        </w:rPr>
        <w:t>in LI 1652. The panel reports its findings to the Minister within 60 days from the date the matter</w:t>
      </w:r>
      <w:r w:rsidR="00173E1C" w:rsidRPr="009654C2">
        <w:rPr>
          <w:rFonts w:ascii="Times New Roman" w:hAnsi="Times New Roman" w:cs="Times New Roman"/>
        </w:rPr>
        <w:t xml:space="preserve"> </w:t>
      </w:r>
      <w:r w:rsidRPr="009654C2">
        <w:rPr>
          <w:rFonts w:ascii="Times New Roman" w:hAnsi="Times New Roman" w:cs="Times New Roman"/>
        </w:rPr>
        <w:t>was referred to it.</w:t>
      </w:r>
    </w:p>
    <w:p w14:paraId="3C5BB56C" w14:textId="77777777" w:rsidR="00A82081" w:rsidRPr="009654C2" w:rsidRDefault="00A82081" w:rsidP="00CA0715">
      <w:pPr>
        <w:autoSpaceDE w:val="0"/>
        <w:autoSpaceDN w:val="0"/>
        <w:adjustRightInd w:val="0"/>
        <w:spacing w:before="120" w:after="0" w:line="240" w:lineRule="auto"/>
        <w:jc w:val="both"/>
        <w:rPr>
          <w:rFonts w:ascii="Times New Roman" w:hAnsi="Times New Roman" w:cs="Times New Roman"/>
          <w:i/>
          <w:iCs/>
        </w:rPr>
      </w:pPr>
    </w:p>
    <w:p w14:paraId="5C4EA653" w14:textId="5C9766AD" w:rsidR="00A82081" w:rsidRPr="009654C2" w:rsidRDefault="00A82081" w:rsidP="00CA0715">
      <w:pPr>
        <w:autoSpaceDE w:val="0"/>
        <w:autoSpaceDN w:val="0"/>
        <w:adjustRightInd w:val="0"/>
        <w:spacing w:before="120" w:after="120" w:line="240" w:lineRule="auto"/>
        <w:contextualSpacing/>
        <w:jc w:val="both"/>
        <w:rPr>
          <w:rFonts w:ascii="Times New Roman" w:hAnsi="Times New Roman" w:cs="Times New Roman"/>
        </w:rPr>
      </w:pPr>
      <w:r w:rsidRPr="009654C2">
        <w:rPr>
          <w:rFonts w:ascii="Times New Roman" w:hAnsi="Times New Roman" w:cs="Times New Roman"/>
        </w:rPr>
        <w:t xml:space="preserve">There are some inconsistencies within the </w:t>
      </w:r>
      <w:r w:rsidRPr="009654C2">
        <w:rPr>
          <w:rFonts w:ascii="Times New Roman" w:hAnsi="Times New Roman" w:cs="Times New Roman"/>
          <w:i/>
          <w:iCs/>
        </w:rPr>
        <w:t xml:space="preserve">EA Regulations </w:t>
      </w:r>
      <w:r w:rsidRPr="009654C2">
        <w:rPr>
          <w:rFonts w:ascii="Times New Roman" w:hAnsi="Times New Roman" w:cs="Times New Roman"/>
        </w:rPr>
        <w:t>governing disclosure. Regulation</w:t>
      </w:r>
      <w:r w:rsidR="00173E1C" w:rsidRPr="009654C2">
        <w:rPr>
          <w:rFonts w:ascii="Times New Roman" w:hAnsi="Times New Roman" w:cs="Times New Roman"/>
        </w:rPr>
        <w:t xml:space="preserve"> </w:t>
      </w:r>
      <w:r w:rsidRPr="009654C2">
        <w:rPr>
          <w:rFonts w:ascii="Times New Roman" w:hAnsi="Times New Roman" w:cs="Times New Roman"/>
        </w:rPr>
        <w:t>16(1)1 requires EPA to publish a public notice for 21 days beginning with receipt of a draft EIS, in</w:t>
      </w:r>
      <w:r w:rsidR="00173E1C" w:rsidRPr="009654C2">
        <w:rPr>
          <w:rFonts w:ascii="Times New Roman" w:hAnsi="Times New Roman" w:cs="Times New Roman"/>
        </w:rPr>
        <w:t xml:space="preserve"> </w:t>
      </w:r>
      <w:r w:rsidRPr="009654C2">
        <w:rPr>
          <w:rFonts w:ascii="Times New Roman" w:hAnsi="Times New Roman" w:cs="Times New Roman"/>
        </w:rPr>
        <w:t xml:space="preserve">accordance with a form specified in Schedule 4 of the </w:t>
      </w:r>
      <w:r w:rsidRPr="009654C2">
        <w:rPr>
          <w:rFonts w:ascii="Times New Roman" w:hAnsi="Times New Roman" w:cs="Times New Roman"/>
          <w:i/>
          <w:iCs/>
        </w:rPr>
        <w:t xml:space="preserve">Regulations, </w:t>
      </w:r>
      <w:r w:rsidRPr="009654C2">
        <w:rPr>
          <w:rFonts w:ascii="Times New Roman" w:hAnsi="Times New Roman" w:cs="Times New Roman"/>
        </w:rPr>
        <w:t>and to "post at appropriate places</w:t>
      </w:r>
      <w:r w:rsidR="00173E1C" w:rsidRPr="009654C2">
        <w:rPr>
          <w:rFonts w:ascii="Times New Roman" w:hAnsi="Times New Roman" w:cs="Times New Roman"/>
        </w:rPr>
        <w:t xml:space="preserve"> </w:t>
      </w:r>
      <w:r w:rsidRPr="009654C2">
        <w:rPr>
          <w:rFonts w:ascii="Times New Roman" w:hAnsi="Times New Roman" w:cs="Times New Roman"/>
        </w:rPr>
        <w:t>such parts of the environmental impact statement as it considers necessary." However, the form in</w:t>
      </w:r>
      <w:r w:rsidR="00173E1C" w:rsidRPr="009654C2">
        <w:rPr>
          <w:rFonts w:ascii="Times New Roman" w:hAnsi="Times New Roman" w:cs="Times New Roman"/>
        </w:rPr>
        <w:t xml:space="preserve"> </w:t>
      </w:r>
      <w:r w:rsidRPr="009654C2">
        <w:rPr>
          <w:rFonts w:ascii="Times New Roman" w:hAnsi="Times New Roman" w:cs="Times New Roman"/>
        </w:rPr>
        <w:t>Schedule 4 does not indicate that only portions of the draft EIS will be disclosed; its language is</w:t>
      </w:r>
      <w:r w:rsidR="00173E1C" w:rsidRPr="009654C2">
        <w:rPr>
          <w:rFonts w:ascii="Times New Roman" w:hAnsi="Times New Roman" w:cs="Times New Roman"/>
        </w:rPr>
        <w:t xml:space="preserve"> </w:t>
      </w:r>
      <w:r w:rsidRPr="009654C2">
        <w:rPr>
          <w:rFonts w:ascii="Times New Roman" w:hAnsi="Times New Roman" w:cs="Times New Roman"/>
        </w:rPr>
        <w:t>"Copies of the EIS are available at the EPA library, EPA... Regional Office and ... District/Municipal/Metropolitan Assembly." Regulation 19 requires the proponent to submit eight hardcover</w:t>
      </w:r>
      <w:r w:rsidR="00173E1C" w:rsidRPr="009654C2">
        <w:rPr>
          <w:rFonts w:ascii="Times New Roman" w:hAnsi="Times New Roman" w:cs="Times New Roman"/>
        </w:rPr>
        <w:t xml:space="preserve"> </w:t>
      </w:r>
      <w:r w:rsidRPr="009654C2">
        <w:rPr>
          <w:rFonts w:ascii="Times New Roman" w:hAnsi="Times New Roman" w:cs="Times New Roman"/>
        </w:rPr>
        <w:t>copies and one electronic copy of the final EIS after acceptance by EPA but is silent on disclosure.</w:t>
      </w:r>
      <w:r w:rsidR="00173E1C" w:rsidRPr="009654C2">
        <w:rPr>
          <w:rFonts w:ascii="Times New Roman" w:hAnsi="Times New Roman" w:cs="Times New Roman"/>
        </w:rPr>
        <w:t xml:space="preserve"> </w:t>
      </w:r>
      <w:r w:rsidRPr="009654C2">
        <w:rPr>
          <w:rFonts w:ascii="Times New Roman" w:hAnsi="Times New Roman" w:cs="Times New Roman"/>
        </w:rPr>
        <w:t>This is an apparent gap between Ghanaian and World Bank/ADB EA systems, however, it is a</w:t>
      </w:r>
      <w:r w:rsidR="0021086C">
        <w:rPr>
          <w:rFonts w:ascii="Times New Roman" w:hAnsi="Times New Roman" w:cs="Times New Roman"/>
        </w:rPr>
        <w:t xml:space="preserve"> </w:t>
      </w:r>
      <w:r w:rsidRPr="009654C2">
        <w:rPr>
          <w:rFonts w:ascii="Times New Roman" w:hAnsi="Times New Roman" w:cs="Times New Roman"/>
        </w:rPr>
        <w:t>gap on paper only. EPA standard practice is to disclose the entire draft EIS at the specified location.</w:t>
      </w:r>
      <w:r w:rsidR="00173E1C" w:rsidRPr="009654C2">
        <w:rPr>
          <w:rFonts w:ascii="Times New Roman" w:hAnsi="Times New Roman" w:cs="Times New Roman"/>
        </w:rPr>
        <w:t xml:space="preserve"> </w:t>
      </w:r>
      <w:r w:rsidRPr="009654C2">
        <w:rPr>
          <w:rFonts w:ascii="Times New Roman" w:hAnsi="Times New Roman" w:cs="Times New Roman"/>
        </w:rPr>
        <w:t>Final EIS reports are not "disclosed" in the same way (i.e., with a public notice), but they are public</w:t>
      </w:r>
      <w:r w:rsidR="00173E1C" w:rsidRPr="009654C2">
        <w:rPr>
          <w:rFonts w:ascii="Times New Roman" w:hAnsi="Times New Roman" w:cs="Times New Roman"/>
        </w:rPr>
        <w:t xml:space="preserve"> </w:t>
      </w:r>
      <w:r w:rsidRPr="009654C2">
        <w:rPr>
          <w:rFonts w:ascii="Times New Roman" w:hAnsi="Times New Roman" w:cs="Times New Roman"/>
        </w:rPr>
        <w:t>documents. EPA makes them available to interested members of the public at the same locations at</w:t>
      </w:r>
      <w:r w:rsidR="00173E1C" w:rsidRPr="009654C2">
        <w:rPr>
          <w:rFonts w:ascii="Times New Roman" w:hAnsi="Times New Roman" w:cs="Times New Roman"/>
        </w:rPr>
        <w:t xml:space="preserve"> </w:t>
      </w:r>
      <w:r w:rsidRPr="009654C2">
        <w:rPr>
          <w:rFonts w:ascii="Times New Roman" w:hAnsi="Times New Roman" w:cs="Times New Roman"/>
        </w:rPr>
        <w:t>which the drafts were disclosed. EPA will clarify that full documents are disclosed in the sector</w:t>
      </w:r>
      <w:r w:rsidR="00C81FAC" w:rsidRPr="009654C2">
        <w:rPr>
          <w:rFonts w:ascii="Times New Roman" w:hAnsi="Times New Roman" w:cs="Times New Roman"/>
        </w:rPr>
        <w:t xml:space="preserve"> </w:t>
      </w:r>
      <w:r w:rsidRPr="009654C2">
        <w:rPr>
          <w:rFonts w:ascii="Times New Roman" w:hAnsi="Times New Roman" w:cs="Times New Roman"/>
        </w:rPr>
        <w:t>specific</w:t>
      </w:r>
      <w:r w:rsidR="00173E1C" w:rsidRPr="009654C2">
        <w:rPr>
          <w:rFonts w:ascii="Times New Roman" w:hAnsi="Times New Roman" w:cs="Times New Roman"/>
        </w:rPr>
        <w:t xml:space="preserve"> </w:t>
      </w:r>
      <w:r w:rsidRPr="009654C2">
        <w:rPr>
          <w:rFonts w:ascii="Times New Roman" w:hAnsi="Times New Roman" w:cs="Times New Roman"/>
        </w:rPr>
        <w:t>guidelines and the EA guidelines. The absence of any requirement that relevant documents be</w:t>
      </w:r>
      <w:r w:rsidR="00C152FE" w:rsidRPr="009654C2">
        <w:rPr>
          <w:rFonts w:ascii="Times New Roman" w:hAnsi="Times New Roman" w:cs="Times New Roman"/>
        </w:rPr>
        <w:t xml:space="preserve"> </w:t>
      </w:r>
      <w:r w:rsidRPr="009654C2">
        <w:rPr>
          <w:rFonts w:ascii="Times New Roman" w:hAnsi="Times New Roman" w:cs="Times New Roman"/>
        </w:rPr>
        <w:t>disclosed in form and language understandable to key stakeholders is an actual gap that needs to be</w:t>
      </w:r>
      <w:r w:rsidR="00C152FE" w:rsidRPr="009654C2">
        <w:rPr>
          <w:rFonts w:ascii="Times New Roman" w:hAnsi="Times New Roman" w:cs="Times New Roman"/>
        </w:rPr>
        <w:t xml:space="preserve"> </w:t>
      </w:r>
      <w:r w:rsidRPr="009654C2">
        <w:rPr>
          <w:rFonts w:ascii="Times New Roman" w:hAnsi="Times New Roman" w:cs="Times New Roman"/>
        </w:rPr>
        <w:t>filled.</w:t>
      </w:r>
    </w:p>
    <w:p w14:paraId="504FA939" w14:textId="77777777" w:rsidR="00A82081" w:rsidRPr="009654C2" w:rsidRDefault="00A82081" w:rsidP="00CA0715">
      <w:pPr>
        <w:autoSpaceDE w:val="0"/>
        <w:autoSpaceDN w:val="0"/>
        <w:adjustRightInd w:val="0"/>
        <w:spacing w:before="120" w:after="120" w:line="240" w:lineRule="auto"/>
        <w:contextualSpacing/>
        <w:jc w:val="both"/>
        <w:rPr>
          <w:rFonts w:ascii="Times New Roman" w:hAnsi="Times New Roman" w:cs="Times New Roman"/>
        </w:rPr>
      </w:pPr>
    </w:p>
    <w:p w14:paraId="1B1BDF34" w14:textId="698D70DE" w:rsidR="00DA67AF" w:rsidRPr="009654C2" w:rsidRDefault="00DA67AF" w:rsidP="00CA0715">
      <w:pPr>
        <w:autoSpaceDE w:val="0"/>
        <w:autoSpaceDN w:val="0"/>
        <w:adjustRightInd w:val="0"/>
        <w:spacing w:before="120" w:after="120" w:line="240" w:lineRule="auto"/>
        <w:jc w:val="both"/>
        <w:rPr>
          <w:rFonts w:ascii="Times New Roman" w:hAnsi="Times New Roman" w:cs="Times New Roman"/>
        </w:rPr>
      </w:pPr>
      <w:r w:rsidRPr="009654C2">
        <w:rPr>
          <w:rFonts w:ascii="Times New Roman" w:hAnsi="Times New Roman" w:cs="Times New Roman"/>
          <w:b/>
        </w:rPr>
        <w:t>Sectoral Guidelines</w:t>
      </w:r>
      <w:r w:rsidRPr="009654C2">
        <w:rPr>
          <w:rFonts w:ascii="Times New Roman" w:hAnsi="Times New Roman" w:cs="Times New Roman"/>
        </w:rPr>
        <w:t xml:space="preserve">: The EPA has issued EA sectoral technical guidelines for key sectors </w:t>
      </w:r>
      <w:r w:rsidR="007C737A" w:rsidRPr="009654C2">
        <w:rPr>
          <w:rFonts w:ascii="Times New Roman" w:hAnsi="Times New Roman" w:cs="Times New Roman"/>
        </w:rPr>
        <w:t>relevant to the Program such as</w:t>
      </w:r>
      <w:r w:rsidRPr="009654C2">
        <w:rPr>
          <w:rFonts w:ascii="Times New Roman" w:hAnsi="Times New Roman" w:cs="Times New Roman"/>
        </w:rPr>
        <w:t xml:space="preserve"> General Construction</w:t>
      </w:r>
      <w:r w:rsidR="007C737A" w:rsidRPr="009654C2">
        <w:rPr>
          <w:rFonts w:ascii="Times New Roman" w:hAnsi="Times New Roman" w:cs="Times New Roman"/>
        </w:rPr>
        <w:t xml:space="preserve"> and Services Sector (apply to all construction)</w:t>
      </w:r>
      <w:r w:rsidRPr="009654C2">
        <w:rPr>
          <w:rFonts w:ascii="Times New Roman" w:hAnsi="Times New Roman" w:cs="Times New Roman"/>
        </w:rPr>
        <w:t xml:space="preserve">, Energy, </w:t>
      </w:r>
      <w:r w:rsidR="007C737A" w:rsidRPr="009654C2">
        <w:rPr>
          <w:rFonts w:ascii="Times New Roman" w:hAnsi="Times New Roman" w:cs="Times New Roman"/>
        </w:rPr>
        <w:t>Transport, Management of Health Care and Veterinary Wastes, Manufacturing Industry, Forestry and</w:t>
      </w:r>
      <w:r w:rsidRPr="009654C2">
        <w:rPr>
          <w:rFonts w:ascii="Times New Roman" w:hAnsi="Times New Roman" w:cs="Times New Roman"/>
        </w:rPr>
        <w:t xml:space="preserve"> Tourism</w:t>
      </w:r>
      <w:r w:rsidR="002444E6" w:rsidRPr="009654C2">
        <w:rPr>
          <w:rFonts w:ascii="Times New Roman" w:hAnsi="Times New Roman" w:cs="Times New Roman"/>
        </w:rPr>
        <w:t xml:space="preserve">. These guidelines are used by proponents in </w:t>
      </w:r>
      <w:r w:rsidR="00D51CEB" w:rsidRPr="009654C2">
        <w:rPr>
          <w:rFonts w:ascii="Times New Roman" w:hAnsi="Times New Roman" w:cs="Times New Roman"/>
        </w:rPr>
        <w:t xml:space="preserve">environmental and social screening and in </w:t>
      </w:r>
      <w:r w:rsidR="002444E6" w:rsidRPr="009654C2">
        <w:rPr>
          <w:rFonts w:ascii="Times New Roman" w:hAnsi="Times New Roman" w:cs="Times New Roman"/>
        </w:rPr>
        <w:t>preparing ESIAs/ESMPs in the concerned sectors.</w:t>
      </w:r>
      <w:r w:rsidR="007C737A" w:rsidRPr="009654C2">
        <w:rPr>
          <w:rFonts w:ascii="Times New Roman" w:hAnsi="Times New Roman" w:cs="Times New Roman"/>
        </w:rPr>
        <w:t xml:space="preserve"> Of critical importance to the Program is the </w:t>
      </w:r>
      <w:r w:rsidR="00512DF1" w:rsidRPr="009654C2">
        <w:rPr>
          <w:rFonts w:ascii="Times New Roman" w:hAnsi="Times New Roman" w:cs="Times New Roman"/>
        </w:rPr>
        <w:t xml:space="preserve">2011 </w:t>
      </w:r>
      <w:r w:rsidR="007C737A" w:rsidRPr="009654C2">
        <w:rPr>
          <w:rFonts w:ascii="Times New Roman" w:hAnsi="Times New Roman" w:cs="Times New Roman"/>
        </w:rPr>
        <w:t xml:space="preserve">EA Sectoral Guidelines for General Construction and Services Sector that </w:t>
      </w:r>
      <w:r w:rsidR="00512DF1" w:rsidRPr="009654C2">
        <w:rPr>
          <w:rFonts w:ascii="Times New Roman" w:hAnsi="Times New Roman" w:cs="Times New Roman"/>
        </w:rPr>
        <w:t xml:space="preserve">cover </w:t>
      </w:r>
      <w:r w:rsidR="00D51CEB" w:rsidRPr="009654C2">
        <w:rPr>
          <w:rFonts w:ascii="Times New Roman" w:hAnsi="Times New Roman" w:cs="Times New Roman"/>
        </w:rPr>
        <w:t xml:space="preserve">most of the activities under the Program, including </w:t>
      </w:r>
      <w:r w:rsidR="00512DF1" w:rsidRPr="009654C2">
        <w:rPr>
          <w:rFonts w:ascii="Times New Roman" w:hAnsi="Times New Roman" w:cs="Times New Roman"/>
        </w:rPr>
        <w:t xml:space="preserve">housing and residential buildings, educational, institutional and research facilities, cultural, health, religious, government and public offices, commercial buildings, industrial buildings, recreational and entertainment, transportation, water and sanitation and communications services. The guidelines basically cover almost all types of works and services that the Program will support. </w:t>
      </w:r>
    </w:p>
    <w:p w14:paraId="229A9900" w14:textId="77777777" w:rsidR="000F7CA8" w:rsidRPr="009654C2" w:rsidRDefault="000F7CA8" w:rsidP="009654C2">
      <w:pPr>
        <w:autoSpaceDE w:val="0"/>
        <w:autoSpaceDN w:val="0"/>
        <w:adjustRightInd w:val="0"/>
        <w:spacing w:before="120" w:after="120" w:line="360" w:lineRule="auto"/>
        <w:jc w:val="both"/>
        <w:rPr>
          <w:rFonts w:ascii="Times New Roman" w:hAnsi="Times New Roman" w:cs="Times New Roman"/>
          <w:b/>
          <w:bCs/>
        </w:rPr>
      </w:pPr>
    </w:p>
    <w:p w14:paraId="3B63B233" w14:textId="77777777" w:rsidR="00C16880" w:rsidRPr="009654C2" w:rsidRDefault="00A82081" w:rsidP="009654C2">
      <w:pPr>
        <w:autoSpaceDE w:val="0"/>
        <w:autoSpaceDN w:val="0"/>
        <w:adjustRightInd w:val="0"/>
        <w:spacing w:before="120" w:after="120" w:line="360" w:lineRule="auto"/>
        <w:jc w:val="both"/>
        <w:rPr>
          <w:rFonts w:ascii="Times New Roman" w:hAnsi="Times New Roman" w:cs="Times New Roman"/>
          <w:b/>
          <w:bCs/>
        </w:rPr>
      </w:pPr>
      <w:r w:rsidRPr="009654C2">
        <w:rPr>
          <w:rFonts w:ascii="Times New Roman" w:hAnsi="Times New Roman" w:cs="Times New Roman"/>
          <w:b/>
          <w:bCs/>
        </w:rPr>
        <w:t>Natural Habitats</w:t>
      </w:r>
    </w:p>
    <w:p w14:paraId="151C37AC" w14:textId="7F047315" w:rsidR="00A82081" w:rsidRPr="009654C2" w:rsidRDefault="00A82081" w:rsidP="00CA0715">
      <w:pPr>
        <w:autoSpaceDE w:val="0"/>
        <w:autoSpaceDN w:val="0"/>
        <w:adjustRightInd w:val="0"/>
        <w:spacing w:before="120" w:after="120" w:line="240" w:lineRule="auto"/>
        <w:contextualSpacing/>
        <w:jc w:val="both"/>
        <w:rPr>
          <w:rFonts w:ascii="Times New Roman" w:hAnsi="Times New Roman" w:cs="Times New Roman"/>
        </w:rPr>
      </w:pPr>
      <w:r w:rsidRPr="009654C2">
        <w:rPr>
          <w:rFonts w:ascii="Times New Roman" w:hAnsi="Times New Roman" w:cs="Times New Roman"/>
          <w:b/>
          <w:bCs/>
          <w:i/>
          <w:iCs/>
        </w:rPr>
        <w:t xml:space="preserve">Legislation and Regulations. </w:t>
      </w:r>
      <w:r w:rsidRPr="009654C2">
        <w:rPr>
          <w:rFonts w:ascii="Times New Roman" w:hAnsi="Times New Roman" w:cs="Times New Roman"/>
        </w:rPr>
        <w:t>Protection of natural habitats in Ghana is achieved through legislation</w:t>
      </w:r>
      <w:r w:rsidR="0023499E" w:rsidRPr="009654C2">
        <w:rPr>
          <w:rFonts w:ascii="Times New Roman" w:hAnsi="Times New Roman" w:cs="Times New Roman"/>
        </w:rPr>
        <w:t xml:space="preserve"> </w:t>
      </w:r>
      <w:r w:rsidRPr="009654C2">
        <w:rPr>
          <w:rFonts w:ascii="Times New Roman" w:hAnsi="Times New Roman" w:cs="Times New Roman"/>
        </w:rPr>
        <w:t>that concerns forestry, including game, wildlife and wetlands. This legal framework demonstrates</w:t>
      </w:r>
      <w:r w:rsidR="0023499E" w:rsidRPr="009654C2">
        <w:rPr>
          <w:rFonts w:ascii="Times New Roman" w:hAnsi="Times New Roman" w:cs="Times New Roman"/>
        </w:rPr>
        <w:t xml:space="preserve"> </w:t>
      </w:r>
      <w:r w:rsidRPr="009654C2">
        <w:rPr>
          <w:rFonts w:ascii="Times New Roman" w:hAnsi="Times New Roman" w:cs="Times New Roman"/>
        </w:rPr>
        <w:t>Ghana's intent to manage and preserve natural habitat through designation of reserves and protected</w:t>
      </w:r>
      <w:r w:rsidR="0023499E" w:rsidRPr="009654C2">
        <w:rPr>
          <w:rFonts w:ascii="Times New Roman" w:hAnsi="Times New Roman" w:cs="Times New Roman"/>
        </w:rPr>
        <w:t xml:space="preserve"> </w:t>
      </w:r>
      <w:r w:rsidRPr="009654C2">
        <w:rPr>
          <w:rFonts w:ascii="Times New Roman" w:hAnsi="Times New Roman" w:cs="Times New Roman"/>
        </w:rPr>
        <w:t>areas and regulation of exploitation. It does not encompass the principles that underpin the</w:t>
      </w:r>
      <w:r w:rsidR="009C64BC" w:rsidRPr="009654C2">
        <w:rPr>
          <w:rFonts w:ascii="Times New Roman" w:hAnsi="Times New Roman" w:cs="Times New Roman"/>
        </w:rPr>
        <w:t xml:space="preserve"> </w:t>
      </w:r>
      <w:r w:rsidRPr="009654C2">
        <w:rPr>
          <w:rFonts w:ascii="Times New Roman" w:hAnsi="Times New Roman" w:cs="Times New Roman"/>
        </w:rPr>
        <w:t>World Bank policy, however - the prohibition on conversion of critical natural habitat and the requirement that conversion of other significant natural habitat not be supported unless there is no feasible</w:t>
      </w:r>
      <w:r w:rsidR="00D51CEB" w:rsidRPr="009654C2">
        <w:rPr>
          <w:rFonts w:ascii="Times New Roman" w:hAnsi="Times New Roman" w:cs="Times New Roman"/>
        </w:rPr>
        <w:t xml:space="preserve"> </w:t>
      </w:r>
      <w:r w:rsidRPr="009654C2">
        <w:rPr>
          <w:rFonts w:ascii="Times New Roman" w:hAnsi="Times New Roman" w:cs="Times New Roman"/>
        </w:rPr>
        <w:t xml:space="preserve">alternative and benefits outweigh environmental costs. </w:t>
      </w:r>
    </w:p>
    <w:p w14:paraId="76908956" w14:textId="77777777" w:rsidR="00A82081" w:rsidRPr="009654C2" w:rsidRDefault="00A82081" w:rsidP="00CA0715">
      <w:pPr>
        <w:autoSpaceDE w:val="0"/>
        <w:autoSpaceDN w:val="0"/>
        <w:adjustRightInd w:val="0"/>
        <w:spacing w:before="120" w:after="120" w:line="240" w:lineRule="auto"/>
        <w:contextualSpacing/>
        <w:jc w:val="both"/>
        <w:rPr>
          <w:rFonts w:ascii="Times New Roman" w:hAnsi="Times New Roman" w:cs="Times New Roman"/>
        </w:rPr>
      </w:pPr>
    </w:p>
    <w:p w14:paraId="3E150CE4" w14:textId="23064638" w:rsidR="009C64BC" w:rsidRPr="009654C2" w:rsidRDefault="00A82081" w:rsidP="00CA0715">
      <w:pPr>
        <w:autoSpaceDE w:val="0"/>
        <w:autoSpaceDN w:val="0"/>
        <w:adjustRightInd w:val="0"/>
        <w:spacing w:before="120" w:after="120" w:line="240" w:lineRule="auto"/>
        <w:contextualSpacing/>
        <w:jc w:val="both"/>
        <w:rPr>
          <w:rFonts w:ascii="Times New Roman" w:hAnsi="Times New Roman" w:cs="Times New Roman"/>
        </w:rPr>
      </w:pPr>
      <w:r w:rsidRPr="009654C2">
        <w:rPr>
          <w:rFonts w:ascii="Times New Roman" w:hAnsi="Times New Roman" w:cs="Times New Roman"/>
        </w:rPr>
        <w:t xml:space="preserve">The </w:t>
      </w:r>
      <w:r w:rsidRPr="009654C2">
        <w:rPr>
          <w:rFonts w:ascii="Times New Roman" w:hAnsi="Times New Roman" w:cs="Times New Roman"/>
          <w:i/>
          <w:iCs/>
        </w:rPr>
        <w:t xml:space="preserve">Forest and Wildlife Policy </w:t>
      </w:r>
      <w:r w:rsidRPr="009654C2">
        <w:rPr>
          <w:rFonts w:ascii="Times New Roman" w:hAnsi="Times New Roman" w:cs="Times New Roman"/>
        </w:rPr>
        <w:t>adopted in 1994 aimed at the "conservation and sustainable</w:t>
      </w:r>
      <w:r w:rsidR="0023499E" w:rsidRPr="009654C2">
        <w:rPr>
          <w:rFonts w:ascii="Times New Roman" w:hAnsi="Times New Roman" w:cs="Times New Roman"/>
        </w:rPr>
        <w:t xml:space="preserve"> </w:t>
      </w:r>
      <w:r w:rsidRPr="009654C2">
        <w:rPr>
          <w:rFonts w:ascii="Times New Roman" w:hAnsi="Times New Roman" w:cs="Times New Roman"/>
        </w:rPr>
        <w:t>development of Ghanaian forest and wildlife resources for maintenance of environmental quality and</w:t>
      </w:r>
      <w:r w:rsidR="0023499E" w:rsidRPr="009654C2">
        <w:rPr>
          <w:rFonts w:ascii="Times New Roman" w:hAnsi="Times New Roman" w:cs="Times New Roman"/>
        </w:rPr>
        <w:t xml:space="preserve"> </w:t>
      </w:r>
      <w:r w:rsidRPr="009654C2">
        <w:rPr>
          <w:rFonts w:ascii="Times New Roman" w:hAnsi="Times New Roman" w:cs="Times New Roman"/>
        </w:rPr>
        <w:t>perpetual flow of optimum benefits to all segments of society." Among the objectives of the policy</w:t>
      </w:r>
      <w:r w:rsidR="0023499E" w:rsidRPr="009654C2">
        <w:rPr>
          <w:rFonts w:ascii="Times New Roman" w:hAnsi="Times New Roman" w:cs="Times New Roman"/>
        </w:rPr>
        <w:t xml:space="preserve"> </w:t>
      </w:r>
      <w:r w:rsidRPr="009654C2">
        <w:rPr>
          <w:rFonts w:ascii="Times New Roman" w:hAnsi="Times New Roman" w:cs="Times New Roman"/>
        </w:rPr>
        <w:t>are to manage and enhance Ghana's permanent estate of forest and wildlife resources for preservation</w:t>
      </w:r>
      <w:r w:rsidR="0023499E" w:rsidRPr="009654C2">
        <w:rPr>
          <w:rFonts w:ascii="Times New Roman" w:hAnsi="Times New Roman" w:cs="Times New Roman"/>
        </w:rPr>
        <w:t xml:space="preserve"> </w:t>
      </w:r>
      <w:r w:rsidRPr="009654C2">
        <w:rPr>
          <w:rFonts w:ascii="Times New Roman" w:hAnsi="Times New Roman" w:cs="Times New Roman"/>
        </w:rPr>
        <w:t>of vital soil and water resources, conservation of biodiversity and the environment and sustainable</w:t>
      </w:r>
      <w:r w:rsidR="0023499E" w:rsidRPr="009654C2">
        <w:rPr>
          <w:rFonts w:ascii="Times New Roman" w:hAnsi="Times New Roman" w:cs="Times New Roman"/>
        </w:rPr>
        <w:t xml:space="preserve"> </w:t>
      </w:r>
      <w:r w:rsidRPr="009654C2">
        <w:rPr>
          <w:rFonts w:ascii="Times New Roman" w:hAnsi="Times New Roman" w:cs="Times New Roman"/>
        </w:rPr>
        <w:t xml:space="preserve">production of domestic and commercial produce. </w:t>
      </w:r>
    </w:p>
    <w:p w14:paraId="42C091BC" w14:textId="77777777" w:rsidR="0023499E" w:rsidRPr="009654C2" w:rsidRDefault="0023499E" w:rsidP="00CA0715">
      <w:pPr>
        <w:autoSpaceDE w:val="0"/>
        <w:autoSpaceDN w:val="0"/>
        <w:adjustRightInd w:val="0"/>
        <w:spacing w:before="120" w:after="120" w:line="240" w:lineRule="auto"/>
        <w:contextualSpacing/>
        <w:jc w:val="both"/>
        <w:rPr>
          <w:rFonts w:ascii="Times New Roman" w:hAnsi="Times New Roman" w:cs="Times New Roman"/>
        </w:rPr>
      </w:pPr>
    </w:p>
    <w:p w14:paraId="3143DCA8" w14:textId="77777777" w:rsidR="009C64BC" w:rsidRPr="009654C2" w:rsidRDefault="00A82081" w:rsidP="00CA0715">
      <w:pPr>
        <w:autoSpaceDE w:val="0"/>
        <w:autoSpaceDN w:val="0"/>
        <w:adjustRightInd w:val="0"/>
        <w:spacing w:before="120" w:after="120" w:line="240" w:lineRule="auto"/>
        <w:jc w:val="both"/>
        <w:rPr>
          <w:rFonts w:ascii="Times New Roman" w:hAnsi="Times New Roman" w:cs="Times New Roman"/>
        </w:rPr>
      </w:pPr>
      <w:r w:rsidRPr="009654C2">
        <w:rPr>
          <w:rFonts w:ascii="Times New Roman" w:hAnsi="Times New Roman" w:cs="Times New Roman"/>
        </w:rPr>
        <w:t xml:space="preserve">The </w:t>
      </w:r>
      <w:r w:rsidRPr="009654C2">
        <w:rPr>
          <w:rFonts w:ascii="Times New Roman" w:hAnsi="Times New Roman" w:cs="Times New Roman"/>
          <w:i/>
          <w:iCs/>
        </w:rPr>
        <w:t xml:space="preserve">Forestry Commission Act, </w:t>
      </w:r>
      <w:r w:rsidRPr="009654C2">
        <w:rPr>
          <w:rFonts w:ascii="Times New Roman" w:hAnsi="Times New Roman" w:cs="Times New Roman"/>
        </w:rPr>
        <w:t>1999</w:t>
      </w:r>
      <w:r w:rsidR="009C64BC" w:rsidRPr="009654C2">
        <w:rPr>
          <w:rFonts w:ascii="Times New Roman" w:hAnsi="Times New Roman" w:cs="Times New Roman"/>
        </w:rPr>
        <w:t>,</w:t>
      </w:r>
      <w:r w:rsidRPr="009654C2">
        <w:rPr>
          <w:rFonts w:ascii="Times New Roman" w:hAnsi="Times New Roman" w:cs="Times New Roman"/>
        </w:rPr>
        <w:t xml:space="preserve"> establishes a</w:t>
      </w:r>
      <w:r w:rsidR="009C64BC" w:rsidRPr="009654C2">
        <w:rPr>
          <w:rFonts w:ascii="Times New Roman" w:hAnsi="Times New Roman" w:cs="Times New Roman"/>
        </w:rPr>
        <w:t xml:space="preserve"> </w:t>
      </w:r>
      <w:r w:rsidRPr="009654C2">
        <w:rPr>
          <w:rFonts w:ascii="Times New Roman" w:hAnsi="Times New Roman" w:cs="Times New Roman"/>
        </w:rPr>
        <w:t>Forestry Commission and entrusts it with regulation of the utilization of forest and wildlife resources,</w:t>
      </w:r>
      <w:r w:rsidR="009C64BC" w:rsidRPr="009654C2">
        <w:rPr>
          <w:rFonts w:ascii="Times New Roman" w:hAnsi="Times New Roman" w:cs="Times New Roman"/>
        </w:rPr>
        <w:t xml:space="preserve"> </w:t>
      </w:r>
      <w:r w:rsidRPr="009654C2">
        <w:rPr>
          <w:rFonts w:ascii="Times New Roman" w:hAnsi="Times New Roman" w:cs="Times New Roman"/>
        </w:rPr>
        <w:t>conservation and management of those resources and coordination of policies related to them. The</w:t>
      </w:r>
      <w:r w:rsidR="009C64BC" w:rsidRPr="009654C2">
        <w:rPr>
          <w:rFonts w:ascii="Times New Roman" w:hAnsi="Times New Roman" w:cs="Times New Roman"/>
        </w:rPr>
        <w:t xml:space="preserve"> </w:t>
      </w:r>
      <w:r w:rsidRPr="009654C2">
        <w:rPr>
          <w:rFonts w:ascii="Times New Roman" w:hAnsi="Times New Roman" w:cs="Times New Roman"/>
          <w:i/>
          <w:iCs/>
        </w:rPr>
        <w:t xml:space="preserve">Forest Ordinance, </w:t>
      </w:r>
      <w:r w:rsidRPr="009654C2">
        <w:rPr>
          <w:rFonts w:ascii="Times New Roman" w:hAnsi="Times New Roman" w:cs="Times New Roman"/>
        </w:rPr>
        <w:t>dating from the colonial era but still in force 13 gives the President power to constitute</w:t>
      </w:r>
      <w:r w:rsidR="009C64BC" w:rsidRPr="009654C2">
        <w:rPr>
          <w:rFonts w:ascii="Times New Roman" w:hAnsi="Times New Roman" w:cs="Times New Roman"/>
        </w:rPr>
        <w:t xml:space="preserve"> </w:t>
      </w:r>
      <w:r w:rsidRPr="009654C2">
        <w:rPr>
          <w:rFonts w:ascii="Times New Roman" w:hAnsi="Times New Roman" w:cs="Times New Roman"/>
        </w:rPr>
        <w:t>forest reserves for the purpose of conservation, out of government, tribal or private lands. The</w:t>
      </w:r>
      <w:r w:rsidR="009C64BC" w:rsidRPr="009654C2">
        <w:rPr>
          <w:rFonts w:ascii="Times New Roman" w:hAnsi="Times New Roman" w:cs="Times New Roman"/>
        </w:rPr>
        <w:t xml:space="preserve"> </w:t>
      </w:r>
      <w:r w:rsidRPr="009654C2">
        <w:rPr>
          <w:rFonts w:ascii="Times New Roman" w:hAnsi="Times New Roman" w:cs="Times New Roman"/>
        </w:rPr>
        <w:t>effect of the Ordinance was therefore to make forest areas inaccessible except with the consent and/or</w:t>
      </w:r>
      <w:r w:rsidR="009C64BC" w:rsidRPr="009654C2">
        <w:rPr>
          <w:rFonts w:ascii="Times New Roman" w:hAnsi="Times New Roman" w:cs="Times New Roman"/>
        </w:rPr>
        <w:t xml:space="preserve"> </w:t>
      </w:r>
      <w:r w:rsidRPr="009654C2">
        <w:rPr>
          <w:rFonts w:ascii="Times New Roman" w:hAnsi="Times New Roman" w:cs="Times New Roman"/>
        </w:rPr>
        <w:t xml:space="preserve">permission of forestry officers. </w:t>
      </w:r>
    </w:p>
    <w:p w14:paraId="08A765E9" w14:textId="77777777" w:rsidR="00A82081" w:rsidRPr="009654C2" w:rsidRDefault="00A82081" w:rsidP="00CA0715">
      <w:pPr>
        <w:autoSpaceDE w:val="0"/>
        <w:autoSpaceDN w:val="0"/>
        <w:adjustRightInd w:val="0"/>
        <w:spacing w:before="120" w:after="120" w:line="240" w:lineRule="auto"/>
        <w:jc w:val="both"/>
        <w:rPr>
          <w:rFonts w:ascii="Times New Roman" w:hAnsi="Times New Roman" w:cs="Times New Roman"/>
        </w:rPr>
      </w:pPr>
      <w:r w:rsidRPr="009654C2">
        <w:rPr>
          <w:rFonts w:ascii="Times New Roman" w:hAnsi="Times New Roman" w:cs="Times New Roman"/>
        </w:rPr>
        <w:t xml:space="preserve">Enacted in 1959, the </w:t>
      </w:r>
      <w:r w:rsidRPr="009654C2">
        <w:rPr>
          <w:rFonts w:ascii="Times New Roman" w:hAnsi="Times New Roman" w:cs="Times New Roman"/>
          <w:i/>
          <w:iCs/>
        </w:rPr>
        <w:t xml:space="preserve">Protected Timber Lands Act'4 </w:t>
      </w:r>
      <w:r w:rsidRPr="009654C2">
        <w:rPr>
          <w:rFonts w:ascii="Times New Roman" w:hAnsi="Times New Roman" w:cs="Times New Roman"/>
        </w:rPr>
        <w:t>provided for declaration</w:t>
      </w:r>
      <w:r w:rsidR="002444E6" w:rsidRPr="009654C2">
        <w:rPr>
          <w:rFonts w:ascii="Times New Roman" w:hAnsi="Times New Roman" w:cs="Times New Roman"/>
        </w:rPr>
        <w:t xml:space="preserve"> </w:t>
      </w:r>
      <w:r w:rsidRPr="009654C2">
        <w:rPr>
          <w:rFonts w:ascii="Times New Roman" w:hAnsi="Times New Roman" w:cs="Times New Roman"/>
        </w:rPr>
        <w:t>of off-reserve forest lands as protected timber lands; and gave the Forestry Department the</w:t>
      </w:r>
      <w:r w:rsidR="009C64BC" w:rsidRPr="009654C2">
        <w:rPr>
          <w:rFonts w:ascii="Times New Roman" w:hAnsi="Times New Roman" w:cs="Times New Roman"/>
        </w:rPr>
        <w:t xml:space="preserve"> </w:t>
      </w:r>
      <w:r w:rsidRPr="009654C2">
        <w:rPr>
          <w:rFonts w:ascii="Times New Roman" w:hAnsi="Times New Roman" w:cs="Times New Roman"/>
        </w:rPr>
        <w:t xml:space="preserve">power to regulate and control farm development and expansion in the affected areas. The </w:t>
      </w:r>
      <w:r w:rsidRPr="009654C2">
        <w:rPr>
          <w:rFonts w:ascii="Times New Roman" w:hAnsi="Times New Roman" w:cs="Times New Roman"/>
          <w:i/>
          <w:iCs/>
        </w:rPr>
        <w:t>Forest Protection</w:t>
      </w:r>
      <w:r w:rsidR="002444E6" w:rsidRPr="009654C2">
        <w:rPr>
          <w:rFonts w:ascii="Times New Roman" w:hAnsi="Times New Roman" w:cs="Times New Roman"/>
          <w:i/>
          <w:iCs/>
        </w:rPr>
        <w:t xml:space="preserve"> </w:t>
      </w:r>
      <w:r w:rsidRPr="009654C2">
        <w:rPr>
          <w:rFonts w:ascii="Times New Roman" w:hAnsi="Times New Roman" w:cs="Times New Roman"/>
          <w:i/>
          <w:iCs/>
        </w:rPr>
        <w:t xml:space="preserve">Decree15 </w:t>
      </w:r>
      <w:r w:rsidRPr="009654C2">
        <w:rPr>
          <w:rFonts w:ascii="Times New Roman" w:hAnsi="Times New Roman" w:cs="Times New Roman"/>
        </w:rPr>
        <w:t>enacted in the 1970s substantially re-enacted the Forest Ordinance. Closely related to</w:t>
      </w:r>
      <w:r w:rsidR="002444E6" w:rsidRPr="009654C2">
        <w:rPr>
          <w:rFonts w:ascii="Times New Roman" w:hAnsi="Times New Roman" w:cs="Times New Roman"/>
        </w:rPr>
        <w:t xml:space="preserve"> </w:t>
      </w:r>
      <w:r w:rsidRPr="009654C2">
        <w:rPr>
          <w:rFonts w:ascii="Times New Roman" w:hAnsi="Times New Roman" w:cs="Times New Roman"/>
        </w:rPr>
        <w:t xml:space="preserve">forest reserves are "protected areas" under the 1994 </w:t>
      </w:r>
      <w:r w:rsidR="009C64BC" w:rsidRPr="009654C2">
        <w:rPr>
          <w:rFonts w:ascii="Times New Roman" w:hAnsi="Times New Roman" w:cs="Times New Roman"/>
          <w:i/>
          <w:iCs/>
        </w:rPr>
        <w:t>Trees and Timber Act.</w:t>
      </w:r>
      <w:r w:rsidRPr="009654C2">
        <w:rPr>
          <w:rFonts w:ascii="Times New Roman" w:hAnsi="Times New Roman" w:cs="Times New Roman"/>
          <w:i/>
          <w:iCs/>
        </w:rPr>
        <w:t xml:space="preserve"> </w:t>
      </w:r>
      <w:r w:rsidRPr="009654C2">
        <w:rPr>
          <w:rFonts w:ascii="Times New Roman" w:hAnsi="Times New Roman" w:cs="Times New Roman"/>
        </w:rPr>
        <w:t>As a measure aimed at</w:t>
      </w:r>
      <w:r w:rsidR="009C64BC" w:rsidRPr="009654C2">
        <w:rPr>
          <w:rFonts w:ascii="Times New Roman" w:hAnsi="Times New Roman" w:cs="Times New Roman"/>
        </w:rPr>
        <w:t xml:space="preserve"> </w:t>
      </w:r>
      <w:r w:rsidRPr="009654C2">
        <w:rPr>
          <w:rFonts w:ascii="Times New Roman" w:hAnsi="Times New Roman" w:cs="Times New Roman"/>
        </w:rPr>
        <w:t>preventing tree or timber waste, the Minister responsible for forestry may declare an area lying outside</w:t>
      </w:r>
      <w:r w:rsidR="009C64BC" w:rsidRPr="009654C2">
        <w:rPr>
          <w:rFonts w:ascii="Times New Roman" w:hAnsi="Times New Roman" w:cs="Times New Roman"/>
        </w:rPr>
        <w:t xml:space="preserve"> </w:t>
      </w:r>
      <w:r w:rsidRPr="009654C2">
        <w:rPr>
          <w:rFonts w:ascii="Times New Roman" w:hAnsi="Times New Roman" w:cs="Times New Roman"/>
        </w:rPr>
        <w:t>a forest reserve a protected area. Within such an area, it is an offence to fell or damage any tree</w:t>
      </w:r>
      <w:r w:rsidR="009C64BC" w:rsidRPr="009654C2">
        <w:rPr>
          <w:rFonts w:ascii="Times New Roman" w:hAnsi="Times New Roman" w:cs="Times New Roman"/>
        </w:rPr>
        <w:t xml:space="preserve"> </w:t>
      </w:r>
      <w:r w:rsidRPr="009654C2">
        <w:rPr>
          <w:rFonts w:ascii="Times New Roman" w:hAnsi="Times New Roman" w:cs="Times New Roman"/>
        </w:rPr>
        <w:t>or timber, to farm or build, to set fires or to kindle a fire without taking precautions to prevent its</w:t>
      </w:r>
      <w:r w:rsidR="009C64BC" w:rsidRPr="009654C2">
        <w:rPr>
          <w:rFonts w:ascii="Times New Roman" w:hAnsi="Times New Roman" w:cs="Times New Roman"/>
        </w:rPr>
        <w:t xml:space="preserve"> </w:t>
      </w:r>
      <w:r w:rsidRPr="009654C2">
        <w:rPr>
          <w:rFonts w:ascii="Times New Roman" w:hAnsi="Times New Roman" w:cs="Times New Roman"/>
        </w:rPr>
        <w:t>spread, without the prior written consent of the Minister.</w:t>
      </w:r>
    </w:p>
    <w:p w14:paraId="27F422E5" w14:textId="63AE8FD6" w:rsidR="00A82081" w:rsidRPr="009654C2" w:rsidRDefault="00A82081" w:rsidP="00CA0715">
      <w:pPr>
        <w:autoSpaceDE w:val="0"/>
        <w:autoSpaceDN w:val="0"/>
        <w:adjustRightInd w:val="0"/>
        <w:spacing w:before="120" w:after="120" w:line="240" w:lineRule="auto"/>
        <w:jc w:val="both"/>
        <w:rPr>
          <w:rFonts w:ascii="Times New Roman" w:hAnsi="Times New Roman" w:cs="Times New Roman"/>
        </w:rPr>
      </w:pPr>
      <w:r w:rsidRPr="009654C2">
        <w:rPr>
          <w:rFonts w:ascii="Times New Roman" w:hAnsi="Times New Roman" w:cs="Times New Roman"/>
          <w:i/>
          <w:iCs/>
        </w:rPr>
        <w:t xml:space="preserve">The Wild Animals Preservation Act </w:t>
      </w:r>
      <w:r w:rsidRPr="009654C2">
        <w:rPr>
          <w:rFonts w:ascii="Times New Roman" w:hAnsi="Times New Roman" w:cs="Times New Roman"/>
        </w:rPr>
        <w:t>of 1961 gives the Minister responsible for forestry the</w:t>
      </w:r>
      <w:r w:rsidR="0023499E" w:rsidRPr="009654C2">
        <w:rPr>
          <w:rFonts w:ascii="Times New Roman" w:hAnsi="Times New Roman" w:cs="Times New Roman"/>
        </w:rPr>
        <w:t xml:space="preserve"> </w:t>
      </w:r>
      <w:r w:rsidRPr="009654C2">
        <w:rPr>
          <w:rFonts w:ascii="Times New Roman" w:hAnsi="Times New Roman" w:cs="Times New Roman"/>
        </w:rPr>
        <w:t>power, by legislative instrument upon the advice of the Forestry Commission, to make Regulations,</w:t>
      </w:r>
      <w:r w:rsidR="006F431D">
        <w:rPr>
          <w:rFonts w:ascii="Times New Roman" w:hAnsi="Times New Roman" w:cs="Times New Roman"/>
        </w:rPr>
        <w:t xml:space="preserve"> </w:t>
      </w:r>
      <w:r w:rsidRPr="009654C2">
        <w:rPr>
          <w:rFonts w:ascii="Times New Roman" w:hAnsi="Times New Roman" w:cs="Times New Roman"/>
        </w:rPr>
        <w:t>inter alia, for the:</w:t>
      </w:r>
    </w:p>
    <w:p w14:paraId="5A380D75" w14:textId="40F77BF2" w:rsidR="00A82081" w:rsidRPr="009654C2" w:rsidRDefault="00A82081" w:rsidP="00CA0715">
      <w:pPr>
        <w:autoSpaceDE w:val="0"/>
        <w:autoSpaceDN w:val="0"/>
        <w:adjustRightInd w:val="0"/>
        <w:spacing w:before="120" w:after="120" w:line="240" w:lineRule="auto"/>
        <w:contextualSpacing/>
        <w:jc w:val="both"/>
        <w:rPr>
          <w:rFonts w:ascii="Times New Roman" w:hAnsi="Times New Roman" w:cs="Times New Roman"/>
        </w:rPr>
      </w:pPr>
      <w:r w:rsidRPr="009654C2">
        <w:rPr>
          <w:rFonts w:ascii="Times New Roman" w:hAnsi="Times New Roman" w:cs="Times New Roman"/>
        </w:rPr>
        <w:t>* Establishment of reserves within which it shall be unlawful to hunt, capture, or kill any bird or</w:t>
      </w:r>
      <w:r w:rsidR="0023499E" w:rsidRPr="009654C2">
        <w:rPr>
          <w:rFonts w:ascii="Times New Roman" w:hAnsi="Times New Roman" w:cs="Times New Roman"/>
        </w:rPr>
        <w:t xml:space="preserve"> </w:t>
      </w:r>
      <w:r w:rsidRPr="009654C2">
        <w:rPr>
          <w:rFonts w:ascii="Times New Roman" w:hAnsi="Times New Roman" w:cs="Times New Roman"/>
        </w:rPr>
        <w:t>other wild animal except those which shall be specially exempted from protection.</w:t>
      </w:r>
    </w:p>
    <w:p w14:paraId="33691E7E" w14:textId="77777777" w:rsidR="00A82081" w:rsidRPr="009654C2" w:rsidRDefault="00A82081" w:rsidP="00CA0715">
      <w:pPr>
        <w:autoSpaceDE w:val="0"/>
        <w:autoSpaceDN w:val="0"/>
        <w:adjustRightInd w:val="0"/>
        <w:spacing w:before="120" w:after="120" w:line="240" w:lineRule="auto"/>
        <w:contextualSpacing/>
        <w:jc w:val="both"/>
        <w:rPr>
          <w:rFonts w:ascii="Times New Roman" w:hAnsi="Times New Roman" w:cs="Times New Roman"/>
        </w:rPr>
      </w:pPr>
      <w:r w:rsidRPr="009654C2">
        <w:rPr>
          <w:rFonts w:ascii="Times New Roman" w:hAnsi="Times New Roman" w:cs="Times New Roman"/>
        </w:rPr>
        <w:t>* The protection and preservation of reserves and of the animals therein.</w:t>
      </w:r>
    </w:p>
    <w:p w14:paraId="02C05C61" w14:textId="0E247601" w:rsidR="00A82081" w:rsidRPr="009654C2" w:rsidRDefault="00A82081" w:rsidP="00CA0715">
      <w:pPr>
        <w:autoSpaceDE w:val="0"/>
        <w:autoSpaceDN w:val="0"/>
        <w:adjustRightInd w:val="0"/>
        <w:spacing w:before="120" w:after="120" w:line="240" w:lineRule="auto"/>
        <w:contextualSpacing/>
        <w:jc w:val="both"/>
        <w:rPr>
          <w:rFonts w:ascii="Times New Roman" w:hAnsi="Times New Roman" w:cs="Times New Roman"/>
        </w:rPr>
      </w:pPr>
      <w:r w:rsidRPr="009654C2">
        <w:rPr>
          <w:rFonts w:ascii="Times New Roman" w:hAnsi="Times New Roman" w:cs="Times New Roman"/>
        </w:rPr>
        <w:t>* The imposition of penalties or imprisonment or both for breach of any regulation made under the</w:t>
      </w:r>
      <w:r w:rsidR="006F431D">
        <w:rPr>
          <w:rFonts w:ascii="Times New Roman" w:hAnsi="Times New Roman" w:cs="Times New Roman"/>
        </w:rPr>
        <w:t xml:space="preserve"> </w:t>
      </w:r>
      <w:r w:rsidRPr="009654C2">
        <w:rPr>
          <w:rFonts w:ascii="Times New Roman" w:hAnsi="Times New Roman" w:cs="Times New Roman"/>
        </w:rPr>
        <w:t>Act.</w:t>
      </w:r>
    </w:p>
    <w:p w14:paraId="28A4ACD6" w14:textId="77777777" w:rsidR="00A82081" w:rsidRPr="009654C2" w:rsidRDefault="00A82081" w:rsidP="00CA0715">
      <w:pPr>
        <w:autoSpaceDE w:val="0"/>
        <w:autoSpaceDN w:val="0"/>
        <w:adjustRightInd w:val="0"/>
        <w:spacing w:before="120" w:after="120" w:line="240" w:lineRule="auto"/>
        <w:contextualSpacing/>
        <w:jc w:val="both"/>
        <w:rPr>
          <w:rFonts w:ascii="Times New Roman" w:hAnsi="Times New Roman" w:cs="Times New Roman"/>
        </w:rPr>
      </w:pPr>
    </w:p>
    <w:p w14:paraId="239B80E0" w14:textId="1EFD3FA8" w:rsidR="00A82081" w:rsidRPr="009654C2" w:rsidRDefault="00A82081" w:rsidP="00CA0715">
      <w:pPr>
        <w:autoSpaceDE w:val="0"/>
        <w:autoSpaceDN w:val="0"/>
        <w:adjustRightInd w:val="0"/>
        <w:spacing w:before="120" w:after="120" w:line="240" w:lineRule="auto"/>
        <w:contextualSpacing/>
        <w:jc w:val="both"/>
        <w:rPr>
          <w:rFonts w:ascii="Times New Roman" w:hAnsi="Times New Roman" w:cs="Times New Roman"/>
        </w:rPr>
      </w:pPr>
      <w:r w:rsidRPr="009654C2">
        <w:rPr>
          <w:rFonts w:ascii="Times New Roman" w:hAnsi="Times New Roman" w:cs="Times New Roman"/>
        </w:rPr>
        <w:t xml:space="preserve">Pursuant to this Act, the </w:t>
      </w:r>
      <w:r w:rsidRPr="009654C2">
        <w:rPr>
          <w:rFonts w:ascii="Times New Roman" w:hAnsi="Times New Roman" w:cs="Times New Roman"/>
          <w:i/>
          <w:iCs/>
        </w:rPr>
        <w:t xml:space="preserve">Wildlife Conservation Regulations </w:t>
      </w:r>
      <w:r w:rsidRPr="009654C2">
        <w:rPr>
          <w:rFonts w:ascii="Times New Roman" w:hAnsi="Times New Roman" w:cs="Times New Roman"/>
        </w:rPr>
        <w:t>as variously amended and the</w:t>
      </w:r>
      <w:r w:rsidR="0023499E" w:rsidRPr="009654C2">
        <w:rPr>
          <w:rFonts w:ascii="Times New Roman" w:hAnsi="Times New Roman" w:cs="Times New Roman"/>
        </w:rPr>
        <w:t xml:space="preserve"> </w:t>
      </w:r>
      <w:r w:rsidRPr="009654C2">
        <w:rPr>
          <w:rFonts w:ascii="Times New Roman" w:hAnsi="Times New Roman" w:cs="Times New Roman"/>
          <w:i/>
          <w:iCs/>
        </w:rPr>
        <w:t>Wildlife Reserve Regulations</w:t>
      </w:r>
      <w:r w:rsidR="009C64BC" w:rsidRPr="009654C2">
        <w:rPr>
          <w:rFonts w:ascii="Times New Roman" w:hAnsi="Times New Roman" w:cs="Times New Roman"/>
          <w:i/>
          <w:iCs/>
        </w:rPr>
        <w:t xml:space="preserve"> </w:t>
      </w:r>
      <w:r w:rsidRPr="009654C2">
        <w:rPr>
          <w:rFonts w:ascii="Times New Roman" w:hAnsi="Times New Roman" w:cs="Times New Roman"/>
        </w:rPr>
        <w:t>as variously amended were issued in 1971. Under these Regulations</w:t>
      </w:r>
      <w:r w:rsidR="0023499E" w:rsidRPr="009654C2">
        <w:rPr>
          <w:rFonts w:ascii="Times New Roman" w:hAnsi="Times New Roman" w:cs="Times New Roman"/>
        </w:rPr>
        <w:t xml:space="preserve"> </w:t>
      </w:r>
      <w:r w:rsidRPr="009654C2">
        <w:rPr>
          <w:rFonts w:ascii="Times New Roman" w:hAnsi="Times New Roman" w:cs="Times New Roman"/>
        </w:rPr>
        <w:t>were established five fully protected national parks (at Mole, Digya, Bui, Bia and Nini-Suhien), five</w:t>
      </w:r>
      <w:r w:rsidR="0023499E" w:rsidRPr="009654C2">
        <w:rPr>
          <w:rFonts w:ascii="Times New Roman" w:hAnsi="Times New Roman" w:cs="Times New Roman"/>
        </w:rPr>
        <w:t xml:space="preserve"> </w:t>
      </w:r>
      <w:r w:rsidRPr="009654C2">
        <w:rPr>
          <w:rFonts w:ascii="Times New Roman" w:hAnsi="Times New Roman" w:cs="Times New Roman"/>
        </w:rPr>
        <w:t>game production reserves (in Gbele, Kalapa, Shai Hills, Bia and Ankasa), two wildlife sanctuaries (at</w:t>
      </w:r>
      <w:r w:rsidR="0023499E" w:rsidRPr="009654C2">
        <w:rPr>
          <w:rFonts w:ascii="Times New Roman" w:hAnsi="Times New Roman" w:cs="Times New Roman"/>
        </w:rPr>
        <w:t xml:space="preserve"> owabi</w:t>
      </w:r>
      <w:r w:rsidRPr="009654C2">
        <w:rPr>
          <w:rFonts w:ascii="Times New Roman" w:hAnsi="Times New Roman" w:cs="Times New Roman"/>
        </w:rPr>
        <w:t xml:space="preserve"> and Bomfobiri) and one strict nature reserve (at Kogyae) primarily for scientific purposes.Ghana is a party to the Ramsar Convention22 and enacted in 1999 the </w:t>
      </w:r>
      <w:r w:rsidRPr="009654C2">
        <w:rPr>
          <w:rFonts w:ascii="Times New Roman" w:hAnsi="Times New Roman" w:cs="Times New Roman"/>
          <w:i/>
          <w:iCs/>
        </w:rPr>
        <w:t>Wetland Management (Ramsar</w:t>
      </w:r>
      <w:r w:rsidR="0023499E" w:rsidRPr="009654C2">
        <w:rPr>
          <w:rFonts w:ascii="Times New Roman" w:hAnsi="Times New Roman" w:cs="Times New Roman"/>
          <w:i/>
          <w:iCs/>
        </w:rPr>
        <w:t xml:space="preserve"> </w:t>
      </w:r>
      <w:r w:rsidRPr="009654C2">
        <w:rPr>
          <w:rFonts w:ascii="Times New Roman" w:hAnsi="Times New Roman" w:cs="Times New Roman"/>
          <w:i/>
          <w:iCs/>
        </w:rPr>
        <w:t xml:space="preserve">Sites) Regulations </w:t>
      </w:r>
      <w:r w:rsidRPr="009654C2">
        <w:rPr>
          <w:rFonts w:ascii="Times New Roman" w:hAnsi="Times New Roman" w:cs="Times New Roman"/>
        </w:rPr>
        <w:t>(LI 1659)23 Under LI 1659, six Ramsar sites have been designated and lists of activities proscribed and restricted in them have been promulgated.</w:t>
      </w:r>
    </w:p>
    <w:p w14:paraId="643BA4DA" w14:textId="77777777" w:rsidR="0023499E" w:rsidRPr="009654C2" w:rsidRDefault="0023499E" w:rsidP="00CA0715">
      <w:pPr>
        <w:autoSpaceDE w:val="0"/>
        <w:autoSpaceDN w:val="0"/>
        <w:adjustRightInd w:val="0"/>
        <w:spacing w:before="120" w:after="120" w:line="240" w:lineRule="auto"/>
        <w:jc w:val="both"/>
        <w:rPr>
          <w:rFonts w:ascii="Times New Roman" w:hAnsi="Times New Roman" w:cs="Times New Roman"/>
        </w:rPr>
      </w:pPr>
    </w:p>
    <w:p w14:paraId="6B936679" w14:textId="3538EF28" w:rsidR="00A82081" w:rsidRPr="009654C2" w:rsidRDefault="00A82081" w:rsidP="00CA0715">
      <w:pPr>
        <w:autoSpaceDE w:val="0"/>
        <w:autoSpaceDN w:val="0"/>
        <w:adjustRightInd w:val="0"/>
        <w:spacing w:before="120" w:after="120" w:line="240" w:lineRule="auto"/>
        <w:jc w:val="both"/>
        <w:rPr>
          <w:rFonts w:ascii="Times New Roman" w:hAnsi="Times New Roman" w:cs="Times New Roman"/>
        </w:rPr>
      </w:pPr>
      <w:r w:rsidRPr="009654C2">
        <w:rPr>
          <w:rFonts w:ascii="Times New Roman" w:hAnsi="Times New Roman" w:cs="Times New Roman"/>
        </w:rPr>
        <w:t xml:space="preserve">Under the </w:t>
      </w:r>
      <w:r w:rsidRPr="009654C2">
        <w:rPr>
          <w:rFonts w:ascii="Times New Roman" w:hAnsi="Times New Roman" w:cs="Times New Roman"/>
          <w:i/>
          <w:iCs/>
        </w:rPr>
        <w:t xml:space="preserve">Environmental Assessment Regulations, </w:t>
      </w:r>
      <w:r w:rsidRPr="009654C2">
        <w:rPr>
          <w:rFonts w:ascii="Times New Roman" w:hAnsi="Times New Roman" w:cs="Times New Roman"/>
        </w:rPr>
        <w:t>EPA requires preparation of an EIS for</w:t>
      </w:r>
      <w:r w:rsidR="0023499E" w:rsidRPr="009654C2">
        <w:rPr>
          <w:rFonts w:ascii="Times New Roman" w:hAnsi="Times New Roman" w:cs="Times New Roman"/>
        </w:rPr>
        <w:t xml:space="preserve"> </w:t>
      </w:r>
      <w:r w:rsidRPr="009654C2">
        <w:rPr>
          <w:rFonts w:ascii="Times New Roman" w:hAnsi="Times New Roman" w:cs="Times New Roman"/>
        </w:rPr>
        <w:t>any activity in or affecting an environmentally sensitive area</w:t>
      </w:r>
      <w:r w:rsidR="00C11806" w:rsidRPr="009654C2">
        <w:rPr>
          <w:rFonts w:ascii="Times New Roman" w:hAnsi="Times New Roman" w:cs="Times New Roman"/>
        </w:rPr>
        <w:t xml:space="preserve"> listed in Schedule 3 of LI 1652</w:t>
      </w:r>
      <w:r w:rsidRPr="009654C2">
        <w:rPr>
          <w:rFonts w:ascii="Times New Roman" w:hAnsi="Times New Roman" w:cs="Times New Roman"/>
        </w:rPr>
        <w:t>. The list of those areas covers most if</w:t>
      </w:r>
      <w:r w:rsidR="00C11806" w:rsidRPr="009654C2">
        <w:rPr>
          <w:rFonts w:ascii="Times New Roman" w:hAnsi="Times New Roman" w:cs="Times New Roman"/>
        </w:rPr>
        <w:t xml:space="preserve"> </w:t>
      </w:r>
      <w:r w:rsidRPr="009654C2">
        <w:rPr>
          <w:rFonts w:ascii="Times New Roman" w:hAnsi="Times New Roman" w:cs="Times New Roman"/>
        </w:rPr>
        <w:t xml:space="preserve">not all of what World Bank policy defines as </w:t>
      </w:r>
      <w:r w:rsidR="00C11806" w:rsidRPr="009654C2">
        <w:rPr>
          <w:rFonts w:ascii="Times New Roman" w:hAnsi="Times New Roman" w:cs="Times New Roman"/>
        </w:rPr>
        <w:t>both critical and non-critical n</w:t>
      </w:r>
      <w:r w:rsidRPr="009654C2">
        <w:rPr>
          <w:rFonts w:ascii="Times New Roman" w:hAnsi="Times New Roman" w:cs="Times New Roman"/>
        </w:rPr>
        <w:t>atural habitat</w:t>
      </w:r>
      <w:r w:rsidR="00C11806" w:rsidRPr="009654C2">
        <w:rPr>
          <w:rFonts w:ascii="Times New Roman" w:hAnsi="Times New Roman" w:cs="Times New Roman"/>
        </w:rPr>
        <w:t>s</w:t>
      </w:r>
      <w:r w:rsidRPr="009654C2">
        <w:rPr>
          <w:rFonts w:ascii="Times New Roman" w:hAnsi="Times New Roman" w:cs="Times New Roman"/>
        </w:rPr>
        <w:t>.</w:t>
      </w:r>
    </w:p>
    <w:p w14:paraId="10CF230D" w14:textId="77777777" w:rsidR="00A82081" w:rsidRPr="009654C2" w:rsidRDefault="00A82081" w:rsidP="00CA0715">
      <w:pPr>
        <w:autoSpaceDE w:val="0"/>
        <w:autoSpaceDN w:val="0"/>
        <w:adjustRightInd w:val="0"/>
        <w:spacing w:before="120" w:after="120" w:line="240" w:lineRule="auto"/>
        <w:jc w:val="both"/>
        <w:rPr>
          <w:rFonts w:ascii="Times New Roman" w:hAnsi="Times New Roman" w:cs="Times New Roman"/>
          <w:b/>
          <w:bCs/>
        </w:rPr>
      </w:pPr>
    </w:p>
    <w:p w14:paraId="75805D32" w14:textId="77777777" w:rsidR="00A82081" w:rsidRPr="009654C2" w:rsidRDefault="00A82081" w:rsidP="00CA0715">
      <w:pPr>
        <w:autoSpaceDE w:val="0"/>
        <w:autoSpaceDN w:val="0"/>
        <w:adjustRightInd w:val="0"/>
        <w:spacing w:before="120" w:after="120" w:line="240" w:lineRule="auto"/>
        <w:jc w:val="both"/>
        <w:rPr>
          <w:rFonts w:ascii="Times New Roman" w:hAnsi="Times New Roman" w:cs="Times New Roman"/>
          <w:b/>
          <w:bCs/>
        </w:rPr>
      </w:pPr>
      <w:r w:rsidRPr="009654C2">
        <w:rPr>
          <w:rFonts w:ascii="Times New Roman" w:hAnsi="Times New Roman" w:cs="Times New Roman"/>
          <w:b/>
          <w:bCs/>
        </w:rPr>
        <w:t>Physical Cultural Resources</w:t>
      </w:r>
    </w:p>
    <w:p w14:paraId="1DB27880" w14:textId="6DA7FA30" w:rsidR="009C64BC" w:rsidRPr="009654C2" w:rsidRDefault="00A82081" w:rsidP="00CA0715">
      <w:pPr>
        <w:autoSpaceDE w:val="0"/>
        <w:autoSpaceDN w:val="0"/>
        <w:adjustRightInd w:val="0"/>
        <w:spacing w:before="120" w:after="120" w:line="240" w:lineRule="auto"/>
        <w:jc w:val="both"/>
        <w:rPr>
          <w:rFonts w:ascii="Times New Roman" w:hAnsi="Times New Roman" w:cs="Times New Roman"/>
        </w:rPr>
      </w:pPr>
      <w:r w:rsidRPr="009654C2">
        <w:rPr>
          <w:rFonts w:ascii="Times New Roman" w:hAnsi="Times New Roman" w:cs="Times New Roman"/>
          <w:b/>
          <w:bCs/>
          <w:i/>
          <w:iCs/>
        </w:rPr>
        <w:t xml:space="preserve">Legislation and Regulations. </w:t>
      </w:r>
      <w:r w:rsidRPr="009654C2">
        <w:rPr>
          <w:rFonts w:ascii="Times New Roman" w:hAnsi="Times New Roman" w:cs="Times New Roman"/>
        </w:rPr>
        <w:t>Under LI 1652, potential impacts on PCR are to be taken into</w:t>
      </w:r>
      <w:r w:rsidR="006F431D">
        <w:rPr>
          <w:rFonts w:ascii="Times New Roman" w:hAnsi="Times New Roman" w:cs="Times New Roman"/>
        </w:rPr>
        <w:t xml:space="preserve"> </w:t>
      </w:r>
      <w:r w:rsidRPr="009654C2">
        <w:rPr>
          <w:rFonts w:ascii="Times New Roman" w:hAnsi="Times New Roman" w:cs="Times New Roman"/>
        </w:rPr>
        <w:t>account at several stages in the EA process - in screening proposed undertakings and scoping, preparing,</w:t>
      </w:r>
      <w:r w:rsidR="006F431D">
        <w:rPr>
          <w:rFonts w:ascii="Times New Roman" w:hAnsi="Times New Roman" w:cs="Times New Roman"/>
        </w:rPr>
        <w:t xml:space="preserve"> </w:t>
      </w:r>
      <w:r w:rsidRPr="009654C2">
        <w:rPr>
          <w:rFonts w:ascii="Times New Roman" w:hAnsi="Times New Roman" w:cs="Times New Roman"/>
        </w:rPr>
        <w:t>consulting on and reviewing EIS reports. Various types of PCR are included in Schedule 5 to LI</w:t>
      </w:r>
      <w:r w:rsidR="006F431D">
        <w:rPr>
          <w:rFonts w:ascii="Times New Roman" w:hAnsi="Times New Roman" w:cs="Times New Roman"/>
        </w:rPr>
        <w:t xml:space="preserve"> </w:t>
      </w:r>
      <w:r w:rsidRPr="009654C2">
        <w:rPr>
          <w:rFonts w:ascii="Times New Roman" w:hAnsi="Times New Roman" w:cs="Times New Roman"/>
        </w:rPr>
        <w:t>1652, which lists environmentally sensitive sites for which EIS is always required (see para. 13</w:t>
      </w:r>
      <w:r w:rsidR="006F431D">
        <w:rPr>
          <w:rFonts w:ascii="Times New Roman" w:hAnsi="Times New Roman" w:cs="Times New Roman"/>
        </w:rPr>
        <w:t xml:space="preserve"> </w:t>
      </w:r>
      <w:r w:rsidRPr="009654C2">
        <w:rPr>
          <w:rFonts w:ascii="Times New Roman" w:hAnsi="Times New Roman" w:cs="Times New Roman"/>
        </w:rPr>
        <w:t>above). In addition to the EA requirements, there is specific legislation in Ghana for protection of</w:t>
      </w:r>
      <w:r w:rsidR="006F431D">
        <w:rPr>
          <w:rFonts w:ascii="Times New Roman" w:hAnsi="Times New Roman" w:cs="Times New Roman"/>
        </w:rPr>
        <w:t xml:space="preserve"> </w:t>
      </w:r>
      <w:r w:rsidRPr="009654C2">
        <w:rPr>
          <w:rFonts w:ascii="Times New Roman" w:hAnsi="Times New Roman" w:cs="Times New Roman"/>
        </w:rPr>
        <w:t>PCR. Ghana ratified the World Heritage Convention of 1972 on April 7, 1975. Article 39(4) of the</w:t>
      </w:r>
      <w:r w:rsidR="006F431D">
        <w:rPr>
          <w:rFonts w:ascii="Times New Roman" w:hAnsi="Times New Roman" w:cs="Times New Roman"/>
        </w:rPr>
        <w:t xml:space="preserve"> </w:t>
      </w:r>
      <w:r w:rsidRPr="009654C2">
        <w:rPr>
          <w:rFonts w:ascii="Times New Roman" w:hAnsi="Times New Roman" w:cs="Times New Roman"/>
        </w:rPr>
        <w:t xml:space="preserve">Constitution enjoins the State to preserve and protect places of historical interest and artifacts. </w:t>
      </w:r>
    </w:p>
    <w:p w14:paraId="0863BC59" w14:textId="05E4D9C4" w:rsidR="00A82081" w:rsidRPr="009654C2" w:rsidRDefault="00A82081" w:rsidP="00CA0715">
      <w:pPr>
        <w:autoSpaceDE w:val="0"/>
        <w:autoSpaceDN w:val="0"/>
        <w:adjustRightInd w:val="0"/>
        <w:spacing w:before="120" w:after="120" w:line="240" w:lineRule="auto"/>
        <w:contextualSpacing/>
        <w:jc w:val="both"/>
        <w:rPr>
          <w:rFonts w:ascii="Times New Roman" w:hAnsi="Times New Roman" w:cs="Times New Roman"/>
        </w:rPr>
      </w:pPr>
      <w:r w:rsidRPr="009654C2">
        <w:rPr>
          <w:rFonts w:ascii="Times New Roman" w:hAnsi="Times New Roman" w:cs="Times New Roman"/>
          <w:i/>
          <w:iCs/>
        </w:rPr>
        <w:t>The</w:t>
      </w:r>
      <w:r w:rsidR="009C64BC" w:rsidRPr="009654C2">
        <w:rPr>
          <w:rFonts w:ascii="Times New Roman" w:hAnsi="Times New Roman" w:cs="Times New Roman"/>
          <w:i/>
          <w:iCs/>
        </w:rPr>
        <w:t xml:space="preserve"> </w:t>
      </w:r>
      <w:r w:rsidRPr="009654C2">
        <w:rPr>
          <w:rFonts w:ascii="Times New Roman" w:hAnsi="Times New Roman" w:cs="Times New Roman"/>
          <w:i/>
          <w:iCs/>
        </w:rPr>
        <w:t xml:space="preserve">Cultural Policy of Ghana </w:t>
      </w:r>
      <w:r w:rsidRPr="009654C2">
        <w:rPr>
          <w:rFonts w:ascii="Times New Roman" w:hAnsi="Times New Roman" w:cs="Times New Roman"/>
        </w:rPr>
        <w:t>of 2004 provides that special attention be given to the preservation of</w:t>
      </w:r>
      <w:r w:rsidR="0023499E" w:rsidRPr="009654C2">
        <w:rPr>
          <w:rFonts w:ascii="Times New Roman" w:hAnsi="Times New Roman" w:cs="Times New Roman"/>
        </w:rPr>
        <w:t xml:space="preserve"> </w:t>
      </w:r>
      <w:r w:rsidRPr="009654C2">
        <w:rPr>
          <w:rFonts w:ascii="Times New Roman" w:hAnsi="Times New Roman" w:cs="Times New Roman"/>
        </w:rPr>
        <w:t>traditional sacred groves, monuments, artistic treasures held in chiefs' palaces, mausoleums, private</w:t>
      </w:r>
      <w:r w:rsidR="0023499E" w:rsidRPr="009654C2">
        <w:rPr>
          <w:rFonts w:ascii="Times New Roman" w:hAnsi="Times New Roman" w:cs="Times New Roman"/>
        </w:rPr>
        <w:t xml:space="preserve"> </w:t>
      </w:r>
      <w:r w:rsidRPr="009654C2">
        <w:rPr>
          <w:rFonts w:ascii="Times New Roman" w:hAnsi="Times New Roman" w:cs="Times New Roman"/>
        </w:rPr>
        <w:t>homes and all objects of high artistic value. It requires the State to enact and review legislation to protect</w:t>
      </w:r>
      <w:r w:rsidR="009C64BC" w:rsidRPr="009654C2">
        <w:rPr>
          <w:rFonts w:ascii="Times New Roman" w:hAnsi="Times New Roman" w:cs="Times New Roman"/>
        </w:rPr>
        <w:t xml:space="preserve"> </w:t>
      </w:r>
      <w:r w:rsidRPr="009654C2">
        <w:rPr>
          <w:rFonts w:ascii="Times New Roman" w:hAnsi="Times New Roman" w:cs="Times New Roman"/>
        </w:rPr>
        <w:t>all cultural assets, to protect the rights of indigenous owners of cultural heritage, and to vest in</w:t>
      </w:r>
      <w:r w:rsidR="0023499E" w:rsidRPr="009654C2">
        <w:rPr>
          <w:rFonts w:ascii="Times New Roman" w:hAnsi="Times New Roman" w:cs="Times New Roman"/>
        </w:rPr>
        <w:t xml:space="preserve"> </w:t>
      </w:r>
      <w:r w:rsidRPr="009654C2">
        <w:rPr>
          <w:rFonts w:ascii="Times New Roman" w:hAnsi="Times New Roman" w:cs="Times New Roman"/>
        </w:rPr>
        <w:t>itself ownership, protection and preservation rights of rare and monumental heritage objects. The policy</w:t>
      </w:r>
      <w:r w:rsidR="0023499E" w:rsidRPr="009654C2">
        <w:rPr>
          <w:rFonts w:ascii="Times New Roman" w:hAnsi="Times New Roman" w:cs="Times New Roman"/>
        </w:rPr>
        <w:t xml:space="preserve"> </w:t>
      </w:r>
      <w:r w:rsidRPr="009654C2">
        <w:rPr>
          <w:rFonts w:ascii="Times New Roman" w:hAnsi="Times New Roman" w:cs="Times New Roman"/>
        </w:rPr>
        <w:t>further enjoins the National Commission on Culture (NCC) to recognize all traditional regalia and</w:t>
      </w:r>
      <w:r w:rsidR="0023499E" w:rsidRPr="009654C2">
        <w:rPr>
          <w:rFonts w:ascii="Times New Roman" w:hAnsi="Times New Roman" w:cs="Times New Roman"/>
        </w:rPr>
        <w:t xml:space="preserve"> </w:t>
      </w:r>
      <w:r w:rsidRPr="009654C2">
        <w:rPr>
          <w:rFonts w:ascii="Times New Roman" w:hAnsi="Times New Roman" w:cs="Times New Roman"/>
        </w:rPr>
        <w:t>cultural artifacts, sacred stools, jewelry, religious objects, stool houses, graveyards, mausoleums and</w:t>
      </w:r>
      <w:r w:rsidR="0023499E" w:rsidRPr="009654C2">
        <w:rPr>
          <w:rFonts w:ascii="Times New Roman" w:hAnsi="Times New Roman" w:cs="Times New Roman"/>
        </w:rPr>
        <w:t xml:space="preserve"> </w:t>
      </w:r>
      <w:r w:rsidRPr="009654C2">
        <w:rPr>
          <w:rFonts w:ascii="Times New Roman" w:hAnsi="Times New Roman" w:cs="Times New Roman"/>
        </w:rPr>
        <w:t>sacred groves associated with chieftaincy as national treasures. The NCC is further required to preserve</w:t>
      </w:r>
      <w:r w:rsidR="0023499E" w:rsidRPr="009654C2">
        <w:rPr>
          <w:rFonts w:ascii="Times New Roman" w:hAnsi="Times New Roman" w:cs="Times New Roman"/>
        </w:rPr>
        <w:t xml:space="preserve"> </w:t>
      </w:r>
      <w:r w:rsidRPr="009654C2">
        <w:rPr>
          <w:rFonts w:ascii="Times New Roman" w:hAnsi="Times New Roman" w:cs="Times New Roman"/>
        </w:rPr>
        <w:t>as monuments, all forts and castles, designated shrines, mosques, church buildings, old city</w:t>
      </w:r>
      <w:r w:rsidR="0023499E" w:rsidRPr="009654C2">
        <w:rPr>
          <w:rFonts w:ascii="Times New Roman" w:hAnsi="Times New Roman" w:cs="Times New Roman"/>
        </w:rPr>
        <w:t xml:space="preserve"> </w:t>
      </w:r>
      <w:r w:rsidRPr="009654C2">
        <w:rPr>
          <w:rFonts w:ascii="Times New Roman" w:hAnsi="Times New Roman" w:cs="Times New Roman"/>
        </w:rPr>
        <w:t>walls and gates, cultural sites, palaces, public and private buildings of historical significance and</w:t>
      </w:r>
      <w:r w:rsidR="0023499E" w:rsidRPr="009654C2">
        <w:rPr>
          <w:rFonts w:ascii="Times New Roman" w:hAnsi="Times New Roman" w:cs="Times New Roman"/>
        </w:rPr>
        <w:t xml:space="preserve"> </w:t>
      </w:r>
      <w:r w:rsidRPr="009654C2">
        <w:rPr>
          <w:rFonts w:ascii="Times New Roman" w:hAnsi="Times New Roman" w:cs="Times New Roman"/>
        </w:rPr>
        <w:t>monumental sculptures. These are required to be protected from neglect, desecration and/or destruction.</w:t>
      </w:r>
      <w:r w:rsidR="009C64BC" w:rsidRPr="009654C2">
        <w:rPr>
          <w:rFonts w:ascii="Times New Roman" w:hAnsi="Times New Roman" w:cs="Times New Roman"/>
        </w:rPr>
        <w:t xml:space="preserve"> </w:t>
      </w:r>
      <w:r w:rsidRPr="009654C2">
        <w:rPr>
          <w:rFonts w:ascii="Times New Roman" w:hAnsi="Times New Roman" w:cs="Times New Roman"/>
        </w:rPr>
        <w:t>Under the policy, the NCC, in collaboration with the EPA, the Forestry Commission and other</w:t>
      </w:r>
      <w:r w:rsidR="009C64BC" w:rsidRPr="009654C2">
        <w:rPr>
          <w:rFonts w:ascii="Times New Roman" w:hAnsi="Times New Roman" w:cs="Times New Roman"/>
        </w:rPr>
        <w:t xml:space="preserve"> </w:t>
      </w:r>
      <w:r w:rsidRPr="009654C2">
        <w:rPr>
          <w:rFonts w:ascii="Times New Roman" w:hAnsi="Times New Roman" w:cs="Times New Roman"/>
        </w:rPr>
        <w:t>relevant agencies, is required to identify sacred forests and other heritage sites of Ghana and collect,</w:t>
      </w:r>
      <w:r w:rsidR="009C64BC" w:rsidRPr="009654C2">
        <w:rPr>
          <w:rFonts w:ascii="Times New Roman" w:hAnsi="Times New Roman" w:cs="Times New Roman"/>
        </w:rPr>
        <w:t xml:space="preserve"> </w:t>
      </w:r>
      <w:r w:rsidRPr="009654C2">
        <w:rPr>
          <w:rFonts w:ascii="Times New Roman" w:hAnsi="Times New Roman" w:cs="Times New Roman"/>
        </w:rPr>
        <w:t>collate and store indigenous beliefs and practices associated with them with the aim of conserving the</w:t>
      </w:r>
      <w:r w:rsidR="009C64BC" w:rsidRPr="009654C2">
        <w:rPr>
          <w:rFonts w:ascii="Times New Roman" w:hAnsi="Times New Roman" w:cs="Times New Roman"/>
        </w:rPr>
        <w:t xml:space="preserve"> </w:t>
      </w:r>
      <w:r w:rsidRPr="009654C2">
        <w:rPr>
          <w:rFonts w:ascii="Times New Roman" w:hAnsi="Times New Roman" w:cs="Times New Roman"/>
        </w:rPr>
        <w:t>nation's biodiversity and ecosystems and exploring their use as tourist attractions and sustainable</w:t>
      </w:r>
      <w:r w:rsidR="009C64BC" w:rsidRPr="009654C2">
        <w:rPr>
          <w:rFonts w:ascii="Times New Roman" w:hAnsi="Times New Roman" w:cs="Times New Roman"/>
        </w:rPr>
        <w:t xml:space="preserve"> </w:t>
      </w:r>
      <w:r w:rsidRPr="009654C2">
        <w:rPr>
          <w:rFonts w:ascii="Times New Roman" w:hAnsi="Times New Roman" w:cs="Times New Roman"/>
        </w:rPr>
        <w:t>sources of rare medicinal plants, animals and minerals.</w:t>
      </w:r>
    </w:p>
    <w:p w14:paraId="753D65FD" w14:textId="77777777" w:rsidR="00A82081" w:rsidRPr="009654C2" w:rsidRDefault="00A82081" w:rsidP="00CA0715">
      <w:pPr>
        <w:autoSpaceDE w:val="0"/>
        <w:autoSpaceDN w:val="0"/>
        <w:adjustRightInd w:val="0"/>
        <w:spacing w:before="120" w:after="120" w:line="240" w:lineRule="auto"/>
        <w:jc w:val="both"/>
        <w:rPr>
          <w:rFonts w:ascii="Times New Roman" w:hAnsi="Times New Roman" w:cs="Times New Roman"/>
        </w:rPr>
      </w:pPr>
    </w:p>
    <w:p w14:paraId="41700C2F" w14:textId="73F16477" w:rsidR="00A82081" w:rsidRPr="009654C2" w:rsidRDefault="00A82081" w:rsidP="00CA0715">
      <w:pPr>
        <w:autoSpaceDE w:val="0"/>
        <w:autoSpaceDN w:val="0"/>
        <w:adjustRightInd w:val="0"/>
        <w:spacing w:before="120" w:after="120" w:line="240" w:lineRule="auto"/>
        <w:jc w:val="both"/>
        <w:rPr>
          <w:rFonts w:ascii="Times New Roman" w:hAnsi="Times New Roman" w:cs="Times New Roman"/>
        </w:rPr>
      </w:pPr>
      <w:r w:rsidRPr="009654C2">
        <w:rPr>
          <w:rFonts w:ascii="Times New Roman" w:hAnsi="Times New Roman" w:cs="Times New Roman"/>
          <w:i/>
          <w:iCs/>
        </w:rPr>
        <w:t xml:space="preserve">The National Museums Decree, </w:t>
      </w:r>
      <w:r w:rsidRPr="009654C2">
        <w:rPr>
          <w:rFonts w:ascii="Times New Roman" w:hAnsi="Times New Roman" w:cs="Times New Roman"/>
        </w:rPr>
        <w:t>1969,25 established the Ghana Museum and Monuments</w:t>
      </w:r>
      <w:r w:rsidR="0023499E" w:rsidRPr="009654C2">
        <w:rPr>
          <w:rFonts w:ascii="Times New Roman" w:hAnsi="Times New Roman" w:cs="Times New Roman"/>
        </w:rPr>
        <w:t xml:space="preserve"> </w:t>
      </w:r>
      <w:r w:rsidRPr="009654C2">
        <w:rPr>
          <w:rFonts w:ascii="Times New Roman" w:hAnsi="Times New Roman" w:cs="Times New Roman"/>
        </w:rPr>
        <w:t>Board (GMMB) as a corporate body with power to acquire and hold land. The functions of the</w:t>
      </w:r>
      <w:r w:rsidR="0023499E" w:rsidRPr="009654C2">
        <w:rPr>
          <w:rFonts w:ascii="Times New Roman" w:hAnsi="Times New Roman" w:cs="Times New Roman"/>
        </w:rPr>
        <w:t xml:space="preserve"> </w:t>
      </w:r>
      <w:r w:rsidRPr="009654C2">
        <w:rPr>
          <w:rFonts w:ascii="Times New Roman" w:hAnsi="Times New Roman" w:cs="Times New Roman"/>
        </w:rPr>
        <w:t>GMMB, inter alia, are to:</w:t>
      </w:r>
    </w:p>
    <w:p w14:paraId="70BB7DD6" w14:textId="77777777" w:rsidR="00A82081" w:rsidRPr="009654C2" w:rsidRDefault="00A82081" w:rsidP="00CA0715">
      <w:pPr>
        <w:autoSpaceDE w:val="0"/>
        <w:autoSpaceDN w:val="0"/>
        <w:adjustRightInd w:val="0"/>
        <w:spacing w:before="120" w:after="120" w:line="240" w:lineRule="auto"/>
        <w:contextualSpacing/>
        <w:jc w:val="both"/>
        <w:rPr>
          <w:rFonts w:ascii="Times New Roman" w:hAnsi="Times New Roman" w:cs="Times New Roman"/>
        </w:rPr>
      </w:pPr>
      <w:r w:rsidRPr="009654C2">
        <w:rPr>
          <w:rFonts w:ascii="Times New Roman" w:hAnsi="Times New Roman" w:cs="Times New Roman"/>
        </w:rPr>
        <w:t>* Equip, maintain and manage the National Museum.</w:t>
      </w:r>
    </w:p>
    <w:p w14:paraId="63D76990" w14:textId="77777777" w:rsidR="00A82081" w:rsidRPr="009654C2" w:rsidRDefault="00A82081" w:rsidP="00CA0715">
      <w:pPr>
        <w:autoSpaceDE w:val="0"/>
        <w:autoSpaceDN w:val="0"/>
        <w:adjustRightInd w:val="0"/>
        <w:spacing w:before="120" w:after="120" w:line="240" w:lineRule="auto"/>
        <w:contextualSpacing/>
        <w:jc w:val="both"/>
        <w:rPr>
          <w:rFonts w:ascii="Times New Roman" w:hAnsi="Times New Roman" w:cs="Times New Roman"/>
        </w:rPr>
      </w:pPr>
      <w:r w:rsidRPr="009654C2">
        <w:rPr>
          <w:rFonts w:ascii="Times New Roman" w:hAnsi="Times New Roman" w:cs="Times New Roman"/>
        </w:rPr>
        <w:t>* Establish, equip, maintain and manage such other museums as it thinks fit.</w:t>
      </w:r>
    </w:p>
    <w:p w14:paraId="59F99C97" w14:textId="77777777" w:rsidR="00A82081" w:rsidRPr="009654C2" w:rsidRDefault="00A82081" w:rsidP="00CA0715">
      <w:pPr>
        <w:autoSpaceDE w:val="0"/>
        <w:autoSpaceDN w:val="0"/>
        <w:adjustRightInd w:val="0"/>
        <w:spacing w:before="120" w:after="120" w:line="240" w:lineRule="auto"/>
        <w:contextualSpacing/>
        <w:jc w:val="both"/>
        <w:rPr>
          <w:rFonts w:ascii="Times New Roman" w:hAnsi="Times New Roman" w:cs="Times New Roman"/>
        </w:rPr>
      </w:pPr>
      <w:r w:rsidRPr="009654C2">
        <w:rPr>
          <w:rFonts w:ascii="Times New Roman" w:hAnsi="Times New Roman" w:cs="Times New Roman"/>
        </w:rPr>
        <w:t>* Preserve, repair or restore any antiquity which it considers to be of national importance.</w:t>
      </w:r>
    </w:p>
    <w:p w14:paraId="57F9408B" w14:textId="77777777" w:rsidR="00A82081" w:rsidRPr="009654C2" w:rsidRDefault="00A82081" w:rsidP="00CA0715">
      <w:pPr>
        <w:autoSpaceDE w:val="0"/>
        <w:autoSpaceDN w:val="0"/>
        <w:adjustRightInd w:val="0"/>
        <w:spacing w:before="120" w:after="120" w:line="240" w:lineRule="auto"/>
        <w:contextualSpacing/>
        <w:jc w:val="both"/>
        <w:rPr>
          <w:rFonts w:ascii="Times New Roman" w:hAnsi="Times New Roman" w:cs="Times New Roman"/>
        </w:rPr>
      </w:pPr>
      <w:r w:rsidRPr="009654C2">
        <w:rPr>
          <w:rFonts w:ascii="Times New Roman" w:hAnsi="Times New Roman" w:cs="Times New Roman"/>
        </w:rPr>
        <w:t>* Investigate and report on any matter relating to any antiquity.</w:t>
      </w:r>
    </w:p>
    <w:p w14:paraId="102DFFB9" w14:textId="77777777" w:rsidR="00A82081" w:rsidRPr="009654C2" w:rsidRDefault="00A82081" w:rsidP="00CA0715">
      <w:pPr>
        <w:autoSpaceDE w:val="0"/>
        <w:autoSpaceDN w:val="0"/>
        <w:adjustRightInd w:val="0"/>
        <w:spacing w:before="120" w:after="120" w:line="240" w:lineRule="auto"/>
        <w:contextualSpacing/>
        <w:jc w:val="both"/>
        <w:rPr>
          <w:rFonts w:ascii="Times New Roman" w:hAnsi="Times New Roman" w:cs="Times New Roman"/>
        </w:rPr>
      </w:pPr>
      <w:r w:rsidRPr="009654C2">
        <w:rPr>
          <w:rFonts w:ascii="Times New Roman" w:hAnsi="Times New Roman" w:cs="Times New Roman"/>
        </w:rPr>
        <w:t>* Keep a register of all antiquities which it acquires or which are brought to its notice.</w:t>
      </w:r>
    </w:p>
    <w:p w14:paraId="3FBC6483" w14:textId="21DD5F94" w:rsidR="00A82081" w:rsidRPr="009654C2" w:rsidRDefault="00A82081" w:rsidP="00CA0715">
      <w:pPr>
        <w:autoSpaceDE w:val="0"/>
        <w:autoSpaceDN w:val="0"/>
        <w:adjustRightInd w:val="0"/>
        <w:spacing w:before="120" w:after="120" w:line="240" w:lineRule="auto"/>
        <w:jc w:val="both"/>
        <w:rPr>
          <w:rFonts w:ascii="Times New Roman" w:hAnsi="Times New Roman" w:cs="Times New Roman"/>
        </w:rPr>
      </w:pPr>
      <w:r w:rsidRPr="009654C2">
        <w:rPr>
          <w:rFonts w:ascii="Times New Roman" w:hAnsi="Times New Roman" w:cs="Times New Roman"/>
        </w:rPr>
        <w:t>The Decree prohibits any person from exporting any antiquity except in accordance with an</w:t>
      </w:r>
      <w:r w:rsidR="0023499E" w:rsidRPr="009654C2">
        <w:rPr>
          <w:rFonts w:ascii="Times New Roman" w:hAnsi="Times New Roman" w:cs="Times New Roman"/>
        </w:rPr>
        <w:t xml:space="preserve"> </w:t>
      </w:r>
      <w:r w:rsidRPr="009654C2">
        <w:rPr>
          <w:rFonts w:ascii="Times New Roman" w:hAnsi="Times New Roman" w:cs="Times New Roman"/>
        </w:rPr>
        <w:t>export permit issued by GMMB.26 Section 10 of the Decree imposes a duty on every person who discovers an antiquity, and the owner or occupier of any land upon which an antiquity is discovered to</w:t>
      </w:r>
      <w:r w:rsidR="0023499E" w:rsidRPr="009654C2">
        <w:rPr>
          <w:rFonts w:ascii="Times New Roman" w:hAnsi="Times New Roman" w:cs="Times New Roman"/>
        </w:rPr>
        <w:t xml:space="preserve"> </w:t>
      </w:r>
      <w:r w:rsidRPr="009654C2">
        <w:rPr>
          <w:rFonts w:ascii="Times New Roman" w:hAnsi="Times New Roman" w:cs="Times New Roman"/>
        </w:rPr>
        <w:t>notify GMMB without delay in writing of the discovery. Under Section 11 the Minister may, on the</w:t>
      </w:r>
      <w:r w:rsidR="0023499E" w:rsidRPr="009654C2">
        <w:rPr>
          <w:rFonts w:ascii="Times New Roman" w:hAnsi="Times New Roman" w:cs="Times New Roman"/>
        </w:rPr>
        <w:t xml:space="preserve"> </w:t>
      </w:r>
      <w:r w:rsidRPr="009654C2">
        <w:rPr>
          <w:rFonts w:ascii="Times New Roman" w:hAnsi="Times New Roman" w:cs="Times New Roman"/>
        </w:rPr>
        <w:t>recommendation of GMMB, by executive instrument proclaim any monument to be a national</w:t>
      </w:r>
      <w:r w:rsidR="0023499E" w:rsidRPr="009654C2">
        <w:rPr>
          <w:rFonts w:ascii="Times New Roman" w:hAnsi="Times New Roman" w:cs="Times New Roman"/>
        </w:rPr>
        <w:t xml:space="preserve"> </w:t>
      </w:r>
      <w:r w:rsidRPr="009654C2">
        <w:rPr>
          <w:rFonts w:ascii="Times New Roman" w:hAnsi="Times New Roman" w:cs="Times New Roman"/>
        </w:rPr>
        <w:t>monument. Contravention of the provisions of the law constitutes an offense punishable inter alia by</w:t>
      </w:r>
      <w:r w:rsidR="0023499E" w:rsidRPr="009654C2">
        <w:rPr>
          <w:rFonts w:ascii="Times New Roman" w:hAnsi="Times New Roman" w:cs="Times New Roman"/>
        </w:rPr>
        <w:t xml:space="preserve"> </w:t>
      </w:r>
      <w:r w:rsidRPr="009654C2">
        <w:rPr>
          <w:rFonts w:ascii="Times New Roman" w:hAnsi="Times New Roman" w:cs="Times New Roman"/>
        </w:rPr>
        <w:t>a forfeiture of the relevant antiquity.</w:t>
      </w:r>
    </w:p>
    <w:p w14:paraId="136A9AD8" w14:textId="2E55C722" w:rsidR="001426AA" w:rsidRDefault="001426AA" w:rsidP="00CA0715">
      <w:pPr>
        <w:autoSpaceDE w:val="0"/>
        <w:autoSpaceDN w:val="0"/>
        <w:adjustRightInd w:val="0"/>
        <w:spacing w:before="120" w:after="120" w:line="240" w:lineRule="auto"/>
        <w:jc w:val="both"/>
        <w:rPr>
          <w:rFonts w:ascii="Times New Roman" w:hAnsi="Times New Roman" w:cs="Times New Roman"/>
          <w:b/>
          <w:bCs/>
        </w:rPr>
      </w:pPr>
    </w:p>
    <w:p w14:paraId="52FB0455" w14:textId="77777777" w:rsidR="00277F87" w:rsidRPr="001426AA" w:rsidRDefault="00277F87" w:rsidP="001426AA">
      <w:pPr>
        <w:autoSpaceDE w:val="0"/>
        <w:autoSpaceDN w:val="0"/>
        <w:adjustRightInd w:val="0"/>
        <w:spacing w:before="120" w:after="120" w:line="360" w:lineRule="auto"/>
        <w:jc w:val="both"/>
        <w:rPr>
          <w:rFonts w:ascii="Times New Roman" w:hAnsi="Times New Roman" w:cs="Times New Roman"/>
          <w:b/>
          <w:iCs/>
          <w:color w:val="000000" w:themeColor="text1"/>
        </w:rPr>
      </w:pPr>
      <w:r w:rsidRPr="001426AA">
        <w:rPr>
          <w:rFonts w:ascii="Times New Roman" w:hAnsi="Times New Roman" w:cs="Times New Roman"/>
          <w:b/>
          <w:iCs/>
          <w:color w:val="000000" w:themeColor="text1"/>
        </w:rPr>
        <w:t>Community and Occupational Health and Safety and Labor</w:t>
      </w:r>
    </w:p>
    <w:p w14:paraId="349CA833" w14:textId="77777777" w:rsidR="00277F87" w:rsidRPr="001426AA" w:rsidRDefault="00277F87" w:rsidP="00CA0715">
      <w:pPr>
        <w:autoSpaceDE w:val="0"/>
        <w:autoSpaceDN w:val="0"/>
        <w:adjustRightInd w:val="0"/>
        <w:spacing w:before="120" w:after="120" w:line="240" w:lineRule="auto"/>
        <w:jc w:val="both"/>
        <w:rPr>
          <w:rFonts w:ascii="Times New Roman" w:hAnsi="Times New Roman" w:cs="Times New Roman"/>
          <w:iCs/>
          <w:color w:val="000000" w:themeColor="text1"/>
        </w:rPr>
      </w:pPr>
      <w:r w:rsidRPr="001426AA">
        <w:rPr>
          <w:rFonts w:ascii="Times New Roman" w:hAnsi="Times New Roman" w:cs="Times New Roman"/>
          <w:iCs/>
          <w:color w:val="000000" w:themeColor="text1"/>
        </w:rPr>
        <w:t xml:space="preserve">The 1992 Constitution, </w:t>
      </w:r>
      <w:r w:rsidRPr="001426AA">
        <w:rPr>
          <w:rFonts w:ascii="Times New Roman" w:hAnsi="Times New Roman" w:cs="Times New Roman"/>
          <w:color w:val="000000" w:themeColor="text1"/>
          <w:lang w:val="en-GB"/>
        </w:rPr>
        <w:t>Article 36 (10) requires that the State shall safeguard the health, safety and welfare of all persons in employment, and shall establish the basis for the full deployment of the creative potential of all Ghanaians.</w:t>
      </w:r>
    </w:p>
    <w:p w14:paraId="47BF3590" w14:textId="77777777" w:rsidR="00277F87" w:rsidRPr="001426AA" w:rsidRDefault="00277F87" w:rsidP="00CA0715">
      <w:pPr>
        <w:spacing w:before="120" w:after="120" w:line="240" w:lineRule="auto"/>
        <w:jc w:val="both"/>
        <w:rPr>
          <w:rFonts w:ascii="Times New Roman" w:hAnsi="Times New Roman" w:cs="Times New Roman"/>
          <w:iCs/>
          <w:color w:val="000000" w:themeColor="text1"/>
        </w:rPr>
      </w:pPr>
      <w:r w:rsidRPr="001426AA">
        <w:rPr>
          <w:rFonts w:ascii="Times New Roman" w:hAnsi="Times New Roman" w:cs="Times New Roman"/>
          <w:b/>
          <w:i/>
          <w:iCs/>
          <w:color w:val="000000" w:themeColor="text1"/>
        </w:rPr>
        <w:t>Legislation and Regulations</w:t>
      </w:r>
      <w:r w:rsidRPr="001426AA">
        <w:rPr>
          <w:rFonts w:ascii="Times New Roman" w:hAnsi="Times New Roman" w:cs="Times New Roman"/>
          <w:iCs/>
          <w:color w:val="000000" w:themeColor="text1"/>
        </w:rPr>
        <w:t>. In terms of workers’ health and safety, the Factories, Offices and Shops Act 328, 1970 mandates the Factories Inspectorate Department to register factories and ensure that internationally accepted standards of providing safety, health and welfare of persons at the work place are adhered to. It defines a factory to include any premises (whether or not in a building) in which one or more persons are employed in manual labor, among others.</w:t>
      </w:r>
    </w:p>
    <w:p w14:paraId="34F7A470" w14:textId="77777777" w:rsidR="001426AA" w:rsidRDefault="00277F87" w:rsidP="00CA0715">
      <w:pPr>
        <w:spacing w:before="120" w:after="120" w:line="240" w:lineRule="auto"/>
        <w:jc w:val="both"/>
        <w:rPr>
          <w:rFonts w:ascii="Times New Roman" w:hAnsi="Times New Roman" w:cs="Times New Roman"/>
          <w:iCs/>
          <w:color w:val="000000" w:themeColor="text1"/>
        </w:rPr>
      </w:pPr>
      <w:r w:rsidRPr="001426AA">
        <w:rPr>
          <w:rFonts w:ascii="Times New Roman" w:hAnsi="Times New Roman" w:cs="Times New Roman"/>
          <w:i/>
          <w:iCs/>
          <w:color w:val="000000" w:themeColor="text1"/>
        </w:rPr>
        <w:t>The Labor Act, 2003 (Act 651)</w:t>
      </w:r>
      <w:r w:rsidRPr="001426AA">
        <w:rPr>
          <w:rFonts w:ascii="Times New Roman" w:hAnsi="Times New Roman" w:cs="Times New Roman"/>
          <w:iCs/>
          <w:color w:val="000000" w:themeColor="text1"/>
        </w:rPr>
        <w:t xml:space="preserve"> amends and consolidates existing laws relating to labor, employers, trade unions and industrial relations. The Act provides for the rights and duties of employers and workers; legal or illegal strikes; guarantees trade unions and freedom of associations, and establishes the Labor Commission to mediate and act in respect to all labor issues. Under Part XV of the Act on Occupational Health, Safety and Environment, the Act explicitly indicates that it is the duty of an employer to ensure that every worker works under satisfactory, safe and heathy conditions</w:t>
      </w:r>
      <w:r w:rsidR="001426AA">
        <w:rPr>
          <w:rFonts w:ascii="Times New Roman" w:hAnsi="Times New Roman" w:cs="Times New Roman"/>
          <w:iCs/>
          <w:color w:val="000000" w:themeColor="text1"/>
        </w:rPr>
        <w:t>.</w:t>
      </w:r>
    </w:p>
    <w:p w14:paraId="172A0D5A" w14:textId="197B3372" w:rsidR="001426AA" w:rsidRPr="00A16537" w:rsidRDefault="001426AA" w:rsidP="006F431D">
      <w:pPr>
        <w:pStyle w:val="Heading2"/>
        <w:rPr>
          <w:rStyle w:val="Heading21"/>
        </w:rPr>
      </w:pPr>
      <w:bookmarkStart w:id="35" w:name="_Toc508892824"/>
      <w:r w:rsidRPr="00A16537">
        <w:rPr>
          <w:rStyle w:val="Heading21"/>
        </w:rPr>
        <w:t>4.1.2 Social Assessment</w:t>
      </w:r>
      <w:bookmarkEnd w:id="35"/>
    </w:p>
    <w:p w14:paraId="1D486393" w14:textId="0499B10E" w:rsidR="00A82081" w:rsidRPr="001426AA" w:rsidRDefault="00A44B78" w:rsidP="00CA0715">
      <w:pPr>
        <w:autoSpaceDE w:val="0"/>
        <w:autoSpaceDN w:val="0"/>
        <w:adjustRightInd w:val="0"/>
        <w:spacing w:before="120" w:after="120" w:line="240" w:lineRule="auto"/>
        <w:jc w:val="both"/>
        <w:rPr>
          <w:rFonts w:ascii="Times New Roman" w:hAnsi="Times New Roman" w:cs="Times New Roman"/>
          <w:b/>
          <w:bCs/>
        </w:rPr>
      </w:pPr>
      <w:r w:rsidRPr="001426AA">
        <w:rPr>
          <w:rFonts w:ascii="Times New Roman" w:hAnsi="Times New Roman" w:cs="Times New Roman"/>
          <w:b/>
          <w:bCs/>
        </w:rPr>
        <w:t xml:space="preserve">Land Acquisition and </w:t>
      </w:r>
      <w:r w:rsidR="00A82081" w:rsidRPr="001426AA">
        <w:rPr>
          <w:rFonts w:ascii="Times New Roman" w:hAnsi="Times New Roman" w:cs="Times New Roman"/>
          <w:b/>
          <w:bCs/>
        </w:rPr>
        <w:t>Involuntary Resettlement</w:t>
      </w:r>
      <w:r w:rsidR="00FE7E6C" w:rsidRPr="001426AA">
        <w:rPr>
          <w:rStyle w:val="FootnoteReference"/>
          <w:rFonts w:ascii="Times New Roman" w:hAnsi="Times New Roman" w:cs="Times New Roman"/>
          <w:b/>
          <w:bCs/>
        </w:rPr>
        <w:footnoteReference w:id="27"/>
      </w:r>
      <w:r w:rsidR="0048607A" w:rsidRPr="001426AA">
        <w:rPr>
          <w:rFonts w:ascii="Times New Roman" w:hAnsi="Times New Roman" w:cs="Times New Roman"/>
          <w:b/>
          <w:bCs/>
        </w:rPr>
        <w:t xml:space="preserve"> </w:t>
      </w:r>
    </w:p>
    <w:p w14:paraId="6A7D1499" w14:textId="77777777" w:rsidR="0077381B" w:rsidRPr="001426AA" w:rsidRDefault="0077381B" w:rsidP="00CA0715">
      <w:pPr>
        <w:autoSpaceDE w:val="0"/>
        <w:autoSpaceDN w:val="0"/>
        <w:adjustRightInd w:val="0"/>
        <w:spacing w:before="120" w:after="120" w:line="240" w:lineRule="auto"/>
        <w:jc w:val="both"/>
        <w:rPr>
          <w:rFonts w:ascii="Times New Roman" w:hAnsi="Times New Roman" w:cs="Times New Roman"/>
        </w:rPr>
      </w:pPr>
      <w:r w:rsidRPr="001426AA">
        <w:rPr>
          <w:rFonts w:ascii="Times New Roman" w:hAnsi="Times New Roman" w:cs="Times New Roman"/>
          <w:b/>
          <w:bCs/>
          <w:i/>
          <w:iCs/>
        </w:rPr>
        <w:t xml:space="preserve">Legislation. </w:t>
      </w:r>
      <w:r w:rsidRPr="001426AA">
        <w:rPr>
          <w:rFonts w:ascii="Times New Roman" w:hAnsi="Times New Roman" w:cs="Times New Roman"/>
        </w:rPr>
        <w:t xml:space="preserve">Land law in Ghana is governed by constitutional, legislative and customary law, with the last of these predominant. </w:t>
      </w:r>
    </w:p>
    <w:p w14:paraId="2967DFD6" w14:textId="6A8D7891" w:rsidR="00D0788A" w:rsidRPr="001426AA" w:rsidRDefault="00CE4F32" w:rsidP="00CA0715">
      <w:pPr>
        <w:autoSpaceDE w:val="0"/>
        <w:autoSpaceDN w:val="0"/>
        <w:adjustRightInd w:val="0"/>
        <w:spacing w:before="120" w:after="120" w:line="240" w:lineRule="auto"/>
        <w:jc w:val="both"/>
        <w:rPr>
          <w:rFonts w:ascii="Times New Roman" w:hAnsi="Times New Roman" w:cs="Times New Roman"/>
          <w:b/>
          <w:i/>
        </w:rPr>
      </w:pPr>
      <w:r>
        <w:rPr>
          <w:rFonts w:ascii="Times New Roman" w:hAnsi="Times New Roman" w:cs="Times New Roman"/>
          <w:b/>
          <w:i/>
        </w:rPr>
        <w:t>L</w:t>
      </w:r>
      <w:r w:rsidR="000E723C" w:rsidRPr="001426AA">
        <w:rPr>
          <w:rFonts w:ascii="Times New Roman" w:hAnsi="Times New Roman" w:cs="Times New Roman"/>
          <w:b/>
          <w:i/>
        </w:rPr>
        <w:t>and ownership and management</w:t>
      </w:r>
    </w:p>
    <w:p w14:paraId="1102D58F" w14:textId="77777777" w:rsidR="000E723C" w:rsidRPr="001426AA" w:rsidRDefault="000E723C" w:rsidP="00CA0715">
      <w:pPr>
        <w:spacing w:before="120" w:after="120" w:line="240" w:lineRule="auto"/>
        <w:jc w:val="both"/>
        <w:rPr>
          <w:rFonts w:ascii="Times New Roman" w:hAnsi="Times New Roman" w:cs="Times New Roman"/>
        </w:rPr>
      </w:pPr>
      <w:r w:rsidRPr="001426AA">
        <w:rPr>
          <w:rFonts w:ascii="Times New Roman" w:hAnsi="Times New Roman" w:cs="Times New Roman"/>
        </w:rPr>
        <w:t>The ownership, acquisition, use and occupation of land in Ghana are the creation of the tenure regime and regulated by both statute and customary laws. Generally, there are three main types of land ownership in Ghana and these are:</w:t>
      </w:r>
    </w:p>
    <w:p w14:paraId="34C786FF" w14:textId="77777777" w:rsidR="000E723C" w:rsidRPr="001426AA" w:rsidRDefault="000E723C" w:rsidP="00CA0715">
      <w:pPr>
        <w:numPr>
          <w:ilvl w:val="0"/>
          <w:numId w:val="37"/>
        </w:numPr>
        <w:spacing w:before="120" w:after="120" w:line="240" w:lineRule="auto"/>
        <w:jc w:val="both"/>
        <w:rPr>
          <w:rFonts w:ascii="Times New Roman" w:hAnsi="Times New Roman" w:cs="Times New Roman"/>
        </w:rPr>
      </w:pPr>
      <w:r w:rsidRPr="001426AA">
        <w:rPr>
          <w:rFonts w:ascii="Times New Roman" w:hAnsi="Times New Roman" w:cs="Times New Roman"/>
        </w:rPr>
        <w:t>Private ownership (Customary ownership, individual leaseholds and freeholds)</w:t>
      </w:r>
    </w:p>
    <w:p w14:paraId="6592B961" w14:textId="77777777" w:rsidR="000E723C" w:rsidRPr="001426AA" w:rsidRDefault="000E723C" w:rsidP="00CA0715">
      <w:pPr>
        <w:numPr>
          <w:ilvl w:val="0"/>
          <w:numId w:val="37"/>
        </w:numPr>
        <w:spacing w:before="120" w:after="120" w:line="240" w:lineRule="auto"/>
        <w:jc w:val="both"/>
        <w:rPr>
          <w:rFonts w:ascii="Times New Roman" w:hAnsi="Times New Roman" w:cs="Times New Roman"/>
        </w:rPr>
      </w:pPr>
      <w:r w:rsidRPr="001426AA">
        <w:rPr>
          <w:rFonts w:ascii="Times New Roman" w:hAnsi="Times New Roman" w:cs="Times New Roman"/>
        </w:rPr>
        <w:t>Public/State ownership</w:t>
      </w:r>
    </w:p>
    <w:p w14:paraId="48DEA8C9" w14:textId="4DF0DAFF" w:rsidR="000E723C" w:rsidRPr="001426AA" w:rsidRDefault="000E723C" w:rsidP="00CA0715">
      <w:pPr>
        <w:numPr>
          <w:ilvl w:val="0"/>
          <w:numId w:val="37"/>
        </w:numPr>
        <w:spacing w:before="120" w:after="120" w:line="240" w:lineRule="auto"/>
        <w:jc w:val="both"/>
        <w:rPr>
          <w:rFonts w:ascii="Times New Roman" w:hAnsi="Times New Roman" w:cs="Times New Roman"/>
        </w:rPr>
      </w:pPr>
      <w:r w:rsidRPr="001426AA">
        <w:rPr>
          <w:rFonts w:ascii="Times New Roman" w:hAnsi="Times New Roman" w:cs="Times New Roman"/>
        </w:rPr>
        <w:t>Vested lands (Customary-ownership but state-managed lands).</w:t>
      </w:r>
    </w:p>
    <w:p w14:paraId="20FE0C1A" w14:textId="7C40D4E0" w:rsidR="00962CA6" w:rsidRPr="009654C2" w:rsidRDefault="000E723C" w:rsidP="00CA0715">
      <w:pPr>
        <w:autoSpaceDE w:val="0"/>
        <w:autoSpaceDN w:val="0"/>
        <w:adjustRightInd w:val="0"/>
        <w:spacing w:before="120" w:after="120" w:line="240" w:lineRule="auto"/>
        <w:jc w:val="both"/>
        <w:rPr>
          <w:rFonts w:ascii="Times New Roman" w:hAnsi="Times New Roman" w:cs="Times New Roman"/>
        </w:rPr>
      </w:pPr>
      <w:r w:rsidRPr="009654C2">
        <w:rPr>
          <w:rFonts w:ascii="Times New Roman" w:hAnsi="Times New Roman" w:cs="Times New Roman"/>
          <w:b/>
          <w:i/>
        </w:rPr>
        <w:t>Customary ownership of land</w:t>
      </w:r>
      <w:r w:rsidRPr="009654C2">
        <w:rPr>
          <w:rFonts w:ascii="Times New Roman" w:hAnsi="Times New Roman" w:cs="Times New Roman"/>
        </w:rPr>
        <w:t xml:space="preserve"> occurs where the right to use or to dispose of use-rights over land is governed purely by customary laws </w:t>
      </w:r>
      <w:r w:rsidR="00962CA6" w:rsidRPr="009654C2">
        <w:rPr>
          <w:rFonts w:ascii="Times New Roman" w:hAnsi="Times New Roman" w:cs="Times New Roman"/>
        </w:rPr>
        <w:t xml:space="preserve">and practices </w:t>
      </w:r>
      <w:r w:rsidRPr="009654C2">
        <w:rPr>
          <w:rFonts w:ascii="Times New Roman" w:hAnsi="Times New Roman" w:cs="Times New Roman"/>
        </w:rPr>
        <w:t xml:space="preserve">of the land-owning community. It is estimated that about 80% of lands in Ghana are under customary ownership. Different types of interests and rights co-exist in within the customary land-owning system: </w:t>
      </w:r>
      <w:r w:rsidR="00962CA6" w:rsidRPr="009654C2">
        <w:rPr>
          <w:rFonts w:ascii="Times New Roman" w:hAnsi="Times New Roman" w:cs="Times New Roman"/>
        </w:rPr>
        <w:t xml:space="preserve">(a) </w:t>
      </w:r>
      <w:r w:rsidRPr="009654C2">
        <w:rPr>
          <w:rFonts w:ascii="Times New Roman" w:hAnsi="Times New Roman" w:cs="Times New Roman"/>
        </w:rPr>
        <w:t xml:space="preserve">The </w:t>
      </w:r>
      <w:r w:rsidRPr="009654C2">
        <w:rPr>
          <w:rFonts w:ascii="Times New Roman" w:hAnsi="Times New Roman" w:cs="Times New Roman"/>
          <w:i/>
          <w:iCs/>
        </w:rPr>
        <w:t xml:space="preserve">Allodial Title </w:t>
      </w:r>
      <w:r w:rsidRPr="009654C2">
        <w:rPr>
          <w:rFonts w:ascii="Times New Roman" w:hAnsi="Times New Roman" w:cs="Times New Roman"/>
        </w:rPr>
        <w:t xml:space="preserve">is the highest form of ownership in land vested </w:t>
      </w:r>
      <w:r w:rsidR="00962CA6" w:rsidRPr="009654C2">
        <w:rPr>
          <w:rFonts w:ascii="Times New Roman" w:hAnsi="Times New Roman" w:cs="Times New Roman"/>
        </w:rPr>
        <w:t>in a Stool/Skin (symbol of authority across the country)</w:t>
      </w:r>
      <w:r w:rsidRPr="009654C2">
        <w:rPr>
          <w:rFonts w:ascii="Times New Roman" w:hAnsi="Times New Roman" w:cs="Times New Roman"/>
        </w:rPr>
        <w:t xml:space="preserve"> </w:t>
      </w:r>
      <w:r w:rsidRPr="009654C2">
        <w:rPr>
          <w:rFonts w:ascii="Times New Roman" w:hAnsi="Times New Roman" w:cs="Times New Roman"/>
          <w:vertAlign w:val="superscript"/>
        </w:rPr>
        <w:t>(1)</w:t>
      </w:r>
      <w:r w:rsidRPr="009654C2">
        <w:rPr>
          <w:rFonts w:ascii="Times New Roman" w:hAnsi="Times New Roman" w:cs="Times New Roman"/>
        </w:rPr>
        <w:t xml:space="preserve"> a clan/ family (in Parts of Volta, Eastern and Greater Accra regions), or in private individuals who have purchased the freehold title in land. The owner of the </w:t>
      </w:r>
      <w:r w:rsidRPr="009654C2">
        <w:rPr>
          <w:rFonts w:ascii="Times New Roman" w:hAnsi="Times New Roman" w:cs="Times New Roman"/>
          <w:i/>
          <w:iCs/>
        </w:rPr>
        <w:t>allodial title</w:t>
      </w:r>
      <w:r w:rsidRPr="009654C2">
        <w:rPr>
          <w:rFonts w:ascii="Times New Roman" w:hAnsi="Times New Roman" w:cs="Times New Roman"/>
        </w:rPr>
        <w:t xml:space="preserve"> has complete and absolute authority to dispose of the land for any use only subject to the laws of the cou</w:t>
      </w:r>
      <w:r w:rsidR="00962CA6" w:rsidRPr="009654C2">
        <w:rPr>
          <w:rFonts w:ascii="Times New Roman" w:hAnsi="Times New Roman" w:cs="Times New Roman"/>
        </w:rPr>
        <w:t xml:space="preserve">ntry. (b) </w:t>
      </w:r>
      <w:r w:rsidR="00962CA6" w:rsidRPr="009654C2">
        <w:rPr>
          <w:rFonts w:ascii="Times New Roman" w:hAnsi="Times New Roman" w:cs="Times New Roman"/>
          <w:i/>
        </w:rPr>
        <w:t>Freehold title</w:t>
      </w:r>
      <w:r w:rsidR="00962CA6" w:rsidRPr="009654C2">
        <w:rPr>
          <w:rFonts w:ascii="Times New Roman" w:hAnsi="Times New Roman" w:cs="Times New Roman"/>
        </w:rPr>
        <w:t xml:space="preserve"> is categorized into two; customary law freehold and common law freehold: </w:t>
      </w:r>
      <w:r w:rsidR="00962CA6" w:rsidRPr="009654C2">
        <w:rPr>
          <w:rFonts w:ascii="Times New Roman" w:hAnsi="Times New Roman" w:cs="Times New Roman"/>
          <w:i/>
        </w:rPr>
        <w:t>Customary law freehold</w:t>
      </w:r>
      <w:r w:rsidR="00962CA6" w:rsidRPr="009654C2">
        <w:rPr>
          <w:rFonts w:ascii="Times New Roman" w:hAnsi="Times New Roman" w:cs="Times New Roman"/>
        </w:rPr>
        <w:t xml:space="preserve"> (also called usufructuary title), is an interest held by subgroups and individuals in land that is owned by a larger community. </w:t>
      </w:r>
      <w:r w:rsidR="00EF432A" w:rsidRPr="009654C2">
        <w:rPr>
          <w:rFonts w:ascii="Times New Roman" w:hAnsi="Times New Roman" w:cs="Times New Roman"/>
        </w:rPr>
        <w:t xml:space="preserve">Under customary law this is acquired </w:t>
      </w:r>
      <w:r w:rsidR="00962CA6" w:rsidRPr="009654C2">
        <w:rPr>
          <w:rFonts w:ascii="Times New Roman" w:hAnsi="Times New Roman" w:cs="Times New Roman"/>
        </w:rPr>
        <w:t>either by cultivation or by succession from the owning group. The customary law freehold is perpetual</w:t>
      </w:r>
      <w:r w:rsidR="00EF432A" w:rsidRPr="009654C2">
        <w:rPr>
          <w:rFonts w:ascii="Times New Roman" w:hAnsi="Times New Roman" w:cs="Times New Roman"/>
        </w:rPr>
        <w:t xml:space="preserve"> and also inheritable. Thus, the</w:t>
      </w:r>
      <w:r w:rsidR="00962CA6" w:rsidRPr="009654C2">
        <w:rPr>
          <w:rFonts w:ascii="Times New Roman" w:hAnsi="Times New Roman" w:cs="Times New Roman"/>
        </w:rPr>
        <w:t xml:space="preserve"> holder has the right to sell, lease, mortgage, or pledge his or her interest, or </w:t>
      </w:r>
      <w:r w:rsidR="00EF432A" w:rsidRPr="009654C2">
        <w:rPr>
          <w:rFonts w:ascii="Times New Roman" w:hAnsi="Times New Roman" w:cs="Times New Roman"/>
        </w:rPr>
        <w:t>to grant agricultural tenancies. A c</w:t>
      </w:r>
      <w:r w:rsidR="00962CA6" w:rsidRPr="009654C2">
        <w:rPr>
          <w:rFonts w:ascii="Times New Roman" w:hAnsi="Times New Roman" w:cs="Times New Roman"/>
        </w:rPr>
        <w:t>ommon law freehold is an interest in land which arises out of a freehold grant made by the allodial owner either by sale or gift, or by grant from the holder of a customary law freehold. The grantee's rights under such a grant are defined by common law and it is common law rules that govern any dispute which may arise over the land.</w:t>
      </w:r>
      <w:r w:rsidR="00EF432A" w:rsidRPr="009654C2">
        <w:rPr>
          <w:rFonts w:ascii="Times New Roman" w:hAnsi="Times New Roman" w:cs="Times New Roman"/>
        </w:rPr>
        <w:t xml:space="preserve"> (c) </w:t>
      </w:r>
      <w:r w:rsidR="00962CA6" w:rsidRPr="009654C2">
        <w:rPr>
          <w:rFonts w:ascii="Times New Roman" w:hAnsi="Times New Roman" w:cs="Times New Roman"/>
          <w:i/>
        </w:rPr>
        <w:t xml:space="preserve">Leaseholds </w:t>
      </w:r>
      <w:r w:rsidR="00962CA6" w:rsidRPr="009654C2">
        <w:rPr>
          <w:rFonts w:ascii="Times New Roman" w:hAnsi="Times New Roman" w:cs="Times New Roman"/>
        </w:rPr>
        <w:t xml:space="preserve">are rights granted to any person to occupy </w:t>
      </w:r>
      <w:r w:rsidR="00EF432A" w:rsidRPr="009654C2">
        <w:rPr>
          <w:rFonts w:ascii="Times New Roman" w:hAnsi="Times New Roman" w:cs="Times New Roman"/>
        </w:rPr>
        <w:t>a specified land for a predetermined term. Leaseholds are</w:t>
      </w:r>
      <w:r w:rsidR="00962CA6" w:rsidRPr="009654C2">
        <w:rPr>
          <w:rFonts w:ascii="Times New Roman" w:hAnsi="Times New Roman" w:cs="Times New Roman"/>
        </w:rPr>
        <w:t xml:space="preserve"> derived from common law</w:t>
      </w:r>
      <w:r w:rsidR="00EF432A" w:rsidRPr="009654C2">
        <w:rPr>
          <w:rFonts w:ascii="Times New Roman" w:hAnsi="Times New Roman" w:cs="Times New Roman"/>
        </w:rPr>
        <w:t xml:space="preserve"> and may</w:t>
      </w:r>
      <w:r w:rsidR="00962CA6" w:rsidRPr="009654C2">
        <w:rPr>
          <w:rFonts w:ascii="Times New Roman" w:hAnsi="Times New Roman" w:cs="Times New Roman"/>
        </w:rPr>
        <w:t xml:space="preserve"> be granted either by the holder of the allodial title or customary freeholder.</w:t>
      </w:r>
      <w:r w:rsidR="00EF432A" w:rsidRPr="009654C2">
        <w:rPr>
          <w:rFonts w:ascii="Times New Roman" w:hAnsi="Times New Roman" w:cs="Times New Roman"/>
        </w:rPr>
        <w:t xml:space="preserve"> (d) in addition to the above forms of interests created and recognized under customary law in Ghana are other forms of lesser interests in land,</w:t>
      </w:r>
      <w:r w:rsidR="00962CA6" w:rsidRPr="009654C2">
        <w:rPr>
          <w:rFonts w:ascii="Times New Roman" w:hAnsi="Times New Roman" w:cs="Times New Roman"/>
        </w:rPr>
        <w:t xml:space="preserve"> created by owners of the allodial title or customary freehold</w:t>
      </w:r>
      <w:r w:rsidR="00EF432A" w:rsidRPr="009654C2">
        <w:rPr>
          <w:rFonts w:ascii="Times New Roman" w:hAnsi="Times New Roman" w:cs="Times New Roman"/>
        </w:rPr>
        <w:t>ers</w:t>
      </w:r>
      <w:r w:rsidR="00962CA6" w:rsidRPr="009654C2">
        <w:rPr>
          <w:rFonts w:ascii="Times New Roman" w:hAnsi="Times New Roman" w:cs="Times New Roman"/>
        </w:rPr>
        <w:t>.</w:t>
      </w:r>
      <w:r w:rsidR="00EF432A" w:rsidRPr="009654C2">
        <w:rPr>
          <w:rFonts w:ascii="Times New Roman" w:hAnsi="Times New Roman" w:cs="Times New Roman"/>
        </w:rPr>
        <w:t xml:space="preserve"> The </w:t>
      </w:r>
      <w:r w:rsidR="00962CA6" w:rsidRPr="009654C2">
        <w:rPr>
          <w:rFonts w:ascii="Times New Roman" w:hAnsi="Times New Roman" w:cs="Times New Roman"/>
        </w:rPr>
        <w:t xml:space="preserve">two </w:t>
      </w:r>
      <w:r w:rsidR="00EF432A" w:rsidRPr="009654C2">
        <w:rPr>
          <w:rFonts w:ascii="Times New Roman" w:hAnsi="Times New Roman" w:cs="Times New Roman"/>
        </w:rPr>
        <w:t xml:space="preserve">widely known and practiced examples are the </w:t>
      </w:r>
      <w:r w:rsidR="00962CA6" w:rsidRPr="009654C2">
        <w:rPr>
          <w:rFonts w:ascii="Times New Roman" w:hAnsi="Times New Roman" w:cs="Times New Roman"/>
          <w:i/>
        </w:rPr>
        <w:t>"abunu"</w:t>
      </w:r>
      <w:r w:rsidR="00962CA6" w:rsidRPr="009654C2">
        <w:rPr>
          <w:rFonts w:ascii="Times New Roman" w:hAnsi="Times New Roman" w:cs="Times New Roman"/>
        </w:rPr>
        <w:t xml:space="preserve"> and "</w:t>
      </w:r>
      <w:r w:rsidR="00962CA6" w:rsidRPr="009654C2">
        <w:rPr>
          <w:rFonts w:ascii="Times New Roman" w:hAnsi="Times New Roman" w:cs="Times New Roman"/>
          <w:i/>
        </w:rPr>
        <w:t>abusa</w:t>
      </w:r>
      <w:r w:rsidR="00962CA6" w:rsidRPr="009654C2">
        <w:rPr>
          <w:rFonts w:ascii="Times New Roman" w:hAnsi="Times New Roman" w:cs="Times New Roman"/>
        </w:rPr>
        <w:t>"</w:t>
      </w:r>
      <w:r w:rsidR="00EF432A" w:rsidRPr="009654C2">
        <w:rPr>
          <w:rFonts w:ascii="Times New Roman" w:hAnsi="Times New Roman" w:cs="Times New Roman"/>
        </w:rPr>
        <w:t xml:space="preserve"> customary interests, </w:t>
      </w:r>
      <w:r w:rsidR="00962CA6" w:rsidRPr="009654C2">
        <w:rPr>
          <w:rFonts w:ascii="Times New Roman" w:hAnsi="Times New Roman" w:cs="Times New Roman"/>
        </w:rPr>
        <w:t xml:space="preserve">which are usually </w:t>
      </w:r>
      <w:r w:rsidR="00EF432A" w:rsidRPr="009654C2">
        <w:rPr>
          <w:rFonts w:ascii="Times New Roman" w:hAnsi="Times New Roman" w:cs="Times New Roman"/>
        </w:rPr>
        <w:t xml:space="preserve">created under </w:t>
      </w:r>
      <w:r w:rsidR="00962CA6" w:rsidRPr="009654C2">
        <w:rPr>
          <w:rFonts w:ascii="Times New Roman" w:hAnsi="Times New Roman" w:cs="Times New Roman"/>
        </w:rPr>
        <w:t>share-cropping arrangements</w:t>
      </w:r>
      <w:r w:rsidR="00EF432A" w:rsidRPr="009654C2">
        <w:rPr>
          <w:rFonts w:ascii="Times New Roman" w:hAnsi="Times New Roman" w:cs="Times New Roman"/>
        </w:rPr>
        <w:t>. Under any share system of arrangement a</w:t>
      </w:r>
      <w:r w:rsidR="00962CA6" w:rsidRPr="009654C2">
        <w:rPr>
          <w:rFonts w:ascii="Times New Roman" w:hAnsi="Times New Roman" w:cs="Times New Roman"/>
        </w:rPr>
        <w:t xml:space="preserve"> tenant farm</w:t>
      </w:r>
      <w:r w:rsidR="00EF432A" w:rsidRPr="009654C2">
        <w:rPr>
          <w:rFonts w:ascii="Times New Roman" w:hAnsi="Times New Roman" w:cs="Times New Roman"/>
        </w:rPr>
        <w:t>er acquires land and farms it but upon the understanding and agreement with the owner that on</w:t>
      </w:r>
      <w:r w:rsidR="00962CA6" w:rsidRPr="009654C2">
        <w:rPr>
          <w:rFonts w:ascii="Times New Roman" w:hAnsi="Times New Roman" w:cs="Times New Roman"/>
        </w:rPr>
        <w:t xml:space="preserve"> harvest</w:t>
      </w:r>
      <w:r w:rsidR="00EF432A" w:rsidRPr="009654C2">
        <w:rPr>
          <w:rFonts w:ascii="Times New Roman" w:hAnsi="Times New Roman" w:cs="Times New Roman"/>
        </w:rPr>
        <w:t>ing the farm produce</w:t>
      </w:r>
      <w:r w:rsidR="00C77BAD" w:rsidRPr="009654C2">
        <w:rPr>
          <w:rFonts w:ascii="Times New Roman" w:hAnsi="Times New Roman" w:cs="Times New Roman"/>
        </w:rPr>
        <w:t xml:space="preserve"> it is apportioned into either three parts </w:t>
      </w:r>
      <w:r w:rsidR="00C77BAD" w:rsidRPr="009654C2">
        <w:rPr>
          <w:rFonts w:ascii="Times New Roman" w:hAnsi="Times New Roman" w:cs="Times New Roman"/>
          <w:i/>
        </w:rPr>
        <w:t>(abusa</w:t>
      </w:r>
      <w:r w:rsidR="00C77BAD" w:rsidRPr="009654C2">
        <w:rPr>
          <w:rFonts w:ascii="Times New Roman" w:hAnsi="Times New Roman" w:cs="Times New Roman"/>
        </w:rPr>
        <w:t xml:space="preserve">) or two parts </w:t>
      </w:r>
      <w:r w:rsidR="00C77BAD" w:rsidRPr="009654C2">
        <w:rPr>
          <w:rFonts w:ascii="Times New Roman" w:hAnsi="Times New Roman" w:cs="Times New Roman"/>
          <w:i/>
        </w:rPr>
        <w:t>(abunu).</w:t>
      </w:r>
      <w:r w:rsidR="00C77BAD" w:rsidRPr="009654C2">
        <w:rPr>
          <w:rFonts w:ascii="Times New Roman" w:hAnsi="Times New Roman" w:cs="Times New Roman"/>
        </w:rPr>
        <w:t xml:space="preserve"> </w:t>
      </w:r>
      <w:r w:rsidR="00962CA6" w:rsidRPr="009654C2">
        <w:rPr>
          <w:rFonts w:ascii="Times New Roman" w:hAnsi="Times New Roman" w:cs="Times New Roman"/>
        </w:rPr>
        <w:t xml:space="preserve"> In general, under "abusa" tenancy, the tenant farmer is entitled to a third of the</w:t>
      </w:r>
      <w:r w:rsidR="00EF432A" w:rsidRPr="009654C2">
        <w:rPr>
          <w:rFonts w:ascii="Times New Roman" w:hAnsi="Times New Roman" w:cs="Times New Roman"/>
        </w:rPr>
        <w:t xml:space="preserve"> </w:t>
      </w:r>
      <w:r w:rsidR="00962CA6" w:rsidRPr="009654C2">
        <w:rPr>
          <w:rFonts w:ascii="Times New Roman" w:hAnsi="Times New Roman" w:cs="Times New Roman"/>
        </w:rPr>
        <w:t>produce from the land; while under the "abunu" system he</w:t>
      </w:r>
      <w:r w:rsidR="00C77BAD" w:rsidRPr="009654C2">
        <w:rPr>
          <w:rFonts w:ascii="Times New Roman" w:hAnsi="Times New Roman" w:cs="Times New Roman"/>
        </w:rPr>
        <w:t>/she</w:t>
      </w:r>
      <w:r w:rsidR="00962CA6" w:rsidRPr="009654C2">
        <w:rPr>
          <w:rFonts w:ascii="Times New Roman" w:hAnsi="Times New Roman" w:cs="Times New Roman"/>
        </w:rPr>
        <w:t xml:space="preserve"> is entitled to half of the produce.</w:t>
      </w:r>
      <w:r w:rsidR="00C77BAD" w:rsidRPr="009654C2">
        <w:rPr>
          <w:rFonts w:ascii="Times New Roman" w:hAnsi="Times New Roman" w:cs="Times New Roman"/>
        </w:rPr>
        <w:t xml:space="preserve"> However, in most cash crop farming communities the tenancy agreement is not only limited to the produce but also the land ownership. This therefore redefines the nature of land ownership over land on which tree crops such as cocoa and oil palm are cultivated. Tenancy arrangements of the later kind are predominant in the forested areas of Western, Eastern, Ashanti and the Brong-Ahafo regions of Ghana. Most customary land transactions remain unrecorded, which often presents challenges when such lands are being acquired under compulsory acquisition </w:t>
      </w:r>
      <w:r w:rsidR="006734B2" w:rsidRPr="009654C2">
        <w:rPr>
          <w:rFonts w:ascii="Times New Roman" w:hAnsi="Times New Roman" w:cs="Times New Roman"/>
        </w:rPr>
        <w:t>for</w:t>
      </w:r>
      <w:r w:rsidR="00C77BAD" w:rsidRPr="009654C2">
        <w:rPr>
          <w:rFonts w:ascii="Times New Roman" w:hAnsi="Times New Roman" w:cs="Times New Roman"/>
        </w:rPr>
        <w:t xml:space="preserve"> which compensation is to be paid.</w:t>
      </w:r>
    </w:p>
    <w:p w14:paraId="514BB135" w14:textId="77777777" w:rsidR="000E723C" w:rsidRPr="009654C2" w:rsidRDefault="000E723C" w:rsidP="00CA0715">
      <w:pPr>
        <w:autoSpaceDE w:val="0"/>
        <w:autoSpaceDN w:val="0"/>
        <w:adjustRightInd w:val="0"/>
        <w:spacing w:before="120" w:after="120" w:line="240" w:lineRule="auto"/>
        <w:jc w:val="both"/>
        <w:rPr>
          <w:rFonts w:ascii="Times New Roman" w:hAnsi="Times New Roman" w:cs="Times New Roman"/>
        </w:rPr>
      </w:pPr>
      <w:r w:rsidRPr="009654C2">
        <w:rPr>
          <w:rFonts w:ascii="Times New Roman" w:hAnsi="Times New Roman" w:cs="Times New Roman"/>
          <w:b/>
        </w:rPr>
        <w:t>State owned lands</w:t>
      </w:r>
      <w:r w:rsidRPr="009654C2">
        <w:rPr>
          <w:rFonts w:ascii="Times New Roman" w:hAnsi="Times New Roman" w:cs="Times New Roman"/>
        </w:rPr>
        <w:t xml:space="preserve"> are public lands which have been specifically acquired by the </w:t>
      </w:r>
      <w:r w:rsidR="0068636E" w:rsidRPr="009654C2">
        <w:rPr>
          <w:rFonts w:ascii="Times New Roman" w:hAnsi="Times New Roman" w:cs="Times New Roman"/>
        </w:rPr>
        <w:t>state under its power of eminent domain for public use using</w:t>
      </w:r>
      <w:r w:rsidRPr="009654C2">
        <w:rPr>
          <w:rFonts w:ascii="Times New Roman" w:hAnsi="Times New Roman" w:cs="Times New Roman"/>
        </w:rPr>
        <w:t xml:space="preserve"> an appropriate </w:t>
      </w:r>
      <w:r w:rsidR="006734B2" w:rsidRPr="009654C2">
        <w:rPr>
          <w:rFonts w:ascii="Times New Roman" w:hAnsi="Times New Roman" w:cs="Times New Roman"/>
        </w:rPr>
        <w:t>law</w:t>
      </w:r>
      <w:r w:rsidR="0068636E" w:rsidRPr="009654C2">
        <w:rPr>
          <w:rFonts w:ascii="Times New Roman" w:hAnsi="Times New Roman" w:cs="Times New Roman"/>
        </w:rPr>
        <w:t xml:space="preserve"> (Article 20 ; 1992 Constitution).  Public lands</w:t>
      </w:r>
      <w:r w:rsidRPr="009654C2">
        <w:rPr>
          <w:rFonts w:ascii="Times New Roman" w:hAnsi="Times New Roman" w:cs="Times New Roman"/>
        </w:rPr>
        <w:t xml:space="preserve"> constitute about 18% of lands in Ghana. Compulsory acquisition of land by the state is </w:t>
      </w:r>
      <w:r w:rsidR="00962CA6" w:rsidRPr="009654C2">
        <w:rPr>
          <w:rFonts w:ascii="Times New Roman" w:hAnsi="Times New Roman" w:cs="Times New Roman"/>
        </w:rPr>
        <w:t>required to be made under a law, which</w:t>
      </w:r>
      <w:r w:rsidRPr="009654C2">
        <w:rPr>
          <w:rFonts w:ascii="Times New Roman" w:hAnsi="Times New Roman" w:cs="Times New Roman"/>
        </w:rPr>
        <w:t xml:space="preserve"> provides for the payment of compensation to the expropriated owner</w:t>
      </w:r>
      <w:r w:rsidR="00962CA6" w:rsidRPr="009654C2">
        <w:rPr>
          <w:rFonts w:ascii="Times New Roman" w:hAnsi="Times New Roman" w:cs="Times New Roman"/>
        </w:rPr>
        <w:t>. Such laws include the State Lands Act of 1962, Act 125 (as Amended).</w:t>
      </w:r>
      <w:r w:rsidRPr="009654C2">
        <w:rPr>
          <w:rFonts w:ascii="Times New Roman" w:hAnsi="Times New Roman" w:cs="Times New Roman"/>
        </w:rPr>
        <w:t xml:space="preserve"> </w:t>
      </w:r>
      <w:r w:rsidR="0068636E" w:rsidRPr="009654C2">
        <w:rPr>
          <w:rFonts w:ascii="Times New Roman" w:hAnsi="Times New Roman" w:cs="Times New Roman"/>
        </w:rPr>
        <w:t xml:space="preserve"> Public lands are managed by the Lands Commission.</w:t>
      </w:r>
    </w:p>
    <w:p w14:paraId="2E3E3BB9" w14:textId="2A5A4369" w:rsidR="000F547A" w:rsidRDefault="0068636E" w:rsidP="00CA0715">
      <w:pPr>
        <w:autoSpaceDE w:val="0"/>
        <w:autoSpaceDN w:val="0"/>
        <w:adjustRightInd w:val="0"/>
        <w:spacing w:before="120" w:after="120" w:line="240" w:lineRule="auto"/>
        <w:jc w:val="both"/>
        <w:rPr>
          <w:rFonts w:ascii="Times New Roman" w:hAnsi="Times New Roman" w:cs="Times New Roman"/>
          <w:b/>
          <w:i/>
        </w:rPr>
      </w:pPr>
      <w:r w:rsidRPr="009654C2">
        <w:rPr>
          <w:rFonts w:ascii="Times New Roman" w:hAnsi="Times New Roman" w:cs="Times New Roman"/>
        </w:rPr>
        <w:t xml:space="preserve">A third type of land ownership known as </w:t>
      </w:r>
      <w:r w:rsidR="000E723C" w:rsidRPr="009654C2">
        <w:rPr>
          <w:rFonts w:ascii="Times New Roman" w:hAnsi="Times New Roman" w:cs="Times New Roman"/>
          <w:b/>
        </w:rPr>
        <w:t>vested lands</w:t>
      </w:r>
      <w:r w:rsidRPr="009654C2">
        <w:rPr>
          <w:rFonts w:ascii="Times New Roman" w:hAnsi="Times New Roman" w:cs="Times New Roman"/>
          <w:b/>
        </w:rPr>
        <w:t xml:space="preserve"> </w:t>
      </w:r>
      <w:r w:rsidRPr="009654C2">
        <w:rPr>
          <w:rFonts w:ascii="Times New Roman" w:hAnsi="Times New Roman" w:cs="Times New Roman"/>
        </w:rPr>
        <w:t xml:space="preserve">are also found in Ghana; </w:t>
      </w:r>
      <w:r w:rsidR="000E723C" w:rsidRPr="009654C2">
        <w:rPr>
          <w:rFonts w:ascii="Times New Roman" w:hAnsi="Times New Roman" w:cs="Times New Roman"/>
        </w:rPr>
        <w:t xml:space="preserve">these are lands (estimated to be about 2%) that are legally managed by the state for and on the behalf of the land owing stool/skin. </w:t>
      </w:r>
      <w:r w:rsidRPr="009654C2">
        <w:rPr>
          <w:rFonts w:ascii="Times New Roman" w:hAnsi="Times New Roman" w:cs="Times New Roman"/>
        </w:rPr>
        <w:t xml:space="preserve"> It is different from State lands because the</w:t>
      </w:r>
      <w:r w:rsidR="002661DB" w:rsidRPr="009654C2">
        <w:rPr>
          <w:rFonts w:ascii="Times New Roman" w:hAnsi="Times New Roman" w:cs="Times New Roman"/>
        </w:rPr>
        <w:t>se</w:t>
      </w:r>
      <w:r w:rsidRPr="009654C2">
        <w:rPr>
          <w:rFonts w:ascii="Times New Roman" w:hAnsi="Times New Roman" w:cs="Times New Roman"/>
        </w:rPr>
        <w:t xml:space="preserve"> have not be</w:t>
      </w:r>
      <w:r w:rsidR="002661DB" w:rsidRPr="009654C2">
        <w:rPr>
          <w:rFonts w:ascii="Times New Roman" w:hAnsi="Times New Roman" w:cs="Times New Roman"/>
        </w:rPr>
        <w:t>en</w:t>
      </w:r>
      <w:r w:rsidRPr="009654C2">
        <w:rPr>
          <w:rFonts w:ascii="Times New Roman" w:hAnsi="Times New Roman" w:cs="Times New Roman"/>
        </w:rPr>
        <w:t xml:space="preserve"> compulsorily acquired and therefore no compensation is paid, although it is managed by the Lands Commission for and on behalf of the </w:t>
      </w:r>
      <w:r w:rsidR="00C65930" w:rsidRPr="009654C2">
        <w:rPr>
          <w:rFonts w:ascii="Times New Roman" w:hAnsi="Times New Roman" w:cs="Times New Roman"/>
        </w:rPr>
        <w:t>land-owning</w:t>
      </w:r>
      <w:r w:rsidRPr="009654C2">
        <w:rPr>
          <w:rFonts w:ascii="Times New Roman" w:hAnsi="Times New Roman" w:cs="Times New Roman"/>
        </w:rPr>
        <w:t xml:space="preserve"> community.</w:t>
      </w:r>
      <w:r w:rsidR="000E723C" w:rsidRPr="009654C2">
        <w:rPr>
          <w:rFonts w:ascii="Times New Roman" w:hAnsi="Times New Roman" w:cs="Times New Roman"/>
        </w:rPr>
        <w:t xml:space="preserve"> The Administration of Lands Act 1962 (Act 123) empowers the President of the </w:t>
      </w:r>
      <w:r w:rsidR="0088298A" w:rsidRPr="009654C2">
        <w:rPr>
          <w:rFonts w:ascii="Times New Roman" w:hAnsi="Times New Roman" w:cs="Times New Roman"/>
        </w:rPr>
        <w:t>Republic</w:t>
      </w:r>
      <w:r w:rsidRPr="009654C2">
        <w:rPr>
          <w:rFonts w:ascii="Times New Roman" w:hAnsi="Times New Roman" w:cs="Times New Roman"/>
        </w:rPr>
        <w:t xml:space="preserve"> of Ghana </w:t>
      </w:r>
      <w:r w:rsidR="000E723C" w:rsidRPr="009654C2">
        <w:rPr>
          <w:rFonts w:ascii="Times New Roman" w:hAnsi="Times New Roman" w:cs="Times New Roman"/>
        </w:rPr>
        <w:t>to declare, by Executive Instrument (EI), any stool land to be vested in trust and accordingly the state could administer such land as a truste</w:t>
      </w:r>
      <w:r w:rsidR="00962CA6" w:rsidRPr="009654C2">
        <w:rPr>
          <w:rFonts w:ascii="Times New Roman" w:hAnsi="Times New Roman" w:cs="Times New Roman"/>
        </w:rPr>
        <w:t xml:space="preserve">e for a </w:t>
      </w:r>
      <w:r w:rsidR="000E723C" w:rsidRPr="009654C2">
        <w:rPr>
          <w:rFonts w:ascii="Times New Roman" w:hAnsi="Times New Roman" w:cs="Times New Roman"/>
        </w:rPr>
        <w:t>stool</w:t>
      </w:r>
      <w:r w:rsidR="00962CA6" w:rsidRPr="009654C2">
        <w:rPr>
          <w:rFonts w:ascii="Times New Roman" w:hAnsi="Times New Roman" w:cs="Times New Roman"/>
        </w:rPr>
        <w:t>/skin</w:t>
      </w:r>
      <w:r w:rsidR="000E723C" w:rsidRPr="009654C2">
        <w:rPr>
          <w:rFonts w:ascii="Times New Roman" w:hAnsi="Times New Roman" w:cs="Times New Roman"/>
        </w:rPr>
        <w:t>.  Under such ownership, the legal rights to sell, lease, manage, and collect rent is taken away from the customary landowners and vested in the state. However, the equitable right in the land, which is the right to enjoy the benefits</w:t>
      </w:r>
      <w:r w:rsidR="00962CA6" w:rsidRPr="009654C2">
        <w:rPr>
          <w:rFonts w:ascii="Times New Roman" w:hAnsi="Times New Roman" w:cs="Times New Roman"/>
        </w:rPr>
        <w:t xml:space="preserve"> and rent</w:t>
      </w:r>
      <w:r w:rsidR="000E723C" w:rsidRPr="009654C2">
        <w:rPr>
          <w:rFonts w:ascii="Times New Roman" w:hAnsi="Times New Roman" w:cs="Times New Roman"/>
        </w:rPr>
        <w:t xml:space="preserve"> is retained by the land owners. </w:t>
      </w:r>
      <w:r w:rsidRPr="009654C2">
        <w:rPr>
          <w:rFonts w:ascii="Times New Roman" w:hAnsi="Times New Roman" w:cs="Times New Roman"/>
        </w:rPr>
        <w:t xml:space="preserve"> Thus</w:t>
      </w:r>
      <w:r w:rsidR="002661DB" w:rsidRPr="009654C2">
        <w:rPr>
          <w:rFonts w:ascii="Times New Roman" w:hAnsi="Times New Roman" w:cs="Times New Roman"/>
        </w:rPr>
        <w:t>,</w:t>
      </w:r>
      <w:r w:rsidRPr="009654C2">
        <w:rPr>
          <w:rFonts w:ascii="Times New Roman" w:hAnsi="Times New Roman" w:cs="Times New Roman"/>
        </w:rPr>
        <w:t xml:space="preserve"> all rents that accrue on the land are collected by the state and</w:t>
      </w:r>
    </w:p>
    <w:p w14:paraId="4E9784A4" w14:textId="7EA8D69D" w:rsidR="00FD5F6E" w:rsidRPr="009654C2" w:rsidRDefault="00FD5F6E" w:rsidP="00CA0715">
      <w:pPr>
        <w:pStyle w:val="ListParagraph"/>
        <w:tabs>
          <w:tab w:val="left" w:pos="0"/>
          <w:tab w:val="left" w:pos="720"/>
        </w:tabs>
        <w:autoSpaceDE w:val="0"/>
        <w:autoSpaceDN w:val="0"/>
        <w:adjustRightInd w:val="0"/>
        <w:spacing w:before="120" w:after="120" w:line="240" w:lineRule="auto"/>
        <w:ind w:left="0"/>
        <w:jc w:val="both"/>
        <w:rPr>
          <w:rFonts w:ascii="Times New Roman" w:hAnsi="Times New Roman" w:cs="Times New Roman"/>
          <w:b/>
          <w:i/>
        </w:rPr>
      </w:pPr>
      <w:r w:rsidRPr="009654C2">
        <w:rPr>
          <w:rFonts w:ascii="Times New Roman" w:hAnsi="Times New Roman" w:cs="Times New Roman"/>
          <w:b/>
          <w:i/>
        </w:rPr>
        <w:t>National Land Policy</w:t>
      </w:r>
      <w:r w:rsidR="00D32160" w:rsidRPr="009654C2">
        <w:rPr>
          <w:rFonts w:ascii="Times New Roman" w:hAnsi="Times New Roman" w:cs="Times New Roman"/>
          <w:b/>
          <w:i/>
        </w:rPr>
        <w:t xml:space="preserve"> and Administration</w:t>
      </w:r>
    </w:p>
    <w:p w14:paraId="5AED272A" w14:textId="0C6714A1" w:rsidR="00CE4F32" w:rsidRDefault="00FD5F6E" w:rsidP="00CA0715">
      <w:pPr>
        <w:pStyle w:val="ListParagraph"/>
        <w:tabs>
          <w:tab w:val="left" w:pos="0"/>
          <w:tab w:val="left" w:pos="720"/>
        </w:tabs>
        <w:autoSpaceDE w:val="0"/>
        <w:autoSpaceDN w:val="0"/>
        <w:adjustRightInd w:val="0"/>
        <w:spacing w:before="120" w:after="120" w:line="240" w:lineRule="auto"/>
        <w:ind w:left="0"/>
        <w:jc w:val="both"/>
        <w:rPr>
          <w:rFonts w:ascii="Times New Roman" w:hAnsi="Times New Roman" w:cs="Times New Roman"/>
          <w:b/>
          <w:i/>
        </w:rPr>
      </w:pPr>
      <w:r w:rsidRPr="009654C2">
        <w:rPr>
          <w:rFonts w:ascii="Times New Roman" w:hAnsi="Times New Roman" w:cs="Times New Roman"/>
        </w:rPr>
        <w:t xml:space="preserve">Land administration in Ghana is guided by The National Land Policy </w:t>
      </w:r>
      <w:r w:rsidR="00D32160" w:rsidRPr="009654C2">
        <w:rPr>
          <w:rFonts w:ascii="Times New Roman" w:hAnsi="Times New Roman" w:cs="Times New Roman"/>
        </w:rPr>
        <w:t xml:space="preserve">(1999), </w:t>
      </w:r>
      <w:r w:rsidRPr="009654C2">
        <w:rPr>
          <w:rFonts w:ascii="Times New Roman" w:hAnsi="Times New Roman" w:cs="Times New Roman"/>
        </w:rPr>
        <w:t xml:space="preserve">which provides a broad framework and policy guidelines aimed at enhancing land management systems, use, conservation of land resource and enhancing environmental quality. The policy has the objective of ensuring a coordinated and orderly use of the land resources by present and future generations. Ultimately the policy seeks to give protection to proprietary rights and promote the concept of prompt payment of adequate and fair compensation for compulsorily acquired lands and create the enabling environment for community participation in sustainable land use and management. To achieve the above broad objectives 2008 four public land agencies under the Ministry of Lands and Natural Resources were reorganized and established under the Lands Commission Act, 2008 with the principal objective: </w:t>
      </w:r>
      <w:r w:rsidRPr="009654C2">
        <w:rPr>
          <w:rFonts w:ascii="Times New Roman" w:hAnsi="Times New Roman" w:cs="Times New Roman"/>
          <w:i/>
          <w:iCs/>
        </w:rPr>
        <w:t>to promote the judicious use of land by the society and ensure that land use is in accordance with sustainable management principles and the maintenance of a sound eco-system.</w:t>
      </w:r>
      <w:r w:rsidRPr="009654C2">
        <w:rPr>
          <w:rFonts w:ascii="Times New Roman" w:hAnsi="Times New Roman" w:cs="Times New Roman"/>
        </w:rPr>
        <w:t xml:space="preserve"> </w:t>
      </w:r>
    </w:p>
    <w:p w14:paraId="356D9475" w14:textId="7D204B14" w:rsidR="00FD5F6E" w:rsidRPr="00390C91" w:rsidRDefault="00FD5F6E" w:rsidP="00CA0715">
      <w:pPr>
        <w:spacing w:before="120" w:after="120" w:line="240" w:lineRule="auto"/>
        <w:jc w:val="both"/>
        <w:rPr>
          <w:rFonts w:ascii="Times New Roman" w:hAnsi="Times New Roman" w:cs="Times New Roman"/>
          <w:b/>
        </w:rPr>
      </w:pPr>
      <w:r w:rsidRPr="00390C91">
        <w:rPr>
          <w:rFonts w:ascii="Times New Roman" w:hAnsi="Times New Roman" w:cs="Times New Roman"/>
          <w:b/>
        </w:rPr>
        <w:t>Compulsory Acquisition and Compensation</w:t>
      </w:r>
    </w:p>
    <w:p w14:paraId="47E52F69" w14:textId="77777777" w:rsidR="00E6473D" w:rsidRPr="00390C91" w:rsidRDefault="00277F87" w:rsidP="00CA0715">
      <w:pPr>
        <w:spacing w:before="120" w:after="120" w:line="240" w:lineRule="auto"/>
        <w:jc w:val="both"/>
        <w:rPr>
          <w:rFonts w:ascii="Times New Roman" w:hAnsi="Times New Roman" w:cs="Times New Roman"/>
        </w:rPr>
      </w:pPr>
      <w:r w:rsidRPr="00390C91">
        <w:rPr>
          <w:rFonts w:ascii="Times New Roman" w:hAnsi="Times New Roman" w:cs="Times New Roman"/>
          <w:b/>
          <w:i/>
        </w:rPr>
        <w:t>The 1992 Constitution of Ghana</w:t>
      </w:r>
      <w:r w:rsidRPr="00390C91">
        <w:rPr>
          <w:rFonts w:ascii="Times New Roman" w:hAnsi="Times New Roman" w:cs="Times New Roman"/>
        </w:rPr>
        <w:t xml:space="preserve"> </w:t>
      </w:r>
      <w:r w:rsidR="00E6473D" w:rsidRPr="00390C91">
        <w:rPr>
          <w:rFonts w:ascii="Times New Roman" w:hAnsi="Times New Roman" w:cs="Times New Roman"/>
        </w:rPr>
        <w:t>upholds the private ownership of land. However</w:t>
      </w:r>
      <w:r w:rsidRPr="00390C91">
        <w:rPr>
          <w:rFonts w:ascii="Times New Roman" w:hAnsi="Times New Roman" w:cs="Times New Roman"/>
        </w:rPr>
        <w:t>,</w:t>
      </w:r>
      <w:r w:rsidR="00E6473D" w:rsidRPr="00390C91">
        <w:rPr>
          <w:rFonts w:ascii="Times New Roman" w:hAnsi="Times New Roman" w:cs="Times New Roman"/>
        </w:rPr>
        <w:t xml:space="preserve"> Article 20 provides for compulsory acquisition of land</w:t>
      </w:r>
      <w:r w:rsidR="00E6473D" w:rsidRPr="00390C91">
        <w:rPr>
          <w:rFonts w:ascii="Times New Roman" w:hAnsi="Times New Roman" w:cs="Times New Roman"/>
          <w:b/>
          <w:bCs/>
        </w:rPr>
        <w:t xml:space="preserve"> </w:t>
      </w:r>
      <w:r w:rsidR="00E6473D" w:rsidRPr="00390C91">
        <w:rPr>
          <w:rFonts w:ascii="Times New Roman" w:hAnsi="Times New Roman" w:cs="Times New Roman"/>
        </w:rPr>
        <w:t>for public benefit, subject to the payment of “</w:t>
      </w:r>
      <w:r w:rsidRPr="00390C91">
        <w:rPr>
          <w:rFonts w:ascii="Times New Roman" w:hAnsi="Times New Roman" w:cs="Times New Roman"/>
        </w:rPr>
        <w:t xml:space="preserve">prompt, </w:t>
      </w:r>
      <w:r w:rsidR="00E6473D" w:rsidRPr="00390C91">
        <w:rPr>
          <w:rFonts w:ascii="Times New Roman" w:hAnsi="Times New Roman" w:cs="Times New Roman"/>
        </w:rPr>
        <w:t>fair and adequate compensation.”  Article 20(3) further stipulates that where the compulsorily acquisition involves the displacement of any inhabitants the state shall resettle them on suitable alternative land having due regard to their economic well-being and social and cultural</w:t>
      </w:r>
      <w:r w:rsidR="00E6473D" w:rsidRPr="00390C91">
        <w:rPr>
          <w:rFonts w:ascii="Times New Roman" w:hAnsi="Times New Roman" w:cs="Times New Roman"/>
          <w:color w:val="0000FF"/>
        </w:rPr>
        <w:t xml:space="preserve"> </w:t>
      </w:r>
      <w:r w:rsidR="00E6473D" w:rsidRPr="00390C91">
        <w:rPr>
          <w:rFonts w:ascii="Times New Roman" w:hAnsi="Times New Roman" w:cs="Times New Roman"/>
        </w:rPr>
        <w:t xml:space="preserve">values. The taking of possession or acquisition is necessary in the interest of defense, public safety, public morality, public health, town and country planning or development or utilization of property in such a manner as to promote public benefit and (ii) the necessity for the acquisition is clearly stated and is such as to provide reasonable justification for causing any hardship that may result to any person who has an interest in or right over the property.” It is a requirement that sufficient provision must be made for the prompt payment of fair and adequate compensation (Article 20[2]). The </w:t>
      </w:r>
      <w:r w:rsidR="00D32160" w:rsidRPr="00390C91">
        <w:rPr>
          <w:rFonts w:ascii="Times New Roman" w:hAnsi="Times New Roman" w:cs="Times New Roman"/>
        </w:rPr>
        <w:t>Constitution further</w:t>
      </w:r>
      <w:r w:rsidR="00E6473D" w:rsidRPr="00390C91">
        <w:rPr>
          <w:rFonts w:ascii="Times New Roman" w:hAnsi="Times New Roman" w:cs="Times New Roman"/>
        </w:rPr>
        <w:t xml:space="preserve"> makes provision for any aggrieved person to have right of access to the High court</w:t>
      </w:r>
      <w:r w:rsidR="00D32160" w:rsidRPr="00390C91">
        <w:rPr>
          <w:rFonts w:ascii="Times New Roman" w:hAnsi="Times New Roman" w:cs="Times New Roman"/>
        </w:rPr>
        <w:t xml:space="preserve"> to seek redress if dissatisfied with the manner of acquisition or the compensation thereof.</w:t>
      </w:r>
    </w:p>
    <w:p w14:paraId="3E589FFE" w14:textId="77777777" w:rsidR="00FD5F6E" w:rsidRPr="00390C91" w:rsidRDefault="00FD5F6E" w:rsidP="00CA0715">
      <w:pPr>
        <w:spacing w:before="120" w:after="120" w:line="240" w:lineRule="auto"/>
        <w:jc w:val="both"/>
        <w:rPr>
          <w:rFonts w:ascii="Times New Roman" w:hAnsi="Times New Roman" w:cs="Times New Roman"/>
        </w:rPr>
      </w:pPr>
      <w:r w:rsidRPr="00390C91">
        <w:rPr>
          <w:rFonts w:ascii="Times New Roman" w:hAnsi="Times New Roman" w:cs="Times New Roman"/>
          <w:b/>
          <w:i/>
        </w:rPr>
        <w:t>The State Lands Act 1962, Act 125</w:t>
      </w:r>
      <w:r w:rsidRPr="00390C91">
        <w:rPr>
          <w:rFonts w:ascii="Times New Roman" w:hAnsi="Times New Roman" w:cs="Times New Roman"/>
          <w:b/>
        </w:rPr>
        <w:t xml:space="preserve"> (as Amended in 2000, Act 586)</w:t>
      </w:r>
      <w:r w:rsidRPr="00390C91">
        <w:rPr>
          <w:rFonts w:ascii="Times New Roman" w:hAnsi="Times New Roman" w:cs="Times New Roman"/>
        </w:rPr>
        <w:t xml:space="preserve"> empowers the President</w:t>
      </w:r>
      <w:r w:rsidR="00D32160" w:rsidRPr="00390C91">
        <w:rPr>
          <w:rFonts w:ascii="Times New Roman" w:hAnsi="Times New Roman" w:cs="Times New Roman"/>
        </w:rPr>
        <w:t xml:space="preserve"> of the Republic to acquire any land for </w:t>
      </w:r>
      <w:r w:rsidRPr="00390C91">
        <w:rPr>
          <w:rFonts w:ascii="Times New Roman" w:hAnsi="Times New Roman" w:cs="Times New Roman"/>
        </w:rPr>
        <w:t xml:space="preserve">public use. The Act and its regulation, the State Lands </w:t>
      </w:r>
      <w:r w:rsidR="00D32160" w:rsidRPr="00390C91">
        <w:rPr>
          <w:rFonts w:ascii="Times New Roman" w:hAnsi="Times New Roman" w:cs="Times New Roman"/>
        </w:rPr>
        <w:t>Regulation 1962 (LI 230) outlines</w:t>
      </w:r>
      <w:r w:rsidRPr="00390C91">
        <w:rPr>
          <w:rFonts w:ascii="Times New Roman" w:hAnsi="Times New Roman" w:cs="Times New Roman"/>
        </w:rPr>
        <w:t xml:space="preserve"> the modalities and procedures for compulsorily land acquisition</w:t>
      </w:r>
      <w:r w:rsidR="00D32160" w:rsidRPr="00390C91">
        <w:rPr>
          <w:rFonts w:ascii="Times New Roman" w:hAnsi="Times New Roman" w:cs="Times New Roman"/>
        </w:rPr>
        <w:t xml:space="preserve"> and compensation</w:t>
      </w:r>
      <w:r w:rsidRPr="00390C91">
        <w:rPr>
          <w:rFonts w:ascii="Times New Roman" w:hAnsi="Times New Roman" w:cs="Times New Roman"/>
        </w:rPr>
        <w:t xml:space="preserve">.  Section 4(3) of Act 125 stipulates that in assessing the compensation for land expropriated by the state due regard </w:t>
      </w:r>
      <w:r w:rsidR="00D32160" w:rsidRPr="00390C91">
        <w:rPr>
          <w:rFonts w:ascii="Times New Roman" w:hAnsi="Times New Roman" w:cs="Times New Roman"/>
        </w:rPr>
        <w:t xml:space="preserve">shall be had to the following: </w:t>
      </w:r>
      <w:r w:rsidRPr="00390C91">
        <w:rPr>
          <w:rFonts w:ascii="Times New Roman" w:hAnsi="Times New Roman" w:cs="Times New Roman"/>
        </w:rPr>
        <w:t>(a) the market or replacement value of the land; (b) the cost of disturbance or any other damage suffered thereby; and (c) the benefits to be derived by the people of the area in which the land is situated from the use for which the land is acquired.</w:t>
      </w:r>
      <w:r w:rsidR="00D32160" w:rsidRPr="00390C91">
        <w:rPr>
          <w:rFonts w:ascii="Times New Roman" w:hAnsi="Times New Roman" w:cs="Times New Roman"/>
        </w:rPr>
        <w:t xml:space="preserve"> This is to a large extent to ensure that the potential hardship of losing land and assets are minimized.</w:t>
      </w:r>
    </w:p>
    <w:p w14:paraId="0D35A3DB" w14:textId="77777777" w:rsidR="00FD5F6E" w:rsidRPr="00390C91" w:rsidRDefault="00FD5F6E" w:rsidP="00CA0715">
      <w:pPr>
        <w:spacing w:before="120" w:after="120" w:line="240" w:lineRule="auto"/>
        <w:jc w:val="both"/>
        <w:rPr>
          <w:rFonts w:ascii="Times New Roman" w:hAnsi="Times New Roman" w:cs="Times New Roman"/>
        </w:rPr>
      </w:pPr>
      <w:r w:rsidRPr="00390C91">
        <w:rPr>
          <w:rFonts w:ascii="Times New Roman" w:hAnsi="Times New Roman" w:cs="Times New Roman"/>
          <w:b/>
          <w:bCs/>
          <w:i/>
        </w:rPr>
        <w:t>The Administration of Lands Act 1962 Act 123</w:t>
      </w:r>
      <w:r w:rsidRPr="00390C91">
        <w:rPr>
          <w:rFonts w:ascii="Times New Roman" w:hAnsi="Times New Roman" w:cs="Times New Roman"/>
        </w:rPr>
        <w:t xml:space="preserve"> empowers the President to compulsorily acquire stool lands for public benefit subject to the payment of compensation. The Act was enacted to facilitate the management and administration of stool lands.  The Act provides for compensation entitlements to be assessed by giving due consideration to the values of the land (and other losses suffered) and the benefits to be derived by the people in the area (by way of the use to which the state is going to put the land).</w:t>
      </w:r>
    </w:p>
    <w:p w14:paraId="1E005BB1" w14:textId="1FD10D43" w:rsidR="00D67E56" w:rsidRPr="00390C91" w:rsidRDefault="00FD5F6E" w:rsidP="00CA0715">
      <w:pPr>
        <w:autoSpaceDE w:val="0"/>
        <w:autoSpaceDN w:val="0"/>
        <w:adjustRightInd w:val="0"/>
        <w:spacing w:before="120" w:after="120" w:line="240" w:lineRule="auto"/>
        <w:jc w:val="both"/>
        <w:rPr>
          <w:rFonts w:ascii="Times New Roman" w:hAnsi="Times New Roman" w:cs="Times New Roman"/>
        </w:rPr>
      </w:pPr>
      <w:r w:rsidRPr="00390C91">
        <w:rPr>
          <w:rFonts w:ascii="Times New Roman" w:hAnsi="Times New Roman" w:cs="Times New Roman"/>
          <w:b/>
          <w:i/>
        </w:rPr>
        <w:t>The Lands Statutory Wayleaves Act 1963 (Act 186</w:t>
      </w:r>
      <w:r w:rsidR="00D67E56" w:rsidRPr="00390C91">
        <w:rPr>
          <w:rFonts w:ascii="Times New Roman" w:hAnsi="Times New Roman" w:cs="Times New Roman"/>
          <w:i/>
        </w:rPr>
        <w:t xml:space="preserve">) </w:t>
      </w:r>
      <w:r w:rsidR="00D67E56" w:rsidRPr="00390C91">
        <w:rPr>
          <w:rFonts w:ascii="Times New Roman" w:hAnsi="Times New Roman" w:cs="Times New Roman"/>
        </w:rPr>
        <w:t>provides</w:t>
      </w:r>
      <w:r w:rsidRPr="00390C91">
        <w:rPr>
          <w:rFonts w:ascii="Times New Roman" w:hAnsi="Times New Roman" w:cs="Times New Roman"/>
        </w:rPr>
        <w:t xml:space="preserve"> for the compulsory acquisition of land for the purposes of construction, installation and maintenance of public utility works and creation of right of ways and other similar right for such works. Works for which right of ways may be created are “highways or works for purposes of, or in connection with any public utility works</w:t>
      </w:r>
      <w:r w:rsidR="00D67E56" w:rsidRPr="00390C91">
        <w:rPr>
          <w:rFonts w:ascii="Times New Roman" w:hAnsi="Times New Roman" w:cs="Times New Roman"/>
        </w:rPr>
        <w:t>. The key elements of this Act include the following:</w:t>
      </w:r>
    </w:p>
    <w:p w14:paraId="02763F09" w14:textId="0B08EA1A" w:rsidR="00D67E56" w:rsidRPr="00390C91" w:rsidRDefault="00D67E56" w:rsidP="00CA0715">
      <w:pPr>
        <w:pStyle w:val="ListParagraph"/>
        <w:numPr>
          <w:ilvl w:val="0"/>
          <w:numId w:val="39"/>
        </w:numPr>
        <w:autoSpaceDE w:val="0"/>
        <w:autoSpaceDN w:val="0"/>
        <w:adjustRightInd w:val="0"/>
        <w:spacing w:before="120" w:after="120" w:line="240" w:lineRule="auto"/>
        <w:jc w:val="both"/>
        <w:rPr>
          <w:rFonts w:ascii="Times New Roman" w:hAnsi="Times New Roman" w:cs="Times New Roman"/>
        </w:rPr>
      </w:pPr>
      <w:r w:rsidRPr="00390C91">
        <w:rPr>
          <w:rFonts w:ascii="Times New Roman" w:hAnsi="Times New Roman" w:cs="Times New Roman"/>
        </w:rPr>
        <w:t>The owner/occupier of the land must be formally notified at least a week in advance of the intent to enter, and be given at least 24 hours’ notice before actual entry;</w:t>
      </w:r>
    </w:p>
    <w:p w14:paraId="42D073C4" w14:textId="71EB6FE9" w:rsidR="00D67E56" w:rsidRPr="00390C91" w:rsidRDefault="00D67E56" w:rsidP="00CA0715">
      <w:pPr>
        <w:pStyle w:val="ListParagraph"/>
        <w:numPr>
          <w:ilvl w:val="0"/>
          <w:numId w:val="39"/>
        </w:numPr>
        <w:autoSpaceDE w:val="0"/>
        <w:autoSpaceDN w:val="0"/>
        <w:adjustRightInd w:val="0"/>
        <w:spacing w:before="120" w:after="120" w:line="240" w:lineRule="auto"/>
        <w:jc w:val="both"/>
        <w:rPr>
          <w:rFonts w:ascii="Times New Roman" w:hAnsi="Times New Roman" w:cs="Times New Roman"/>
        </w:rPr>
      </w:pPr>
      <w:r w:rsidRPr="00390C91">
        <w:rPr>
          <w:rFonts w:ascii="Times New Roman" w:hAnsi="Times New Roman" w:cs="Times New Roman"/>
        </w:rPr>
        <w:t>Any damage due to entry must be compensated in accord with the procedures established by the Minister unless the land is restored or replaced;</w:t>
      </w:r>
    </w:p>
    <w:p w14:paraId="65BA142D" w14:textId="1152AA03" w:rsidR="00D67E56" w:rsidRPr="00390C91" w:rsidRDefault="00D67E56" w:rsidP="00CA0715">
      <w:pPr>
        <w:pStyle w:val="ListParagraph"/>
        <w:numPr>
          <w:ilvl w:val="0"/>
          <w:numId w:val="39"/>
        </w:numPr>
        <w:autoSpaceDE w:val="0"/>
        <w:autoSpaceDN w:val="0"/>
        <w:adjustRightInd w:val="0"/>
        <w:spacing w:before="120" w:after="120" w:line="240" w:lineRule="auto"/>
        <w:jc w:val="both"/>
        <w:rPr>
          <w:rFonts w:ascii="Times New Roman" w:hAnsi="Times New Roman" w:cs="Times New Roman"/>
        </w:rPr>
      </w:pPr>
      <w:r w:rsidRPr="00390C91">
        <w:rPr>
          <w:rFonts w:ascii="Times New Roman" w:hAnsi="Times New Roman" w:cs="Times New Roman"/>
        </w:rPr>
        <w:t>In the case of highways, no compensation shall be paid, unless the land taken is more than one fifth of the total holdings of an affected person;</w:t>
      </w:r>
    </w:p>
    <w:p w14:paraId="0621494B" w14:textId="5312A85D" w:rsidR="00D67E56" w:rsidRPr="00390C91" w:rsidRDefault="00D67E56" w:rsidP="00CA0715">
      <w:pPr>
        <w:pStyle w:val="ListParagraph"/>
        <w:numPr>
          <w:ilvl w:val="0"/>
          <w:numId w:val="39"/>
        </w:numPr>
        <w:autoSpaceDE w:val="0"/>
        <w:autoSpaceDN w:val="0"/>
        <w:adjustRightInd w:val="0"/>
        <w:spacing w:before="120" w:after="120" w:line="240" w:lineRule="auto"/>
        <w:jc w:val="both"/>
        <w:rPr>
          <w:rFonts w:ascii="Times New Roman" w:hAnsi="Times New Roman" w:cs="Times New Roman"/>
        </w:rPr>
      </w:pPr>
      <w:r w:rsidRPr="00390C91">
        <w:rPr>
          <w:rFonts w:ascii="Times New Roman" w:hAnsi="Times New Roman" w:cs="Times New Roman"/>
        </w:rPr>
        <w:t>Where a right of way must be established in the public interest, the President may declare the land to be subject to such statutory wayleave; and</w:t>
      </w:r>
    </w:p>
    <w:p w14:paraId="5B6521A9" w14:textId="7D94F71C" w:rsidR="00D67E56" w:rsidRPr="00390C91" w:rsidRDefault="00D67E56" w:rsidP="00CA0715">
      <w:pPr>
        <w:pStyle w:val="ListParagraph"/>
        <w:numPr>
          <w:ilvl w:val="0"/>
          <w:numId w:val="39"/>
        </w:numPr>
        <w:autoSpaceDE w:val="0"/>
        <w:autoSpaceDN w:val="0"/>
        <w:adjustRightInd w:val="0"/>
        <w:spacing w:before="120" w:after="120" w:line="240" w:lineRule="auto"/>
        <w:jc w:val="both"/>
        <w:rPr>
          <w:rFonts w:ascii="Times New Roman" w:hAnsi="Times New Roman" w:cs="Times New Roman"/>
        </w:rPr>
      </w:pPr>
      <w:r w:rsidRPr="00390C91">
        <w:rPr>
          <w:rFonts w:ascii="Times New Roman" w:hAnsi="Times New Roman" w:cs="Times New Roman"/>
        </w:rPr>
        <w:t>On publication of a wayleave instrument specifying the area required, and without further assurance, the land shall be deemed to be subject to wayleave. Compensation is then determined</w:t>
      </w:r>
    </w:p>
    <w:p w14:paraId="51C93D7D" w14:textId="77777777" w:rsidR="00D67E56" w:rsidRPr="00390C91" w:rsidRDefault="00D67E56" w:rsidP="00CA0715">
      <w:pPr>
        <w:autoSpaceDE w:val="0"/>
        <w:autoSpaceDN w:val="0"/>
        <w:adjustRightInd w:val="0"/>
        <w:spacing w:before="120" w:after="120" w:line="240" w:lineRule="auto"/>
        <w:jc w:val="both"/>
        <w:rPr>
          <w:rFonts w:ascii="Times New Roman" w:hAnsi="Times New Roman" w:cs="Times New Roman"/>
        </w:rPr>
      </w:pPr>
      <w:r w:rsidRPr="00390C91">
        <w:rPr>
          <w:rFonts w:ascii="Times New Roman" w:hAnsi="Times New Roman" w:cs="Times New Roman"/>
        </w:rPr>
        <w:t>and paid, with the right of appeal to a Tribunal established by the President, in parallel with the</w:t>
      </w:r>
    </w:p>
    <w:p w14:paraId="5DDBD030" w14:textId="6CB25231" w:rsidR="00FD5F6E" w:rsidRPr="00390C91" w:rsidRDefault="00D67E56" w:rsidP="00CA0715">
      <w:pPr>
        <w:autoSpaceDE w:val="0"/>
        <w:autoSpaceDN w:val="0"/>
        <w:adjustRightInd w:val="0"/>
        <w:spacing w:before="120" w:after="120" w:line="240" w:lineRule="auto"/>
        <w:jc w:val="both"/>
        <w:rPr>
          <w:rFonts w:ascii="Times New Roman" w:hAnsi="Times New Roman" w:cs="Times New Roman"/>
        </w:rPr>
      </w:pPr>
      <w:r w:rsidRPr="00390C91">
        <w:rPr>
          <w:rFonts w:ascii="Times New Roman" w:hAnsi="Times New Roman" w:cs="Times New Roman"/>
        </w:rPr>
        <w:t>Lands Act, 1962.   Further to this Act, the Statutory Wayleave Regulations, 1964, provide procedural details to address grievances. Under the Program it is expected that meaningful consultations will take place between the Program Management Unit and Project Affected Persons.</w:t>
      </w:r>
    </w:p>
    <w:p w14:paraId="18E21988" w14:textId="77777777" w:rsidR="0077381B" w:rsidRPr="009654C2" w:rsidRDefault="0077381B" w:rsidP="00CA0715">
      <w:pPr>
        <w:autoSpaceDE w:val="0"/>
        <w:autoSpaceDN w:val="0"/>
        <w:adjustRightInd w:val="0"/>
        <w:spacing w:before="120" w:after="120" w:line="240" w:lineRule="auto"/>
        <w:jc w:val="both"/>
        <w:rPr>
          <w:rFonts w:ascii="Times New Roman" w:hAnsi="Times New Roman" w:cs="Times New Roman"/>
          <w:bCs/>
        </w:rPr>
      </w:pPr>
      <w:r w:rsidRPr="009654C2">
        <w:rPr>
          <w:rFonts w:ascii="Times New Roman" w:hAnsi="Times New Roman" w:cs="Times New Roman"/>
          <w:b/>
          <w:bCs/>
          <w:i/>
        </w:rPr>
        <w:t>Lands Commission Act, 2008 (Act 767)</w:t>
      </w:r>
      <w:r w:rsidRPr="009654C2">
        <w:rPr>
          <w:rFonts w:ascii="Times New Roman" w:hAnsi="Times New Roman" w:cs="Times New Roman"/>
          <w:bCs/>
          <w:i/>
        </w:rPr>
        <w:t xml:space="preserve"> </w:t>
      </w:r>
      <w:r w:rsidRPr="009654C2">
        <w:rPr>
          <w:rFonts w:ascii="Times New Roman" w:hAnsi="Times New Roman" w:cs="Times New Roman"/>
          <w:bCs/>
        </w:rPr>
        <w:t>governs the a</w:t>
      </w:r>
      <w:r w:rsidRPr="009654C2">
        <w:rPr>
          <w:rFonts w:ascii="Times New Roman" w:hAnsi="Times New Roman" w:cs="Times New Roman"/>
        </w:rPr>
        <w:t>ssessment of compensation payment, determines the values of properties rented, purchased, sold or leased by or to Government; and prepares and maintains valuation list.</w:t>
      </w:r>
    </w:p>
    <w:p w14:paraId="4A71F32B" w14:textId="77777777" w:rsidR="00FD5F6E" w:rsidRPr="009654C2" w:rsidRDefault="00FD5F6E" w:rsidP="00CA0715">
      <w:pPr>
        <w:spacing w:before="120" w:after="120" w:line="240" w:lineRule="auto"/>
        <w:ind w:left="-360" w:firstLine="360"/>
        <w:jc w:val="both"/>
        <w:rPr>
          <w:rFonts w:ascii="Times New Roman" w:hAnsi="Times New Roman" w:cs="Times New Roman"/>
          <w:i/>
        </w:rPr>
      </w:pPr>
      <w:r w:rsidRPr="009654C2">
        <w:rPr>
          <w:rFonts w:ascii="Times New Roman" w:hAnsi="Times New Roman" w:cs="Times New Roman"/>
          <w:b/>
          <w:bCs/>
          <w:i/>
        </w:rPr>
        <w:t>Procedure for Compulsory Land Acquisition</w:t>
      </w:r>
    </w:p>
    <w:p w14:paraId="108A9EC0" w14:textId="77777777" w:rsidR="00FD5F6E" w:rsidRPr="009654C2" w:rsidRDefault="00FD5F6E" w:rsidP="00CA0715">
      <w:pPr>
        <w:autoSpaceDE w:val="0"/>
        <w:autoSpaceDN w:val="0"/>
        <w:adjustRightInd w:val="0"/>
        <w:spacing w:before="120" w:after="120" w:line="240" w:lineRule="auto"/>
        <w:jc w:val="both"/>
        <w:rPr>
          <w:rFonts w:ascii="Times New Roman" w:hAnsi="Times New Roman" w:cs="Times New Roman"/>
        </w:rPr>
      </w:pPr>
      <w:r w:rsidRPr="009654C2">
        <w:rPr>
          <w:rFonts w:ascii="Times New Roman" w:hAnsi="Times New Roman" w:cs="Times New Roman"/>
        </w:rPr>
        <w:t xml:space="preserve">The detail procedure for acquisition is outlined in the State Lands Regulations 1962-(Legal Instrument 230). Once a Government institution needs land it </w:t>
      </w:r>
      <w:r w:rsidR="007E2270" w:rsidRPr="009654C2">
        <w:rPr>
          <w:rFonts w:ascii="Times New Roman" w:hAnsi="Times New Roman" w:cs="Times New Roman"/>
        </w:rPr>
        <w:t>applies</w:t>
      </w:r>
      <w:r w:rsidRPr="009654C2">
        <w:rPr>
          <w:rFonts w:ascii="Times New Roman" w:hAnsi="Times New Roman" w:cs="Times New Roman"/>
        </w:rPr>
        <w:t xml:space="preserve"> to the Minister responsible for lands who then authorizes the Regional Commissioner in whose region the land to be acquired is located to convene the Site Advisory Committee. The Committee undertakes a detail inspection and survey of the property in question to determine the legal boundary, ownership, and improvements effected. It examines the merits of the proposed acquisition and submits its recommendation to the Regional Commissioner who, in turn, forwards the recommendation together with a certificate of valuation of the land from the Land Valuation Division of the Lands Commission to the Minister for approval (sections 1-3).</w:t>
      </w:r>
    </w:p>
    <w:p w14:paraId="30F8F555" w14:textId="69625FD0" w:rsidR="00FD5F6E" w:rsidRPr="009654C2" w:rsidRDefault="00FD5F6E" w:rsidP="00CA0715">
      <w:pPr>
        <w:spacing w:before="120" w:after="120" w:line="240" w:lineRule="auto"/>
        <w:jc w:val="both"/>
        <w:rPr>
          <w:rFonts w:ascii="Times New Roman" w:hAnsi="Times New Roman" w:cs="Times New Roman"/>
        </w:rPr>
      </w:pPr>
      <w:r w:rsidRPr="009654C2">
        <w:rPr>
          <w:rFonts w:ascii="Times New Roman" w:hAnsi="Times New Roman" w:cs="Times New Roman"/>
        </w:rPr>
        <w:t>Compulsory acquisition requires public notification of the land to be acquired and the use to which it will be put. It is a mandatory requirement that a copy of the instrument of acquisition be served on any person having an interest in or possession of such lands or be affixed at a convenient place on the land and be published thrice in a newspaper circulating in the district where the land is situated. Section 4 of State Lands Act 1962 requires that people seeking compensation submit their claims in writing to the Lands Commission which “</w:t>
      </w:r>
      <w:r w:rsidRPr="009654C2">
        <w:rPr>
          <w:rFonts w:ascii="Times New Roman" w:hAnsi="Times New Roman" w:cs="Times New Roman"/>
          <w:i/>
          <w:iCs/>
        </w:rPr>
        <w:t>shall cause the payment to the owner, of fair and adequate compensation to be assessed by the Government for the land acquired.”</w:t>
      </w:r>
      <w:r w:rsidRPr="009654C2">
        <w:rPr>
          <w:rFonts w:ascii="Times New Roman" w:hAnsi="Times New Roman" w:cs="Times New Roman"/>
        </w:rPr>
        <w:t xml:space="preserve"> The valuation of affected assets gives due consideration to the values of the land (and other losses suffered) and the benefits to be derived by the people in the area (by way of the use to which the state is going to put the land).  However, individuals are at liberty to engage the services of private </w:t>
      </w:r>
      <w:r w:rsidR="008E0AD1" w:rsidRPr="009654C2">
        <w:rPr>
          <w:rFonts w:ascii="Times New Roman" w:hAnsi="Times New Roman" w:cs="Times New Roman"/>
        </w:rPr>
        <w:t>v</w:t>
      </w:r>
      <w:r w:rsidRPr="009654C2">
        <w:rPr>
          <w:rFonts w:ascii="Times New Roman" w:hAnsi="Times New Roman" w:cs="Times New Roman"/>
        </w:rPr>
        <w:t>aluers</w:t>
      </w:r>
      <w:r w:rsidR="000076AD" w:rsidRPr="009654C2">
        <w:rPr>
          <w:rFonts w:ascii="Times New Roman" w:hAnsi="Times New Roman" w:cs="Times New Roman"/>
        </w:rPr>
        <w:t>, but at their own cost.</w:t>
      </w:r>
      <w:r w:rsidRPr="009654C2">
        <w:rPr>
          <w:rFonts w:ascii="Times New Roman" w:hAnsi="Times New Roman" w:cs="Times New Roman"/>
        </w:rPr>
        <w:t>,</w:t>
      </w:r>
    </w:p>
    <w:p w14:paraId="2F8B627A" w14:textId="77777777" w:rsidR="00FD01AF" w:rsidRPr="009654C2" w:rsidRDefault="002943C2" w:rsidP="00CA0715">
      <w:pPr>
        <w:autoSpaceDE w:val="0"/>
        <w:autoSpaceDN w:val="0"/>
        <w:adjustRightInd w:val="0"/>
        <w:spacing w:before="120" w:after="120" w:line="240" w:lineRule="auto"/>
        <w:jc w:val="both"/>
        <w:rPr>
          <w:rFonts w:ascii="Times New Roman" w:hAnsi="Times New Roman" w:cs="Times New Roman"/>
          <w:b/>
          <w:bCs/>
        </w:rPr>
      </w:pPr>
      <w:r w:rsidRPr="009654C2">
        <w:rPr>
          <w:rFonts w:ascii="Times New Roman" w:hAnsi="Times New Roman" w:cs="Times New Roman"/>
          <w:b/>
          <w:bCs/>
        </w:rPr>
        <w:t>Vulnerable Groups</w:t>
      </w:r>
    </w:p>
    <w:p w14:paraId="6B1EE642" w14:textId="77777777" w:rsidR="002943C2" w:rsidRPr="009654C2" w:rsidRDefault="002943C2" w:rsidP="00CA0715">
      <w:pPr>
        <w:spacing w:before="120" w:after="120" w:line="240" w:lineRule="auto"/>
        <w:jc w:val="both"/>
        <w:rPr>
          <w:rFonts w:ascii="Times New Roman" w:eastAsia="MS Mincho" w:hAnsi="Times New Roman" w:cs="Times New Roman"/>
        </w:rPr>
      </w:pPr>
      <w:r w:rsidRPr="009654C2">
        <w:rPr>
          <w:rFonts w:ascii="Times New Roman" w:hAnsi="Times New Roman" w:cs="Times New Roman"/>
          <w:b/>
          <w:bCs/>
          <w:i/>
        </w:rPr>
        <w:t>Legislation and Regulations</w:t>
      </w:r>
      <w:r w:rsidRPr="009654C2">
        <w:rPr>
          <w:rFonts w:ascii="Times New Roman" w:hAnsi="Times New Roman" w:cs="Times New Roman"/>
          <w:bCs/>
        </w:rPr>
        <w:t xml:space="preserve"> on vulnerable groups are governed by a number of acts viz: (i) Persons with Disability Act, 2006 (Act 715) that provides for consideration of persons with disability in design and implementation of infrastructure, including provision of access for handicapped individuals; (ii) Domestic Violence Act, 2007 (Act 732) that provides for the protection of women and children from domestic violence</w:t>
      </w:r>
      <w:r w:rsidR="000076AD" w:rsidRPr="009654C2">
        <w:rPr>
          <w:rFonts w:ascii="Times New Roman" w:hAnsi="Times New Roman" w:cs="Times New Roman"/>
          <w:bCs/>
        </w:rPr>
        <w:t xml:space="preserve"> including Gender-Based Violence (GBV)</w:t>
      </w:r>
      <w:r w:rsidRPr="009654C2">
        <w:rPr>
          <w:rFonts w:ascii="Times New Roman" w:hAnsi="Times New Roman" w:cs="Times New Roman"/>
          <w:bCs/>
        </w:rPr>
        <w:t>; (iii)</w:t>
      </w:r>
      <w:r w:rsidRPr="009654C2">
        <w:rPr>
          <w:rFonts w:ascii="Times New Roman" w:hAnsi="Times New Roman" w:cs="Times New Roman"/>
          <w:b/>
          <w:bCs/>
        </w:rPr>
        <w:t xml:space="preserve"> </w:t>
      </w:r>
      <w:r w:rsidRPr="009654C2">
        <w:rPr>
          <w:rFonts w:ascii="Times New Roman" w:eastAsia="MS Mincho" w:hAnsi="Times New Roman" w:cs="Times New Roman"/>
          <w:bCs/>
        </w:rPr>
        <w:t>Children’s Act, 1998 (Act 560)</w:t>
      </w:r>
      <w:r w:rsidR="00307E9C" w:rsidRPr="009654C2">
        <w:rPr>
          <w:rFonts w:ascii="Times New Roman" w:eastAsia="MS Mincho" w:hAnsi="Times New Roman" w:cs="Times New Roman"/>
          <w:bCs/>
        </w:rPr>
        <w:t xml:space="preserve"> </w:t>
      </w:r>
      <w:r w:rsidRPr="009654C2">
        <w:rPr>
          <w:rFonts w:ascii="Times New Roman" w:eastAsia="MS Mincho" w:hAnsi="Times New Roman" w:cs="Times New Roman"/>
        </w:rPr>
        <w:t xml:space="preserve">to reform and consolidate the law relating to children, to provide for the rights of the children, maintenance and adoption, regulate child labor and apprenticeship; (iv) </w:t>
      </w:r>
      <w:r w:rsidRPr="009654C2">
        <w:rPr>
          <w:rFonts w:ascii="Times New Roman" w:eastAsia="MS Mincho" w:hAnsi="Times New Roman" w:cs="Times New Roman"/>
          <w:bCs/>
        </w:rPr>
        <w:t xml:space="preserve">Ghana Aids Commission Act, 2002 (Act 613) that </w:t>
      </w:r>
      <w:r w:rsidRPr="009654C2">
        <w:rPr>
          <w:rFonts w:ascii="Times New Roman" w:eastAsia="MS Mincho" w:hAnsi="Times New Roman" w:cs="Times New Roman"/>
        </w:rPr>
        <w:t xml:space="preserve">establishes a Commission to formulate a national HIV/AIDS policy,  develop programs for the implementation of the policy and direct and co-ordinate the programs and activities in the fight against HIV/AIDS; and, (v) </w:t>
      </w:r>
      <w:r w:rsidRPr="009654C2">
        <w:rPr>
          <w:rFonts w:ascii="Times New Roman" w:eastAsia="MS Mincho" w:hAnsi="Times New Roman" w:cs="Times New Roman"/>
          <w:bCs/>
        </w:rPr>
        <w:t>Juvenile Justice Act, 2003 (Act 653) t</w:t>
      </w:r>
      <w:r w:rsidRPr="009654C2">
        <w:rPr>
          <w:rFonts w:ascii="Times New Roman" w:eastAsia="MS Mincho" w:hAnsi="Times New Roman" w:cs="Times New Roman"/>
        </w:rPr>
        <w:t>o provide a juvenile justice system, to protect the rights of juveniles, ensure an appropriate and individuals response to juvenile offenders, among others.</w:t>
      </w:r>
    </w:p>
    <w:p w14:paraId="793AA863" w14:textId="06E4F523" w:rsidR="00F82215" w:rsidRPr="00B1688C" w:rsidRDefault="00F82215" w:rsidP="00CA0715">
      <w:pPr>
        <w:pStyle w:val="Heading2"/>
        <w:rPr>
          <w:rStyle w:val="Heading21"/>
          <w:b/>
          <w:sz w:val="28"/>
        </w:rPr>
      </w:pPr>
      <w:r w:rsidRPr="00B1688C">
        <w:rPr>
          <w:rStyle w:val="Heading21"/>
          <w:b/>
          <w:sz w:val="28"/>
        </w:rPr>
        <w:t>4.2 Description of Institutional Framework</w:t>
      </w:r>
    </w:p>
    <w:p w14:paraId="4C3034EA" w14:textId="51F68434" w:rsidR="00760EAF" w:rsidRPr="009654C2" w:rsidRDefault="00760EAF" w:rsidP="00CA0715">
      <w:pPr>
        <w:autoSpaceDE w:val="0"/>
        <w:autoSpaceDN w:val="0"/>
        <w:adjustRightInd w:val="0"/>
        <w:spacing w:before="120" w:after="120" w:line="240" w:lineRule="auto"/>
        <w:jc w:val="both"/>
        <w:rPr>
          <w:rFonts w:ascii="Times New Roman" w:hAnsi="Times New Roman" w:cs="Times New Roman"/>
          <w:bCs/>
        </w:rPr>
      </w:pPr>
      <w:r w:rsidRPr="009654C2">
        <w:rPr>
          <w:rFonts w:ascii="Times New Roman" w:hAnsi="Times New Roman" w:cs="Times New Roman"/>
          <w:bCs/>
        </w:rPr>
        <w:t>The main institutions with responsibilities for environmental and social management relevant to the Program are:</w:t>
      </w:r>
    </w:p>
    <w:p w14:paraId="4E2C2558" w14:textId="74480476" w:rsidR="00F75ADC" w:rsidRPr="009654C2" w:rsidRDefault="003E2BD8" w:rsidP="006F431D">
      <w:pPr>
        <w:pStyle w:val="Heading2"/>
      </w:pPr>
      <w:bookmarkStart w:id="36" w:name="_Toc508892825"/>
      <w:r>
        <w:t xml:space="preserve">4.2.1 </w:t>
      </w:r>
      <w:r w:rsidR="00F75ADC" w:rsidRPr="009654C2">
        <w:t>National Level</w:t>
      </w:r>
      <w:bookmarkEnd w:id="36"/>
    </w:p>
    <w:p w14:paraId="65BD142D" w14:textId="77777777" w:rsidR="00F75ADC" w:rsidRPr="009654C2" w:rsidRDefault="00F75ADC" w:rsidP="00CA0715">
      <w:pPr>
        <w:autoSpaceDE w:val="0"/>
        <w:autoSpaceDN w:val="0"/>
        <w:adjustRightInd w:val="0"/>
        <w:spacing w:before="120" w:after="120" w:line="240" w:lineRule="auto"/>
        <w:jc w:val="both"/>
        <w:rPr>
          <w:rFonts w:ascii="Times New Roman" w:hAnsi="Times New Roman" w:cs="Times New Roman"/>
          <w:color w:val="000000" w:themeColor="text1"/>
        </w:rPr>
      </w:pPr>
      <w:r w:rsidRPr="009654C2">
        <w:rPr>
          <w:rFonts w:ascii="Times New Roman" w:hAnsi="Times New Roman" w:cs="Times New Roman"/>
          <w:b/>
          <w:color w:val="000000" w:themeColor="text1"/>
        </w:rPr>
        <w:t>Ghana’s Environmental Protection Agency (EPA)</w:t>
      </w:r>
      <w:r w:rsidRPr="009654C2">
        <w:rPr>
          <w:rFonts w:ascii="Times New Roman" w:hAnsi="Times New Roman" w:cs="Times New Roman"/>
          <w:color w:val="000000" w:themeColor="text1"/>
        </w:rPr>
        <w:t xml:space="preserve"> has existed since 1974. Policy and overall direction is provided by a 13-member Governing Board. An Executive Director Manages the agency’s operations and administration. </w:t>
      </w:r>
    </w:p>
    <w:p w14:paraId="43957A16" w14:textId="77777777" w:rsidR="00F75ADC" w:rsidRPr="009654C2" w:rsidRDefault="00F75ADC" w:rsidP="00CA0715">
      <w:pPr>
        <w:autoSpaceDE w:val="0"/>
        <w:autoSpaceDN w:val="0"/>
        <w:adjustRightInd w:val="0"/>
        <w:spacing w:before="120" w:after="120" w:line="240" w:lineRule="auto"/>
        <w:jc w:val="both"/>
        <w:rPr>
          <w:rFonts w:ascii="Times New Roman" w:hAnsi="Times New Roman" w:cs="Times New Roman"/>
          <w:color w:val="000000" w:themeColor="text1"/>
        </w:rPr>
      </w:pPr>
      <w:r w:rsidRPr="009654C2">
        <w:rPr>
          <w:rFonts w:ascii="Times New Roman" w:hAnsi="Times New Roman" w:cs="Times New Roman"/>
          <w:color w:val="000000" w:themeColor="text1"/>
        </w:rPr>
        <w:t xml:space="preserve">The units most relevant to the Program are Environmental Assessment and Audit (EAA) Department and the 11 Regional EPA Offices. The EAA Department is headed by a Deputy Director and has a staff of seven professionals. It administers the intersectoral EA/TRC, prepares guidance documents such as EA sectoral guidelines and conducts review of full EISs prepared for high risk category A projects. In its review function, it can draw on experts in other EPA departments specifically Natural Resources, Built Environment, Manufacturing Industries and Environmental Quality. </w:t>
      </w:r>
    </w:p>
    <w:p w14:paraId="46A67BAC" w14:textId="77777777" w:rsidR="00F75ADC" w:rsidRPr="009654C2" w:rsidRDefault="00F75ADC" w:rsidP="00CA0715">
      <w:pPr>
        <w:autoSpaceDE w:val="0"/>
        <w:autoSpaceDN w:val="0"/>
        <w:adjustRightInd w:val="0"/>
        <w:spacing w:before="120" w:after="120" w:line="240" w:lineRule="auto"/>
        <w:jc w:val="both"/>
        <w:rPr>
          <w:rFonts w:ascii="Times New Roman" w:hAnsi="Times New Roman" w:cs="Times New Roman"/>
          <w:color w:val="000000" w:themeColor="text1"/>
        </w:rPr>
      </w:pPr>
      <w:r w:rsidRPr="009654C2">
        <w:rPr>
          <w:rFonts w:ascii="Times New Roman" w:hAnsi="Times New Roman" w:cs="Times New Roman"/>
          <w:color w:val="000000" w:themeColor="text1"/>
        </w:rPr>
        <w:t>Given the nature and scale of the subprojects under the Program, it is certain that no subprojects will be required a full ESIA and hence it is anticipated that the National EPA will not be directly involved in the processing and review of any subprojects. All subprojects are expected to be screened and a number will be required to prepare ESMPs and</w:t>
      </w:r>
      <w:r w:rsidR="00307E9C" w:rsidRPr="009654C2">
        <w:rPr>
          <w:rFonts w:ascii="Times New Roman" w:hAnsi="Times New Roman" w:cs="Times New Roman"/>
          <w:color w:val="000000" w:themeColor="text1"/>
        </w:rPr>
        <w:t xml:space="preserve"> processed and issued permits by</w:t>
      </w:r>
      <w:r w:rsidRPr="009654C2">
        <w:rPr>
          <w:rFonts w:ascii="Times New Roman" w:hAnsi="Times New Roman" w:cs="Times New Roman"/>
          <w:color w:val="000000" w:themeColor="text1"/>
        </w:rPr>
        <w:t xml:space="preserve"> the Regional EPA.</w:t>
      </w:r>
    </w:p>
    <w:p w14:paraId="5A613515" w14:textId="77777777" w:rsidR="00F75ADC" w:rsidRPr="009654C2" w:rsidRDefault="00F75ADC" w:rsidP="00CA0715">
      <w:pPr>
        <w:autoSpaceDE w:val="0"/>
        <w:autoSpaceDN w:val="0"/>
        <w:adjustRightInd w:val="0"/>
        <w:spacing w:before="120" w:after="120" w:line="240" w:lineRule="auto"/>
        <w:jc w:val="both"/>
        <w:rPr>
          <w:rFonts w:ascii="Times New Roman" w:hAnsi="Times New Roman" w:cs="Times New Roman"/>
          <w:color w:val="000000" w:themeColor="text1"/>
        </w:rPr>
      </w:pPr>
      <w:r w:rsidRPr="009654C2">
        <w:rPr>
          <w:rFonts w:ascii="Times New Roman" w:hAnsi="Times New Roman" w:cs="Times New Roman"/>
          <w:color w:val="000000" w:themeColor="text1"/>
        </w:rPr>
        <w:t>LI 1652 provides for significant financial penalties or imprisonment of up to one year, or both, for commencing an undertaking without an environmental permit or failure to prepare an EIS for projects listed in Schedule 2. Most of the enforcement is carried out by the Regional EPA. EPA applies administrative sanctions including fines in routine cases and has a Legal Department that provides support in complex or contentious cases that result in litigation.</w:t>
      </w:r>
    </w:p>
    <w:p w14:paraId="222FAD6B" w14:textId="7396C31F" w:rsidR="00CE4F32" w:rsidRDefault="00F75ADC" w:rsidP="00CA0715">
      <w:pPr>
        <w:autoSpaceDE w:val="0"/>
        <w:autoSpaceDN w:val="0"/>
        <w:adjustRightInd w:val="0"/>
        <w:spacing w:before="120" w:after="120" w:line="240" w:lineRule="auto"/>
        <w:jc w:val="both"/>
        <w:rPr>
          <w:rFonts w:ascii="Times New Roman" w:hAnsi="Times New Roman" w:cs="Times New Roman"/>
          <w:color w:val="000000" w:themeColor="text1"/>
        </w:rPr>
      </w:pPr>
      <w:r w:rsidRPr="009654C2">
        <w:rPr>
          <w:rFonts w:ascii="Times New Roman" w:hAnsi="Times New Roman" w:cs="Times New Roman"/>
          <w:color w:val="000000" w:themeColor="text1"/>
        </w:rPr>
        <w:t>The National EPA has a Training Institute located in Greater Accra that provides EIA training to proponents and practitioners based on demand. The training course normally runs for 5 days. It has its own accommodation and can be tapped by the Program to run EA and Resettlement Trainings for MMDAs.</w:t>
      </w:r>
    </w:p>
    <w:p w14:paraId="30A76F16" w14:textId="03106567" w:rsidR="00587B3D" w:rsidRPr="009654C2" w:rsidRDefault="00587B3D" w:rsidP="00CA0715">
      <w:pPr>
        <w:autoSpaceDE w:val="0"/>
        <w:autoSpaceDN w:val="0"/>
        <w:adjustRightInd w:val="0"/>
        <w:spacing w:before="120" w:after="120" w:line="240" w:lineRule="auto"/>
        <w:jc w:val="both"/>
        <w:rPr>
          <w:rFonts w:ascii="Times New Roman" w:hAnsi="Times New Roman" w:cs="Times New Roman"/>
        </w:rPr>
      </w:pPr>
      <w:r w:rsidRPr="009654C2">
        <w:rPr>
          <w:rFonts w:ascii="Times New Roman" w:hAnsi="Times New Roman" w:cs="Times New Roman"/>
          <w:b/>
        </w:rPr>
        <w:t>The Lands Commission Act 2008 establishes the Lands Commission</w:t>
      </w:r>
      <w:r w:rsidRPr="009654C2">
        <w:rPr>
          <w:rFonts w:ascii="Times New Roman" w:hAnsi="Times New Roman" w:cs="Times New Roman"/>
        </w:rPr>
        <w:t xml:space="preserve"> to integrate the operations of public</w:t>
      </w:r>
      <w:r w:rsidR="006F431D">
        <w:rPr>
          <w:rFonts w:ascii="Times New Roman" w:hAnsi="Times New Roman" w:cs="Times New Roman"/>
        </w:rPr>
        <w:t xml:space="preserve"> </w:t>
      </w:r>
      <w:r w:rsidRPr="009654C2">
        <w:rPr>
          <w:rFonts w:ascii="Times New Roman" w:hAnsi="Times New Roman" w:cs="Times New Roman"/>
        </w:rPr>
        <w:t>service land institutions to secure effective and efficient land administration to provide for related matters. The objectives of the Commission include among others to: (i)</w:t>
      </w:r>
      <w:r w:rsidRPr="009654C2">
        <w:rPr>
          <w:rFonts w:ascii="Times New Roman" w:hAnsi="Times New Roman" w:cs="Times New Roman"/>
        </w:rPr>
        <w:t>promote the judicious use of land by the society and ensure that land use is in accordance with sustainable management principles and the maintenance of a sound eco-system; and (ii)</w:t>
      </w:r>
      <w:r w:rsidRPr="009654C2">
        <w:rPr>
          <w:rFonts w:ascii="Times New Roman" w:hAnsi="Times New Roman" w:cs="Times New Roman"/>
        </w:rPr>
        <w:t xml:space="preserve">ensure that land development is </w:t>
      </w:r>
      <w:r w:rsidR="00891FB3" w:rsidRPr="009654C2">
        <w:rPr>
          <w:rFonts w:ascii="Times New Roman" w:hAnsi="Times New Roman" w:cs="Times New Roman"/>
        </w:rPr>
        <w:t>a</w:t>
      </w:r>
      <w:r w:rsidRPr="009654C2">
        <w:rPr>
          <w:rFonts w:ascii="Times New Roman" w:hAnsi="Times New Roman" w:cs="Times New Roman"/>
        </w:rPr>
        <w:t>ffected in conformity with the nation’s development goals. Currently, the commission has the following divisions:</w:t>
      </w:r>
    </w:p>
    <w:p w14:paraId="356F9A8B" w14:textId="5EDB5B9E" w:rsidR="00587B3D" w:rsidRPr="009654C2" w:rsidRDefault="00587B3D" w:rsidP="00CA0715">
      <w:pPr>
        <w:pStyle w:val="ListParagraph"/>
        <w:numPr>
          <w:ilvl w:val="0"/>
          <w:numId w:val="38"/>
        </w:numPr>
        <w:autoSpaceDE w:val="0"/>
        <w:autoSpaceDN w:val="0"/>
        <w:adjustRightInd w:val="0"/>
        <w:spacing w:before="120" w:after="120" w:line="240" w:lineRule="auto"/>
        <w:jc w:val="both"/>
        <w:rPr>
          <w:rFonts w:ascii="Times New Roman" w:hAnsi="Times New Roman" w:cs="Times New Roman"/>
        </w:rPr>
      </w:pPr>
      <w:r w:rsidRPr="009654C2">
        <w:rPr>
          <w:rFonts w:ascii="Times New Roman" w:hAnsi="Times New Roman" w:cs="Times New Roman"/>
        </w:rPr>
        <w:t>Land Valuation; and</w:t>
      </w:r>
    </w:p>
    <w:p w14:paraId="7317716F" w14:textId="2151916B" w:rsidR="00106342" w:rsidRPr="009654C2" w:rsidRDefault="00587B3D" w:rsidP="00CA0715">
      <w:pPr>
        <w:pStyle w:val="ListParagraph"/>
        <w:numPr>
          <w:ilvl w:val="0"/>
          <w:numId w:val="38"/>
        </w:numPr>
        <w:spacing w:before="120" w:after="120" w:line="240" w:lineRule="auto"/>
        <w:jc w:val="both"/>
        <w:rPr>
          <w:rFonts w:ascii="Times New Roman" w:hAnsi="Times New Roman" w:cs="Times New Roman"/>
        </w:rPr>
      </w:pPr>
      <w:r w:rsidRPr="009654C2">
        <w:rPr>
          <w:rFonts w:ascii="Times New Roman" w:hAnsi="Times New Roman" w:cs="Times New Roman"/>
        </w:rPr>
        <w:t>Public and Vested Lands Management.</w:t>
      </w:r>
    </w:p>
    <w:p w14:paraId="0D06F86B" w14:textId="6882E03A" w:rsidR="00106342" w:rsidRPr="009654C2" w:rsidRDefault="00106342" w:rsidP="00CA0715">
      <w:pPr>
        <w:pStyle w:val="ListParagraph"/>
        <w:numPr>
          <w:ilvl w:val="0"/>
          <w:numId w:val="38"/>
        </w:numPr>
        <w:autoSpaceDE w:val="0"/>
        <w:autoSpaceDN w:val="0"/>
        <w:adjustRightInd w:val="0"/>
        <w:spacing w:before="120" w:after="120" w:line="240" w:lineRule="auto"/>
        <w:jc w:val="both"/>
        <w:rPr>
          <w:rFonts w:ascii="Times New Roman" w:hAnsi="Times New Roman" w:cs="Times New Roman"/>
        </w:rPr>
      </w:pPr>
      <w:r w:rsidRPr="009654C2">
        <w:rPr>
          <w:rFonts w:ascii="Times New Roman" w:hAnsi="Times New Roman" w:cs="Times New Roman"/>
        </w:rPr>
        <w:t>Land Registration;</w:t>
      </w:r>
    </w:p>
    <w:p w14:paraId="5DA58BE7" w14:textId="0BBCFB42" w:rsidR="00F82215" w:rsidRPr="006F431D" w:rsidRDefault="00106342" w:rsidP="00CA0715">
      <w:pPr>
        <w:pStyle w:val="ListParagraph"/>
        <w:numPr>
          <w:ilvl w:val="0"/>
          <w:numId w:val="38"/>
        </w:numPr>
        <w:autoSpaceDE w:val="0"/>
        <w:autoSpaceDN w:val="0"/>
        <w:adjustRightInd w:val="0"/>
        <w:spacing w:before="120" w:after="120" w:line="240" w:lineRule="auto"/>
        <w:jc w:val="both"/>
        <w:rPr>
          <w:rFonts w:ascii="Times New Roman" w:hAnsi="Times New Roman" w:cs="Times New Roman"/>
          <w:b/>
        </w:rPr>
      </w:pPr>
      <w:r w:rsidRPr="006F431D">
        <w:rPr>
          <w:rFonts w:ascii="Times New Roman" w:hAnsi="Times New Roman" w:cs="Times New Roman"/>
        </w:rPr>
        <w:t>Survey and Mapping</w:t>
      </w:r>
      <w:r w:rsidR="006F431D">
        <w:rPr>
          <w:rFonts w:ascii="Times New Roman" w:hAnsi="Times New Roman" w:cs="Times New Roman"/>
          <w:b/>
        </w:rPr>
        <w:t>.</w:t>
      </w:r>
    </w:p>
    <w:p w14:paraId="56FDC730" w14:textId="22E24609" w:rsidR="007F59E9" w:rsidRPr="009654C2" w:rsidRDefault="007E2270" w:rsidP="00CA0715">
      <w:pPr>
        <w:autoSpaceDE w:val="0"/>
        <w:autoSpaceDN w:val="0"/>
        <w:adjustRightInd w:val="0"/>
        <w:spacing w:before="120" w:after="120" w:line="240" w:lineRule="auto"/>
        <w:jc w:val="both"/>
        <w:rPr>
          <w:rFonts w:ascii="Times New Roman" w:hAnsi="Times New Roman" w:cs="Times New Roman"/>
        </w:rPr>
      </w:pPr>
      <w:r w:rsidRPr="009654C2">
        <w:rPr>
          <w:rFonts w:ascii="Times New Roman" w:hAnsi="Times New Roman" w:cs="Times New Roman"/>
          <w:b/>
        </w:rPr>
        <w:t>The Land Valuation Division</w:t>
      </w:r>
      <w:r w:rsidR="00587B3D" w:rsidRPr="009654C2">
        <w:rPr>
          <w:rFonts w:ascii="Times New Roman" w:hAnsi="Times New Roman" w:cs="Times New Roman"/>
          <w:b/>
        </w:rPr>
        <w:t xml:space="preserve"> (LVD). </w:t>
      </w:r>
      <w:r w:rsidR="00587B3D" w:rsidRPr="009654C2">
        <w:rPr>
          <w:rFonts w:ascii="Times New Roman" w:hAnsi="Times New Roman" w:cs="Times New Roman"/>
        </w:rPr>
        <w:t>Under the Program the institution that would have much functional role is the LVD</w:t>
      </w:r>
      <w:r w:rsidR="007F59E9" w:rsidRPr="009654C2">
        <w:rPr>
          <w:rFonts w:ascii="Times New Roman" w:hAnsi="Times New Roman" w:cs="Times New Roman"/>
        </w:rPr>
        <w:t xml:space="preserve"> because of its legal mandate as the government’s authority to assess and or validate </w:t>
      </w:r>
      <w:r w:rsidR="00587B3D" w:rsidRPr="009654C2">
        <w:rPr>
          <w:rFonts w:ascii="Times New Roman" w:hAnsi="Times New Roman" w:cs="Times New Roman"/>
        </w:rPr>
        <w:t xml:space="preserve">compensation for </w:t>
      </w:r>
      <w:r w:rsidR="007F59E9" w:rsidRPr="009654C2">
        <w:rPr>
          <w:rFonts w:ascii="Times New Roman" w:hAnsi="Times New Roman" w:cs="Times New Roman"/>
        </w:rPr>
        <w:t xml:space="preserve">all </w:t>
      </w:r>
      <w:r w:rsidR="00587B3D" w:rsidRPr="009654C2">
        <w:rPr>
          <w:rFonts w:ascii="Times New Roman" w:hAnsi="Times New Roman" w:cs="Times New Roman"/>
        </w:rPr>
        <w:t xml:space="preserve">government projects. </w:t>
      </w:r>
      <w:r w:rsidR="007F59E9" w:rsidRPr="009654C2">
        <w:rPr>
          <w:rFonts w:ascii="Times New Roman" w:hAnsi="Times New Roman" w:cs="Times New Roman"/>
        </w:rPr>
        <w:t xml:space="preserve"> The LVD is one of the four Divisions established under the Lands Commission Act 2008, Act 767. The LVD is responsible for all valuation services for the government, including assessing compensation resulting from land acquisition or damage to an asset in view of a government project. The Division keep rates for crops which are applicable nation-wide. The LVD operates at both national and regional levels and has offices in all the ten (10) regions of Ghana and 44 district offices.  Currently, the district offices are more involved in rating valuation than with assessing compensation for government projects undertaken by the MMAs. </w:t>
      </w:r>
    </w:p>
    <w:p w14:paraId="0770F25F" w14:textId="0AC38FEC" w:rsidR="00234D25" w:rsidRPr="009654C2" w:rsidRDefault="007F59E9" w:rsidP="00CA0715">
      <w:pPr>
        <w:autoSpaceDE w:val="0"/>
        <w:autoSpaceDN w:val="0"/>
        <w:adjustRightInd w:val="0"/>
        <w:spacing w:before="120" w:after="120" w:line="240" w:lineRule="auto"/>
        <w:jc w:val="both"/>
        <w:rPr>
          <w:rFonts w:ascii="Times New Roman" w:hAnsi="Times New Roman" w:cs="Times New Roman"/>
        </w:rPr>
      </w:pPr>
      <w:r w:rsidRPr="009654C2">
        <w:rPr>
          <w:rFonts w:ascii="Times New Roman" w:hAnsi="Times New Roman" w:cs="Times New Roman"/>
        </w:rPr>
        <w:t xml:space="preserve">The LVDs valuation for compensation is based on </w:t>
      </w:r>
      <w:r w:rsidR="007E2270" w:rsidRPr="009654C2">
        <w:rPr>
          <w:rFonts w:ascii="Times New Roman" w:hAnsi="Times New Roman" w:cs="Times New Roman"/>
        </w:rPr>
        <w:t>market value</w:t>
      </w:r>
      <w:r w:rsidRPr="009654C2">
        <w:rPr>
          <w:rFonts w:ascii="Times New Roman" w:hAnsi="Times New Roman" w:cs="Times New Roman"/>
        </w:rPr>
        <w:t xml:space="preserve"> approach for </w:t>
      </w:r>
      <w:r w:rsidR="007E2270" w:rsidRPr="009654C2">
        <w:rPr>
          <w:rFonts w:ascii="Times New Roman" w:hAnsi="Times New Roman" w:cs="Times New Roman"/>
        </w:rPr>
        <w:t xml:space="preserve">land and replacement value for houses and other properties damaged </w:t>
      </w:r>
      <w:r w:rsidR="00760EAF" w:rsidRPr="009654C2">
        <w:rPr>
          <w:rFonts w:ascii="Times New Roman" w:hAnsi="Times New Roman" w:cs="Times New Roman"/>
        </w:rPr>
        <w:t>or destroyed as a result of compulsory</w:t>
      </w:r>
      <w:r w:rsidR="007E2270" w:rsidRPr="009654C2">
        <w:rPr>
          <w:rFonts w:ascii="Times New Roman" w:hAnsi="Times New Roman" w:cs="Times New Roman"/>
        </w:rPr>
        <w:t xml:space="preserve"> acquisition. </w:t>
      </w:r>
      <w:r w:rsidR="000076AD" w:rsidRPr="009654C2">
        <w:rPr>
          <w:rFonts w:ascii="Times New Roman" w:hAnsi="Times New Roman" w:cs="Times New Roman"/>
        </w:rPr>
        <w:t>For crops, the enumeration approach is adopted and compensation is based on the economic life of tree crops such as cocoa, oil palm, citrus</w:t>
      </w:r>
      <w:r w:rsidRPr="009654C2">
        <w:rPr>
          <w:rFonts w:ascii="Times New Roman" w:hAnsi="Times New Roman" w:cs="Times New Roman"/>
        </w:rPr>
        <w:t xml:space="preserve"> etc. U</w:t>
      </w:r>
      <w:r w:rsidR="00234D25" w:rsidRPr="009654C2">
        <w:rPr>
          <w:rFonts w:ascii="Times New Roman" w:hAnsi="Times New Roman" w:cs="Times New Roman"/>
        </w:rPr>
        <w:t>nder current</w:t>
      </w:r>
      <w:r w:rsidRPr="009654C2">
        <w:rPr>
          <w:rFonts w:ascii="Times New Roman" w:hAnsi="Times New Roman" w:cs="Times New Roman"/>
        </w:rPr>
        <w:t xml:space="preserve"> national </w:t>
      </w:r>
      <w:r w:rsidR="00234D25" w:rsidRPr="009654C2">
        <w:rPr>
          <w:rFonts w:ascii="Times New Roman" w:hAnsi="Times New Roman" w:cs="Times New Roman"/>
        </w:rPr>
        <w:t>laws</w:t>
      </w:r>
      <w:r w:rsidR="007E2270" w:rsidRPr="009654C2">
        <w:rPr>
          <w:rFonts w:ascii="Times New Roman" w:hAnsi="Times New Roman" w:cs="Times New Roman"/>
        </w:rPr>
        <w:t xml:space="preserve"> resettlement </w:t>
      </w:r>
      <w:r w:rsidR="00234D25" w:rsidRPr="009654C2">
        <w:rPr>
          <w:rFonts w:ascii="Times New Roman" w:hAnsi="Times New Roman" w:cs="Times New Roman"/>
        </w:rPr>
        <w:t xml:space="preserve">and compensation </w:t>
      </w:r>
      <w:r w:rsidR="007E2270" w:rsidRPr="009654C2">
        <w:rPr>
          <w:rFonts w:ascii="Times New Roman" w:hAnsi="Times New Roman" w:cs="Times New Roman"/>
        </w:rPr>
        <w:t xml:space="preserve">can be claimed as a right only by persons with proprietary interests in the acquired lands. Ghanaian </w:t>
      </w:r>
      <w:r w:rsidR="00234D25" w:rsidRPr="009654C2">
        <w:rPr>
          <w:rFonts w:ascii="Times New Roman" w:hAnsi="Times New Roman" w:cs="Times New Roman"/>
        </w:rPr>
        <w:t xml:space="preserve">statute </w:t>
      </w:r>
      <w:r w:rsidRPr="009654C2">
        <w:rPr>
          <w:rFonts w:ascii="Times New Roman" w:hAnsi="Times New Roman" w:cs="Times New Roman"/>
        </w:rPr>
        <w:t>does</w:t>
      </w:r>
      <w:r w:rsidR="007E2270" w:rsidRPr="009654C2">
        <w:rPr>
          <w:rFonts w:ascii="Times New Roman" w:hAnsi="Times New Roman" w:cs="Times New Roman"/>
        </w:rPr>
        <w:t xml:space="preserve"> not </w:t>
      </w:r>
      <w:r w:rsidRPr="009654C2">
        <w:rPr>
          <w:rFonts w:ascii="Times New Roman" w:hAnsi="Times New Roman" w:cs="Times New Roman"/>
        </w:rPr>
        <w:t xml:space="preserve">provide for the interest of </w:t>
      </w:r>
      <w:r w:rsidR="007E2270" w:rsidRPr="009654C2">
        <w:rPr>
          <w:rFonts w:ascii="Times New Roman" w:hAnsi="Times New Roman" w:cs="Times New Roman"/>
        </w:rPr>
        <w:t>squatters</w:t>
      </w:r>
      <w:r w:rsidR="00234D25" w:rsidRPr="009654C2">
        <w:rPr>
          <w:rFonts w:ascii="Times New Roman" w:hAnsi="Times New Roman" w:cs="Times New Roman"/>
        </w:rPr>
        <w:t xml:space="preserve"> and encroachers</w:t>
      </w:r>
      <w:r w:rsidR="007E2270" w:rsidRPr="009654C2">
        <w:rPr>
          <w:rFonts w:ascii="Times New Roman" w:hAnsi="Times New Roman" w:cs="Times New Roman"/>
        </w:rPr>
        <w:t xml:space="preserve"> </w:t>
      </w:r>
      <w:r w:rsidRPr="009654C2">
        <w:rPr>
          <w:rFonts w:ascii="Times New Roman" w:hAnsi="Times New Roman" w:cs="Times New Roman"/>
        </w:rPr>
        <w:t>living on a R</w:t>
      </w:r>
      <w:r w:rsidR="007E2270" w:rsidRPr="009654C2">
        <w:rPr>
          <w:rFonts w:ascii="Times New Roman" w:hAnsi="Times New Roman" w:cs="Times New Roman"/>
        </w:rPr>
        <w:t>ight</w:t>
      </w:r>
      <w:r w:rsidRPr="009654C2">
        <w:rPr>
          <w:rFonts w:ascii="Times New Roman" w:hAnsi="Times New Roman" w:cs="Times New Roman"/>
        </w:rPr>
        <w:t xml:space="preserve"> of Way (ROW)</w:t>
      </w:r>
      <w:r w:rsidR="007E2270" w:rsidRPr="009654C2">
        <w:rPr>
          <w:rFonts w:ascii="Times New Roman" w:hAnsi="Times New Roman" w:cs="Times New Roman"/>
        </w:rPr>
        <w:t xml:space="preserve"> to be resettled except in instances where the Limitations Decree applies</w:t>
      </w:r>
      <w:r w:rsidR="007E2270" w:rsidRPr="009654C2">
        <w:rPr>
          <w:rStyle w:val="FootnoteReference"/>
          <w:rFonts w:ascii="Times New Roman" w:hAnsi="Times New Roman" w:cs="Times New Roman"/>
        </w:rPr>
        <w:footnoteReference w:id="28"/>
      </w:r>
      <w:r w:rsidR="007E2270" w:rsidRPr="009654C2">
        <w:rPr>
          <w:rFonts w:ascii="Times New Roman" w:hAnsi="Times New Roman" w:cs="Times New Roman"/>
        </w:rPr>
        <w:t>. In practice, the EPA has insisted on resettlement</w:t>
      </w:r>
      <w:r w:rsidR="00234D25" w:rsidRPr="009654C2">
        <w:rPr>
          <w:rFonts w:ascii="Times New Roman" w:hAnsi="Times New Roman" w:cs="Times New Roman"/>
        </w:rPr>
        <w:t xml:space="preserve"> </w:t>
      </w:r>
      <w:r w:rsidR="007E2270" w:rsidRPr="009654C2">
        <w:rPr>
          <w:rFonts w:ascii="Times New Roman" w:hAnsi="Times New Roman" w:cs="Times New Roman"/>
        </w:rPr>
        <w:t>cum compensation plans in respect of project affected persons, including squatters, as part of the EA</w:t>
      </w:r>
      <w:r w:rsidR="00234D25" w:rsidRPr="009654C2">
        <w:rPr>
          <w:rFonts w:ascii="Times New Roman" w:hAnsi="Times New Roman" w:cs="Times New Roman"/>
        </w:rPr>
        <w:t xml:space="preserve"> </w:t>
      </w:r>
      <w:r w:rsidR="007E2270" w:rsidRPr="009654C2">
        <w:rPr>
          <w:rFonts w:ascii="Times New Roman" w:hAnsi="Times New Roman" w:cs="Times New Roman"/>
        </w:rPr>
        <w:t>requirements.</w:t>
      </w:r>
      <w:r w:rsidR="00234D25" w:rsidRPr="009654C2">
        <w:rPr>
          <w:rFonts w:ascii="Times New Roman" w:hAnsi="Times New Roman" w:cs="Times New Roman"/>
        </w:rPr>
        <w:t xml:space="preserve"> This however seem to more applicable in the case of large scale resettlement such as occur in mining communities.</w:t>
      </w:r>
      <w:r w:rsidR="007E2270" w:rsidRPr="009654C2">
        <w:rPr>
          <w:rFonts w:ascii="Times New Roman" w:hAnsi="Times New Roman" w:cs="Times New Roman"/>
        </w:rPr>
        <w:t xml:space="preserve"> </w:t>
      </w:r>
    </w:p>
    <w:p w14:paraId="130EE408" w14:textId="26042717" w:rsidR="00234D25" w:rsidRPr="009654C2" w:rsidRDefault="00234D25" w:rsidP="00CA0715">
      <w:pPr>
        <w:autoSpaceDE w:val="0"/>
        <w:autoSpaceDN w:val="0"/>
        <w:adjustRightInd w:val="0"/>
        <w:spacing w:before="120" w:after="120" w:line="240" w:lineRule="auto"/>
        <w:jc w:val="both"/>
        <w:rPr>
          <w:rFonts w:ascii="Times New Roman" w:hAnsi="Times New Roman" w:cs="Times New Roman"/>
          <w:color w:val="000000" w:themeColor="text1"/>
        </w:rPr>
      </w:pPr>
      <w:r w:rsidRPr="009654C2">
        <w:rPr>
          <w:rFonts w:ascii="Times New Roman" w:hAnsi="Times New Roman" w:cs="Times New Roman"/>
          <w:color w:val="000000" w:themeColor="text1"/>
        </w:rPr>
        <w:t xml:space="preserve">Under the LGCSP, the Land Valuation Division has not been actively involved in the preparation ARAPs for some reasons. Almost all the MMAs engaged private consultants to prepare their ARAPs. </w:t>
      </w:r>
      <w:r w:rsidR="00601B83" w:rsidRPr="009654C2">
        <w:rPr>
          <w:rFonts w:ascii="Times New Roman" w:hAnsi="Times New Roman" w:cs="Times New Roman"/>
        </w:rPr>
        <w:t xml:space="preserve">The LVD also keeps records of private sector certified property assessors (Valuers). </w:t>
      </w:r>
      <w:r w:rsidRPr="009654C2">
        <w:rPr>
          <w:rFonts w:ascii="Times New Roman" w:hAnsi="Times New Roman" w:cs="Times New Roman"/>
          <w:color w:val="000000" w:themeColor="text1"/>
        </w:rPr>
        <w:t>In the proposed Program, MMAs should involve the Land Valuation Division in the preparation of ARAP particularly in the assessment and validation of land compensation, which is the mandate of the Division. This will ensure the payments for land are in accordance with the national standards and thus will not be rendered ineligible by the Audit Department.</w:t>
      </w:r>
    </w:p>
    <w:p w14:paraId="50A62C1A" w14:textId="77777777" w:rsidR="00CE4F32" w:rsidRDefault="00CE4F32" w:rsidP="00CA0715">
      <w:pPr>
        <w:autoSpaceDE w:val="0"/>
        <w:autoSpaceDN w:val="0"/>
        <w:adjustRightInd w:val="0"/>
        <w:spacing w:before="120" w:after="120" w:line="240" w:lineRule="auto"/>
        <w:jc w:val="both"/>
        <w:rPr>
          <w:rFonts w:ascii="Times New Roman" w:hAnsi="Times New Roman" w:cs="Times New Roman"/>
          <w:b/>
        </w:rPr>
      </w:pPr>
    </w:p>
    <w:p w14:paraId="5C09D42B" w14:textId="374B1C13" w:rsidR="00106342" w:rsidRPr="009654C2" w:rsidRDefault="00106342" w:rsidP="00CA0715">
      <w:pPr>
        <w:autoSpaceDE w:val="0"/>
        <w:autoSpaceDN w:val="0"/>
        <w:adjustRightInd w:val="0"/>
        <w:spacing w:before="120" w:after="120" w:line="240" w:lineRule="auto"/>
        <w:jc w:val="both"/>
        <w:rPr>
          <w:rFonts w:ascii="Times New Roman" w:hAnsi="Times New Roman" w:cs="Times New Roman"/>
        </w:rPr>
      </w:pPr>
      <w:r w:rsidRPr="009654C2">
        <w:rPr>
          <w:rFonts w:ascii="Times New Roman" w:hAnsi="Times New Roman" w:cs="Times New Roman"/>
          <w:b/>
        </w:rPr>
        <w:t>The Public and Vested Lands Management Division</w:t>
      </w:r>
      <w:r w:rsidRPr="009654C2">
        <w:rPr>
          <w:rFonts w:ascii="Times New Roman" w:hAnsi="Times New Roman" w:cs="Times New Roman"/>
        </w:rPr>
        <w:t xml:space="preserve"> of the Lands Commission (established by the Lands</w:t>
      </w:r>
      <w:r w:rsidR="006F431D">
        <w:rPr>
          <w:rFonts w:ascii="Times New Roman" w:hAnsi="Times New Roman" w:cs="Times New Roman"/>
        </w:rPr>
        <w:t xml:space="preserve"> </w:t>
      </w:r>
      <w:r w:rsidRPr="009654C2">
        <w:rPr>
          <w:rFonts w:ascii="Times New Roman" w:hAnsi="Times New Roman" w:cs="Times New Roman"/>
        </w:rPr>
        <w:t>Commission Act, 2008, Act 767) is the principal land management organization of the government. All</w:t>
      </w:r>
      <w:r w:rsidR="006F431D">
        <w:rPr>
          <w:rFonts w:ascii="Times New Roman" w:hAnsi="Times New Roman" w:cs="Times New Roman"/>
        </w:rPr>
        <w:t xml:space="preserve"> </w:t>
      </w:r>
      <w:r w:rsidRPr="009654C2">
        <w:rPr>
          <w:rFonts w:ascii="Times New Roman" w:hAnsi="Times New Roman" w:cs="Times New Roman"/>
        </w:rPr>
        <w:t>public land is vested in the President of Ghana and held in trust by him for the people of Ghana. The</w:t>
      </w:r>
      <w:r w:rsidR="006F431D">
        <w:rPr>
          <w:rFonts w:ascii="Times New Roman" w:hAnsi="Times New Roman" w:cs="Times New Roman"/>
        </w:rPr>
        <w:t xml:space="preserve"> </w:t>
      </w:r>
      <w:r w:rsidRPr="009654C2">
        <w:rPr>
          <w:rFonts w:ascii="Times New Roman" w:hAnsi="Times New Roman" w:cs="Times New Roman"/>
        </w:rPr>
        <w:t>Public and Vested Lands Management Division manages all public land on behalf of the President. In   each of the ten regions of Ghana, a branch, known as the Regional Lands Commission, performs the</w:t>
      </w:r>
      <w:r w:rsidR="006F431D">
        <w:rPr>
          <w:rFonts w:ascii="Times New Roman" w:hAnsi="Times New Roman" w:cs="Times New Roman"/>
        </w:rPr>
        <w:t xml:space="preserve"> </w:t>
      </w:r>
      <w:r w:rsidRPr="009654C2">
        <w:rPr>
          <w:rFonts w:ascii="Times New Roman" w:hAnsi="Times New Roman" w:cs="Times New Roman"/>
        </w:rPr>
        <w:t>functions of the Lands Commission. In addition to managing public lands on behalf of government, its</w:t>
      </w:r>
      <w:r w:rsidR="006F431D">
        <w:rPr>
          <w:rFonts w:ascii="Times New Roman" w:hAnsi="Times New Roman" w:cs="Times New Roman"/>
        </w:rPr>
        <w:t xml:space="preserve"> </w:t>
      </w:r>
      <w:r w:rsidRPr="009654C2">
        <w:rPr>
          <w:rFonts w:ascii="Times New Roman" w:hAnsi="Times New Roman" w:cs="Times New Roman"/>
        </w:rPr>
        <w:t xml:space="preserve">other mandates include among others: (i) Advise the government and local authorities on policy matters, and to ensure that the development of individual parcels of land is consistent with area development plans; and (ii) </w:t>
      </w:r>
      <w:r w:rsidRPr="009654C2">
        <w:rPr>
          <w:rFonts w:ascii="Times New Roman" w:hAnsi="Times New Roman" w:cs="Times New Roman"/>
        </w:rPr>
        <w:t>Advise on, and assist in the execution of a comprehensive program of land title registration. The acquisition of any rights of exclusive possession over public lands would necessitate discussions with the relevant Regional Lands Commission for a lease over the selected site.</w:t>
      </w:r>
    </w:p>
    <w:p w14:paraId="6E77DA12" w14:textId="6417B67A" w:rsidR="00106342" w:rsidRPr="009654C2" w:rsidRDefault="00106342" w:rsidP="00CA0715">
      <w:pPr>
        <w:autoSpaceDE w:val="0"/>
        <w:autoSpaceDN w:val="0"/>
        <w:adjustRightInd w:val="0"/>
        <w:spacing w:before="120" w:after="120" w:line="240" w:lineRule="auto"/>
        <w:jc w:val="both"/>
        <w:rPr>
          <w:rFonts w:ascii="Times New Roman" w:hAnsi="Times New Roman" w:cs="Times New Roman"/>
          <w:color w:val="000000" w:themeColor="text1"/>
        </w:rPr>
      </w:pPr>
      <w:r w:rsidRPr="009654C2">
        <w:rPr>
          <w:rFonts w:ascii="Times New Roman" w:hAnsi="Times New Roman" w:cs="Times New Roman"/>
          <w:b/>
        </w:rPr>
        <w:t>Land Registration Division of the Lands Commission</w:t>
      </w:r>
      <w:r w:rsidRPr="009654C2">
        <w:rPr>
          <w:rFonts w:ascii="Times New Roman" w:hAnsi="Times New Roman" w:cs="Times New Roman"/>
        </w:rPr>
        <w:t xml:space="preserve"> was established in 1986 as the Title Registration Advisory Board under Section 10 of the Land Title Registration Act, 1986. However, it was brought under the Lands Commission as the Lands Registration Division with the promulgation of the Lands Commission Act 2008, Act 767. The Division ensures registration of title to land and other interests in land; maintains land registers that contains records of land and other interests in land; ensures registration of deeds and other instruments affecting land, among other functions.</w:t>
      </w:r>
    </w:p>
    <w:p w14:paraId="12CFBB57" w14:textId="72F352B9" w:rsidR="00106342" w:rsidRPr="009654C2" w:rsidRDefault="00106342" w:rsidP="00CA0715">
      <w:pPr>
        <w:autoSpaceDE w:val="0"/>
        <w:autoSpaceDN w:val="0"/>
        <w:adjustRightInd w:val="0"/>
        <w:spacing w:before="120" w:after="120" w:line="240" w:lineRule="auto"/>
        <w:jc w:val="both"/>
        <w:rPr>
          <w:rFonts w:ascii="Times New Roman" w:hAnsi="Times New Roman" w:cs="Times New Roman"/>
          <w:color w:val="000000" w:themeColor="text1"/>
        </w:rPr>
      </w:pPr>
      <w:r w:rsidRPr="009654C2">
        <w:rPr>
          <w:rFonts w:ascii="Times New Roman" w:hAnsi="Times New Roman" w:cs="Times New Roman"/>
          <w:b/>
        </w:rPr>
        <w:t xml:space="preserve">Survey and Mapping Division of the Lands Commission </w:t>
      </w:r>
      <w:r w:rsidRPr="009654C2">
        <w:rPr>
          <w:rFonts w:ascii="Times New Roman" w:hAnsi="Times New Roman" w:cs="Times New Roman"/>
        </w:rPr>
        <w:t>was established in 1962 under the Survey Act 1962, Act 127 as the Survey Department. The Department was brought under the Lands Commission as the Survey and Mapping Division with the promulgation of the Lands Commission Act 2008, Act 767. The Division supervises, regulates and controls the surveys and demarcation of land for the purposes of land use and land registration. It also supervises, regulates, controls and certifies the production of maps. It is responsible for planning all national surveys and mapping among other functions</w:t>
      </w:r>
    </w:p>
    <w:p w14:paraId="1779CCB2" w14:textId="38D6536A" w:rsidR="00F75ADC" w:rsidRPr="009654C2" w:rsidRDefault="003E2BD8" w:rsidP="006F431D">
      <w:pPr>
        <w:pStyle w:val="Heading2"/>
      </w:pPr>
      <w:bookmarkStart w:id="37" w:name="_Toc508892826"/>
      <w:r>
        <w:t xml:space="preserve">4.2.2 </w:t>
      </w:r>
      <w:r w:rsidR="00F75ADC" w:rsidRPr="009654C2">
        <w:t>Regional Level</w:t>
      </w:r>
      <w:bookmarkEnd w:id="37"/>
    </w:p>
    <w:p w14:paraId="62B176A6" w14:textId="77777777" w:rsidR="00F75ADC" w:rsidRPr="009654C2" w:rsidRDefault="00F75ADC" w:rsidP="00CA0715">
      <w:pPr>
        <w:autoSpaceDE w:val="0"/>
        <w:autoSpaceDN w:val="0"/>
        <w:adjustRightInd w:val="0"/>
        <w:spacing w:before="120" w:after="120" w:line="240" w:lineRule="auto"/>
        <w:jc w:val="both"/>
        <w:rPr>
          <w:rFonts w:ascii="Times New Roman" w:hAnsi="Times New Roman" w:cs="Times New Roman"/>
          <w:color w:val="000000" w:themeColor="text1"/>
        </w:rPr>
      </w:pPr>
      <w:r w:rsidRPr="009654C2">
        <w:rPr>
          <w:rFonts w:ascii="Times New Roman" w:hAnsi="Times New Roman" w:cs="Times New Roman"/>
          <w:b/>
          <w:color w:val="000000" w:themeColor="text1"/>
        </w:rPr>
        <w:t>EPA Regional Offices</w:t>
      </w:r>
      <w:r w:rsidRPr="009654C2">
        <w:rPr>
          <w:rFonts w:ascii="Times New Roman" w:hAnsi="Times New Roman" w:cs="Times New Roman"/>
          <w:color w:val="000000" w:themeColor="text1"/>
        </w:rPr>
        <w:t>. The Regional Offices of the EPA are the ones directly involved in the screening of subprojects under the Program, review of relevant ESMPs, issuance of environmental permits and monitoring during implementation. There is an average of six technical/professional staff at each EPA Regional Office with technical staff ranging from 2-12 (Greater Accra has 12 technical staff). The backgrounds of technical staff range from agriculture, environment, NRM, engineering, chemistry and social sciences. The Regional Offices receive and review EA applications, EMP/ESMP and issue environmental permits for subprojects within its threshold</w:t>
      </w:r>
      <w:r w:rsidR="00307E9C" w:rsidRPr="009654C2">
        <w:rPr>
          <w:rFonts w:ascii="Times New Roman" w:hAnsi="Times New Roman" w:cs="Times New Roman"/>
          <w:color w:val="000000" w:themeColor="text1"/>
        </w:rPr>
        <w:t xml:space="preserve"> normally those listed in Schedule 1 of LI 1652</w:t>
      </w:r>
      <w:r w:rsidRPr="009654C2">
        <w:rPr>
          <w:rFonts w:ascii="Times New Roman" w:hAnsi="Times New Roman" w:cs="Times New Roman"/>
          <w:color w:val="000000" w:themeColor="text1"/>
        </w:rPr>
        <w:t xml:space="preserve">. They also take a lead role in responding to complaints, investigating and prosecuting violations such as developments that fail to follow and comply procedures in LI 1652. They make field inspections and conduct monitoring. The directors of the Regional Offices report to the Deputy Executive Director of Field Operations in EPA Headquarters. </w:t>
      </w:r>
    </w:p>
    <w:p w14:paraId="3E612E7D" w14:textId="1010A8C7" w:rsidR="0023499E" w:rsidRPr="009654C2" w:rsidRDefault="00F75ADC" w:rsidP="00CA0715">
      <w:pPr>
        <w:autoSpaceDE w:val="0"/>
        <w:autoSpaceDN w:val="0"/>
        <w:adjustRightInd w:val="0"/>
        <w:spacing w:before="120" w:after="120" w:line="240" w:lineRule="auto"/>
        <w:jc w:val="both"/>
        <w:rPr>
          <w:rFonts w:ascii="Times New Roman" w:hAnsi="Times New Roman" w:cs="Times New Roman"/>
          <w:b/>
          <w:color w:val="000000" w:themeColor="text1"/>
        </w:rPr>
      </w:pPr>
      <w:r w:rsidRPr="009654C2">
        <w:rPr>
          <w:rFonts w:ascii="Times New Roman" w:hAnsi="Times New Roman" w:cs="Times New Roman"/>
          <w:color w:val="000000" w:themeColor="text1"/>
        </w:rPr>
        <w:t xml:space="preserve">Prior to 2004, EPA review was centralized but it is now being decentralized to regional offices with review of category B projects being done at the Regional offices. </w:t>
      </w:r>
    </w:p>
    <w:p w14:paraId="14BE716F" w14:textId="4A882744" w:rsidR="00F75ADC" w:rsidRPr="003E2BD8" w:rsidRDefault="003E2BD8" w:rsidP="006F431D">
      <w:pPr>
        <w:pStyle w:val="Heading2"/>
      </w:pPr>
      <w:bookmarkStart w:id="38" w:name="_Toc508892827"/>
      <w:r>
        <w:t xml:space="preserve">4.2.3 </w:t>
      </w:r>
      <w:r w:rsidR="00F75ADC" w:rsidRPr="003E2BD8">
        <w:t>Program Level</w:t>
      </w:r>
      <w:bookmarkEnd w:id="38"/>
    </w:p>
    <w:p w14:paraId="0070CF24" w14:textId="10F5CD49" w:rsidR="00106812" w:rsidRPr="003E2BD8" w:rsidRDefault="00F75ADC" w:rsidP="00CA0715">
      <w:pPr>
        <w:autoSpaceDE w:val="0"/>
        <w:autoSpaceDN w:val="0"/>
        <w:adjustRightInd w:val="0"/>
        <w:spacing w:before="120" w:after="120" w:line="240" w:lineRule="auto"/>
        <w:jc w:val="both"/>
        <w:rPr>
          <w:rFonts w:ascii="Times New Roman" w:hAnsi="Times New Roman" w:cs="Times New Roman"/>
          <w:color w:val="000000" w:themeColor="text1"/>
        </w:rPr>
      </w:pPr>
      <w:r w:rsidRPr="003E2BD8">
        <w:rPr>
          <w:rFonts w:ascii="Times New Roman" w:hAnsi="Times New Roman" w:cs="Times New Roman"/>
          <w:b/>
          <w:color w:val="000000" w:themeColor="text1"/>
        </w:rPr>
        <w:t>Ministry of Local Government and Rural Development</w:t>
      </w:r>
      <w:r w:rsidRPr="003E2BD8">
        <w:rPr>
          <w:rFonts w:ascii="Times New Roman" w:hAnsi="Times New Roman" w:cs="Times New Roman"/>
          <w:color w:val="000000" w:themeColor="text1"/>
        </w:rPr>
        <w:t xml:space="preserve">. </w:t>
      </w:r>
      <w:r w:rsidR="00106812" w:rsidRPr="003E2BD8">
        <w:rPr>
          <w:rFonts w:ascii="Times New Roman" w:hAnsi="Times New Roman" w:cs="Times New Roman"/>
          <w:color w:val="000000" w:themeColor="text1"/>
        </w:rPr>
        <w:t xml:space="preserve">The Program will be implemented by the Ministry of Local Government and Rural Development (MLGRD). The Policy, Planning, </w:t>
      </w:r>
      <w:r w:rsidR="00975839">
        <w:rPr>
          <w:rFonts w:ascii="Times New Roman" w:hAnsi="Times New Roman" w:cs="Times New Roman"/>
          <w:color w:val="000000" w:themeColor="text1"/>
        </w:rPr>
        <w:t xml:space="preserve">Budget, </w:t>
      </w:r>
      <w:r w:rsidR="00106812" w:rsidRPr="003E2BD8">
        <w:rPr>
          <w:rFonts w:ascii="Times New Roman" w:hAnsi="Times New Roman" w:cs="Times New Roman"/>
          <w:color w:val="000000" w:themeColor="text1"/>
        </w:rPr>
        <w:t>Monitoring and Evaluation (PP</w:t>
      </w:r>
      <w:r w:rsidR="00975839">
        <w:rPr>
          <w:rFonts w:ascii="Times New Roman" w:hAnsi="Times New Roman" w:cs="Times New Roman"/>
          <w:color w:val="000000" w:themeColor="text1"/>
        </w:rPr>
        <w:t>B</w:t>
      </w:r>
      <w:r w:rsidR="00106812" w:rsidRPr="003E2BD8">
        <w:rPr>
          <w:rFonts w:ascii="Times New Roman" w:hAnsi="Times New Roman" w:cs="Times New Roman"/>
          <w:color w:val="000000" w:themeColor="text1"/>
        </w:rPr>
        <w:t xml:space="preserve">ME) </w:t>
      </w:r>
      <w:r w:rsidR="00ED4A7E" w:rsidRPr="003E2BD8">
        <w:rPr>
          <w:rFonts w:ascii="Times New Roman" w:hAnsi="Times New Roman" w:cs="Times New Roman"/>
          <w:color w:val="000000" w:themeColor="text1"/>
        </w:rPr>
        <w:t xml:space="preserve">Division </w:t>
      </w:r>
      <w:r w:rsidR="00106812" w:rsidRPr="003E2BD8">
        <w:rPr>
          <w:rFonts w:ascii="Times New Roman" w:hAnsi="Times New Roman" w:cs="Times New Roman"/>
          <w:color w:val="000000" w:themeColor="text1"/>
        </w:rPr>
        <w:t xml:space="preserve">of </w:t>
      </w:r>
      <w:r w:rsidR="00ED4A7E" w:rsidRPr="003E2BD8">
        <w:rPr>
          <w:rFonts w:ascii="Times New Roman" w:hAnsi="Times New Roman" w:cs="Times New Roman"/>
          <w:color w:val="000000" w:themeColor="text1"/>
        </w:rPr>
        <w:t xml:space="preserve">the </w:t>
      </w:r>
      <w:r w:rsidR="00106812" w:rsidRPr="003E2BD8">
        <w:rPr>
          <w:rFonts w:ascii="Times New Roman" w:hAnsi="Times New Roman" w:cs="Times New Roman"/>
          <w:color w:val="000000" w:themeColor="text1"/>
        </w:rPr>
        <w:t>MLGRD is the entity designated to manage the Program</w:t>
      </w:r>
      <w:r w:rsidR="00ED4A7E" w:rsidRPr="003E2BD8">
        <w:rPr>
          <w:rFonts w:ascii="Times New Roman" w:hAnsi="Times New Roman" w:cs="Times New Roman"/>
          <w:color w:val="000000" w:themeColor="text1"/>
        </w:rPr>
        <w:t>. The Director of the Division who heads the Program implementation Unit</w:t>
      </w:r>
      <w:r w:rsidR="00106812" w:rsidRPr="003E2BD8">
        <w:rPr>
          <w:rFonts w:ascii="Times New Roman" w:hAnsi="Times New Roman" w:cs="Times New Roman"/>
          <w:color w:val="000000" w:themeColor="text1"/>
        </w:rPr>
        <w:t xml:space="preserve"> will also supervise the implementation of the investments/subprojects by the Metropolitan</w:t>
      </w:r>
      <w:r w:rsidR="00ED4A7E" w:rsidRPr="003E2BD8">
        <w:rPr>
          <w:rFonts w:ascii="Times New Roman" w:hAnsi="Times New Roman" w:cs="Times New Roman"/>
          <w:color w:val="000000" w:themeColor="text1"/>
        </w:rPr>
        <w:t xml:space="preserve"> and</w:t>
      </w:r>
      <w:r w:rsidR="00106812" w:rsidRPr="003E2BD8">
        <w:rPr>
          <w:rFonts w:ascii="Times New Roman" w:hAnsi="Times New Roman" w:cs="Times New Roman"/>
          <w:color w:val="000000" w:themeColor="text1"/>
        </w:rPr>
        <w:t xml:space="preserve"> Municipality Assemblies (MMAs). MLGRD, in close collaboration with the Environmental Protection Agency (EPA), will be responsible for (i) supporting the MMAs in screening subprojects and preparation of appropriate instruments based on EPA’s requirements under the Environmental Assessment Regulations or LI 1652; (ii) supporting MMDAs in ensuring contractors comply with environmental and social measures during construction phase; (iii) delivering training and capacity building program for MMDAs to build and enhance their capacities to manage environmental and social impacts; and, (iv) monitor the implementation of MMDAs in implementing the environmental and social measures in subprojects, including abbreviated Resettlement Action Plan (ARAP).</w:t>
      </w:r>
    </w:p>
    <w:p w14:paraId="02C75021" w14:textId="77777777" w:rsidR="00106812" w:rsidRPr="003E2BD8" w:rsidRDefault="00106812" w:rsidP="003E2BD8">
      <w:pPr>
        <w:autoSpaceDE w:val="0"/>
        <w:autoSpaceDN w:val="0"/>
        <w:adjustRightInd w:val="0"/>
        <w:spacing w:before="120" w:after="120" w:line="360" w:lineRule="auto"/>
        <w:jc w:val="both"/>
        <w:rPr>
          <w:rFonts w:ascii="Times New Roman" w:hAnsi="Times New Roman" w:cs="Times New Roman"/>
          <w:color w:val="000000" w:themeColor="text1"/>
        </w:rPr>
      </w:pPr>
    </w:p>
    <w:p w14:paraId="3359B05F" w14:textId="7E0F901C" w:rsidR="00F75ADC" w:rsidRPr="003E2BD8" w:rsidRDefault="00F75ADC" w:rsidP="00CA0715">
      <w:pPr>
        <w:autoSpaceDE w:val="0"/>
        <w:autoSpaceDN w:val="0"/>
        <w:adjustRightInd w:val="0"/>
        <w:spacing w:before="120" w:after="120" w:line="240" w:lineRule="auto"/>
        <w:jc w:val="both"/>
        <w:rPr>
          <w:rFonts w:ascii="Times New Roman" w:hAnsi="Times New Roman" w:cs="Times New Roman"/>
          <w:color w:val="000000" w:themeColor="text1"/>
        </w:rPr>
      </w:pPr>
      <w:r w:rsidRPr="003E2BD8">
        <w:rPr>
          <w:rFonts w:ascii="Times New Roman" w:hAnsi="Times New Roman" w:cs="Times New Roman"/>
          <w:color w:val="000000" w:themeColor="text1"/>
        </w:rPr>
        <w:t>T</w:t>
      </w:r>
      <w:r w:rsidR="00106812" w:rsidRPr="003E2BD8">
        <w:rPr>
          <w:rFonts w:ascii="Times New Roman" w:hAnsi="Times New Roman" w:cs="Times New Roman"/>
          <w:color w:val="000000" w:themeColor="text1"/>
        </w:rPr>
        <w:t>he PP</w:t>
      </w:r>
      <w:r w:rsidR="00975839">
        <w:rPr>
          <w:rFonts w:ascii="Times New Roman" w:hAnsi="Times New Roman" w:cs="Times New Roman"/>
          <w:color w:val="000000" w:themeColor="text1"/>
        </w:rPr>
        <w:t>B</w:t>
      </w:r>
      <w:r w:rsidR="00106812" w:rsidRPr="003E2BD8">
        <w:rPr>
          <w:rFonts w:ascii="Times New Roman" w:hAnsi="Times New Roman" w:cs="Times New Roman"/>
          <w:color w:val="000000" w:themeColor="text1"/>
        </w:rPr>
        <w:t>ME</w:t>
      </w:r>
      <w:r w:rsidR="00975839">
        <w:rPr>
          <w:rFonts w:ascii="Times New Roman" w:hAnsi="Times New Roman" w:cs="Times New Roman"/>
          <w:color w:val="000000" w:themeColor="text1"/>
        </w:rPr>
        <w:t>D</w:t>
      </w:r>
      <w:r w:rsidR="00106812" w:rsidRPr="003E2BD8">
        <w:rPr>
          <w:rFonts w:ascii="Times New Roman" w:hAnsi="Times New Roman" w:cs="Times New Roman"/>
          <w:color w:val="000000" w:themeColor="text1"/>
        </w:rPr>
        <w:t xml:space="preserve"> of MLGRDP</w:t>
      </w:r>
      <w:r w:rsidRPr="003E2BD8">
        <w:rPr>
          <w:rFonts w:ascii="Times New Roman" w:hAnsi="Times New Roman" w:cs="Times New Roman"/>
          <w:color w:val="000000" w:themeColor="text1"/>
        </w:rPr>
        <w:t xml:space="preserve"> has hired an Environmental and Social </w:t>
      </w:r>
      <w:r w:rsidR="00106812" w:rsidRPr="003E2BD8">
        <w:rPr>
          <w:rFonts w:ascii="Times New Roman" w:hAnsi="Times New Roman" w:cs="Times New Roman"/>
          <w:color w:val="000000" w:themeColor="text1"/>
        </w:rPr>
        <w:t xml:space="preserve">(E &amp; S) </w:t>
      </w:r>
      <w:r w:rsidRPr="003E2BD8">
        <w:rPr>
          <w:rFonts w:ascii="Times New Roman" w:hAnsi="Times New Roman" w:cs="Times New Roman"/>
          <w:color w:val="000000" w:themeColor="text1"/>
        </w:rPr>
        <w:t xml:space="preserve">Specialist </w:t>
      </w:r>
      <w:r w:rsidR="00106812" w:rsidRPr="003E2BD8">
        <w:rPr>
          <w:rFonts w:ascii="Times New Roman" w:hAnsi="Times New Roman" w:cs="Times New Roman"/>
          <w:color w:val="000000" w:themeColor="text1"/>
        </w:rPr>
        <w:t xml:space="preserve">under the LGCSP and the same arrangement is envisaged under the Program. </w:t>
      </w:r>
      <w:r w:rsidRPr="003E2BD8">
        <w:rPr>
          <w:rFonts w:ascii="Times New Roman" w:hAnsi="Times New Roman" w:cs="Times New Roman"/>
          <w:color w:val="000000" w:themeColor="text1"/>
        </w:rPr>
        <w:t xml:space="preserve">The E &amp; S Specialist, in close collaboration with the Regional EPA has been responsible for (i) supporting the MMDAs in screening subprojects and preparation of appropriate instruments based on EPA’s requirements under the Environmental Assessment Regulations or LI 1652; (ii) supporting MMAs in ensuring contractors comply with environmental and social measures during construction phase; (iii) delivering training and capacity building program for MMDAs to build and enhance their capacities to manage environmental and social impacts; and, (iv) monitor the implementation of MMDAs in implementing the environmental and social measures in subprojects, including </w:t>
      </w:r>
      <w:r w:rsidR="00ED4A7E" w:rsidRPr="003E2BD8">
        <w:rPr>
          <w:rFonts w:ascii="Times New Roman" w:hAnsi="Times New Roman" w:cs="Times New Roman"/>
          <w:color w:val="000000" w:themeColor="text1"/>
        </w:rPr>
        <w:t>A</w:t>
      </w:r>
      <w:r w:rsidRPr="003E2BD8">
        <w:rPr>
          <w:rFonts w:ascii="Times New Roman" w:hAnsi="Times New Roman" w:cs="Times New Roman"/>
          <w:color w:val="000000" w:themeColor="text1"/>
        </w:rPr>
        <w:t>bbreviated Resettlement Action Plan (ARAP).</w:t>
      </w:r>
    </w:p>
    <w:p w14:paraId="500AE6E3" w14:textId="17E6B73D" w:rsidR="00F75ADC" w:rsidRPr="003E2BD8" w:rsidRDefault="00ED4A7E" w:rsidP="00CA0715">
      <w:pPr>
        <w:autoSpaceDE w:val="0"/>
        <w:autoSpaceDN w:val="0"/>
        <w:adjustRightInd w:val="0"/>
        <w:spacing w:before="120" w:after="120" w:line="240" w:lineRule="auto"/>
        <w:jc w:val="both"/>
        <w:rPr>
          <w:rFonts w:ascii="Times New Roman" w:hAnsi="Times New Roman" w:cs="Times New Roman"/>
          <w:color w:val="000000" w:themeColor="text1"/>
        </w:rPr>
      </w:pPr>
      <w:r w:rsidRPr="003E2BD8">
        <w:rPr>
          <w:rFonts w:ascii="Times New Roman" w:hAnsi="Times New Roman" w:cs="Times New Roman"/>
          <w:color w:val="000000" w:themeColor="text1"/>
        </w:rPr>
        <w:t>However, w</w:t>
      </w:r>
      <w:r w:rsidR="00F75ADC" w:rsidRPr="003E2BD8">
        <w:rPr>
          <w:rFonts w:ascii="Times New Roman" w:hAnsi="Times New Roman" w:cs="Times New Roman"/>
          <w:color w:val="000000" w:themeColor="text1"/>
        </w:rPr>
        <w:t xml:space="preserve">ith the anticipated scaling up of activities and investments under the Program, the E &amp; S staffing at the PBME Department of MLGRD will need to be beefed up to enhance and improve support to MMAs. Specifically, there is a need to hire a Social Development Specialist/Resettlement Specialist to work in tandem with the existing E &amp; S Specialist whose background and experience is </w:t>
      </w:r>
      <w:r w:rsidRPr="003E2BD8">
        <w:rPr>
          <w:rFonts w:ascii="Times New Roman" w:hAnsi="Times New Roman" w:cs="Times New Roman"/>
          <w:color w:val="000000" w:themeColor="text1"/>
        </w:rPr>
        <w:t xml:space="preserve">more </w:t>
      </w:r>
      <w:r w:rsidR="00F75ADC" w:rsidRPr="003E2BD8">
        <w:rPr>
          <w:rFonts w:ascii="Times New Roman" w:hAnsi="Times New Roman" w:cs="Times New Roman"/>
          <w:color w:val="000000" w:themeColor="text1"/>
        </w:rPr>
        <w:t>on environment.</w:t>
      </w:r>
      <w:r w:rsidRPr="003E2BD8">
        <w:rPr>
          <w:rFonts w:ascii="Times New Roman" w:hAnsi="Times New Roman" w:cs="Times New Roman"/>
          <w:color w:val="000000" w:themeColor="text1"/>
        </w:rPr>
        <w:t xml:space="preserve"> </w:t>
      </w:r>
    </w:p>
    <w:p w14:paraId="695E3712" w14:textId="328DDD34" w:rsidR="003E2BD8" w:rsidRDefault="00F75ADC" w:rsidP="00CA0715">
      <w:pPr>
        <w:autoSpaceDE w:val="0"/>
        <w:autoSpaceDN w:val="0"/>
        <w:adjustRightInd w:val="0"/>
        <w:spacing w:before="120" w:after="120" w:line="240" w:lineRule="auto"/>
        <w:jc w:val="both"/>
        <w:rPr>
          <w:rFonts w:ascii="Times New Roman" w:hAnsi="Times New Roman" w:cs="Times New Roman"/>
          <w:b/>
          <w:color w:val="000000" w:themeColor="text1"/>
        </w:rPr>
      </w:pPr>
      <w:r w:rsidRPr="003E2BD8">
        <w:rPr>
          <w:rFonts w:ascii="Times New Roman" w:hAnsi="Times New Roman" w:cs="Times New Roman"/>
          <w:color w:val="000000" w:themeColor="text1"/>
        </w:rPr>
        <w:t xml:space="preserve">There is also a need for the E &amp; S Specialists to do more </w:t>
      </w:r>
      <w:r w:rsidR="00ED4A7E" w:rsidRPr="003E2BD8">
        <w:rPr>
          <w:rFonts w:ascii="Times New Roman" w:hAnsi="Times New Roman" w:cs="Times New Roman"/>
          <w:color w:val="000000" w:themeColor="text1"/>
        </w:rPr>
        <w:t>monitoring of safeguards</w:t>
      </w:r>
      <w:r w:rsidR="004407AE" w:rsidRPr="003E2BD8">
        <w:rPr>
          <w:rFonts w:ascii="Times New Roman" w:hAnsi="Times New Roman" w:cs="Times New Roman"/>
          <w:color w:val="000000" w:themeColor="text1"/>
        </w:rPr>
        <w:t xml:space="preserve"> compliance during Program</w:t>
      </w:r>
      <w:r w:rsidR="00ED4A7E" w:rsidRPr="003E2BD8">
        <w:rPr>
          <w:rFonts w:ascii="Times New Roman" w:hAnsi="Times New Roman" w:cs="Times New Roman"/>
          <w:color w:val="000000" w:themeColor="text1"/>
        </w:rPr>
        <w:t xml:space="preserve"> implementation</w:t>
      </w:r>
      <w:r w:rsidRPr="003E2BD8">
        <w:rPr>
          <w:rFonts w:ascii="Times New Roman" w:hAnsi="Times New Roman" w:cs="Times New Roman"/>
          <w:color w:val="000000" w:themeColor="text1"/>
        </w:rPr>
        <w:t xml:space="preserve"> </w:t>
      </w:r>
      <w:r w:rsidR="006F431D" w:rsidRPr="003E2BD8">
        <w:rPr>
          <w:rFonts w:ascii="Times New Roman" w:hAnsi="Times New Roman" w:cs="Times New Roman"/>
          <w:color w:val="000000" w:themeColor="text1"/>
        </w:rPr>
        <w:t>and conduct</w:t>
      </w:r>
      <w:r w:rsidR="00ED4A7E" w:rsidRPr="003E2BD8">
        <w:rPr>
          <w:rFonts w:ascii="Times New Roman" w:hAnsi="Times New Roman" w:cs="Times New Roman"/>
          <w:color w:val="000000" w:themeColor="text1"/>
        </w:rPr>
        <w:t xml:space="preserve"> </w:t>
      </w:r>
      <w:r w:rsidRPr="003E2BD8">
        <w:rPr>
          <w:rFonts w:ascii="Times New Roman" w:hAnsi="Times New Roman" w:cs="Times New Roman"/>
          <w:color w:val="000000" w:themeColor="text1"/>
        </w:rPr>
        <w:t>trainings to MM</w:t>
      </w:r>
      <w:r w:rsidR="008E0AD1" w:rsidRPr="003E2BD8">
        <w:rPr>
          <w:rFonts w:ascii="Times New Roman" w:hAnsi="Times New Roman" w:cs="Times New Roman"/>
          <w:color w:val="000000" w:themeColor="text1"/>
        </w:rPr>
        <w:t>As</w:t>
      </w:r>
      <w:r w:rsidRPr="003E2BD8">
        <w:rPr>
          <w:rFonts w:ascii="Times New Roman" w:hAnsi="Times New Roman" w:cs="Times New Roman"/>
          <w:color w:val="000000" w:themeColor="text1"/>
        </w:rPr>
        <w:t xml:space="preserve"> specifically the Safeguards Team of the MMA</w:t>
      </w:r>
      <w:r w:rsidR="004407AE" w:rsidRPr="003E2BD8">
        <w:rPr>
          <w:rFonts w:ascii="Times New Roman" w:hAnsi="Times New Roman" w:cs="Times New Roman"/>
          <w:color w:val="000000" w:themeColor="text1"/>
        </w:rPr>
        <w:t xml:space="preserve">. This will help </w:t>
      </w:r>
      <w:r w:rsidRPr="003E2BD8">
        <w:rPr>
          <w:rFonts w:ascii="Times New Roman" w:hAnsi="Times New Roman" w:cs="Times New Roman"/>
          <w:color w:val="000000" w:themeColor="text1"/>
        </w:rPr>
        <w:t xml:space="preserve">to improve screening, implementation of </w:t>
      </w:r>
      <w:r w:rsidR="004407AE" w:rsidRPr="003E2BD8">
        <w:rPr>
          <w:rFonts w:ascii="Times New Roman" w:hAnsi="Times New Roman" w:cs="Times New Roman"/>
          <w:color w:val="000000" w:themeColor="text1"/>
        </w:rPr>
        <w:t xml:space="preserve">mitigation </w:t>
      </w:r>
      <w:r w:rsidRPr="003E2BD8">
        <w:rPr>
          <w:rFonts w:ascii="Times New Roman" w:hAnsi="Times New Roman" w:cs="Times New Roman"/>
          <w:color w:val="000000" w:themeColor="text1"/>
        </w:rPr>
        <w:t>measures and reporting. The E &amp; S Specialists should have dedicated budget for travel and supervision of MMAs.</w:t>
      </w:r>
      <w:r w:rsidR="006F431D">
        <w:rPr>
          <w:rFonts w:ascii="Times New Roman" w:hAnsi="Times New Roman" w:cs="Times New Roman"/>
          <w:color w:val="000000" w:themeColor="text1"/>
        </w:rPr>
        <w:t xml:space="preserve"> </w:t>
      </w:r>
    </w:p>
    <w:p w14:paraId="5599DDCD" w14:textId="6FB13120" w:rsidR="00F75ADC" w:rsidRPr="003E2BD8" w:rsidRDefault="00F75ADC" w:rsidP="00CA0715">
      <w:pPr>
        <w:autoSpaceDE w:val="0"/>
        <w:autoSpaceDN w:val="0"/>
        <w:adjustRightInd w:val="0"/>
        <w:spacing w:before="120" w:after="120" w:line="240" w:lineRule="auto"/>
        <w:jc w:val="both"/>
        <w:rPr>
          <w:rFonts w:ascii="Times New Roman" w:hAnsi="Times New Roman" w:cs="Times New Roman"/>
          <w:color w:val="000000" w:themeColor="text1"/>
        </w:rPr>
      </w:pPr>
      <w:r w:rsidRPr="003E2BD8">
        <w:rPr>
          <w:rFonts w:ascii="Times New Roman" w:hAnsi="Times New Roman" w:cs="Times New Roman"/>
          <w:b/>
          <w:color w:val="000000" w:themeColor="text1"/>
        </w:rPr>
        <w:t>MMA Safeguards Focal Point and Safeguards Team</w:t>
      </w:r>
      <w:r w:rsidRPr="003E2BD8">
        <w:rPr>
          <w:rFonts w:ascii="Times New Roman" w:hAnsi="Times New Roman" w:cs="Times New Roman"/>
          <w:color w:val="000000" w:themeColor="text1"/>
        </w:rPr>
        <w:t>. At the MMA or subproject level, the Planning Officer</w:t>
      </w:r>
      <w:r w:rsidR="004407AE" w:rsidRPr="003E2BD8">
        <w:rPr>
          <w:rFonts w:ascii="Times New Roman" w:hAnsi="Times New Roman" w:cs="Times New Roman"/>
          <w:color w:val="000000" w:themeColor="text1"/>
        </w:rPr>
        <w:t>s have</w:t>
      </w:r>
      <w:r w:rsidRPr="003E2BD8">
        <w:rPr>
          <w:rFonts w:ascii="Times New Roman" w:hAnsi="Times New Roman" w:cs="Times New Roman"/>
          <w:color w:val="000000" w:themeColor="text1"/>
        </w:rPr>
        <w:t xml:space="preserve"> been designated as the Safeguards Focal Point/Person</w:t>
      </w:r>
      <w:r w:rsidR="004407AE" w:rsidRPr="003E2BD8">
        <w:rPr>
          <w:rFonts w:ascii="Times New Roman" w:hAnsi="Times New Roman" w:cs="Times New Roman"/>
          <w:color w:val="000000" w:themeColor="text1"/>
        </w:rPr>
        <w:t>s</w:t>
      </w:r>
      <w:r w:rsidRPr="003E2BD8">
        <w:rPr>
          <w:rFonts w:ascii="Times New Roman" w:hAnsi="Times New Roman" w:cs="Times New Roman"/>
          <w:color w:val="000000" w:themeColor="text1"/>
        </w:rPr>
        <w:t xml:space="preserve"> assigned to lead the safeguards works, including conducting first level screening of subprojects to determine eligibility and safeguard requirements, preparation of safeguard instruments such as ESMP and ARAP with the assistance of </w:t>
      </w:r>
      <w:r w:rsidR="004407AE" w:rsidRPr="003E2BD8">
        <w:rPr>
          <w:rFonts w:ascii="Times New Roman" w:hAnsi="Times New Roman" w:cs="Times New Roman"/>
          <w:color w:val="000000" w:themeColor="text1"/>
        </w:rPr>
        <w:t xml:space="preserve">private </w:t>
      </w:r>
      <w:r w:rsidRPr="003E2BD8">
        <w:rPr>
          <w:rFonts w:ascii="Times New Roman" w:hAnsi="Times New Roman" w:cs="Times New Roman"/>
          <w:color w:val="000000" w:themeColor="text1"/>
        </w:rPr>
        <w:t xml:space="preserve">consultants. The Planning Officer is assisted by and works very closely with the MMDA </w:t>
      </w:r>
      <w:r w:rsidR="004407AE" w:rsidRPr="003E2BD8">
        <w:rPr>
          <w:rFonts w:ascii="Times New Roman" w:hAnsi="Times New Roman" w:cs="Times New Roman"/>
          <w:color w:val="000000" w:themeColor="text1"/>
        </w:rPr>
        <w:t xml:space="preserve">Works </w:t>
      </w:r>
      <w:r w:rsidRPr="003E2BD8">
        <w:rPr>
          <w:rFonts w:ascii="Times New Roman" w:hAnsi="Times New Roman" w:cs="Times New Roman"/>
          <w:color w:val="000000" w:themeColor="text1"/>
        </w:rPr>
        <w:t>Engineer</w:t>
      </w:r>
      <w:r w:rsidR="004407AE" w:rsidRPr="003E2BD8">
        <w:rPr>
          <w:rFonts w:ascii="Times New Roman" w:hAnsi="Times New Roman" w:cs="Times New Roman"/>
          <w:color w:val="000000" w:themeColor="text1"/>
        </w:rPr>
        <w:t xml:space="preserve"> and Environmental Officers, where available</w:t>
      </w:r>
      <w:r w:rsidRPr="003E2BD8">
        <w:rPr>
          <w:rFonts w:ascii="Times New Roman" w:hAnsi="Times New Roman" w:cs="Times New Roman"/>
          <w:color w:val="000000" w:themeColor="text1"/>
        </w:rPr>
        <w:t>.</w:t>
      </w:r>
      <w:r w:rsidR="004407AE" w:rsidRPr="003E2BD8">
        <w:rPr>
          <w:rFonts w:ascii="Times New Roman" w:hAnsi="Times New Roman" w:cs="Times New Roman"/>
          <w:color w:val="000000" w:themeColor="text1"/>
        </w:rPr>
        <w:t xml:space="preserve"> Although the MMAs have Gender desk officers do have played any significant role under the LGCSP. The Program will propose key roles for the Gender Officers to ensure that gender related issues are addressed during implementation.</w:t>
      </w:r>
      <w:r w:rsidRPr="003E2BD8">
        <w:rPr>
          <w:rFonts w:ascii="Times New Roman" w:hAnsi="Times New Roman" w:cs="Times New Roman"/>
          <w:color w:val="000000" w:themeColor="text1"/>
        </w:rPr>
        <w:t xml:space="preserve"> </w:t>
      </w:r>
      <w:r w:rsidR="006F431D">
        <w:rPr>
          <w:rFonts w:ascii="Times New Roman" w:hAnsi="Times New Roman" w:cs="Times New Roman"/>
          <w:color w:val="000000" w:themeColor="text1"/>
        </w:rPr>
        <w:t xml:space="preserve"> </w:t>
      </w:r>
    </w:p>
    <w:p w14:paraId="0C5EA777" w14:textId="20AB258A" w:rsidR="001402DF" w:rsidRPr="003E2BD8" w:rsidRDefault="001402DF" w:rsidP="00CA0715">
      <w:pPr>
        <w:autoSpaceDE w:val="0"/>
        <w:autoSpaceDN w:val="0"/>
        <w:adjustRightInd w:val="0"/>
        <w:spacing w:before="120" w:after="120" w:line="240" w:lineRule="auto"/>
        <w:jc w:val="both"/>
        <w:rPr>
          <w:rFonts w:ascii="Times New Roman" w:hAnsi="Times New Roman" w:cs="Times New Roman"/>
          <w:color w:val="000000" w:themeColor="text1"/>
        </w:rPr>
      </w:pPr>
      <w:r w:rsidRPr="003E2BD8">
        <w:rPr>
          <w:rFonts w:ascii="Times New Roman" w:hAnsi="Times New Roman" w:cs="Times New Roman"/>
          <w:b/>
        </w:rPr>
        <w:t>District/Municipal/Metropolitan Assembly</w:t>
      </w:r>
      <w:r w:rsidRPr="003E2BD8">
        <w:rPr>
          <w:rFonts w:ascii="Times New Roman" w:hAnsi="Times New Roman" w:cs="Times New Roman"/>
        </w:rPr>
        <w:t xml:space="preserve"> are by law designated as the planning authorities, charged with the overall development of districts (Local Governance Act 2016 </w:t>
      </w:r>
      <w:r w:rsidR="008176C6" w:rsidRPr="003E2BD8">
        <w:rPr>
          <w:rFonts w:ascii="Times New Roman" w:hAnsi="Times New Roman" w:cs="Times New Roman"/>
        </w:rPr>
        <w:t>[</w:t>
      </w:r>
      <w:r w:rsidRPr="003E2BD8">
        <w:rPr>
          <w:rFonts w:ascii="Times New Roman" w:hAnsi="Times New Roman" w:cs="Times New Roman"/>
        </w:rPr>
        <w:t>Act 936</w:t>
      </w:r>
      <w:r w:rsidR="008176C6" w:rsidRPr="003E2BD8">
        <w:rPr>
          <w:rFonts w:ascii="Times New Roman" w:hAnsi="Times New Roman" w:cs="Times New Roman"/>
        </w:rPr>
        <w:t>]</w:t>
      </w:r>
      <w:r w:rsidRPr="003E2BD8">
        <w:rPr>
          <w:rFonts w:ascii="Times New Roman" w:hAnsi="Times New Roman" w:cs="Times New Roman"/>
        </w:rPr>
        <w:t xml:space="preserve">). </w:t>
      </w:r>
      <w:r w:rsidR="008176C6" w:rsidRPr="003E2BD8">
        <w:rPr>
          <w:rFonts w:ascii="Times New Roman" w:hAnsi="Times New Roman" w:cs="Times New Roman"/>
        </w:rPr>
        <w:t>It is a requirement</w:t>
      </w:r>
      <w:r w:rsidRPr="003E2BD8">
        <w:rPr>
          <w:rFonts w:ascii="Times New Roman" w:hAnsi="Times New Roman" w:cs="Times New Roman"/>
        </w:rPr>
        <w:t xml:space="preserve"> that local people (communities) participate in the formulation of the District Development Plan</w:t>
      </w:r>
      <w:r w:rsidR="008176C6" w:rsidRPr="003E2BD8">
        <w:rPr>
          <w:rFonts w:ascii="Times New Roman" w:hAnsi="Times New Roman" w:cs="Times New Roman"/>
        </w:rPr>
        <w:t>s</w:t>
      </w:r>
      <w:r w:rsidRPr="003E2BD8">
        <w:rPr>
          <w:rFonts w:ascii="Times New Roman" w:hAnsi="Times New Roman" w:cs="Times New Roman"/>
        </w:rPr>
        <w:t xml:space="preserve">. A key feature of this Assembly System is the involvement of communities or zones or whole villages who elect their representatives (Assemblymen) to the Assembly. The structure of the Assembly comprises Unit Committees which are usually formed at the community levels, and the Urban/Town/Area Councils. </w:t>
      </w:r>
      <w:r w:rsidR="008176C6" w:rsidRPr="003E2BD8">
        <w:rPr>
          <w:rFonts w:ascii="Times New Roman" w:hAnsi="Times New Roman" w:cs="Times New Roman"/>
        </w:rPr>
        <w:t xml:space="preserve"> Under the LGCSP the three (3) Mid-Term Development Plans, which are prepared and consulted on with the local communities, form the basis of selecting sub-project activities. The District A</w:t>
      </w:r>
      <w:r w:rsidRPr="003E2BD8">
        <w:rPr>
          <w:rFonts w:ascii="Times New Roman" w:hAnsi="Times New Roman" w:cs="Times New Roman"/>
        </w:rPr>
        <w:t>ssemblies have limited role in the process of land acquisition but may assist and support communities in the inventory of PAPs</w:t>
      </w:r>
      <w:r w:rsidR="00891FB3" w:rsidRPr="003E2BD8">
        <w:rPr>
          <w:rFonts w:ascii="Times New Roman" w:hAnsi="Times New Roman" w:cs="Times New Roman"/>
        </w:rPr>
        <w:t>.</w:t>
      </w:r>
      <w:r w:rsidR="006F431D">
        <w:rPr>
          <w:rFonts w:ascii="Times New Roman" w:hAnsi="Times New Roman" w:cs="Times New Roman"/>
        </w:rPr>
        <w:t xml:space="preserve"> </w:t>
      </w:r>
    </w:p>
    <w:p w14:paraId="0ADED7DE" w14:textId="23FC14E4" w:rsidR="00F75ADC" w:rsidRPr="003E2BD8" w:rsidRDefault="00F75ADC" w:rsidP="00CA0715">
      <w:pPr>
        <w:autoSpaceDE w:val="0"/>
        <w:autoSpaceDN w:val="0"/>
        <w:adjustRightInd w:val="0"/>
        <w:spacing w:before="120" w:after="120" w:line="240" w:lineRule="auto"/>
        <w:jc w:val="both"/>
        <w:rPr>
          <w:rFonts w:ascii="Times New Roman" w:hAnsi="Times New Roman" w:cs="Times New Roman"/>
          <w:color w:val="000000" w:themeColor="text1"/>
        </w:rPr>
      </w:pPr>
      <w:r w:rsidRPr="003E2BD8">
        <w:rPr>
          <w:rFonts w:ascii="Times New Roman" w:hAnsi="Times New Roman" w:cs="Times New Roman"/>
          <w:b/>
          <w:color w:val="000000" w:themeColor="text1"/>
        </w:rPr>
        <w:t>Consultants and Contractors</w:t>
      </w:r>
      <w:r w:rsidR="00106812" w:rsidRPr="003E2BD8">
        <w:rPr>
          <w:rFonts w:ascii="Times New Roman" w:hAnsi="Times New Roman" w:cs="Times New Roman"/>
          <w:color w:val="000000" w:themeColor="text1"/>
        </w:rPr>
        <w:t xml:space="preserve"> will be hired by the MMAs to prepare ESMPs and ARAPs and implement the works, respectively. Contractor’s contract contains generic provisions on health and safety of workers and communities, proper housekeeping and implementation of relevant environmental codes of practices such as site restoration, sourcing of construction materials, securing relevant permits prior to construction, etc.</w:t>
      </w:r>
    </w:p>
    <w:p w14:paraId="220C23AF" w14:textId="77777777" w:rsidR="00F75ADC" w:rsidRPr="003E2BD8" w:rsidRDefault="00F75ADC" w:rsidP="00CA0715">
      <w:pPr>
        <w:autoSpaceDE w:val="0"/>
        <w:autoSpaceDN w:val="0"/>
        <w:adjustRightInd w:val="0"/>
        <w:spacing w:before="120" w:after="120" w:line="240" w:lineRule="auto"/>
        <w:jc w:val="both"/>
        <w:rPr>
          <w:rFonts w:ascii="Times New Roman" w:hAnsi="Times New Roman" w:cs="Times New Roman"/>
          <w:color w:val="000000" w:themeColor="text1"/>
        </w:rPr>
      </w:pPr>
    </w:p>
    <w:p w14:paraId="270E1982" w14:textId="7015220A" w:rsidR="00277F87" w:rsidRPr="003E2BD8" w:rsidRDefault="0023499E" w:rsidP="00CA0715">
      <w:pPr>
        <w:spacing w:line="240" w:lineRule="auto"/>
        <w:rPr>
          <w:rFonts w:ascii="Times New Roman" w:hAnsi="Times New Roman" w:cs="Times New Roman"/>
          <w:color w:val="FF0000"/>
        </w:rPr>
      </w:pPr>
      <w:r w:rsidRPr="003E2BD8">
        <w:rPr>
          <w:rFonts w:ascii="Times New Roman" w:hAnsi="Times New Roman" w:cs="Times New Roman"/>
          <w:color w:val="FF0000"/>
        </w:rPr>
        <w:br w:type="page"/>
      </w:r>
    </w:p>
    <w:p w14:paraId="0B9BD80A" w14:textId="3AD0B8D5" w:rsidR="00E65846" w:rsidRPr="00E15C04" w:rsidRDefault="00E65846" w:rsidP="006F431D">
      <w:pPr>
        <w:pStyle w:val="Heading2"/>
      </w:pPr>
      <w:bookmarkStart w:id="39" w:name="_Toc508892828"/>
      <w:r w:rsidRPr="00E15C04">
        <w:t xml:space="preserve">Section </w:t>
      </w:r>
      <w:r w:rsidR="00106C64" w:rsidRPr="00E15C04">
        <w:t>V</w:t>
      </w:r>
      <w:r w:rsidRPr="00E15C04">
        <w:t xml:space="preserve">: Program </w:t>
      </w:r>
      <w:r w:rsidR="00F1746A" w:rsidRPr="00E15C04">
        <w:t xml:space="preserve">Institutional </w:t>
      </w:r>
      <w:r w:rsidRPr="00E15C04">
        <w:t>Capacity and Performance Assessment</w:t>
      </w:r>
      <w:r w:rsidR="00F1746A" w:rsidRPr="00E15C04">
        <w:t xml:space="preserve"> in Managing Environme</w:t>
      </w:r>
      <w:r w:rsidR="00DB1D7D" w:rsidRPr="00E15C04">
        <w:t>n</w:t>
      </w:r>
      <w:r w:rsidR="00F1746A" w:rsidRPr="00E15C04">
        <w:t>tal and Social Risks and Impacts</w:t>
      </w:r>
      <w:bookmarkEnd w:id="39"/>
    </w:p>
    <w:p w14:paraId="609CEBF4" w14:textId="125E511A" w:rsidR="00C50A02" w:rsidRPr="00CE4F32" w:rsidRDefault="00C50A02" w:rsidP="00CA0715">
      <w:pPr>
        <w:autoSpaceDE w:val="0"/>
        <w:autoSpaceDN w:val="0"/>
        <w:adjustRightInd w:val="0"/>
        <w:spacing w:before="120" w:after="120" w:line="240" w:lineRule="auto"/>
        <w:jc w:val="both"/>
        <w:rPr>
          <w:rFonts w:ascii="Times New Roman" w:hAnsi="Times New Roman" w:cs="Times New Roman"/>
        </w:rPr>
      </w:pPr>
      <w:r w:rsidRPr="00CE4F32">
        <w:rPr>
          <w:rFonts w:ascii="Times New Roman" w:hAnsi="Times New Roman" w:cs="Times New Roman"/>
        </w:rPr>
        <w:t>Findings are based on site visits to representative subprojects</w:t>
      </w:r>
      <w:r w:rsidRPr="00CE4F32">
        <w:rPr>
          <w:rStyle w:val="FootnoteReference"/>
          <w:rFonts w:ascii="Times New Roman" w:hAnsi="Times New Roman" w:cs="Times New Roman"/>
        </w:rPr>
        <w:footnoteReference w:id="29"/>
      </w:r>
      <w:r w:rsidRPr="00CE4F32">
        <w:rPr>
          <w:rFonts w:ascii="Times New Roman" w:hAnsi="Times New Roman" w:cs="Times New Roman"/>
        </w:rPr>
        <w:t xml:space="preserve"> in five MMAs</w:t>
      </w:r>
      <w:r w:rsidRPr="00CE4F32">
        <w:rPr>
          <w:rStyle w:val="FootnoteReference"/>
          <w:rFonts w:ascii="Times New Roman" w:hAnsi="Times New Roman" w:cs="Times New Roman"/>
        </w:rPr>
        <w:footnoteReference w:id="30"/>
      </w:r>
      <w:r w:rsidRPr="00CE4F32">
        <w:rPr>
          <w:rFonts w:ascii="Times New Roman" w:hAnsi="Times New Roman" w:cs="Times New Roman"/>
        </w:rPr>
        <w:t xml:space="preserve"> located in four Regions (Greater Accra, Cape Coast, Ashanti, Eastern Region) implemented under the LGCSP and discussions with PBME Department, National and Regional EPA, MMAs visited and contractors. The list of subprojects visited in given in Annex xx.</w:t>
      </w:r>
    </w:p>
    <w:p w14:paraId="7F14C894" w14:textId="77777777" w:rsidR="003E4F72" w:rsidRPr="00CE4F32" w:rsidRDefault="00847853" w:rsidP="00CA0715">
      <w:pPr>
        <w:spacing w:before="120" w:after="120" w:line="240" w:lineRule="auto"/>
        <w:jc w:val="both"/>
        <w:rPr>
          <w:rFonts w:ascii="Times New Roman" w:eastAsia="Calibri" w:hAnsi="Times New Roman" w:cs="Times New Roman"/>
        </w:rPr>
      </w:pPr>
      <w:r w:rsidRPr="00CE4F32">
        <w:rPr>
          <w:rFonts w:ascii="Times New Roman" w:eastAsia="Calibri" w:hAnsi="Times New Roman" w:cs="Times New Roman"/>
          <w:spacing w:val="-1"/>
        </w:rPr>
        <w:t>B</w:t>
      </w:r>
      <w:r w:rsidRPr="00CE4F32">
        <w:rPr>
          <w:rFonts w:ascii="Times New Roman" w:eastAsia="Calibri" w:hAnsi="Times New Roman" w:cs="Times New Roman"/>
        </w:rPr>
        <w:t>a</w:t>
      </w:r>
      <w:r w:rsidRPr="00CE4F32">
        <w:rPr>
          <w:rFonts w:ascii="Times New Roman" w:eastAsia="Calibri" w:hAnsi="Times New Roman" w:cs="Times New Roman"/>
          <w:spacing w:val="1"/>
        </w:rPr>
        <w:t>s</w:t>
      </w:r>
      <w:r w:rsidRPr="00CE4F32">
        <w:rPr>
          <w:rFonts w:ascii="Times New Roman" w:eastAsia="Calibri" w:hAnsi="Times New Roman" w:cs="Times New Roman"/>
        </w:rPr>
        <w:t>ed</w:t>
      </w:r>
      <w:r w:rsidRPr="00CE4F32">
        <w:rPr>
          <w:rFonts w:ascii="Times New Roman" w:eastAsia="Calibri" w:hAnsi="Times New Roman" w:cs="Times New Roman"/>
          <w:spacing w:val="27"/>
        </w:rPr>
        <w:t xml:space="preserve"> </w:t>
      </w:r>
      <w:r w:rsidRPr="00CE4F32">
        <w:rPr>
          <w:rFonts w:ascii="Times New Roman" w:eastAsia="Calibri" w:hAnsi="Times New Roman" w:cs="Times New Roman"/>
        </w:rPr>
        <w:t>on</w:t>
      </w:r>
      <w:r w:rsidRPr="00CE4F32">
        <w:rPr>
          <w:rFonts w:ascii="Times New Roman" w:eastAsia="Calibri" w:hAnsi="Times New Roman" w:cs="Times New Roman"/>
          <w:spacing w:val="26"/>
        </w:rPr>
        <w:t xml:space="preserve"> </w:t>
      </w:r>
      <w:r w:rsidRPr="00CE4F32">
        <w:rPr>
          <w:rFonts w:ascii="Times New Roman" w:eastAsia="Calibri" w:hAnsi="Times New Roman" w:cs="Times New Roman"/>
        </w:rPr>
        <w:t>a</w:t>
      </w:r>
      <w:r w:rsidRPr="00CE4F32">
        <w:rPr>
          <w:rFonts w:ascii="Times New Roman" w:eastAsia="Calibri" w:hAnsi="Times New Roman" w:cs="Times New Roman"/>
          <w:spacing w:val="27"/>
        </w:rPr>
        <w:t xml:space="preserve"> </w:t>
      </w:r>
      <w:r w:rsidRPr="00CE4F32">
        <w:rPr>
          <w:rFonts w:ascii="Times New Roman" w:eastAsia="Calibri" w:hAnsi="Times New Roman" w:cs="Times New Roman"/>
          <w:spacing w:val="-2"/>
        </w:rPr>
        <w:t>r</w:t>
      </w:r>
      <w:r w:rsidRPr="00CE4F32">
        <w:rPr>
          <w:rFonts w:ascii="Times New Roman" w:eastAsia="Calibri" w:hAnsi="Times New Roman" w:cs="Times New Roman"/>
        </w:rPr>
        <w:t>e</w:t>
      </w:r>
      <w:r w:rsidRPr="00CE4F32">
        <w:rPr>
          <w:rFonts w:ascii="Times New Roman" w:eastAsia="Calibri" w:hAnsi="Times New Roman" w:cs="Times New Roman"/>
          <w:spacing w:val="-2"/>
        </w:rPr>
        <w:t>v</w:t>
      </w:r>
      <w:r w:rsidRPr="00CE4F32">
        <w:rPr>
          <w:rFonts w:ascii="Times New Roman" w:eastAsia="Calibri" w:hAnsi="Times New Roman" w:cs="Times New Roman"/>
          <w:spacing w:val="1"/>
        </w:rPr>
        <w:t>i</w:t>
      </w:r>
      <w:r w:rsidRPr="00CE4F32">
        <w:rPr>
          <w:rFonts w:ascii="Times New Roman" w:eastAsia="Calibri" w:hAnsi="Times New Roman" w:cs="Times New Roman"/>
        </w:rPr>
        <w:t>ew</w:t>
      </w:r>
      <w:r w:rsidRPr="00CE4F32">
        <w:rPr>
          <w:rFonts w:ascii="Times New Roman" w:eastAsia="Calibri" w:hAnsi="Times New Roman" w:cs="Times New Roman"/>
          <w:spacing w:val="26"/>
        </w:rPr>
        <w:t xml:space="preserve"> </w:t>
      </w:r>
      <w:r w:rsidRPr="00CE4F32">
        <w:rPr>
          <w:rFonts w:ascii="Times New Roman" w:eastAsia="Calibri" w:hAnsi="Times New Roman" w:cs="Times New Roman"/>
        </w:rPr>
        <w:t>of</w:t>
      </w:r>
      <w:r w:rsidRPr="00CE4F32">
        <w:rPr>
          <w:rFonts w:ascii="Times New Roman" w:eastAsia="Calibri" w:hAnsi="Times New Roman" w:cs="Times New Roman"/>
          <w:spacing w:val="27"/>
        </w:rPr>
        <w:t xml:space="preserve"> </w:t>
      </w:r>
      <w:r w:rsidRPr="00CE4F32">
        <w:rPr>
          <w:rFonts w:ascii="Times New Roman" w:eastAsia="Calibri" w:hAnsi="Times New Roman" w:cs="Times New Roman"/>
          <w:spacing w:val="1"/>
        </w:rPr>
        <w:t>t</w:t>
      </w:r>
      <w:r w:rsidRPr="00CE4F32">
        <w:rPr>
          <w:rFonts w:ascii="Times New Roman" w:eastAsia="Calibri" w:hAnsi="Times New Roman" w:cs="Times New Roman"/>
          <w:spacing w:val="-2"/>
        </w:rPr>
        <w:t>h</w:t>
      </w:r>
      <w:r w:rsidRPr="00CE4F32">
        <w:rPr>
          <w:rFonts w:ascii="Times New Roman" w:eastAsia="Calibri" w:hAnsi="Times New Roman" w:cs="Times New Roman"/>
        </w:rPr>
        <w:t>e</w:t>
      </w:r>
      <w:r w:rsidRPr="00CE4F32">
        <w:rPr>
          <w:rFonts w:ascii="Times New Roman" w:eastAsia="Calibri" w:hAnsi="Times New Roman" w:cs="Times New Roman"/>
          <w:spacing w:val="29"/>
        </w:rPr>
        <w:t xml:space="preserve"> </w:t>
      </w:r>
      <w:r w:rsidRPr="00CE4F32">
        <w:rPr>
          <w:rFonts w:ascii="Times New Roman" w:eastAsia="Calibri" w:hAnsi="Times New Roman" w:cs="Times New Roman"/>
        </w:rPr>
        <w:t>docu</w:t>
      </w:r>
      <w:r w:rsidRPr="00CE4F32">
        <w:rPr>
          <w:rFonts w:ascii="Times New Roman" w:eastAsia="Calibri" w:hAnsi="Times New Roman" w:cs="Times New Roman"/>
          <w:spacing w:val="-3"/>
        </w:rPr>
        <w:t>m</w:t>
      </w:r>
      <w:r w:rsidRPr="00CE4F32">
        <w:rPr>
          <w:rFonts w:ascii="Times New Roman" w:eastAsia="Calibri" w:hAnsi="Times New Roman" w:cs="Times New Roman"/>
        </w:rPr>
        <w:t>en</w:t>
      </w:r>
      <w:r w:rsidRPr="00CE4F32">
        <w:rPr>
          <w:rFonts w:ascii="Times New Roman" w:eastAsia="Calibri" w:hAnsi="Times New Roman" w:cs="Times New Roman"/>
          <w:spacing w:val="1"/>
        </w:rPr>
        <w:t>t</w:t>
      </w:r>
      <w:r w:rsidRPr="00CE4F32">
        <w:rPr>
          <w:rFonts w:ascii="Times New Roman" w:eastAsia="Calibri" w:hAnsi="Times New Roman" w:cs="Times New Roman"/>
        </w:rPr>
        <w:t>a</w:t>
      </w:r>
      <w:r w:rsidRPr="00CE4F32">
        <w:rPr>
          <w:rFonts w:ascii="Times New Roman" w:eastAsia="Calibri" w:hAnsi="Times New Roman" w:cs="Times New Roman"/>
          <w:spacing w:val="-1"/>
        </w:rPr>
        <w:t>t</w:t>
      </w:r>
      <w:r w:rsidRPr="00CE4F32">
        <w:rPr>
          <w:rFonts w:ascii="Times New Roman" w:eastAsia="Calibri" w:hAnsi="Times New Roman" w:cs="Times New Roman"/>
          <w:spacing w:val="1"/>
        </w:rPr>
        <w:t>i</w:t>
      </w:r>
      <w:r w:rsidRPr="00CE4F32">
        <w:rPr>
          <w:rFonts w:ascii="Times New Roman" w:eastAsia="Calibri" w:hAnsi="Times New Roman" w:cs="Times New Roman"/>
        </w:rPr>
        <w:t>on, field observations,</w:t>
      </w:r>
      <w:r w:rsidRPr="00CE4F32">
        <w:rPr>
          <w:rFonts w:ascii="Times New Roman" w:eastAsia="Calibri" w:hAnsi="Times New Roman" w:cs="Times New Roman"/>
          <w:spacing w:val="27"/>
        </w:rPr>
        <w:t xml:space="preserve"> </w:t>
      </w:r>
      <w:r w:rsidRPr="00CE4F32">
        <w:rPr>
          <w:rFonts w:ascii="Times New Roman" w:eastAsia="Calibri" w:hAnsi="Times New Roman" w:cs="Times New Roman"/>
        </w:rPr>
        <w:t>de</w:t>
      </w:r>
      <w:r w:rsidRPr="00CE4F32">
        <w:rPr>
          <w:rFonts w:ascii="Times New Roman" w:eastAsia="Calibri" w:hAnsi="Times New Roman" w:cs="Times New Roman"/>
          <w:spacing w:val="-1"/>
        </w:rPr>
        <w:t>t</w:t>
      </w:r>
      <w:r w:rsidRPr="00CE4F32">
        <w:rPr>
          <w:rFonts w:ascii="Times New Roman" w:eastAsia="Calibri" w:hAnsi="Times New Roman" w:cs="Times New Roman"/>
        </w:rPr>
        <w:t>a</w:t>
      </w:r>
      <w:r w:rsidRPr="00CE4F32">
        <w:rPr>
          <w:rFonts w:ascii="Times New Roman" w:eastAsia="Calibri" w:hAnsi="Times New Roman" w:cs="Times New Roman"/>
          <w:spacing w:val="-1"/>
        </w:rPr>
        <w:t>i</w:t>
      </w:r>
      <w:r w:rsidRPr="00CE4F32">
        <w:rPr>
          <w:rFonts w:ascii="Times New Roman" w:eastAsia="Calibri" w:hAnsi="Times New Roman" w:cs="Times New Roman"/>
          <w:spacing w:val="1"/>
        </w:rPr>
        <w:t>l</w:t>
      </w:r>
      <w:r w:rsidRPr="00CE4F32">
        <w:rPr>
          <w:rFonts w:ascii="Times New Roman" w:eastAsia="Calibri" w:hAnsi="Times New Roman" w:cs="Times New Roman"/>
          <w:spacing w:val="-2"/>
        </w:rPr>
        <w:t>e</w:t>
      </w:r>
      <w:r w:rsidRPr="00CE4F32">
        <w:rPr>
          <w:rFonts w:ascii="Times New Roman" w:eastAsia="Calibri" w:hAnsi="Times New Roman" w:cs="Times New Roman"/>
        </w:rPr>
        <w:t>d</w:t>
      </w:r>
      <w:r w:rsidRPr="00CE4F32">
        <w:rPr>
          <w:rFonts w:ascii="Times New Roman" w:eastAsia="Calibri" w:hAnsi="Times New Roman" w:cs="Times New Roman"/>
          <w:spacing w:val="26"/>
        </w:rPr>
        <w:t xml:space="preserve"> </w:t>
      </w:r>
      <w:r w:rsidRPr="00CE4F32">
        <w:rPr>
          <w:rFonts w:ascii="Times New Roman" w:eastAsia="Calibri" w:hAnsi="Times New Roman" w:cs="Times New Roman"/>
        </w:rPr>
        <w:t>ana</w:t>
      </w:r>
      <w:r w:rsidRPr="00CE4F32">
        <w:rPr>
          <w:rFonts w:ascii="Times New Roman" w:eastAsia="Calibri" w:hAnsi="Times New Roman" w:cs="Times New Roman"/>
          <w:spacing w:val="1"/>
        </w:rPr>
        <w:t>l</w:t>
      </w:r>
      <w:r w:rsidRPr="00CE4F32">
        <w:rPr>
          <w:rFonts w:ascii="Times New Roman" w:eastAsia="Calibri" w:hAnsi="Times New Roman" w:cs="Times New Roman"/>
          <w:spacing w:val="-2"/>
        </w:rPr>
        <w:t>y</w:t>
      </w:r>
      <w:r w:rsidRPr="00CE4F32">
        <w:rPr>
          <w:rFonts w:ascii="Times New Roman" w:eastAsia="Calibri" w:hAnsi="Times New Roman" w:cs="Times New Roman"/>
        </w:rPr>
        <w:t>s</w:t>
      </w:r>
      <w:r w:rsidRPr="00CE4F32">
        <w:rPr>
          <w:rFonts w:ascii="Times New Roman" w:eastAsia="Calibri" w:hAnsi="Times New Roman" w:cs="Times New Roman"/>
          <w:spacing w:val="-1"/>
        </w:rPr>
        <w:t>i</w:t>
      </w:r>
      <w:r w:rsidRPr="00CE4F32">
        <w:rPr>
          <w:rFonts w:ascii="Times New Roman" w:eastAsia="Calibri" w:hAnsi="Times New Roman" w:cs="Times New Roman"/>
        </w:rPr>
        <w:t>s</w:t>
      </w:r>
      <w:r w:rsidRPr="00CE4F32">
        <w:rPr>
          <w:rFonts w:ascii="Times New Roman" w:eastAsia="Calibri" w:hAnsi="Times New Roman" w:cs="Times New Roman"/>
          <w:spacing w:val="27"/>
        </w:rPr>
        <w:t xml:space="preserve"> </w:t>
      </w:r>
      <w:r w:rsidRPr="00CE4F32">
        <w:rPr>
          <w:rFonts w:ascii="Times New Roman" w:eastAsia="Calibri" w:hAnsi="Times New Roman" w:cs="Times New Roman"/>
        </w:rPr>
        <w:t>of</w:t>
      </w:r>
      <w:r w:rsidRPr="00CE4F32">
        <w:rPr>
          <w:rFonts w:ascii="Times New Roman" w:eastAsia="Calibri" w:hAnsi="Times New Roman" w:cs="Times New Roman"/>
          <w:spacing w:val="27"/>
        </w:rPr>
        <w:t xml:space="preserve"> </w:t>
      </w:r>
      <w:r w:rsidRPr="00CE4F32">
        <w:rPr>
          <w:rFonts w:ascii="Times New Roman" w:eastAsia="Calibri" w:hAnsi="Times New Roman" w:cs="Times New Roman"/>
          <w:spacing w:val="1"/>
        </w:rPr>
        <w:t>t</w:t>
      </w:r>
      <w:r w:rsidRPr="00CE4F32">
        <w:rPr>
          <w:rFonts w:ascii="Times New Roman" w:eastAsia="Calibri" w:hAnsi="Times New Roman" w:cs="Times New Roman"/>
          <w:spacing w:val="-2"/>
        </w:rPr>
        <w:t>h</w:t>
      </w:r>
      <w:r w:rsidRPr="00CE4F32">
        <w:rPr>
          <w:rFonts w:ascii="Times New Roman" w:eastAsia="Calibri" w:hAnsi="Times New Roman" w:cs="Times New Roman"/>
        </w:rPr>
        <w:t>e</w:t>
      </w:r>
      <w:r w:rsidRPr="00CE4F32">
        <w:rPr>
          <w:rFonts w:ascii="Times New Roman" w:eastAsia="Calibri" w:hAnsi="Times New Roman" w:cs="Times New Roman"/>
          <w:spacing w:val="27"/>
        </w:rPr>
        <w:t xml:space="preserve"> </w:t>
      </w:r>
      <w:r w:rsidRPr="00CE4F32">
        <w:rPr>
          <w:rFonts w:ascii="Times New Roman" w:eastAsia="Calibri" w:hAnsi="Times New Roman" w:cs="Times New Roman"/>
        </w:rPr>
        <w:t>en</w:t>
      </w:r>
      <w:r w:rsidRPr="00CE4F32">
        <w:rPr>
          <w:rFonts w:ascii="Times New Roman" w:eastAsia="Calibri" w:hAnsi="Times New Roman" w:cs="Times New Roman"/>
          <w:spacing w:val="-2"/>
        </w:rPr>
        <w:t>v</w:t>
      </w:r>
      <w:r w:rsidRPr="00CE4F32">
        <w:rPr>
          <w:rFonts w:ascii="Times New Roman" w:eastAsia="Calibri" w:hAnsi="Times New Roman" w:cs="Times New Roman"/>
          <w:spacing w:val="1"/>
        </w:rPr>
        <w:t>ir</w:t>
      </w:r>
      <w:r w:rsidRPr="00CE4F32">
        <w:rPr>
          <w:rFonts w:ascii="Times New Roman" w:eastAsia="Calibri" w:hAnsi="Times New Roman" w:cs="Times New Roman"/>
        </w:rPr>
        <w:t>on</w:t>
      </w:r>
      <w:r w:rsidRPr="00CE4F32">
        <w:rPr>
          <w:rFonts w:ascii="Times New Roman" w:eastAsia="Calibri" w:hAnsi="Times New Roman" w:cs="Times New Roman"/>
          <w:spacing w:val="-4"/>
        </w:rPr>
        <w:t>m</w:t>
      </w:r>
      <w:r w:rsidRPr="00CE4F32">
        <w:rPr>
          <w:rFonts w:ascii="Times New Roman" w:eastAsia="Calibri" w:hAnsi="Times New Roman" w:cs="Times New Roman"/>
        </w:rPr>
        <w:t>en</w:t>
      </w:r>
      <w:r w:rsidRPr="00CE4F32">
        <w:rPr>
          <w:rFonts w:ascii="Times New Roman" w:eastAsia="Calibri" w:hAnsi="Times New Roman" w:cs="Times New Roman"/>
          <w:spacing w:val="1"/>
        </w:rPr>
        <w:t>t</w:t>
      </w:r>
      <w:r w:rsidRPr="00CE4F32">
        <w:rPr>
          <w:rFonts w:ascii="Times New Roman" w:eastAsia="Calibri" w:hAnsi="Times New Roman" w:cs="Times New Roman"/>
          <w:spacing w:val="-2"/>
        </w:rPr>
        <w:t>a</w:t>
      </w:r>
      <w:r w:rsidRPr="00CE4F32">
        <w:rPr>
          <w:rFonts w:ascii="Times New Roman" w:eastAsia="Calibri" w:hAnsi="Times New Roman" w:cs="Times New Roman"/>
        </w:rPr>
        <w:t>l</w:t>
      </w:r>
      <w:r w:rsidRPr="00CE4F32">
        <w:rPr>
          <w:rFonts w:ascii="Times New Roman" w:eastAsia="Calibri" w:hAnsi="Times New Roman" w:cs="Times New Roman"/>
          <w:spacing w:val="27"/>
        </w:rPr>
        <w:t xml:space="preserve"> </w:t>
      </w:r>
      <w:r w:rsidRPr="00CE4F32">
        <w:rPr>
          <w:rFonts w:ascii="Times New Roman" w:eastAsia="Calibri" w:hAnsi="Times New Roman" w:cs="Times New Roman"/>
        </w:rPr>
        <w:t>and</w:t>
      </w:r>
      <w:r w:rsidRPr="00CE4F32">
        <w:rPr>
          <w:rFonts w:ascii="Times New Roman" w:eastAsia="Calibri" w:hAnsi="Times New Roman" w:cs="Times New Roman"/>
          <w:spacing w:val="27"/>
        </w:rPr>
        <w:t xml:space="preserve"> </w:t>
      </w:r>
      <w:r w:rsidRPr="00CE4F32">
        <w:rPr>
          <w:rFonts w:ascii="Times New Roman" w:eastAsia="Calibri" w:hAnsi="Times New Roman" w:cs="Times New Roman"/>
        </w:rPr>
        <w:t>s</w:t>
      </w:r>
      <w:r w:rsidRPr="00CE4F32">
        <w:rPr>
          <w:rFonts w:ascii="Times New Roman" w:eastAsia="Calibri" w:hAnsi="Times New Roman" w:cs="Times New Roman"/>
          <w:spacing w:val="-2"/>
        </w:rPr>
        <w:t>o</w:t>
      </w:r>
      <w:r w:rsidRPr="00CE4F32">
        <w:rPr>
          <w:rFonts w:ascii="Times New Roman" w:eastAsia="Calibri" w:hAnsi="Times New Roman" w:cs="Times New Roman"/>
        </w:rPr>
        <w:t>c</w:t>
      </w:r>
      <w:r w:rsidRPr="00CE4F32">
        <w:rPr>
          <w:rFonts w:ascii="Times New Roman" w:eastAsia="Calibri" w:hAnsi="Times New Roman" w:cs="Times New Roman"/>
          <w:spacing w:val="-1"/>
        </w:rPr>
        <w:t>i</w:t>
      </w:r>
      <w:r w:rsidRPr="00CE4F32">
        <w:rPr>
          <w:rFonts w:ascii="Times New Roman" w:eastAsia="Calibri" w:hAnsi="Times New Roman" w:cs="Times New Roman"/>
          <w:spacing w:val="-2"/>
        </w:rPr>
        <w:t>a</w:t>
      </w:r>
      <w:r w:rsidRPr="00CE4F32">
        <w:rPr>
          <w:rFonts w:ascii="Times New Roman" w:eastAsia="Calibri" w:hAnsi="Times New Roman" w:cs="Times New Roman"/>
        </w:rPr>
        <w:t>l e</w:t>
      </w:r>
      <w:r w:rsidRPr="00CE4F32">
        <w:rPr>
          <w:rFonts w:ascii="Times New Roman" w:eastAsia="Calibri" w:hAnsi="Times New Roman" w:cs="Times New Roman"/>
          <w:spacing w:val="1"/>
        </w:rPr>
        <w:t>f</w:t>
      </w:r>
      <w:r w:rsidRPr="00CE4F32">
        <w:rPr>
          <w:rFonts w:ascii="Times New Roman" w:eastAsia="Calibri" w:hAnsi="Times New Roman" w:cs="Times New Roman"/>
          <w:spacing w:val="-2"/>
        </w:rPr>
        <w:t>f</w:t>
      </w:r>
      <w:r w:rsidRPr="00CE4F32">
        <w:rPr>
          <w:rFonts w:ascii="Times New Roman" w:eastAsia="Calibri" w:hAnsi="Times New Roman" w:cs="Times New Roman"/>
        </w:rPr>
        <w:t>ec</w:t>
      </w:r>
      <w:r w:rsidRPr="00CE4F32">
        <w:rPr>
          <w:rFonts w:ascii="Times New Roman" w:eastAsia="Calibri" w:hAnsi="Times New Roman" w:cs="Times New Roman"/>
          <w:spacing w:val="-1"/>
        </w:rPr>
        <w:t>t</w:t>
      </w:r>
      <w:r w:rsidRPr="00CE4F32">
        <w:rPr>
          <w:rFonts w:ascii="Times New Roman" w:eastAsia="Calibri" w:hAnsi="Times New Roman" w:cs="Times New Roman"/>
        </w:rPr>
        <w:t>s</w:t>
      </w:r>
      <w:r w:rsidRPr="00CE4F32">
        <w:rPr>
          <w:rFonts w:ascii="Times New Roman" w:eastAsia="Calibri" w:hAnsi="Times New Roman" w:cs="Times New Roman"/>
          <w:spacing w:val="3"/>
        </w:rPr>
        <w:t xml:space="preserve"> </w:t>
      </w:r>
      <w:r w:rsidRPr="00CE4F32">
        <w:rPr>
          <w:rFonts w:ascii="Times New Roman" w:eastAsia="Calibri" w:hAnsi="Times New Roman" w:cs="Times New Roman"/>
        </w:rPr>
        <w:t>of</w:t>
      </w:r>
      <w:r w:rsidRPr="00CE4F32">
        <w:rPr>
          <w:rFonts w:ascii="Times New Roman" w:eastAsia="Calibri" w:hAnsi="Times New Roman" w:cs="Times New Roman"/>
          <w:spacing w:val="1"/>
        </w:rPr>
        <w:t xml:space="preserve"> t</w:t>
      </w:r>
      <w:r w:rsidRPr="00CE4F32">
        <w:rPr>
          <w:rFonts w:ascii="Times New Roman" w:eastAsia="Calibri" w:hAnsi="Times New Roman" w:cs="Times New Roman"/>
        </w:rPr>
        <w:t>he</w:t>
      </w:r>
      <w:r w:rsidRPr="00CE4F32">
        <w:rPr>
          <w:rFonts w:ascii="Times New Roman" w:eastAsia="Calibri" w:hAnsi="Times New Roman" w:cs="Times New Roman"/>
          <w:spacing w:val="3"/>
        </w:rPr>
        <w:t xml:space="preserve"> </w:t>
      </w:r>
      <w:r w:rsidRPr="00CE4F32">
        <w:rPr>
          <w:rFonts w:ascii="Times New Roman" w:eastAsia="Calibri" w:hAnsi="Times New Roman" w:cs="Times New Roman"/>
        </w:rPr>
        <w:t>Pro</w:t>
      </w:r>
      <w:r w:rsidRPr="00CE4F32">
        <w:rPr>
          <w:rFonts w:ascii="Times New Roman" w:eastAsia="Calibri" w:hAnsi="Times New Roman" w:cs="Times New Roman"/>
          <w:spacing w:val="-2"/>
        </w:rPr>
        <w:t>g</w:t>
      </w:r>
      <w:r w:rsidRPr="00CE4F32">
        <w:rPr>
          <w:rFonts w:ascii="Times New Roman" w:eastAsia="Calibri" w:hAnsi="Times New Roman" w:cs="Times New Roman"/>
          <w:spacing w:val="1"/>
        </w:rPr>
        <w:t>r</w:t>
      </w:r>
      <w:r w:rsidRPr="00CE4F32">
        <w:rPr>
          <w:rFonts w:ascii="Times New Roman" w:eastAsia="Calibri" w:hAnsi="Times New Roman" w:cs="Times New Roman"/>
        </w:rPr>
        <w:t>am,</w:t>
      </w:r>
      <w:r w:rsidRPr="00CE4F32">
        <w:rPr>
          <w:rFonts w:ascii="Times New Roman" w:eastAsia="Calibri" w:hAnsi="Times New Roman" w:cs="Times New Roman"/>
          <w:spacing w:val="-1"/>
        </w:rPr>
        <w:t xml:space="preserve"> </w:t>
      </w:r>
      <w:r w:rsidRPr="00CE4F32">
        <w:rPr>
          <w:rFonts w:ascii="Times New Roman" w:eastAsia="Calibri" w:hAnsi="Times New Roman" w:cs="Times New Roman"/>
        </w:rPr>
        <w:t>and</w:t>
      </w:r>
      <w:r w:rsidRPr="00CE4F32">
        <w:rPr>
          <w:rFonts w:ascii="Times New Roman" w:eastAsia="Calibri" w:hAnsi="Times New Roman" w:cs="Times New Roman"/>
          <w:spacing w:val="4"/>
        </w:rPr>
        <w:t xml:space="preserve"> </w:t>
      </w:r>
      <w:r w:rsidRPr="00CE4F32">
        <w:rPr>
          <w:rFonts w:ascii="Times New Roman" w:eastAsia="Calibri" w:hAnsi="Times New Roman" w:cs="Times New Roman"/>
        </w:rPr>
        <w:t>con</w:t>
      </w:r>
      <w:r w:rsidRPr="00CE4F32">
        <w:rPr>
          <w:rFonts w:ascii="Times New Roman" w:eastAsia="Calibri" w:hAnsi="Times New Roman" w:cs="Times New Roman"/>
          <w:spacing w:val="1"/>
        </w:rPr>
        <w:t>s</w:t>
      </w:r>
      <w:r w:rsidRPr="00CE4F32">
        <w:rPr>
          <w:rFonts w:ascii="Times New Roman" w:eastAsia="Calibri" w:hAnsi="Times New Roman" w:cs="Times New Roman"/>
          <w:spacing w:val="-2"/>
        </w:rPr>
        <w:t>u</w:t>
      </w:r>
      <w:r w:rsidRPr="00CE4F32">
        <w:rPr>
          <w:rFonts w:ascii="Times New Roman" w:eastAsia="Calibri" w:hAnsi="Times New Roman" w:cs="Times New Roman"/>
          <w:spacing w:val="1"/>
        </w:rPr>
        <w:t>lt</w:t>
      </w:r>
      <w:r w:rsidRPr="00CE4F32">
        <w:rPr>
          <w:rFonts w:ascii="Times New Roman" w:eastAsia="Calibri" w:hAnsi="Times New Roman" w:cs="Times New Roman"/>
          <w:spacing w:val="-2"/>
        </w:rPr>
        <w:t>a</w:t>
      </w:r>
      <w:r w:rsidRPr="00CE4F32">
        <w:rPr>
          <w:rFonts w:ascii="Times New Roman" w:eastAsia="Calibri" w:hAnsi="Times New Roman" w:cs="Times New Roman"/>
          <w:spacing w:val="-1"/>
        </w:rPr>
        <w:t>t</w:t>
      </w:r>
      <w:r w:rsidRPr="00CE4F32">
        <w:rPr>
          <w:rFonts w:ascii="Times New Roman" w:eastAsia="Calibri" w:hAnsi="Times New Roman" w:cs="Times New Roman"/>
          <w:spacing w:val="1"/>
        </w:rPr>
        <w:t>i</w:t>
      </w:r>
      <w:r w:rsidRPr="00CE4F32">
        <w:rPr>
          <w:rFonts w:ascii="Times New Roman" w:eastAsia="Calibri" w:hAnsi="Times New Roman" w:cs="Times New Roman"/>
        </w:rPr>
        <w:t>ons</w:t>
      </w:r>
      <w:r w:rsidRPr="00CE4F32">
        <w:rPr>
          <w:rFonts w:ascii="Times New Roman" w:eastAsia="Calibri" w:hAnsi="Times New Roman" w:cs="Times New Roman"/>
          <w:spacing w:val="3"/>
        </w:rPr>
        <w:t xml:space="preserve"> </w:t>
      </w:r>
      <w:r w:rsidRPr="00CE4F32">
        <w:rPr>
          <w:rFonts w:ascii="Times New Roman" w:eastAsia="Calibri" w:hAnsi="Times New Roman" w:cs="Times New Roman"/>
        </w:rPr>
        <w:t>a</w:t>
      </w:r>
      <w:r w:rsidRPr="00CE4F32">
        <w:rPr>
          <w:rFonts w:ascii="Times New Roman" w:eastAsia="Calibri" w:hAnsi="Times New Roman" w:cs="Times New Roman"/>
          <w:spacing w:val="-2"/>
        </w:rPr>
        <w:t>n</w:t>
      </w:r>
      <w:r w:rsidRPr="00CE4F32">
        <w:rPr>
          <w:rFonts w:ascii="Times New Roman" w:eastAsia="Calibri" w:hAnsi="Times New Roman" w:cs="Times New Roman"/>
        </w:rPr>
        <w:t>d</w:t>
      </w:r>
      <w:r w:rsidRPr="00CE4F32">
        <w:rPr>
          <w:rFonts w:ascii="Times New Roman" w:eastAsia="Calibri" w:hAnsi="Times New Roman" w:cs="Times New Roman"/>
          <w:spacing w:val="2"/>
        </w:rPr>
        <w:t xml:space="preserve"> </w:t>
      </w:r>
      <w:r w:rsidRPr="00CE4F32">
        <w:rPr>
          <w:rFonts w:ascii="Times New Roman" w:eastAsia="Calibri" w:hAnsi="Times New Roman" w:cs="Times New Roman"/>
        </w:rPr>
        <w:t>d</w:t>
      </w:r>
      <w:r w:rsidRPr="00CE4F32">
        <w:rPr>
          <w:rFonts w:ascii="Times New Roman" w:eastAsia="Calibri" w:hAnsi="Times New Roman" w:cs="Times New Roman"/>
          <w:spacing w:val="1"/>
        </w:rPr>
        <w:t>i</w:t>
      </w:r>
      <w:r w:rsidRPr="00CE4F32">
        <w:rPr>
          <w:rFonts w:ascii="Times New Roman" w:eastAsia="Calibri" w:hAnsi="Times New Roman" w:cs="Times New Roman"/>
          <w:spacing w:val="-2"/>
        </w:rPr>
        <w:t>s</w:t>
      </w:r>
      <w:r w:rsidRPr="00CE4F32">
        <w:rPr>
          <w:rFonts w:ascii="Times New Roman" w:eastAsia="Calibri" w:hAnsi="Times New Roman" w:cs="Times New Roman"/>
        </w:rPr>
        <w:t>cu</w:t>
      </w:r>
      <w:r w:rsidRPr="00CE4F32">
        <w:rPr>
          <w:rFonts w:ascii="Times New Roman" w:eastAsia="Calibri" w:hAnsi="Times New Roman" w:cs="Times New Roman"/>
          <w:spacing w:val="-2"/>
        </w:rPr>
        <w:t>s</w:t>
      </w:r>
      <w:r w:rsidRPr="00CE4F32">
        <w:rPr>
          <w:rFonts w:ascii="Times New Roman" w:eastAsia="Calibri" w:hAnsi="Times New Roman" w:cs="Times New Roman"/>
        </w:rPr>
        <w:t>s</w:t>
      </w:r>
      <w:r w:rsidRPr="00CE4F32">
        <w:rPr>
          <w:rFonts w:ascii="Times New Roman" w:eastAsia="Calibri" w:hAnsi="Times New Roman" w:cs="Times New Roman"/>
          <w:spacing w:val="1"/>
        </w:rPr>
        <w:t>i</w:t>
      </w:r>
      <w:r w:rsidRPr="00CE4F32">
        <w:rPr>
          <w:rFonts w:ascii="Times New Roman" w:eastAsia="Calibri" w:hAnsi="Times New Roman" w:cs="Times New Roman"/>
          <w:spacing w:val="-2"/>
        </w:rPr>
        <w:t>o</w:t>
      </w:r>
      <w:r w:rsidRPr="00CE4F32">
        <w:rPr>
          <w:rFonts w:ascii="Times New Roman" w:eastAsia="Calibri" w:hAnsi="Times New Roman" w:cs="Times New Roman"/>
        </w:rPr>
        <w:t>ns</w:t>
      </w:r>
      <w:r w:rsidRPr="00CE4F32">
        <w:rPr>
          <w:rFonts w:ascii="Times New Roman" w:eastAsia="Calibri" w:hAnsi="Times New Roman" w:cs="Times New Roman"/>
          <w:spacing w:val="3"/>
        </w:rPr>
        <w:t xml:space="preserve"> </w:t>
      </w:r>
      <w:r w:rsidRPr="00CE4F32">
        <w:rPr>
          <w:rFonts w:ascii="Times New Roman" w:eastAsia="Calibri" w:hAnsi="Times New Roman" w:cs="Times New Roman"/>
          <w:spacing w:val="-1"/>
        </w:rPr>
        <w:t>w</w:t>
      </w:r>
      <w:r w:rsidRPr="00CE4F32">
        <w:rPr>
          <w:rFonts w:ascii="Times New Roman" w:eastAsia="Calibri" w:hAnsi="Times New Roman" w:cs="Times New Roman"/>
          <w:spacing w:val="1"/>
        </w:rPr>
        <w:t>it</w:t>
      </w:r>
      <w:r w:rsidRPr="00CE4F32">
        <w:rPr>
          <w:rFonts w:ascii="Times New Roman" w:eastAsia="Calibri" w:hAnsi="Times New Roman" w:cs="Times New Roman"/>
        </w:rPr>
        <w:t>h</w:t>
      </w:r>
      <w:r w:rsidRPr="00CE4F32">
        <w:rPr>
          <w:rFonts w:ascii="Times New Roman" w:eastAsia="Calibri" w:hAnsi="Times New Roman" w:cs="Times New Roman"/>
          <w:spacing w:val="2"/>
        </w:rPr>
        <w:t xml:space="preserve"> the relevant </w:t>
      </w:r>
      <w:r w:rsidRPr="00CE4F32">
        <w:rPr>
          <w:rFonts w:ascii="Times New Roman" w:eastAsia="Calibri" w:hAnsi="Times New Roman" w:cs="Times New Roman"/>
          <w:spacing w:val="-2"/>
        </w:rPr>
        <w:t>s</w:t>
      </w:r>
      <w:r w:rsidRPr="00CE4F32">
        <w:rPr>
          <w:rFonts w:ascii="Times New Roman" w:eastAsia="Calibri" w:hAnsi="Times New Roman" w:cs="Times New Roman"/>
          <w:spacing w:val="1"/>
        </w:rPr>
        <w:t>t</w:t>
      </w:r>
      <w:r w:rsidRPr="00CE4F32">
        <w:rPr>
          <w:rFonts w:ascii="Times New Roman" w:eastAsia="Calibri" w:hAnsi="Times New Roman" w:cs="Times New Roman"/>
        </w:rPr>
        <w:t>a</w:t>
      </w:r>
      <w:r w:rsidRPr="00CE4F32">
        <w:rPr>
          <w:rFonts w:ascii="Times New Roman" w:eastAsia="Calibri" w:hAnsi="Times New Roman" w:cs="Times New Roman"/>
          <w:spacing w:val="-2"/>
        </w:rPr>
        <w:t>k</w:t>
      </w:r>
      <w:r w:rsidRPr="00CE4F32">
        <w:rPr>
          <w:rFonts w:ascii="Times New Roman" w:eastAsia="Calibri" w:hAnsi="Times New Roman" w:cs="Times New Roman"/>
        </w:rPr>
        <w:t>eh</w:t>
      </w:r>
      <w:r w:rsidRPr="00CE4F32">
        <w:rPr>
          <w:rFonts w:ascii="Times New Roman" w:eastAsia="Calibri" w:hAnsi="Times New Roman" w:cs="Times New Roman"/>
          <w:spacing w:val="-2"/>
        </w:rPr>
        <w:t>o</w:t>
      </w:r>
      <w:r w:rsidRPr="00CE4F32">
        <w:rPr>
          <w:rFonts w:ascii="Times New Roman" w:eastAsia="Calibri" w:hAnsi="Times New Roman" w:cs="Times New Roman"/>
          <w:spacing w:val="1"/>
        </w:rPr>
        <w:t>l</w:t>
      </w:r>
      <w:r w:rsidRPr="00CE4F32">
        <w:rPr>
          <w:rFonts w:ascii="Times New Roman" w:eastAsia="Calibri" w:hAnsi="Times New Roman" w:cs="Times New Roman"/>
        </w:rPr>
        <w:t>d</w:t>
      </w:r>
      <w:r w:rsidRPr="00CE4F32">
        <w:rPr>
          <w:rFonts w:ascii="Times New Roman" w:eastAsia="Calibri" w:hAnsi="Times New Roman" w:cs="Times New Roman"/>
          <w:spacing w:val="-2"/>
        </w:rPr>
        <w:t>e</w:t>
      </w:r>
      <w:r w:rsidRPr="00CE4F32">
        <w:rPr>
          <w:rFonts w:ascii="Times New Roman" w:eastAsia="Calibri" w:hAnsi="Times New Roman" w:cs="Times New Roman"/>
          <w:spacing w:val="1"/>
        </w:rPr>
        <w:t>r</w:t>
      </w:r>
      <w:r w:rsidRPr="00CE4F32">
        <w:rPr>
          <w:rFonts w:ascii="Times New Roman" w:eastAsia="Calibri" w:hAnsi="Times New Roman" w:cs="Times New Roman"/>
          <w:spacing w:val="4"/>
        </w:rPr>
        <w:t>s</w:t>
      </w:r>
      <w:r w:rsidRPr="00CE4F32">
        <w:rPr>
          <w:rFonts w:ascii="Times New Roman" w:eastAsia="Calibri" w:hAnsi="Times New Roman" w:cs="Times New Roman"/>
        </w:rPr>
        <w:t>,</w:t>
      </w:r>
      <w:r w:rsidRPr="00CE4F32">
        <w:rPr>
          <w:rFonts w:ascii="Times New Roman" w:eastAsia="Calibri" w:hAnsi="Times New Roman" w:cs="Times New Roman"/>
          <w:spacing w:val="2"/>
        </w:rPr>
        <w:t xml:space="preserve"> </w:t>
      </w:r>
      <w:r w:rsidRPr="00CE4F32">
        <w:rPr>
          <w:rFonts w:ascii="Times New Roman" w:eastAsia="Calibri" w:hAnsi="Times New Roman" w:cs="Times New Roman"/>
        </w:rPr>
        <w:t xml:space="preserve">this section of the ESSA analyzes: </w:t>
      </w:r>
    </w:p>
    <w:p w14:paraId="5B5FC6E8" w14:textId="77777777" w:rsidR="003E4F72" w:rsidRPr="00CE4F32" w:rsidRDefault="00847853" w:rsidP="00CA0715">
      <w:pPr>
        <w:pStyle w:val="ListParagraph"/>
        <w:numPr>
          <w:ilvl w:val="0"/>
          <w:numId w:val="34"/>
        </w:numPr>
        <w:spacing w:before="120" w:after="120" w:line="240" w:lineRule="auto"/>
        <w:jc w:val="both"/>
        <w:rPr>
          <w:rFonts w:ascii="Times New Roman" w:eastAsia="Calibri" w:hAnsi="Times New Roman" w:cs="Times New Roman"/>
        </w:rPr>
      </w:pPr>
      <w:r w:rsidRPr="00CE4F32">
        <w:rPr>
          <w:rFonts w:ascii="Times New Roman" w:eastAsia="Calibri" w:hAnsi="Times New Roman" w:cs="Times New Roman"/>
        </w:rPr>
        <w:t xml:space="preserve">the </w:t>
      </w:r>
      <w:r w:rsidRPr="00CE4F32">
        <w:rPr>
          <w:rFonts w:ascii="Times New Roman" w:eastAsia="Calibri" w:hAnsi="Times New Roman" w:cs="Times New Roman"/>
          <w:b/>
        </w:rPr>
        <w:t xml:space="preserve">relevance </w:t>
      </w:r>
      <w:r w:rsidRPr="00CE4F32">
        <w:rPr>
          <w:rFonts w:ascii="Times New Roman" w:eastAsia="Calibri" w:hAnsi="Times New Roman" w:cs="Times New Roman"/>
        </w:rPr>
        <w:t xml:space="preserve">of the system for the </w:t>
      </w:r>
      <w:r w:rsidR="00C50A02" w:rsidRPr="00CE4F32">
        <w:rPr>
          <w:rFonts w:ascii="Times New Roman" w:eastAsia="Calibri" w:hAnsi="Times New Roman" w:cs="Times New Roman"/>
        </w:rPr>
        <w:t>P</w:t>
      </w:r>
      <w:r w:rsidRPr="00CE4F32">
        <w:rPr>
          <w:rFonts w:ascii="Times New Roman" w:eastAsia="Calibri" w:hAnsi="Times New Roman" w:cs="Times New Roman"/>
        </w:rPr>
        <w:t>rogram elements, or where it functions effectively and efficiently and is consistent with the Bank policy</w:t>
      </w:r>
      <w:r w:rsidR="00C50A02" w:rsidRPr="00CE4F32">
        <w:rPr>
          <w:rFonts w:ascii="Times New Roman" w:eastAsia="Calibri" w:hAnsi="Times New Roman" w:cs="Times New Roman"/>
        </w:rPr>
        <w:t xml:space="preserve"> on</w:t>
      </w:r>
      <w:r w:rsidRPr="00CE4F32">
        <w:rPr>
          <w:rFonts w:ascii="Times New Roman" w:eastAsia="Calibri" w:hAnsi="Times New Roman" w:cs="Times New Roman"/>
        </w:rPr>
        <w:t xml:space="preserve"> Program for Results </w:t>
      </w:r>
      <w:r w:rsidR="00C50A02" w:rsidRPr="00CE4F32">
        <w:rPr>
          <w:rFonts w:ascii="Times New Roman" w:eastAsia="Calibri" w:hAnsi="Times New Roman" w:cs="Times New Roman"/>
        </w:rPr>
        <w:t>f</w:t>
      </w:r>
      <w:r w:rsidRPr="00CE4F32">
        <w:rPr>
          <w:rFonts w:ascii="Times New Roman" w:eastAsia="Calibri" w:hAnsi="Times New Roman" w:cs="Times New Roman"/>
        </w:rPr>
        <w:t xml:space="preserve">inancing; </w:t>
      </w:r>
    </w:p>
    <w:p w14:paraId="045E96EA" w14:textId="77777777" w:rsidR="003E4F72" w:rsidRPr="00CE4F32" w:rsidRDefault="00847853" w:rsidP="00CA0715">
      <w:pPr>
        <w:pStyle w:val="ListParagraph"/>
        <w:numPr>
          <w:ilvl w:val="0"/>
          <w:numId w:val="34"/>
        </w:numPr>
        <w:spacing w:before="120" w:after="120" w:line="240" w:lineRule="auto"/>
        <w:jc w:val="both"/>
        <w:rPr>
          <w:rFonts w:ascii="Times New Roman" w:eastAsia="Calibri" w:hAnsi="Times New Roman" w:cs="Times New Roman"/>
        </w:rPr>
      </w:pPr>
      <w:r w:rsidRPr="00CE4F32">
        <w:rPr>
          <w:rFonts w:ascii="Times New Roman" w:eastAsia="Calibri" w:hAnsi="Times New Roman" w:cs="Times New Roman"/>
          <w:b/>
        </w:rPr>
        <w:t>Inconsistencies and gaps</w:t>
      </w:r>
      <w:r w:rsidRPr="00CE4F32">
        <w:rPr>
          <w:rFonts w:ascii="Times New Roman" w:eastAsia="Calibri" w:hAnsi="Times New Roman" w:cs="Times New Roman"/>
        </w:rPr>
        <w:t xml:space="preserve"> between the prin</w:t>
      </w:r>
      <w:r w:rsidR="00C50A02" w:rsidRPr="00CE4F32">
        <w:rPr>
          <w:rFonts w:ascii="Times New Roman" w:eastAsia="Calibri" w:hAnsi="Times New Roman" w:cs="Times New Roman"/>
        </w:rPr>
        <w:t xml:space="preserve">ciples used in the Bank policy on </w:t>
      </w:r>
      <w:r w:rsidRPr="00CE4F32">
        <w:rPr>
          <w:rFonts w:ascii="Times New Roman" w:eastAsia="Calibri" w:hAnsi="Times New Roman" w:cs="Times New Roman"/>
        </w:rPr>
        <w:t>Program for Results financing and capacity constraints, for the system as it is written in the applicable laws and regulations, and operational performance in managing environment an</w:t>
      </w:r>
      <w:r w:rsidR="003E4F72" w:rsidRPr="00CE4F32">
        <w:rPr>
          <w:rFonts w:ascii="Times New Roman" w:eastAsia="Calibri" w:hAnsi="Times New Roman" w:cs="Times New Roman"/>
        </w:rPr>
        <w:t>d social risks a</w:t>
      </w:r>
      <w:r w:rsidR="00C50A02" w:rsidRPr="00CE4F32">
        <w:rPr>
          <w:rFonts w:ascii="Times New Roman" w:eastAsia="Calibri" w:hAnsi="Times New Roman" w:cs="Times New Roman"/>
        </w:rPr>
        <w:t xml:space="preserve">nd impacts; and, </w:t>
      </w:r>
    </w:p>
    <w:p w14:paraId="3BD04050" w14:textId="77777777" w:rsidR="00847853" w:rsidRPr="00CE4F32" w:rsidRDefault="00847853" w:rsidP="00CA0715">
      <w:pPr>
        <w:pStyle w:val="ListParagraph"/>
        <w:numPr>
          <w:ilvl w:val="0"/>
          <w:numId w:val="34"/>
        </w:numPr>
        <w:spacing w:before="120" w:after="120" w:line="240" w:lineRule="auto"/>
        <w:jc w:val="both"/>
        <w:rPr>
          <w:rFonts w:ascii="Times New Roman" w:eastAsia="Calibri" w:hAnsi="Times New Roman" w:cs="Times New Roman"/>
        </w:rPr>
      </w:pPr>
      <w:r w:rsidRPr="00CE4F32">
        <w:rPr>
          <w:rFonts w:ascii="Times New Roman" w:eastAsia="Calibri" w:hAnsi="Times New Roman" w:cs="Times New Roman"/>
          <w:b/>
        </w:rPr>
        <w:t xml:space="preserve">Actions </w:t>
      </w:r>
      <w:r w:rsidRPr="00CE4F32">
        <w:rPr>
          <w:rFonts w:ascii="Times New Roman" w:eastAsia="Calibri" w:hAnsi="Times New Roman" w:cs="Times New Roman"/>
        </w:rPr>
        <w:t>to s</w:t>
      </w:r>
      <w:bookmarkStart w:id="40" w:name="_Toc368575511"/>
      <w:bookmarkStart w:id="41" w:name="_Toc488568685"/>
      <w:r w:rsidRPr="00CE4F32">
        <w:rPr>
          <w:rFonts w:ascii="Times New Roman" w:eastAsia="Calibri" w:hAnsi="Times New Roman" w:cs="Times New Roman"/>
        </w:rPr>
        <w:t xml:space="preserve">trengthen the existing system. Overall, </w:t>
      </w:r>
      <w:r w:rsidRPr="00CE4F32">
        <w:rPr>
          <w:rFonts w:ascii="Times New Roman" w:eastAsia="Calibri" w:hAnsi="Times New Roman" w:cs="Times New Roman"/>
          <w:spacing w:val="1"/>
        </w:rPr>
        <w:t>t</w:t>
      </w:r>
      <w:r w:rsidRPr="00CE4F32">
        <w:rPr>
          <w:rFonts w:ascii="Times New Roman" w:eastAsia="Calibri" w:hAnsi="Times New Roman" w:cs="Times New Roman"/>
          <w:spacing w:val="-2"/>
        </w:rPr>
        <w:t>h</w:t>
      </w:r>
      <w:r w:rsidRPr="00CE4F32">
        <w:rPr>
          <w:rFonts w:ascii="Times New Roman" w:eastAsia="Calibri" w:hAnsi="Times New Roman" w:cs="Times New Roman"/>
        </w:rPr>
        <w:t>e</w:t>
      </w:r>
      <w:r w:rsidRPr="00CE4F32">
        <w:rPr>
          <w:rFonts w:ascii="Times New Roman" w:eastAsia="Calibri" w:hAnsi="Times New Roman" w:cs="Times New Roman"/>
          <w:spacing w:val="3"/>
        </w:rPr>
        <w:t xml:space="preserve"> </w:t>
      </w:r>
      <w:r w:rsidRPr="00CE4F32">
        <w:rPr>
          <w:rFonts w:ascii="Times New Roman" w:eastAsia="Calibri" w:hAnsi="Times New Roman" w:cs="Times New Roman"/>
          <w:spacing w:val="-1"/>
        </w:rPr>
        <w:t>a</w:t>
      </w:r>
      <w:r w:rsidRPr="00CE4F32">
        <w:rPr>
          <w:rFonts w:ascii="Times New Roman" w:eastAsia="Calibri" w:hAnsi="Times New Roman" w:cs="Times New Roman"/>
        </w:rPr>
        <w:t>na</w:t>
      </w:r>
      <w:r w:rsidRPr="00CE4F32">
        <w:rPr>
          <w:rFonts w:ascii="Times New Roman" w:eastAsia="Calibri" w:hAnsi="Times New Roman" w:cs="Times New Roman"/>
          <w:spacing w:val="1"/>
        </w:rPr>
        <w:t>l</w:t>
      </w:r>
      <w:r w:rsidRPr="00CE4F32">
        <w:rPr>
          <w:rFonts w:ascii="Times New Roman" w:eastAsia="Calibri" w:hAnsi="Times New Roman" w:cs="Times New Roman"/>
          <w:spacing w:val="-2"/>
        </w:rPr>
        <w:t>y</w:t>
      </w:r>
      <w:r w:rsidRPr="00CE4F32">
        <w:rPr>
          <w:rFonts w:ascii="Times New Roman" w:eastAsia="Calibri" w:hAnsi="Times New Roman" w:cs="Times New Roman"/>
        </w:rPr>
        <w:t>s</w:t>
      </w:r>
      <w:r w:rsidRPr="00CE4F32">
        <w:rPr>
          <w:rFonts w:ascii="Times New Roman" w:eastAsia="Calibri" w:hAnsi="Times New Roman" w:cs="Times New Roman"/>
          <w:spacing w:val="1"/>
        </w:rPr>
        <w:t>i</w:t>
      </w:r>
      <w:r w:rsidRPr="00CE4F32">
        <w:rPr>
          <w:rFonts w:ascii="Times New Roman" w:eastAsia="Calibri" w:hAnsi="Times New Roman" w:cs="Times New Roman"/>
        </w:rPr>
        <w:t>s</w:t>
      </w:r>
      <w:r w:rsidRPr="00CE4F32">
        <w:rPr>
          <w:rFonts w:ascii="Times New Roman" w:eastAsia="Calibri" w:hAnsi="Times New Roman" w:cs="Times New Roman"/>
          <w:spacing w:val="3"/>
        </w:rPr>
        <w:t xml:space="preserve"> </w:t>
      </w:r>
      <w:r w:rsidRPr="00CE4F32">
        <w:rPr>
          <w:rFonts w:ascii="Times New Roman" w:eastAsia="Calibri" w:hAnsi="Times New Roman" w:cs="Times New Roman"/>
          <w:spacing w:val="-1"/>
        </w:rPr>
        <w:t>i</w:t>
      </w:r>
      <w:r w:rsidRPr="00CE4F32">
        <w:rPr>
          <w:rFonts w:ascii="Times New Roman" w:eastAsia="Calibri" w:hAnsi="Times New Roman" w:cs="Times New Roman"/>
        </w:rPr>
        <w:t>s o</w:t>
      </w:r>
      <w:r w:rsidRPr="00CE4F32">
        <w:rPr>
          <w:rFonts w:ascii="Times New Roman" w:eastAsia="Calibri" w:hAnsi="Times New Roman" w:cs="Times New Roman"/>
          <w:spacing w:val="1"/>
        </w:rPr>
        <w:t>r</w:t>
      </w:r>
      <w:r w:rsidRPr="00CE4F32">
        <w:rPr>
          <w:rFonts w:ascii="Times New Roman" w:eastAsia="Calibri" w:hAnsi="Times New Roman" w:cs="Times New Roman"/>
          <w:spacing w:val="-2"/>
        </w:rPr>
        <w:t>g</w:t>
      </w:r>
      <w:r w:rsidRPr="00CE4F32">
        <w:rPr>
          <w:rFonts w:ascii="Times New Roman" w:eastAsia="Calibri" w:hAnsi="Times New Roman" w:cs="Times New Roman"/>
        </w:rPr>
        <w:t>an</w:t>
      </w:r>
      <w:r w:rsidRPr="00CE4F32">
        <w:rPr>
          <w:rFonts w:ascii="Times New Roman" w:eastAsia="Calibri" w:hAnsi="Times New Roman" w:cs="Times New Roman"/>
          <w:spacing w:val="1"/>
        </w:rPr>
        <w:t>i</w:t>
      </w:r>
      <w:r w:rsidRPr="00CE4F32">
        <w:rPr>
          <w:rFonts w:ascii="Times New Roman" w:eastAsia="Calibri" w:hAnsi="Times New Roman" w:cs="Times New Roman"/>
          <w:spacing w:val="-2"/>
        </w:rPr>
        <w:t>z</w:t>
      </w:r>
      <w:r w:rsidRPr="00CE4F32">
        <w:rPr>
          <w:rFonts w:ascii="Times New Roman" w:eastAsia="Calibri" w:hAnsi="Times New Roman" w:cs="Times New Roman"/>
        </w:rPr>
        <w:t>ed</w:t>
      </w:r>
      <w:r w:rsidRPr="00CE4F32">
        <w:rPr>
          <w:rFonts w:ascii="Times New Roman" w:eastAsia="Calibri" w:hAnsi="Times New Roman" w:cs="Times New Roman"/>
          <w:spacing w:val="3"/>
        </w:rPr>
        <w:t xml:space="preserve"> </w:t>
      </w:r>
      <w:r w:rsidRPr="00CE4F32">
        <w:rPr>
          <w:rFonts w:ascii="Times New Roman" w:eastAsia="Calibri" w:hAnsi="Times New Roman" w:cs="Times New Roman"/>
        </w:rPr>
        <w:t xml:space="preserve">by </w:t>
      </w:r>
      <w:r w:rsidRPr="00CE4F32">
        <w:rPr>
          <w:rFonts w:ascii="Times New Roman" w:eastAsia="Calibri" w:hAnsi="Times New Roman" w:cs="Times New Roman"/>
          <w:spacing w:val="1"/>
        </w:rPr>
        <w:t>t</w:t>
      </w:r>
      <w:r w:rsidRPr="00CE4F32">
        <w:rPr>
          <w:rFonts w:ascii="Times New Roman" w:eastAsia="Calibri" w:hAnsi="Times New Roman" w:cs="Times New Roman"/>
        </w:rPr>
        <w:t>he</w:t>
      </w:r>
      <w:r w:rsidRPr="00CE4F32">
        <w:rPr>
          <w:rFonts w:ascii="Times New Roman" w:eastAsia="Calibri" w:hAnsi="Times New Roman" w:cs="Times New Roman"/>
          <w:spacing w:val="1"/>
        </w:rPr>
        <w:t xml:space="preserve"> </w:t>
      </w:r>
      <w:r w:rsidRPr="00CE4F32">
        <w:rPr>
          <w:rFonts w:ascii="Times New Roman" w:eastAsia="Calibri" w:hAnsi="Times New Roman" w:cs="Times New Roman"/>
          <w:spacing w:val="-2"/>
        </w:rPr>
        <w:t>s</w:t>
      </w:r>
      <w:r w:rsidRPr="00CE4F32">
        <w:rPr>
          <w:rFonts w:ascii="Times New Roman" w:eastAsia="Calibri" w:hAnsi="Times New Roman" w:cs="Times New Roman"/>
          <w:spacing w:val="1"/>
        </w:rPr>
        <w:t>i</w:t>
      </w:r>
      <w:r w:rsidRPr="00CE4F32">
        <w:rPr>
          <w:rFonts w:ascii="Times New Roman" w:eastAsia="Calibri" w:hAnsi="Times New Roman" w:cs="Times New Roman"/>
        </w:rPr>
        <w:t>x</w:t>
      </w:r>
      <w:r w:rsidRPr="00CE4F32">
        <w:rPr>
          <w:rFonts w:ascii="Times New Roman" w:eastAsia="Calibri" w:hAnsi="Times New Roman" w:cs="Times New Roman"/>
          <w:spacing w:val="3"/>
        </w:rPr>
        <w:t xml:space="preserve"> </w:t>
      </w:r>
      <w:r w:rsidRPr="00CE4F32">
        <w:rPr>
          <w:rFonts w:ascii="Times New Roman" w:eastAsia="Calibri" w:hAnsi="Times New Roman" w:cs="Times New Roman"/>
          <w:spacing w:val="-1"/>
        </w:rPr>
        <w:t>C</w:t>
      </w:r>
      <w:r w:rsidRPr="00CE4F32">
        <w:rPr>
          <w:rFonts w:ascii="Times New Roman" w:eastAsia="Calibri" w:hAnsi="Times New Roman" w:cs="Times New Roman"/>
          <w:spacing w:val="-2"/>
        </w:rPr>
        <w:t>o</w:t>
      </w:r>
      <w:r w:rsidRPr="00CE4F32">
        <w:rPr>
          <w:rFonts w:ascii="Times New Roman" w:eastAsia="Calibri" w:hAnsi="Times New Roman" w:cs="Times New Roman"/>
          <w:spacing w:val="1"/>
        </w:rPr>
        <w:t>r</w:t>
      </w:r>
      <w:r w:rsidRPr="00CE4F32">
        <w:rPr>
          <w:rFonts w:ascii="Times New Roman" w:eastAsia="Calibri" w:hAnsi="Times New Roman" w:cs="Times New Roman"/>
        </w:rPr>
        <w:t>e</w:t>
      </w:r>
      <w:r w:rsidRPr="00CE4F32">
        <w:rPr>
          <w:rFonts w:ascii="Times New Roman" w:eastAsia="Calibri" w:hAnsi="Times New Roman" w:cs="Times New Roman"/>
          <w:spacing w:val="3"/>
        </w:rPr>
        <w:t xml:space="preserve"> </w:t>
      </w:r>
      <w:r w:rsidRPr="00CE4F32">
        <w:rPr>
          <w:rFonts w:ascii="Times New Roman" w:eastAsia="Calibri" w:hAnsi="Times New Roman" w:cs="Times New Roman"/>
          <w:spacing w:val="-3"/>
        </w:rPr>
        <w:t>P</w:t>
      </w:r>
      <w:r w:rsidRPr="00CE4F32">
        <w:rPr>
          <w:rFonts w:ascii="Times New Roman" w:eastAsia="Calibri" w:hAnsi="Times New Roman" w:cs="Times New Roman"/>
          <w:spacing w:val="1"/>
        </w:rPr>
        <w:t>ri</w:t>
      </w:r>
      <w:r w:rsidRPr="00CE4F32">
        <w:rPr>
          <w:rFonts w:ascii="Times New Roman" w:eastAsia="Calibri" w:hAnsi="Times New Roman" w:cs="Times New Roman"/>
          <w:spacing w:val="-2"/>
        </w:rPr>
        <w:t>n</w:t>
      </w:r>
      <w:r w:rsidRPr="00CE4F32">
        <w:rPr>
          <w:rFonts w:ascii="Times New Roman" w:eastAsia="Calibri" w:hAnsi="Times New Roman" w:cs="Times New Roman"/>
        </w:rPr>
        <w:t>c</w:t>
      </w:r>
      <w:r w:rsidRPr="00CE4F32">
        <w:rPr>
          <w:rFonts w:ascii="Times New Roman" w:eastAsia="Calibri" w:hAnsi="Times New Roman" w:cs="Times New Roman"/>
          <w:spacing w:val="1"/>
        </w:rPr>
        <w:t>i</w:t>
      </w:r>
      <w:r w:rsidRPr="00CE4F32">
        <w:rPr>
          <w:rFonts w:ascii="Times New Roman" w:eastAsia="Calibri" w:hAnsi="Times New Roman" w:cs="Times New Roman"/>
          <w:spacing w:val="-2"/>
        </w:rPr>
        <w:t>p</w:t>
      </w:r>
      <w:r w:rsidRPr="00CE4F32">
        <w:rPr>
          <w:rFonts w:ascii="Times New Roman" w:eastAsia="Calibri" w:hAnsi="Times New Roman" w:cs="Times New Roman"/>
          <w:spacing w:val="1"/>
        </w:rPr>
        <w:t>l</w:t>
      </w:r>
      <w:r w:rsidRPr="00CE4F32">
        <w:rPr>
          <w:rFonts w:ascii="Times New Roman" w:eastAsia="Calibri" w:hAnsi="Times New Roman" w:cs="Times New Roman"/>
          <w:spacing w:val="-2"/>
        </w:rPr>
        <w:t>e</w:t>
      </w:r>
      <w:r w:rsidRPr="00CE4F32">
        <w:rPr>
          <w:rFonts w:ascii="Times New Roman" w:eastAsia="Calibri" w:hAnsi="Times New Roman" w:cs="Times New Roman"/>
        </w:rPr>
        <w:t>s</w:t>
      </w:r>
      <w:r w:rsidRPr="00CE4F32">
        <w:rPr>
          <w:rFonts w:ascii="Times New Roman" w:eastAsia="Calibri" w:hAnsi="Times New Roman" w:cs="Times New Roman"/>
          <w:spacing w:val="3"/>
        </w:rPr>
        <w:t xml:space="preserve"> </w:t>
      </w:r>
      <w:r w:rsidRPr="00CE4F32">
        <w:rPr>
          <w:rFonts w:ascii="Times New Roman" w:eastAsia="Calibri" w:hAnsi="Times New Roman" w:cs="Times New Roman"/>
        </w:rPr>
        <w:t>o</w:t>
      </w:r>
      <w:r w:rsidRPr="00CE4F32">
        <w:rPr>
          <w:rFonts w:ascii="Times New Roman" w:eastAsia="Calibri" w:hAnsi="Times New Roman" w:cs="Times New Roman"/>
          <w:spacing w:val="-2"/>
        </w:rPr>
        <w:t>u</w:t>
      </w:r>
      <w:r w:rsidRPr="00CE4F32">
        <w:rPr>
          <w:rFonts w:ascii="Times New Roman" w:eastAsia="Calibri" w:hAnsi="Times New Roman" w:cs="Times New Roman"/>
          <w:spacing w:val="1"/>
        </w:rPr>
        <w:t>t</w:t>
      </w:r>
      <w:r w:rsidRPr="00CE4F32">
        <w:rPr>
          <w:rFonts w:ascii="Times New Roman" w:eastAsia="Calibri" w:hAnsi="Times New Roman" w:cs="Times New Roman"/>
          <w:spacing w:val="-1"/>
        </w:rPr>
        <w:t>l</w:t>
      </w:r>
      <w:r w:rsidRPr="00CE4F32">
        <w:rPr>
          <w:rFonts w:ascii="Times New Roman" w:eastAsia="Calibri" w:hAnsi="Times New Roman" w:cs="Times New Roman"/>
          <w:spacing w:val="1"/>
        </w:rPr>
        <w:t>i</w:t>
      </w:r>
      <w:r w:rsidRPr="00CE4F32">
        <w:rPr>
          <w:rFonts w:ascii="Times New Roman" w:eastAsia="Calibri" w:hAnsi="Times New Roman" w:cs="Times New Roman"/>
        </w:rPr>
        <w:t>ned</w:t>
      </w:r>
      <w:r w:rsidRPr="00CE4F32">
        <w:rPr>
          <w:rFonts w:ascii="Times New Roman" w:eastAsia="Calibri" w:hAnsi="Times New Roman" w:cs="Times New Roman"/>
          <w:spacing w:val="1"/>
        </w:rPr>
        <w:t xml:space="preserve"> i</w:t>
      </w:r>
      <w:r w:rsidRPr="00CE4F32">
        <w:rPr>
          <w:rFonts w:ascii="Times New Roman" w:eastAsia="Calibri" w:hAnsi="Times New Roman" w:cs="Times New Roman"/>
        </w:rPr>
        <w:t>n</w:t>
      </w:r>
      <w:r w:rsidRPr="00CE4F32">
        <w:rPr>
          <w:rFonts w:ascii="Times New Roman" w:eastAsia="Calibri" w:hAnsi="Times New Roman" w:cs="Times New Roman"/>
          <w:spacing w:val="3"/>
        </w:rPr>
        <w:t xml:space="preserve"> the Bank Policy: </w:t>
      </w:r>
      <w:r w:rsidRPr="00CE4F32">
        <w:rPr>
          <w:rFonts w:ascii="Times New Roman" w:eastAsia="Calibri" w:hAnsi="Times New Roman" w:cs="Times New Roman"/>
          <w:i/>
        </w:rPr>
        <w:t>Program for Results Financing</w:t>
      </w:r>
      <w:r w:rsidRPr="00CE4F32">
        <w:rPr>
          <w:rFonts w:ascii="Times New Roman" w:eastAsia="Calibri" w:hAnsi="Times New Roman" w:cs="Times New Roman"/>
        </w:rPr>
        <w:t xml:space="preserve"> and</w:t>
      </w:r>
      <w:r w:rsidRPr="00CE4F32">
        <w:rPr>
          <w:rFonts w:ascii="Times New Roman" w:eastAsia="Calibri" w:hAnsi="Times New Roman" w:cs="Times New Roman"/>
          <w:spacing w:val="1"/>
        </w:rPr>
        <w:t xml:space="preserve"> </w:t>
      </w:r>
      <w:r w:rsidRPr="00CE4F32">
        <w:rPr>
          <w:rFonts w:ascii="Times New Roman" w:eastAsia="Calibri" w:hAnsi="Times New Roman" w:cs="Times New Roman"/>
        </w:rPr>
        <w:t>s</w:t>
      </w:r>
      <w:r w:rsidRPr="00CE4F32">
        <w:rPr>
          <w:rFonts w:ascii="Times New Roman" w:eastAsia="Calibri" w:hAnsi="Times New Roman" w:cs="Times New Roman"/>
          <w:spacing w:val="-2"/>
        </w:rPr>
        <w:t>y</w:t>
      </w:r>
      <w:r w:rsidRPr="00CE4F32">
        <w:rPr>
          <w:rFonts w:ascii="Times New Roman" w:eastAsia="Calibri" w:hAnsi="Times New Roman" w:cs="Times New Roman"/>
        </w:rPr>
        <w:t>n</w:t>
      </w:r>
      <w:r w:rsidRPr="00CE4F32">
        <w:rPr>
          <w:rFonts w:ascii="Times New Roman" w:eastAsia="Calibri" w:hAnsi="Times New Roman" w:cs="Times New Roman"/>
          <w:spacing w:val="1"/>
        </w:rPr>
        <w:t>t</w:t>
      </w:r>
      <w:r w:rsidRPr="00CE4F32">
        <w:rPr>
          <w:rFonts w:ascii="Times New Roman" w:eastAsia="Calibri" w:hAnsi="Times New Roman" w:cs="Times New Roman"/>
          <w:spacing w:val="-2"/>
        </w:rPr>
        <w:t>he</w:t>
      </w:r>
      <w:r w:rsidRPr="00CE4F32">
        <w:rPr>
          <w:rFonts w:ascii="Times New Roman" w:eastAsia="Calibri" w:hAnsi="Times New Roman" w:cs="Times New Roman"/>
        </w:rPr>
        <w:t>s</w:t>
      </w:r>
      <w:r w:rsidRPr="00CE4F32">
        <w:rPr>
          <w:rFonts w:ascii="Times New Roman" w:eastAsia="Calibri" w:hAnsi="Times New Roman" w:cs="Times New Roman"/>
          <w:spacing w:val="1"/>
        </w:rPr>
        <w:t>i</w:t>
      </w:r>
      <w:r w:rsidRPr="00CE4F32">
        <w:rPr>
          <w:rFonts w:ascii="Times New Roman" w:eastAsia="Calibri" w:hAnsi="Times New Roman" w:cs="Times New Roman"/>
          <w:spacing w:val="-2"/>
        </w:rPr>
        <w:t>z</w:t>
      </w:r>
      <w:r w:rsidRPr="00CE4F32">
        <w:rPr>
          <w:rFonts w:ascii="Times New Roman" w:eastAsia="Calibri" w:hAnsi="Times New Roman" w:cs="Times New Roman"/>
        </w:rPr>
        <w:t>es</w:t>
      </w:r>
      <w:r w:rsidRPr="00CE4F32">
        <w:rPr>
          <w:rFonts w:ascii="Times New Roman" w:eastAsia="Calibri" w:hAnsi="Times New Roman" w:cs="Times New Roman"/>
          <w:spacing w:val="1"/>
        </w:rPr>
        <w:t xml:space="preserve"> t</w:t>
      </w:r>
      <w:r w:rsidRPr="00CE4F32">
        <w:rPr>
          <w:rFonts w:ascii="Times New Roman" w:eastAsia="Calibri" w:hAnsi="Times New Roman" w:cs="Times New Roman"/>
        </w:rPr>
        <w:t>he</w:t>
      </w:r>
      <w:r w:rsidRPr="00CE4F32">
        <w:rPr>
          <w:rFonts w:ascii="Times New Roman" w:eastAsia="Calibri" w:hAnsi="Times New Roman" w:cs="Times New Roman"/>
          <w:spacing w:val="3"/>
        </w:rPr>
        <w:t xml:space="preserve"> </w:t>
      </w:r>
      <w:r w:rsidRPr="00CE4F32">
        <w:rPr>
          <w:rFonts w:ascii="Times New Roman" w:eastAsia="Calibri" w:hAnsi="Times New Roman" w:cs="Times New Roman"/>
          <w:spacing w:val="-4"/>
        </w:rPr>
        <w:t>m</w:t>
      </w:r>
      <w:r w:rsidRPr="00CE4F32">
        <w:rPr>
          <w:rFonts w:ascii="Times New Roman" w:eastAsia="Calibri" w:hAnsi="Times New Roman" w:cs="Times New Roman"/>
        </w:rPr>
        <w:t>a</w:t>
      </w:r>
      <w:r w:rsidRPr="00CE4F32">
        <w:rPr>
          <w:rFonts w:ascii="Times New Roman" w:eastAsia="Calibri" w:hAnsi="Times New Roman" w:cs="Times New Roman"/>
          <w:spacing w:val="1"/>
        </w:rPr>
        <w:t>i</w:t>
      </w:r>
      <w:r w:rsidRPr="00CE4F32">
        <w:rPr>
          <w:rFonts w:ascii="Times New Roman" w:eastAsia="Calibri" w:hAnsi="Times New Roman" w:cs="Times New Roman"/>
        </w:rPr>
        <w:t xml:space="preserve">n </w:t>
      </w:r>
      <w:r w:rsidRPr="00CE4F32">
        <w:rPr>
          <w:rFonts w:ascii="Times New Roman" w:eastAsia="Calibri" w:hAnsi="Times New Roman" w:cs="Times New Roman"/>
          <w:spacing w:val="-2"/>
        </w:rPr>
        <w:t>f</w:t>
      </w:r>
      <w:r w:rsidRPr="00CE4F32">
        <w:rPr>
          <w:rFonts w:ascii="Times New Roman" w:eastAsia="Calibri" w:hAnsi="Times New Roman" w:cs="Times New Roman"/>
          <w:spacing w:val="1"/>
        </w:rPr>
        <w:t>i</w:t>
      </w:r>
      <w:r w:rsidRPr="00CE4F32">
        <w:rPr>
          <w:rFonts w:ascii="Times New Roman" w:eastAsia="Calibri" w:hAnsi="Times New Roman" w:cs="Times New Roman"/>
        </w:rPr>
        <w:t>nd</w:t>
      </w:r>
      <w:r w:rsidRPr="00CE4F32">
        <w:rPr>
          <w:rFonts w:ascii="Times New Roman" w:eastAsia="Calibri" w:hAnsi="Times New Roman" w:cs="Times New Roman"/>
          <w:spacing w:val="-1"/>
        </w:rPr>
        <w:t>i</w:t>
      </w:r>
      <w:r w:rsidRPr="00CE4F32">
        <w:rPr>
          <w:rFonts w:ascii="Times New Roman" w:eastAsia="Calibri" w:hAnsi="Times New Roman" w:cs="Times New Roman"/>
        </w:rPr>
        <w:t>n</w:t>
      </w:r>
      <w:r w:rsidRPr="00CE4F32">
        <w:rPr>
          <w:rFonts w:ascii="Times New Roman" w:eastAsia="Calibri" w:hAnsi="Times New Roman" w:cs="Times New Roman"/>
          <w:spacing w:val="-2"/>
        </w:rPr>
        <w:t>g</w:t>
      </w:r>
      <w:r w:rsidRPr="00CE4F32">
        <w:rPr>
          <w:rFonts w:ascii="Times New Roman" w:eastAsia="Calibri" w:hAnsi="Times New Roman" w:cs="Times New Roman"/>
        </w:rPr>
        <w:t>s us</w:t>
      </w:r>
      <w:r w:rsidRPr="00CE4F32">
        <w:rPr>
          <w:rFonts w:ascii="Times New Roman" w:eastAsia="Calibri" w:hAnsi="Times New Roman" w:cs="Times New Roman"/>
          <w:spacing w:val="1"/>
        </w:rPr>
        <w:t>i</w:t>
      </w:r>
      <w:r w:rsidRPr="00CE4F32">
        <w:rPr>
          <w:rFonts w:ascii="Times New Roman" w:eastAsia="Calibri" w:hAnsi="Times New Roman" w:cs="Times New Roman"/>
        </w:rPr>
        <w:t>ng</w:t>
      </w:r>
      <w:r w:rsidRPr="00CE4F32">
        <w:rPr>
          <w:rFonts w:ascii="Times New Roman" w:eastAsia="Calibri" w:hAnsi="Times New Roman" w:cs="Times New Roman"/>
          <w:spacing w:val="14"/>
        </w:rPr>
        <w:t xml:space="preserve"> </w:t>
      </w:r>
      <w:r w:rsidRPr="00CE4F32">
        <w:rPr>
          <w:rFonts w:ascii="Times New Roman" w:eastAsia="Calibri" w:hAnsi="Times New Roman" w:cs="Times New Roman"/>
          <w:spacing w:val="1"/>
        </w:rPr>
        <w:t>t</w:t>
      </w:r>
      <w:r w:rsidRPr="00CE4F32">
        <w:rPr>
          <w:rFonts w:ascii="Times New Roman" w:eastAsia="Calibri" w:hAnsi="Times New Roman" w:cs="Times New Roman"/>
        </w:rPr>
        <w:t>he</w:t>
      </w:r>
      <w:r w:rsidRPr="00CE4F32">
        <w:rPr>
          <w:rFonts w:ascii="Times New Roman" w:eastAsia="Calibri" w:hAnsi="Times New Roman" w:cs="Times New Roman"/>
          <w:spacing w:val="17"/>
        </w:rPr>
        <w:t xml:space="preserve"> </w:t>
      </w:r>
      <w:r w:rsidRPr="00CE4F32">
        <w:rPr>
          <w:rFonts w:ascii="Times New Roman" w:eastAsia="Calibri" w:hAnsi="Times New Roman" w:cs="Times New Roman"/>
        </w:rPr>
        <w:t>SW</w:t>
      </w:r>
      <w:r w:rsidRPr="00CE4F32">
        <w:rPr>
          <w:rFonts w:ascii="Times New Roman" w:eastAsia="Calibri" w:hAnsi="Times New Roman" w:cs="Times New Roman"/>
          <w:spacing w:val="-3"/>
        </w:rPr>
        <w:t>O</w:t>
      </w:r>
      <w:r w:rsidRPr="00CE4F32">
        <w:rPr>
          <w:rFonts w:ascii="Times New Roman" w:eastAsia="Calibri" w:hAnsi="Times New Roman" w:cs="Times New Roman"/>
        </w:rPr>
        <w:t>T</w:t>
      </w:r>
      <w:r w:rsidRPr="00CE4F32">
        <w:rPr>
          <w:rFonts w:ascii="Times New Roman" w:eastAsia="Calibri" w:hAnsi="Times New Roman" w:cs="Times New Roman"/>
          <w:spacing w:val="19"/>
        </w:rPr>
        <w:t xml:space="preserve"> </w:t>
      </w:r>
      <w:r w:rsidRPr="00CE4F32">
        <w:rPr>
          <w:rFonts w:ascii="Times New Roman" w:eastAsia="Calibri" w:hAnsi="Times New Roman" w:cs="Times New Roman"/>
          <w:spacing w:val="1"/>
        </w:rPr>
        <w:t>(</w:t>
      </w:r>
      <w:r w:rsidRPr="00CE4F32">
        <w:rPr>
          <w:rFonts w:ascii="Times New Roman" w:eastAsia="Calibri" w:hAnsi="Times New Roman" w:cs="Times New Roman"/>
          <w:spacing w:val="-3"/>
        </w:rPr>
        <w:t>S</w:t>
      </w:r>
      <w:r w:rsidRPr="00CE4F32">
        <w:rPr>
          <w:rFonts w:ascii="Times New Roman" w:eastAsia="Calibri" w:hAnsi="Times New Roman" w:cs="Times New Roman"/>
          <w:spacing w:val="1"/>
        </w:rPr>
        <w:t>t</w:t>
      </w:r>
      <w:r w:rsidRPr="00CE4F32">
        <w:rPr>
          <w:rFonts w:ascii="Times New Roman" w:eastAsia="Calibri" w:hAnsi="Times New Roman" w:cs="Times New Roman"/>
          <w:spacing w:val="-2"/>
        </w:rPr>
        <w:t>r</w:t>
      </w:r>
      <w:r w:rsidRPr="00CE4F32">
        <w:rPr>
          <w:rFonts w:ascii="Times New Roman" w:eastAsia="Calibri" w:hAnsi="Times New Roman" w:cs="Times New Roman"/>
        </w:rPr>
        <w:t>en</w:t>
      </w:r>
      <w:r w:rsidRPr="00CE4F32">
        <w:rPr>
          <w:rFonts w:ascii="Times New Roman" w:eastAsia="Calibri" w:hAnsi="Times New Roman" w:cs="Times New Roman"/>
          <w:spacing w:val="-2"/>
        </w:rPr>
        <w:t>g</w:t>
      </w:r>
      <w:r w:rsidRPr="00CE4F32">
        <w:rPr>
          <w:rFonts w:ascii="Times New Roman" w:eastAsia="Calibri" w:hAnsi="Times New Roman" w:cs="Times New Roman"/>
          <w:spacing w:val="1"/>
        </w:rPr>
        <w:t>t</w:t>
      </w:r>
      <w:r w:rsidRPr="00CE4F32">
        <w:rPr>
          <w:rFonts w:ascii="Times New Roman" w:eastAsia="Calibri" w:hAnsi="Times New Roman" w:cs="Times New Roman"/>
          <w:spacing w:val="-2"/>
        </w:rPr>
        <w:t>h</w:t>
      </w:r>
      <w:r w:rsidRPr="00CE4F32">
        <w:rPr>
          <w:rFonts w:ascii="Times New Roman" w:eastAsia="Calibri" w:hAnsi="Times New Roman" w:cs="Times New Roman"/>
          <w:spacing w:val="3"/>
        </w:rPr>
        <w:t>s</w:t>
      </w:r>
      <w:r w:rsidRPr="00CE4F32">
        <w:rPr>
          <w:rFonts w:ascii="Times New Roman" w:eastAsia="Calibri" w:hAnsi="Times New Roman" w:cs="Times New Roman"/>
          <w:spacing w:val="-4"/>
        </w:rPr>
        <w:t>-</w:t>
      </w:r>
      <w:r w:rsidRPr="00CE4F32">
        <w:rPr>
          <w:rFonts w:ascii="Times New Roman" w:eastAsia="Calibri" w:hAnsi="Times New Roman" w:cs="Times New Roman"/>
        </w:rPr>
        <w:t>Wea</w:t>
      </w:r>
      <w:r w:rsidRPr="00CE4F32">
        <w:rPr>
          <w:rFonts w:ascii="Times New Roman" w:eastAsia="Calibri" w:hAnsi="Times New Roman" w:cs="Times New Roman"/>
          <w:spacing w:val="-2"/>
        </w:rPr>
        <w:t>k</w:t>
      </w:r>
      <w:r w:rsidRPr="00CE4F32">
        <w:rPr>
          <w:rFonts w:ascii="Times New Roman" w:eastAsia="Calibri" w:hAnsi="Times New Roman" w:cs="Times New Roman"/>
        </w:rPr>
        <w:t>ne</w:t>
      </w:r>
      <w:r w:rsidRPr="00CE4F32">
        <w:rPr>
          <w:rFonts w:ascii="Times New Roman" w:eastAsia="Calibri" w:hAnsi="Times New Roman" w:cs="Times New Roman"/>
          <w:spacing w:val="1"/>
        </w:rPr>
        <w:t>s</w:t>
      </w:r>
      <w:r w:rsidRPr="00CE4F32">
        <w:rPr>
          <w:rFonts w:ascii="Times New Roman" w:eastAsia="Calibri" w:hAnsi="Times New Roman" w:cs="Times New Roman"/>
        </w:rPr>
        <w:t>s</w:t>
      </w:r>
      <w:r w:rsidRPr="00CE4F32">
        <w:rPr>
          <w:rFonts w:ascii="Times New Roman" w:eastAsia="Calibri" w:hAnsi="Times New Roman" w:cs="Times New Roman"/>
          <w:spacing w:val="1"/>
        </w:rPr>
        <w:t>es</w:t>
      </w:r>
      <w:r w:rsidRPr="00CE4F32">
        <w:rPr>
          <w:rFonts w:ascii="Times New Roman" w:eastAsia="Calibri" w:hAnsi="Times New Roman" w:cs="Times New Roman"/>
          <w:spacing w:val="-4"/>
        </w:rPr>
        <w:t>-</w:t>
      </w:r>
      <w:r w:rsidRPr="00CE4F32">
        <w:rPr>
          <w:rFonts w:ascii="Times New Roman" w:eastAsia="Calibri" w:hAnsi="Times New Roman" w:cs="Times New Roman"/>
          <w:spacing w:val="-1"/>
        </w:rPr>
        <w:t>O</w:t>
      </w:r>
      <w:r w:rsidRPr="00CE4F32">
        <w:rPr>
          <w:rFonts w:ascii="Times New Roman" w:eastAsia="Calibri" w:hAnsi="Times New Roman" w:cs="Times New Roman"/>
        </w:rPr>
        <w:t>ppo</w:t>
      </w:r>
      <w:r w:rsidRPr="00CE4F32">
        <w:rPr>
          <w:rFonts w:ascii="Times New Roman" w:eastAsia="Calibri" w:hAnsi="Times New Roman" w:cs="Times New Roman"/>
          <w:spacing w:val="1"/>
        </w:rPr>
        <w:t>rt</w:t>
      </w:r>
      <w:r w:rsidRPr="00CE4F32">
        <w:rPr>
          <w:rFonts w:ascii="Times New Roman" w:eastAsia="Calibri" w:hAnsi="Times New Roman" w:cs="Times New Roman"/>
        </w:rPr>
        <w:t>un</w:t>
      </w:r>
      <w:r w:rsidRPr="00CE4F32">
        <w:rPr>
          <w:rFonts w:ascii="Times New Roman" w:eastAsia="Calibri" w:hAnsi="Times New Roman" w:cs="Times New Roman"/>
          <w:spacing w:val="-1"/>
        </w:rPr>
        <w:t>i</w:t>
      </w:r>
      <w:r w:rsidRPr="00CE4F32">
        <w:rPr>
          <w:rFonts w:ascii="Times New Roman" w:eastAsia="Calibri" w:hAnsi="Times New Roman" w:cs="Times New Roman"/>
          <w:spacing w:val="1"/>
        </w:rPr>
        <w:t>t</w:t>
      </w:r>
      <w:r w:rsidRPr="00CE4F32">
        <w:rPr>
          <w:rFonts w:ascii="Times New Roman" w:eastAsia="Calibri" w:hAnsi="Times New Roman" w:cs="Times New Roman"/>
          <w:spacing w:val="-1"/>
        </w:rPr>
        <w:t>i</w:t>
      </w:r>
      <w:r w:rsidRPr="00CE4F32">
        <w:rPr>
          <w:rFonts w:ascii="Times New Roman" w:eastAsia="Calibri" w:hAnsi="Times New Roman" w:cs="Times New Roman"/>
          <w:spacing w:val="-2"/>
        </w:rPr>
        <w:t>e</w:t>
      </w:r>
      <w:r w:rsidRPr="00CE4F32">
        <w:rPr>
          <w:rFonts w:ascii="Times New Roman" w:eastAsia="Calibri" w:hAnsi="Times New Roman" w:cs="Times New Roman"/>
          <w:spacing w:val="1"/>
        </w:rPr>
        <w:t>s</w:t>
      </w:r>
      <w:r w:rsidRPr="00CE4F32">
        <w:rPr>
          <w:rFonts w:ascii="Times New Roman" w:eastAsia="Calibri" w:hAnsi="Times New Roman" w:cs="Times New Roman"/>
          <w:spacing w:val="-4"/>
        </w:rPr>
        <w:t>-</w:t>
      </w:r>
      <w:r w:rsidRPr="00CE4F32">
        <w:rPr>
          <w:rFonts w:ascii="Times New Roman" w:eastAsia="Calibri" w:hAnsi="Times New Roman" w:cs="Times New Roman"/>
          <w:spacing w:val="2"/>
        </w:rPr>
        <w:t>T</w:t>
      </w:r>
      <w:r w:rsidRPr="00CE4F32">
        <w:rPr>
          <w:rFonts w:ascii="Times New Roman" w:eastAsia="Calibri" w:hAnsi="Times New Roman" w:cs="Times New Roman"/>
        </w:rPr>
        <w:t>h</w:t>
      </w:r>
      <w:r w:rsidRPr="00CE4F32">
        <w:rPr>
          <w:rFonts w:ascii="Times New Roman" w:eastAsia="Calibri" w:hAnsi="Times New Roman" w:cs="Times New Roman"/>
          <w:spacing w:val="1"/>
        </w:rPr>
        <w:t>r</w:t>
      </w:r>
      <w:r w:rsidRPr="00CE4F32">
        <w:rPr>
          <w:rFonts w:ascii="Times New Roman" w:eastAsia="Calibri" w:hAnsi="Times New Roman" w:cs="Times New Roman"/>
        </w:rPr>
        <w:t>e</w:t>
      </w:r>
      <w:r w:rsidRPr="00CE4F32">
        <w:rPr>
          <w:rFonts w:ascii="Times New Roman" w:eastAsia="Calibri" w:hAnsi="Times New Roman" w:cs="Times New Roman"/>
          <w:spacing w:val="-2"/>
        </w:rPr>
        <w:t>a</w:t>
      </w:r>
      <w:r w:rsidRPr="00CE4F32">
        <w:rPr>
          <w:rFonts w:ascii="Times New Roman" w:eastAsia="Calibri" w:hAnsi="Times New Roman" w:cs="Times New Roman"/>
          <w:spacing w:val="1"/>
        </w:rPr>
        <w:t>t</w:t>
      </w:r>
      <w:r w:rsidRPr="00CE4F32">
        <w:rPr>
          <w:rFonts w:ascii="Times New Roman" w:eastAsia="Calibri" w:hAnsi="Times New Roman" w:cs="Times New Roman"/>
        </w:rPr>
        <w:t>s)</w:t>
      </w:r>
      <w:r w:rsidRPr="00CE4F32">
        <w:rPr>
          <w:rFonts w:ascii="Times New Roman" w:eastAsia="Calibri" w:hAnsi="Times New Roman" w:cs="Times New Roman"/>
          <w:spacing w:val="18"/>
        </w:rPr>
        <w:t xml:space="preserve"> </w:t>
      </w:r>
      <w:r w:rsidRPr="00CE4F32">
        <w:rPr>
          <w:rFonts w:ascii="Times New Roman" w:eastAsia="Calibri" w:hAnsi="Times New Roman" w:cs="Times New Roman"/>
          <w:spacing w:val="-2"/>
        </w:rPr>
        <w:t xml:space="preserve">applied to the PforR context </w:t>
      </w:r>
      <w:r w:rsidRPr="00CE4F32">
        <w:rPr>
          <w:rFonts w:ascii="Times New Roman" w:eastAsia="Calibri" w:hAnsi="Times New Roman" w:cs="Times New Roman"/>
          <w:spacing w:val="1"/>
        </w:rPr>
        <w:t>i</w:t>
      </w:r>
      <w:r w:rsidRPr="00CE4F32">
        <w:rPr>
          <w:rFonts w:ascii="Times New Roman" w:eastAsia="Calibri" w:hAnsi="Times New Roman" w:cs="Times New Roman"/>
        </w:rPr>
        <w:t xml:space="preserve">n </w:t>
      </w:r>
      <w:r w:rsidRPr="00CE4F32">
        <w:rPr>
          <w:rFonts w:ascii="Times New Roman" w:eastAsia="Calibri" w:hAnsi="Times New Roman" w:cs="Times New Roman"/>
          <w:spacing w:val="-1"/>
        </w:rPr>
        <w:t>t</w:t>
      </w:r>
      <w:r w:rsidRPr="00CE4F32">
        <w:rPr>
          <w:rFonts w:ascii="Times New Roman" w:eastAsia="Calibri" w:hAnsi="Times New Roman" w:cs="Times New Roman"/>
        </w:rPr>
        <w:t>he</w:t>
      </w:r>
      <w:r w:rsidRPr="00CE4F32">
        <w:rPr>
          <w:rFonts w:ascii="Times New Roman" w:eastAsia="Calibri" w:hAnsi="Times New Roman" w:cs="Times New Roman"/>
          <w:spacing w:val="-2"/>
        </w:rPr>
        <w:t xml:space="preserve"> f</w:t>
      </w:r>
      <w:r w:rsidRPr="00CE4F32">
        <w:rPr>
          <w:rFonts w:ascii="Times New Roman" w:eastAsia="Calibri" w:hAnsi="Times New Roman" w:cs="Times New Roman"/>
        </w:rPr>
        <w:t>o</w:t>
      </w:r>
      <w:r w:rsidRPr="00CE4F32">
        <w:rPr>
          <w:rFonts w:ascii="Times New Roman" w:eastAsia="Calibri" w:hAnsi="Times New Roman" w:cs="Times New Roman"/>
          <w:spacing w:val="1"/>
        </w:rPr>
        <w:t>ll</w:t>
      </w:r>
      <w:r w:rsidRPr="00CE4F32">
        <w:rPr>
          <w:rFonts w:ascii="Times New Roman" w:eastAsia="Calibri" w:hAnsi="Times New Roman" w:cs="Times New Roman"/>
          <w:spacing w:val="2"/>
        </w:rPr>
        <w:t>o</w:t>
      </w:r>
      <w:r w:rsidRPr="00CE4F32">
        <w:rPr>
          <w:rFonts w:ascii="Times New Roman" w:eastAsia="Calibri" w:hAnsi="Times New Roman" w:cs="Times New Roman"/>
          <w:spacing w:val="-3"/>
        </w:rPr>
        <w:t>w</w:t>
      </w:r>
      <w:r w:rsidRPr="00CE4F32">
        <w:rPr>
          <w:rFonts w:ascii="Times New Roman" w:eastAsia="Calibri" w:hAnsi="Times New Roman" w:cs="Times New Roman"/>
          <w:spacing w:val="1"/>
        </w:rPr>
        <w:t>i</w:t>
      </w:r>
      <w:r w:rsidRPr="00CE4F32">
        <w:rPr>
          <w:rFonts w:ascii="Times New Roman" w:eastAsia="Calibri" w:hAnsi="Times New Roman" w:cs="Times New Roman"/>
        </w:rPr>
        <w:t>ng</w:t>
      </w:r>
      <w:r w:rsidRPr="00CE4F32">
        <w:rPr>
          <w:rFonts w:ascii="Times New Roman" w:eastAsia="Calibri" w:hAnsi="Times New Roman" w:cs="Times New Roman"/>
          <w:spacing w:val="-2"/>
        </w:rPr>
        <w:t xml:space="preserve"> </w:t>
      </w:r>
      <w:r w:rsidRPr="00CE4F32">
        <w:rPr>
          <w:rFonts w:ascii="Times New Roman" w:eastAsia="Calibri" w:hAnsi="Times New Roman" w:cs="Times New Roman"/>
          <w:spacing w:val="-1"/>
        </w:rPr>
        <w:t>w</w:t>
      </w:r>
      <w:r w:rsidRPr="00CE4F32">
        <w:rPr>
          <w:rFonts w:ascii="Times New Roman" w:eastAsia="Calibri" w:hAnsi="Times New Roman" w:cs="Times New Roman"/>
        </w:rPr>
        <w:t>a</w:t>
      </w:r>
      <w:r w:rsidRPr="00CE4F32">
        <w:rPr>
          <w:rFonts w:ascii="Times New Roman" w:eastAsia="Calibri" w:hAnsi="Times New Roman" w:cs="Times New Roman"/>
          <w:spacing w:val="-2"/>
        </w:rPr>
        <w:t>y</w:t>
      </w:r>
      <w:r w:rsidRPr="00CE4F32">
        <w:rPr>
          <w:rFonts w:ascii="Times New Roman" w:eastAsia="Calibri" w:hAnsi="Times New Roman" w:cs="Times New Roman"/>
        </w:rPr>
        <w:t>:</w:t>
      </w:r>
    </w:p>
    <w:p w14:paraId="3F400478" w14:textId="77777777" w:rsidR="00847853" w:rsidRPr="00CE4F32" w:rsidRDefault="00847853" w:rsidP="00CA0715">
      <w:pPr>
        <w:numPr>
          <w:ilvl w:val="0"/>
          <w:numId w:val="2"/>
        </w:numPr>
        <w:spacing w:before="120" w:after="120" w:line="240" w:lineRule="auto"/>
        <w:contextualSpacing/>
        <w:jc w:val="both"/>
        <w:rPr>
          <w:rFonts w:ascii="Times New Roman" w:eastAsia="Times New Roman" w:hAnsi="Times New Roman" w:cs="Times New Roman"/>
          <w:lang w:val="x-none" w:eastAsia="x-none"/>
        </w:rPr>
      </w:pPr>
      <w:r w:rsidRPr="00CE4F32">
        <w:rPr>
          <w:rFonts w:ascii="Times New Roman" w:eastAsia="Times New Roman" w:hAnsi="Times New Roman" w:cs="Times New Roman"/>
          <w:b/>
          <w:lang w:val="x-none" w:eastAsia="x-none"/>
        </w:rPr>
        <w:t>St</w:t>
      </w:r>
      <w:r w:rsidRPr="00CE4F32">
        <w:rPr>
          <w:rFonts w:ascii="Times New Roman" w:eastAsia="Times New Roman" w:hAnsi="Times New Roman" w:cs="Times New Roman"/>
          <w:b/>
          <w:spacing w:val="1"/>
          <w:lang w:val="x-none" w:eastAsia="x-none"/>
        </w:rPr>
        <w:t>r</w:t>
      </w:r>
      <w:r w:rsidRPr="00CE4F32">
        <w:rPr>
          <w:rFonts w:ascii="Times New Roman" w:eastAsia="Times New Roman" w:hAnsi="Times New Roman" w:cs="Times New Roman"/>
          <w:b/>
          <w:lang w:val="x-none" w:eastAsia="x-none"/>
        </w:rPr>
        <w:t>en</w:t>
      </w:r>
      <w:r w:rsidRPr="00CE4F32">
        <w:rPr>
          <w:rFonts w:ascii="Times New Roman" w:eastAsia="Times New Roman" w:hAnsi="Times New Roman" w:cs="Times New Roman"/>
          <w:b/>
          <w:spacing w:val="-2"/>
          <w:lang w:val="x-none" w:eastAsia="x-none"/>
        </w:rPr>
        <w:t>g</w:t>
      </w:r>
      <w:r w:rsidRPr="00CE4F32">
        <w:rPr>
          <w:rFonts w:ascii="Times New Roman" w:eastAsia="Times New Roman" w:hAnsi="Times New Roman" w:cs="Times New Roman"/>
          <w:b/>
          <w:spacing w:val="1"/>
          <w:lang w:val="x-none" w:eastAsia="x-none"/>
        </w:rPr>
        <w:t>t</w:t>
      </w:r>
      <w:r w:rsidRPr="00CE4F32">
        <w:rPr>
          <w:rFonts w:ascii="Times New Roman" w:eastAsia="Times New Roman" w:hAnsi="Times New Roman" w:cs="Times New Roman"/>
          <w:b/>
          <w:spacing w:val="-2"/>
          <w:lang w:val="x-none" w:eastAsia="x-none"/>
        </w:rPr>
        <w:t>h</w:t>
      </w:r>
      <w:r w:rsidRPr="00CE4F32">
        <w:rPr>
          <w:rFonts w:ascii="Times New Roman" w:eastAsia="Times New Roman" w:hAnsi="Times New Roman" w:cs="Times New Roman"/>
          <w:b/>
          <w:lang w:val="x-none" w:eastAsia="x-none"/>
        </w:rPr>
        <w:t>s</w:t>
      </w:r>
      <w:r w:rsidRPr="00CE4F32">
        <w:rPr>
          <w:rFonts w:ascii="Times New Roman" w:eastAsia="Times New Roman" w:hAnsi="Times New Roman" w:cs="Times New Roman"/>
          <w:spacing w:val="27"/>
          <w:lang w:val="x-none" w:eastAsia="x-none"/>
        </w:rPr>
        <w:t xml:space="preserve"> </w:t>
      </w:r>
      <w:r w:rsidRPr="00CE4F32">
        <w:rPr>
          <w:rFonts w:ascii="Times New Roman" w:eastAsia="Times New Roman" w:hAnsi="Times New Roman" w:cs="Times New Roman"/>
          <w:spacing w:val="-2"/>
          <w:lang w:val="x-none" w:eastAsia="x-none"/>
        </w:rPr>
        <w:t>o</w:t>
      </w:r>
      <w:r w:rsidRPr="00CE4F32">
        <w:rPr>
          <w:rFonts w:ascii="Times New Roman" w:eastAsia="Times New Roman" w:hAnsi="Times New Roman" w:cs="Times New Roman"/>
          <w:lang w:val="x-none" w:eastAsia="x-none"/>
        </w:rPr>
        <w:t>f</w:t>
      </w:r>
      <w:r w:rsidRPr="00CE4F32">
        <w:rPr>
          <w:rFonts w:ascii="Times New Roman" w:eastAsia="Times New Roman" w:hAnsi="Times New Roman" w:cs="Times New Roman"/>
          <w:spacing w:val="27"/>
          <w:lang w:val="x-none" w:eastAsia="x-none"/>
        </w:rPr>
        <w:t xml:space="preserve"> </w:t>
      </w:r>
      <w:r w:rsidRPr="00CE4F32">
        <w:rPr>
          <w:rFonts w:ascii="Times New Roman" w:eastAsia="Times New Roman" w:hAnsi="Times New Roman" w:cs="Times New Roman"/>
          <w:spacing w:val="-1"/>
          <w:lang w:val="x-none" w:eastAsia="x-none"/>
        </w:rPr>
        <w:t>t</w:t>
      </w:r>
      <w:r w:rsidRPr="00CE4F32">
        <w:rPr>
          <w:rFonts w:ascii="Times New Roman" w:eastAsia="Times New Roman" w:hAnsi="Times New Roman" w:cs="Times New Roman"/>
          <w:lang w:val="x-none" w:eastAsia="x-none"/>
        </w:rPr>
        <w:t>he</w:t>
      </w:r>
      <w:r w:rsidRPr="00CE4F32">
        <w:rPr>
          <w:rFonts w:ascii="Times New Roman" w:eastAsia="Times New Roman" w:hAnsi="Times New Roman" w:cs="Times New Roman"/>
          <w:spacing w:val="24"/>
          <w:lang w:val="x-none" w:eastAsia="x-none"/>
        </w:rPr>
        <w:t xml:space="preserve"> </w:t>
      </w:r>
      <w:r w:rsidRPr="00CE4F32">
        <w:rPr>
          <w:rFonts w:ascii="Times New Roman" w:eastAsia="Times New Roman" w:hAnsi="Times New Roman" w:cs="Times New Roman"/>
          <w:lang w:val="x-none" w:eastAsia="x-none"/>
        </w:rPr>
        <w:t>s</w:t>
      </w:r>
      <w:r w:rsidRPr="00CE4F32">
        <w:rPr>
          <w:rFonts w:ascii="Times New Roman" w:eastAsia="Times New Roman" w:hAnsi="Times New Roman" w:cs="Times New Roman"/>
          <w:spacing w:val="-2"/>
          <w:lang w:val="x-none" w:eastAsia="x-none"/>
        </w:rPr>
        <w:t>y</w:t>
      </w:r>
      <w:r w:rsidRPr="00CE4F32">
        <w:rPr>
          <w:rFonts w:ascii="Times New Roman" w:eastAsia="Times New Roman" w:hAnsi="Times New Roman" w:cs="Times New Roman"/>
          <w:lang w:val="x-none" w:eastAsia="x-none"/>
        </w:rPr>
        <w:t>s</w:t>
      </w:r>
      <w:r w:rsidRPr="00CE4F32">
        <w:rPr>
          <w:rFonts w:ascii="Times New Roman" w:eastAsia="Times New Roman" w:hAnsi="Times New Roman" w:cs="Times New Roman"/>
          <w:spacing w:val="1"/>
          <w:lang w:val="x-none" w:eastAsia="x-none"/>
        </w:rPr>
        <w:t>t</w:t>
      </w:r>
      <w:r w:rsidRPr="00CE4F32">
        <w:rPr>
          <w:rFonts w:ascii="Times New Roman" w:eastAsia="Times New Roman" w:hAnsi="Times New Roman" w:cs="Times New Roman"/>
          <w:lang w:val="x-none" w:eastAsia="x-none"/>
        </w:rPr>
        <w:t>e</w:t>
      </w:r>
      <w:r w:rsidRPr="00CE4F32">
        <w:rPr>
          <w:rFonts w:ascii="Times New Roman" w:eastAsia="Times New Roman" w:hAnsi="Times New Roman" w:cs="Times New Roman"/>
          <w:spacing w:val="-3"/>
          <w:lang w:val="x-none" w:eastAsia="x-none"/>
        </w:rPr>
        <w:t>m</w:t>
      </w:r>
      <w:r w:rsidRPr="00CE4F32">
        <w:rPr>
          <w:rFonts w:ascii="Times New Roman" w:eastAsia="Times New Roman" w:hAnsi="Times New Roman" w:cs="Times New Roman"/>
          <w:lang w:val="x-none" w:eastAsia="x-none"/>
        </w:rPr>
        <w:t>,</w:t>
      </w:r>
      <w:r w:rsidRPr="00CE4F32">
        <w:rPr>
          <w:rFonts w:ascii="Times New Roman" w:eastAsia="Times New Roman" w:hAnsi="Times New Roman" w:cs="Times New Roman"/>
          <w:spacing w:val="26"/>
          <w:lang w:val="x-none" w:eastAsia="x-none"/>
        </w:rPr>
        <w:t xml:space="preserve"> </w:t>
      </w:r>
      <w:r w:rsidRPr="00CE4F32">
        <w:rPr>
          <w:rFonts w:ascii="Times New Roman" w:eastAsia="Times New Roman" w:hAnsi="Times New Roman" w:cs="Times New Roman"/>
          <w:lang w:val="x-none" w:eastAsia="x-none"/>
        </w:rPr>
        <w:t>or</w:t>
      </w:r>
      <w:r w:rsidRPr="00CE4F32">
        <w:rPr>
          <w:rFonts w:ascii="Times New Roman" w:eastAsia="Times New Roman" w:hAnsi="Times New Roman" w:cs="Times New Roman"/>
          <w:spacing w:val="25"/>
          <w:lang w:val="x-none" w:eastAsia="x-none"/>
        </w:rPr>
        <w:t xml:space="preserve"> </w:t>
      </w:r>
      <w:r w:rsidRPr="00CE4F32">
        <w:rPr>
          <w:rFonts w:ascii="Times New Roman" w:eastAsia="Times New Roman" w:hAnsi="Times New Roman" w:cs="Times New Roman"/>
          <w:spacing w:val="-1"/>
          <w:lang w:val="x-none" w:eastAsia="x-none"/>
        </w:rPr>
        <w:t>w</w:t>
      </w:r>
      <w:r w:rsidRPr="00CE4F32">
        <w:rPr>
          <w:rFonts w:ascii="Times New Roman" w:eastAsia="Times New Roman" w:hAnsi="Times New Roman" w:cs="Times New Roman"/>
          <w:lang w:val="x-none" w:eastAsia="x-none"/>
        </w:rPr>
        <w:t>he</w:t>
      </w:r>
      <w:r w:rsidRPr="00CE4F32">
        <w:rPr>
          <w:rFonts w:ascii="Times New Roman" w:eastAsia="Times New Roman" w:hAnsi="Times New Roman" w:cs="Times New Roman"/>
          <w:spacing w:val="1"/>
          <w:lang w:val="x-none" w:eastAsia="x-none"/>
        </w:rPr>
        <w:t>r</w:t>
      </w:r>
      <w:r w:rsidRPr="00CE4F32">
        <w:rPr>
          <w:rFonts w:ascii="Times New Roman" w:eastAsia="Times New Roman" w:hAnsi="Times New Roman" w:cs="Times New Roman"/>
          <w:lang w:val="x-none" w:eastAsia="x-none"/>
        </w:rPr>
        <w:t>e</w:t>
      </w:r>
      <w:r w:rsidRPr="00CE4F32">
        <w:rPr>
          <w:rFonts w:ascii="Times New Roman" w:eastAsia="Times New Roman" w:hAnsi="Times New Roman" w:cs="Times New Roman"/>
          <w:spacing w:val="24"/>
          <w:lang w:val="x-none" w:eastAsia="x-none"/>
        </w:rPr>
        <w:t xml:space="preserve"> </w:t>
      </w:r>
      <w:r w:rsidRPr="00CE4F32">
        <w:rPr>
          <w:rFonts w:ascii="Times New Roman" w:eastAsia="Times New Roman" w:hAnsi="Times New Roman" w:cs="Times New Roman"/>
          <w:spacing w:val="-1"/>
          <w:lang w:val="x-none" w:eastAsia="x-none"/>
        </w:rPr>
        <w:t>i</w:t>
      </w:r>
      <w:r w:rsidRPr="00CE4F32">
        <w:rPr>
          <w:rFonts w:ascii="Times New Roman" w:eastAsia="Times New Roman" w:hAnsi="Times New Roman" w:cs="Times New Roman"/>
          <w:lang w:val="x-none" w:eastAsia="x-none"/>
        </w:rPr>
        <w:t>t</w:t>
      </w:r>
      <w:r w:rsidRPr="00CE4F32">
        <w:rPr>
          <w:rFonts w:ascii="Times New Roman" w:eastAsia="Times New Roman" w:hAnsi="Times New Roman" w:cs="Times New Roman"/>
          <w:spacing w:val="25"/>
          <w:lang w:val="x-none" w:eastAsia="x-none"/>
        </w:rPr>
        <w:t xml:space="preserve"> </w:t>
      </w:r>
      <w:r w:rsidRPr="00CE4F32">
        <w:rPr>
          <w:rFonts w:ascii="Times New Roman" w:eastAsia="Times New Roman" w:hAnsi="Times New Roman" w:cs="Times New Roman"/>
          <w:spacing w:val="1"/>
          <w:lang w:val="x-none" w:eastAsia="x-none"/>
        </w:rPr>
        <w:t>f</w:t>
      </w:r>
      <w:r w:rsidRPr="00CE4F32">
        <w:rPr>
          <w:rFonts w:ascii="Times New Roman" w:eastAsia="Times New Roman" w:hAnsi="Times New Roman" w:cs="Times New Roman"/>
          <w:lang w:val="x-none" w:eastAsia="x-none"/>
        </w:rPr>
        <w:t>un</w:t>
      </w:r>
      <w:r w:rsidRPr="00CE4F32">
        <w:rPr>
          <w:rFonts w:ascii="Times New Roman" w:eastAsia="Times New Roman" w:hAnsi="Times New Roman" w:cs="Times New Roman"/>
          <w:spacing w:val="-2"/>
          <w:lang w:val="x-none" w:eastAsia="x-none"/>
        </w:rPr>
        <w:t>c</w:t>
      </w:r>
      <w:r w:rsidRPr="00CE4F32">
        <w:rPr>
          <w:rFonts w:ascii="Times New Roman" w:eastAsia="Times New Roman" w:hAnsi="Times New Roman" w:cs="Times New Roman"/>
          <w:spacing w:val="1"/>
          <w:lang w:val="x-none" w:eastAsia="x-none"/>
        </w:rPr>
        <w:t>ti</w:t>
      </w:r>
      <w:r w:rsidRPr="00CE4F32">
        <w:rPr>
          <w:rFonts w:ascii="Times New Roman" w:eastAsia="Times New Roman" w:hAnsi="Times New Roman" w:cs="Times New Roman"/>
          <w:spacing w:val="-2"/>
          <w:lang w:val="x-none" w:eastAsia="x-none"/>
        </w:rPr>
        <w:t>o</w:t>
      </w:r>
      <w:r w:rsidRPr="00CE4F32">
        <w:rPr>
          <w:rFonts w:ascii="Times New Roman" w:eastAsia="Times New Roman" w:hAnsi="Times New Roman" w:cs="Times New Roman"/>
          <w:lang w:val="x-none" w:eastAsia="x-none"/>
        </w:rPr>
        <w:t>ns</w:t>
      </w:r>
      <w:r w:rsidRPr="00CE4F32">
        <w:rPr>
          <w:rFonts w:ascii="Times New Roman" w:eastAsia="Times New Roman" w:hAnsi="Times New Roman" w:cs="Times New Roman"/>
          <w:spacing w:val="24"/>
          <w:lang w:val="x-none" w:eastAsia="x-none"/>
        </w:rPr>
        <w:t xml:space="preserve"> </w:t>
      </w:r>
      <w:r w:rsidRPr="00CE4F32">
        <w:rPr>
          <w:rFonts w:ascii="Times New Roman" w:eastAsia="Times New Roman" w:hAnsi="Times New Roman" w:cs="Times New Roman"/>
          <w:lang w:val="x-none" w:eastAsia="x-none"/>
        </w:rPr>
        <w:t>e</w:t>
      </w:r>
      <w:r w:rsidRPr="00CE4F32">
        <w:rPr>
          <w:rFonts w:ascii="Times New Roman" w:eastAsia="Times New Roman" w:hAnsi="Times New Roman" w:cs="Times New Roman"/>
          <w:spacing w:val="1"/>
          <w:lang w:val="x-none" w:eastAsia="x-none"/>
        </w:rPr>
        <w:t>f</w:t>
      </w:r>
      <w:r w:rsidRPr="00CE4F32">
        <w:rPr>
          <w:rFonts w:ascii="Times New Roman" w:eastAsia="Times New Roman" w:hAnsi="Times New Roman" w:cs="Times New Roman"/>
          <w:spacing w:val="-2"/>
          <w:lang w:val="x-none" w:eastAsia="x-none"/>
        </w:rPr>
        <w:t>f</w:t>
      </w:r>
      <w:r w:rsidRPr="00CE4F32">
        <w:rPr>
          <w:rFonts w:ascii="Times New Roman" w:eastAsia="Times New Roman" w:hAnsi="Times New Roman" w:cs="Times New Roman"/>
          <w:lang w:val="x-none" w:eastAsia="x-none"/>
        </w:rPr>
        <w:t>e</w:t>
      </w:r>
      <w:r w:rsidRPr="00CE4F32">
        <w:rPr>
          <w:rFonts w:ascii="Times New Roman" w:eastAsia="Times New Roman" w:hAnsi="Times New Roman" w:cs="Times New Roman"/>
          <w:spacing w:val="-2"/>
          <w:lang w:val="x-none" w:eastAsia="x-none"/>
        </w:rPr>
        <w:t>c</w:t>
      </w:r>
      <w:r w:rsidRPr="00CE4F32">
        <w:rPr>
          <w:rFonts w:ascii="Times New Roman" w:eastAsia="Times New Roman" w:hAnsi="Times New Roman" w:cs="Times New Roman"/>
          <w:spacing w:val="1"/>
          <w:lang w:val="x-none" w:eastAsia="x-none"/>
        </w:rPr>
        <w:t>t</w:t>
      </w:r>
      <w:r w:rsidRPr="00CE4F32">
        <w:rPr>
          <w:rFonts w:ascii="Times New Roman" w:eastAsia="Times New Roman" w:hAnsi="Times New Roman" w:cs="Times New Roman"/>
          <w:spacing w:val="-1"/>
          <w:lang w:val="x-none" w:eastAsia="x-none"/>
        </w:rPr>
        <w:t>i</w:t>
      </w:r>
      <w:r w:rsidRPr="00CE4F32">
        <w:rPr>
          <w:rFonts w:ascii="Times New Roman" w:eastAsia="Times New Roman" w:hAnsi="Times New Roman" w:cs="Times New Roman"/>
          <w:spacing w:val="-2"/>
          <w:lang w:val="x-none" w:eastAsia="x-none"/>
        </w:rPr>
        <w:t>v</w:t>
      </w:r>
      <w:r w:rsidRPr="00CE4F32">
        <w:rPr>
          <w:rFonts w:ascii="Times New Roman" w:eastAsia="Times New Roman" w:hAnsi="Times New Roman" w:cs="Times New Roman"/>
          <w:lang w:val="x-none" w:eastAsia="x-none"/>
        </w:rPr>
        <w:t>e</w:t>
      </w:r>
      <w:r w:rsidRPr="00CE4F32">
        <w:rPr>
          <w:rFonts w:ascii="Times New Roman" w:eastAsia="Times New Roman" w:hAnsi="Times New Roman" w:cs="Times New Roman"/>
          <w:spacing w:val="1"/>
          <w:lang w:val="x-none" w:eastAsia="x-none"/>
        </w:rPr>
        <w:t>l</w:t>
      </w:r>
      <w:r w:rsidRPr="00CE4F32">
        <w:rPr>
          <w:rFonts w:ascii="Times New Roman" w:eastAsia="Times New Roman" w:hAnsi="Times New Roman" w:cs="Times New Roman"/>
          <w:lang w:val="x-none" w:eastAsia="x-none"/>
        </w:rPr>
        <w:t>y</w:t>
      </w:r>
      <w:r w:rsidRPr="00CE4F32">
        <w:rPr>
          <w:rFonts w:ascii="Times New Roman" w:eastAsia="Times New Roman" w:hAnsi="Times New Roman" w:cs="Times New Roman"/>
          <w:spacing w:val="24"/>
          <w:lang w:val="x-none" w:eastAsia="x-none"/>
        </w:rPr>
        <w:t xml:space="preserve"> </w:t>
      </w:r>
      <w:r w:rsidRPr="00CE4F32">
        <w:rPr>
          <w:rFonts w:ascii="Times New Roman" w:eastAsia="Times New Roman" w:hAnsi="Times New Roman" w:cs="Times New Roman"/>
          <w:lang w:val="x-none" w:eastAsia="x-none"/>
        </w:rPr>
        <w:t>and</w:t>
      </w:r>
      <w:r w:rsidRPr="00CE4F32">
        <w:rPr>
          <w:rFonts w:ascii="Times New Roman" w:eastAsia="Times New Roman" w:hAnsi="Times New Roman" w:cs="Times New Roman"/>
          <w:spacing w:val="27"/>
          <w:lang w:val="x-none" w:eastAsia="x-none"/>
        </w:rPr>
        <w:t xml:space="preserve"> </w:t>
      </w:r>
      <w:r w:rsidRPr="00CE4F32">
        <w:rPr>
          <w:rFonts w:ascii="Times New Roman" w:eastAsia="Times New Roman" w:hAnsi="Times New Roman" w:cs="Times New Roman"/>
          <w:lang w:val="x-none" w:eastAsia="x-none"/>
        </w:rPr>
        <w:t>e</w:t>
      </w:r>
      <w:r w:rsidRPr="00CE4F32">
        <w:rPr>
          <w:rFonts w:ascii="Times New Roman" w:eastAsia="Times New Roman" w:hAnsi="Times New Roman" w:cs="Times New Roman"/>
          <w:spacing w:val="-1"/>
          <w:lang w:val="x-none" w:eastAsia="x-none"/>
        </w:rPr>
        <w:t>f</w:t>
      </w:r>
      <w:r w:rsidRPr="00CE4F32">
        <w:rPr>
          <w:rFonts w:ascii="Times New Roman" w:eastAsia="Times New Roman" w:hAnsi="Times New Roman" w:cs="Times New Roman"/>
          <w:spacing w:val="1"/>
          <w:lang w:val="x-none" w:eastAsia="x-none"/>
        </w:rPr>
        <w:t>f</w:t>
      </w:r>
      <w:r w:rsidRPr="00CE4F32">
        <w:rPr>
          <w:rFonts w:ascii="Times New Roman" w:eastAsia="Times New Roman" w:hAnsi="Times New Roman" w:cs="Times New Roman"/>
          <w:spacing w:val="-1"/>
          <w:lang w:val="x-none" w:eastAsia="x-none"/>
        </w:rPr>
        <w:t>i</w:t>
      </w:r>
      <w:r w:rsidRPr="00CE4F32">
        <w:rPr>
          <w:rFonts w:ascii="Times New Roman" w:eastAsia="Times New Roman" w:hAnsi="Times New Roman" w:cs="Times New Roman"/>
          <w:lang w:val="x-none" w:eastAsia="x-none"/>
        </w:rPr>
        <w:t>c</w:t>
      </w:r>
      <w:r w:rsidRPr="00CE4F32">
        <w:rPr>
          <w:rFonts w:ascii="Times New Roman" w:eastAsia="Times New Roman" w:hAnsi="Times New Roman" w:cs="Times New Roman"/>
          <w:spacing w:val="1"/>
          <w:lang w:val="x-none" w:eastAsia="x-none"/>
        </w:rPr>
        <w:t>i</w:t>
      </w:r>
      <w:r w:rsidRPr="00CE4F32">
        <w:rPr>
          <w:rFonts w:ascii="Times New Roman" w:eastAsia="Times New Roman" w:hAnsi="Times New Roman" w:cs="Times New Roman"/>
          <w:spacing w:val="-2"/>
          <w:lang w:val="x-none" w:eastAsia="x-none"/>
        </w:rPr>
        <w:t>e</w:t>
      </w:r>
      <w:r w:rsidRPr="00CE4F32">
        <w:rPr>
          <w:rFonts w:ascii="Times New Roman" w:eastAsia="Times New Roman" w:hAnsi="Times New Roman" w:cs="Times New Roman"/>
          <w:lang w:val="x-none" w:eastAsia="x-none"/>
        </w:rPr>
        <w:t>n</w:t>
      </w:r>
      <w:r w:rsidRPr="00CE4F32">
        <w:rPr>
          <w:rFonts w:ascii="Times New Roman" w:eastAsia="Times New Roman" w:hAnsi="Times New Roman" w:cs="Times New Roman"/>
          <w:spacing w:val="-1"/>
          <w:lang w:val="x-none" w:eastAsia="x-none"/>
        </w:rPr>
        <w:t>t</w:t>
      </w:r>
      <w:r w:rsidRPr="00CE4F32">
        <w:rPr>
          <w:rFonts w:ascii="Times New Roman" w:eastAsia="Times New Roman" w:hAnsi="Times New Roman" w:cs="Times New Roman"/>
          <w:spacing w:val="1"/>
          <w:lang w:val="x-none" w:eastAsia="x-none"/>
        </w:rPr>
        <w:t>l</w:t>
      </w:r>
      <w:r w:rsidRPr="00CE4F32">
        <w:rPr>
          <w:rFonts w:ascii="Times New Roman" w:eastAsia="Times New Roman" w:hAnsi="Times New Roman" w:cs="Times New Roman"/>
          <w:lang w:val="x-none" w:eastAsia="x-none"/>
        </w:rPr>
        <w:t>y</w:t>
      </w:r>
      <w:r w:rsidRPr="00CE4F32">
        <w:rPr>
          <w:rFonts w:ascii="Times New Roman" w:eastAsia="Times New Roman" w:hAnsi="Times New Roman" w:cs="Times New Roman"/>
          <w:spacing w:val="24"/>
          <w:lang w:val="x-none" w:eastAsia="x-none"/>
        </w:rPr>
        <w:t xml:space="preserve"> </w:t>
      </w:r>
      <w:r w:rsidRPr="00CE4F32">
        <w:rPr>
          <w:rFonts w:ascii="Times New Roman" w:eastAsia="Times New Roman" w:hAnsi="Times New Roman" w:cs="Times New Roman"/>
          <w:lang w:val="x-none" w:eastAsia="x-none"/>
        </w:rPr>
        <w:t>and</w:t>
      </w:r>
      <w:r w:rsidRPr="00CE4F32">
        <w:rPr>
          <w:rFonts w:ascii="Times New Roman" w:eastAsia="Times New Roman" w:hAnsi="Times New Roman" w:cs="Times New Roman"/>
          <w:spacing w:val="24"/>
          <w:lang w:val="x-none" w:eastAsia="x-none"/>
        </w:rPr>
        <w:t xml:space="preserve"> </w:t>
      </w:r>
      <w:r w:rsidRPr="00CE4F32">
        <w:rPr>
          <w:rFonts w:ascii="Times New Roman" w:eastAsia="Times New Roman" w:hAnsi="Times New Roman" w:cs="Times New Roman"/>
          <w:spacing w:val="1"/>
          <w:lang w:val="x-none" w:eastAsia="x-none"/>
        </w:rPr>
        <w:t>i</w:t>
      </w:r>
      <w:r w:rsidRPr="00CE4F32">
        <w:rPr>
          <w:rFonts w:ascii="Times New Roman" w:eastAsia="Times New Roman" w:hAnsi="Times New Roman" w:cs="Times New Roman"/>
          <w:lang w:val="x-none" w:eastAsia="x-none"/>
        </w:rPr>
        <w:t>s</w:t>
      </w:r>
      <w:r w:rsidRPr="00CE4F32">
        <w:rPr>
          <w:rFonts w:ascii="Times New Roman" w:eastAsia="Times New Roman" w:hAnsi="Times New Roman" w:cs="Times New Roman"/>
          <w:spacing w:val="24"/>
          <w:lang w:val="x-none" w:eastAsia="x-none"/>
        </w:rPr>
        <w:t xml:space="preserve"> </w:t>
      </w:r>
      <w:r w:rsidRPr="00CE4F32">
        <w:rPr>
          <w:rFonts w:ascii="Times New Roman" w:eastAsia="Times New Roman" w:hAnsi="Times New Roman" w:cs="Times New Roman"/>
          <w:lang w:val="x-none" w:eastAsia="x-none"/>
        </w:rPr>
        <w:t>con</w:t>
      </w:r>
      <w:r w:rsidRPr="00CE4F32">
        <w:rPr>
          <w:rFonts w:ascii="Times New Roman" w:eastAsia="Times New Roman" w:hAnsi="Times New Roman" w:cs="Times New Roman"/>
          <w:spacing w:val="-2"/>
          <w:lang w:val="x-none" w:eastAsia="x-none"/>
        </w:rPr>
        <w:t>s</w:t>
      </w:r>
      <w:r w:rsidRPr="00CE4F32">
        <w:rPr>
          <w:rFonts w:ascii="Times New Roman" w:eastAsia="Times New Roman" w:hAnsi="Times New Roman" w:cs="Times New Roman"/>
          <w:spacing w:val="1"/>
          <w:lang w:val="x-none" w:eastAsia="x-none"/>
        </w:rPr>
        <w:t>i</w:t>
      </w:r>
      <w:r w:rsidRPr="00CE4F32">
        <w:rPr>
          <w:rFonts w:ascii="Times New Roman" w:eastAsia="Times New Roman" w:hAnsi="Times New Roman" w:cs="Times New Roman"/>
          <w:spacing w:val="-2"/>
          <w:lang w:val="x-none" w:eastAsia="x-none"/>
        </w:rPr>
        <w:t>s</w:t>
      </w:r>
      <w:r w:rsidRPr="00CE4F32">
        <w:rPr>
          <w:rFonts w:ascii="Times New Roman" w:eastAsia="Times New Roman" w:hAnsi="Times New Roman" w:cs="Times New Roman"/>
          <w:spacing w:val="1"/>
          <w:lang w:val="x-none" w:eastAsia="x-none"/>
        </w:rPr>
        <w:t>t</w:t>
      </w:r>
      <w:r w:rsidRPr="00CE4F32">
        <w:rPr>
          <w:rFonts w:ascii="Times New Roman" w:eastAsia="Times New Roman" w:hAnsi="Times New Roman" w:cs="Times New Roman"/>
          <w:lang w:val="x-none" w:eastAsia="x-none"/>
        </w:rPr>
        <w:t>e</w:t>
      </w:r>
      <w:r w:rsidRPr="00CE4F32">
        <w:rPr>
          <w:rFonts w:ascii="Times New Roman" w:eastAsia="Times New Roman" w:hAnsi="Times New Roman" w:cs="Times New Roman"/>
          <w:spacing w:val="-2"/>
          <w:lang w:val="x-none" w:eastAsia="x-none"/>
        </w:rPr>
        <w:t>n</w:t>
      </w:r>
      <w:r w:rsidRPr="00CE4F32">
        <w:rPr>
          <w:rFonts w:ascii="Times New Roman" w:eastAsia="Times New Roman" w:hAnsi="Times New Roman" w:cs="Times New Roman"/>
          <w:lang w:val="x-none" w:eastAsia="x-none"/>
        </w:rPr>
        <w:t>t</w:t>
      </w:r>
      <w:r w:rsidRPr="00CE4F32">
        <w:rPr>
          <w:rFonts w:ascii="Times New Roman" w:eastAsia="Times New Roman" w:hAnsi="Times New Roman" w:cs="Times New Roman"/>
          <w:spacing w:val="27"/>
          <w:lang w:val="x-none" w:eastAsia="x-none"/>
        </w:rPr>
        <w:t xml:space="preserve"> </w:t>
      </w:r>
      <w:r w:rsidRPr="00CE4F32">
        <w:rPr>
          <w:rFonts w:ascii="Times New Roman" w:eastAsia="Times New Roman" w:hAnsi="Times New Roman" w:cs="Times New Roman"/>
          <w:spacing w:val="-1"/>
          <w:lang w:val="x-none" w:eastAsia="x-none"/>
        </w:rPr>
        <w:t>wi</w:t>
      </w:r>
      <w:r w:rsidRPr="00CE4F32">
        <w:rPr>
          <w:rFonts w:ascii="Times New Roman" w:eastAsia="Times New Roman" w:hAnsi="Times New Roman" w:cs="Times New Roman"/>
          <w:spacing w:val="1"/>
          <w:lang w:val="x-none" w:eastAsia="x-none"/>
        </w:rPr>
        <w:t>t</w:t>
      </w:r>
      <w:r w:rsidRPr="00CE4F32">
        <w:rPr>
          <w:rFonts w:ascii="Times New Roman" w:eastAsia="Times New Roman" w:hAnsi="Times New Roman" w:cs="Times New Roman"/>
          <w:lang w:val="x-none" w:eastAsia="x-none"/>
        </w:rPr>
        <w:t xml:space="preserve">h </w:t>
      </w:r>
      <w:r w:rsidRPr="00CE4F32">
        <w:rPr>
          <w:rFonts w:ascii="Times New Roman" w:eastAsia="Times New Roman" w:hAnsi="Times New Roman" w:cs="Times New Roman"/>
          <w:i/>
          <w:lang w:val="x-none" w:eastAsia="x-none"/>
        </w:rPr>
        <w:t>Program for Results Financing core principles</w:t>
      </w:r>
      <w:r w:rsidRPr="00CE4F32">
        <w:rPr>
          <w:rFonts w:ascii="Times New Roman" w:eastAsia="Times New Roman" w:hAnsi="Times New Roman" w:cs="Times New Roman"/>
          <w:lang w:val="x-none" w:eastAsia="x-none"/>
        </w:rPr>
        <w:t>.</w:t>
      </w:r>
    </w:p>
    <w:p w14:paraId="15F84D68" w14:textId="77777777" w:rsidR="00847853" w:rsidRPr="00CE4F32" w:rsidRDefault="00847853" w:rsidP="00CA0715">
      <w:pPr>
        <w:numPr>
          <w:ilvl w:val="0"/>
          <w:numId w:val="2"/>
        </w:numPr>
        <w:spacing w:before="120" w:after="120" w:line="240" w:lineRule="auto"/>
        <w:contextualSpacing/>
        <w:jc w:val="both"/>
        <w:rPr>
          <w:rFonts w:ascii="Times New Roman" w:eastAsia="Times New Roman" w:hAnsi="Times New Roman" w:cs="Times New Roman"/>
          <w:lang w:val="x-none" w:eastAsia="x-none"/>
        </w:rPr>
      </w:pPr>
      <w:r w:rsidRPr="00CE4F32">
        <w:rPr>
          <w:rFonts w:ascii="Times New Roman" w:eastAsia="Times New Roman" w:hAnsi="Times New Roman" w:cs="Times New Roman"/>
          <w:spacing w:val="-4"/>
          <w:lang w:val="x-none" w:eastAsia="x-none"/>
        </w:rPr>
        <w:t>I</w:t>
      </w:r>
      <w:r w:rsidRPr="00CE4F32">
        <w:rPr>
          <w:rFonts w:ascii="Times New Roman" w:eastAsia="Times New Roman" w:hAnsi="Times New Roman" w:cs="Times New Roman"/>
          <w:lang w:val="x-none" w:eastAsia="x-none"/>
        </w:rPr>
        <w:t>ncon</w:t>
      </w:r>
      <w:r w:rsidRPr="00CE4F32">
        <w:rPr>
          <w:rFonts w:ascii="Times New Roman" w:eastAsia="Times New Roman" w:hAnsi="Times New Roman" w:cs="Times New Roman"/>
          <w:spacing w:val="1"/>
          <w:lang w:val="x-none" w:eastAsia="x-none"/>
        </w:rPr>
        <w:t>si</w:t>
      </w:r>
      <w:r w:rsidRPr="00CE4F32">
        <w:rPr>
          <w:rFonts w:ascii="Times New Roman" w:eastAsia="Times New Roman" w:hAnsi="Times New Roman" w:cs="Times New Roman"/>
          <w:lang w:val="x-none" w:eastAsia="x-none"/>
        </w:rPr>
        <w:t>s</w:t>
      </w:r>
      <w:r w:rsidRPr="00CE4F32">
        <w:rPr>
          <w:rFonts w:ascii="Times New Roman" w:eastAsia="Times New Roman" w:hAnsi="Times New Roman" w:cs="Times New Roman"/>
          <w:spacing w:val="1"/>
          <w:lang w:val="x-none" w:eastAsia="x-none"/>
        </w:rPr>
        <w:t>t</w:t>
      </w:r>
      <w:r w:rsidRPr="00CE4F32">
        <w:rPr>
          <w:rFonts w:ascii="Times New Roman" w:eastAsia="Times New Roman" w:hAnsi="Times New Roman" w:cs="Times New Roman"/>
          <w:lang w:val="x-none" w:eastAsia="x-none"/>
        </w:rPr>
        <w:t>e</w:t>
      </w:r>
      <w:r w:rsidRPr="00CE4F32">
        <w:rPr>
          <w:rFonts w:ascii="Times New Roman" w:eastAsia="Times New Roman" w:hAnsi="Times New Roman" w:cs="Times New Roman"/>
          <w:spacing w:val="-2"/>
          <w:lang w:val="x-none" w:eastAsia="x-none"/>
        </w:rPr>
        <w:t>n</w:t>
      </w:r>
      <w:r w:rsidRPr="00CE4F32">
        <w:rPr>
          <w:rFonts w:ascii="Times New Roman" w:eastAsia="Times New Roman" w:hAnsi="Times New Roman" w:cs="Times New Roman"/>
          <w:lang w:val="x-none" w:eastAsia="x-none"/>
        </w:rPr>
        <w:t>c</w:t>
      </w:r>
      <w:r w:rsidRPr="00CE4F32">
        <w:rPr>
          <w:rFonts w:ascii="Times New Roman" w:eastAsia="Times New Roman" w:hAnsi="Times New Roman" w:cs="Times New Roman"/>
          <w:spacing w:val="-1"/>
          <w:lang w:val="x-none" w:eastAsia="x-none"/>
        </w:rPr>
        <w:t>i</w:t>
      </w:r>
      <w:r w:rsidRPr="00CE4F32">
        <w:rPr>
          <w:rFonts w:ascii="Times New Roman" w:eastAsia="Times New Roman" w:hAnsi="Times New Roman" w:cs="Times New Roman"/>
          <w:lang w:val="x-none" w:eastAsia="x-none"/>
        </w:rPr>
        <w:t>es</w:t>
      </w:r>
      <w:r w:rsidRPr="00CE4F32">
        <w:rPr>
          <w:rFonts w:ascii="Times New Roman" w:eastAsia="Times New Roman" w:hAnsi="Times New Roman" w:cs="Times New Roman"/>
          <w:spacing w:val="39"/>
          <w:lang w:val="x-none" w:eastAsia="x-none"/>
        </w:rPr>
        <w:t xml:space="preserve"> </w:t>
      </w:r>
      <w:r w:rsidRPr="00CE4F32">
        <w:rPr>
          <w:rFonts w:ascii="Times New Roman" w:eastAsia="Times New Roman" w:hAnsi="Times New Roman" w:cs="Times New Roman"/>
          <w:lang w:val="x-none" w:eastAsia="x-none"/>
        </w:rPr>
        <w:t>and</w:t>
      </w:r>
      <w:r w:rsidRPr="00CE4F32">
        <w:rPr>
          <w:rFonts w:ascii="Times New Roman" w:eastAsia="Times New Roman" w:hAnsi="Times New Roman" w:cs="Times New Roman"/>
          <w:spacing w:val="41"/>
          <w:lang w:val="x-none" w:eastAsia="x-none"/>
        </w:rPr>
        <w:t xml:space="preserve"> </w:t>
      </w:r>
      <w:r w:rsidRPr="00CE4F32">
        <w:rPr>
          <w:rFonts w:ascii="Times New Roman" w:eastAsia="Times New Roman" w:hAnsi="Times New Roman" w:cs="Times New Roman"/>
          <w:spacing w:val="-2"/>
          <w:lang w:val="x-none" w:eastAsia="x-none"/>
        </w:rPr>
        <w:t>g</w:t>
      </w:r>
      <w:r w:rsidRPr="00CE4F32">
        <w:rPr>
          <w:rFonts w:ascii="Times New Roman" w:eastAsia="Times New Roman" w:hAnsi="Times New Roman" w:cs="Times New Roman"/>
          <w:lang w:val="x-none" w:eastAsia="x-none"/>
        </w:rPr>
        <w:t>aps</w:t>
      </w:r>
      <w:r w:rsidRPr="00CE4F32">
        <w:rPr>
          <w:rFonts w:ascii="Times New Roman" w:eastAsia="Times New Roman" w:hAnsi="Times New Roman" w:cs="Times New Roman"/>
          <w:spacing w:val="39"/>
          <w:lang w:val="x-none" w:eastAsia="x-none"/>
        </w:rPr>
        <w:t xml:space="preserve"> </w:t>
      </w:r>
      <w:r w:rsidRPr="00CE4F32">
        <w:rPr>
          <w:rFonts w:ascii="Times New Roman" w:eastAsia="Times New Roman" w:hAnsi="Times New Roman" w:cs="Times New Roman"/>
          <w:spacing w:val="-2"/>
          <w:lang w:val="x-none" w:eastAsia="x-none"/>
        </w:rPr>
        <w:t>(</w:t>
      </w:r>
      <w:r w:rsidRPr="00CE4F32">
        <w:rPr>
          <w:rFonts w:ascii="Times New Roman" w:eastAsia="Times New Roman" w:hAnsi="Times New Roman" w:cs="Times New Roman"/>
          <w:lang w:val="x-none" w:eastAsia="x-none"/>
        </w:rPr>
        <w:t>“</w:t>
      </w:r>
      <w:r w:rsidRPr="00CE4F32">
        <w:rPr>
          <w:rFonts w:ascii="Times New Roman" w:eastAsia="Times New Roman" w:hAnsi="Times New Roman" w:cs="Times New Roman"/>
          <w:b/>
          <w:lang w:val="x-none" w:eastAsia="x-none"/>
        </w:rPr>
        <w:t>wea</w:t>
      </w:r>
      <w:r w:rsidRPr="00CE4F32">
        <w:rPr>
          <w:rFonts w:ascii="Times New Roman" w:eastAsia="Times New Roman" w:hAnsi="Times New Roman" w:cs="Times New Roman"/>
          <w:b/>
          <w:spacing w:val="-2"/>
          <w:lang w:val="x-none" w:eastAsia="x-none"/>
        </w:rPr>
        <w:t>k</w:t>
      </w:r>
      <w:r w:rsidRPr="00CE4F32">
        <w:rPr>
          <w:rFonts w:ascii="Times New Roman" w:eastAsia="Times New Roman" w:hAnsi="Times New Roman" w:cs="Times New Roman"/>
          <w:b/>
          <w:lang w:val="x-none" w:eastAsia="x-none"/>
        </w:rPr>
        <w:t>ne</w:t>
      </w:r>
      <w:r w:rsidRPr="00CE4F32">
        <w:rPr>
          <w:rFonts w:ascii="Times New Roman" w:eastAsia="Times New Roman" w:hAnsi="Times New Roman" w:cs="Times New Roman"/>
          <w:b/>
          <w:spacing w:val="1"/>
          <w:lang w:val="x-none" w:eastAsia="x-none"/>
        </w:rPr>
        <w:t>s</w:t>
      </w:r>
      <w:r w:rsidRPr="00CE4F32">
        <w:rPr>
          <w:rFonts w:ascii="Times New Roman" w:eastAsia="Times New Roman" w:hAnsi="Times New Roman" w:cs="Times New Roman"/>
          <w:b/>
          <w:lang w:val="x-none" w:eastAsia="x-none"/>
        </w:rPr>
        <w:t>s</w:t>
      </w:r>
      <w:r w:rsidRPr="00CE4F32">
        <w:rPr>
          <w:rFonts w:ascii="Times New Roman" w:eastAsia="Times New Roman" w:hAnsi="Times New Roman" w:cs="Times New Roman"/>
          <w:b/>
          <w:spacing w:val="-2"/>
          <w:lang w:val="x-none" w:eastAsia="x-none"/>
        </w:rPr>
        <w:t>e</w:t>
      </w:r>
      <w:r w:rsidRPr="00CE4F32">
        <w:rPr>
          <w:rFonts w:ascii="Times New Roman" w:eastAsia="Times New Roman" w:hAnsi="Times New Roman" w:cs="Times New Roman"/>
          <w:b/>
          <w:lang w:val="x-none" w:eastAsia="x-none"/>
        </w:rPr>
        <w:t>s</w:t>
      </w:r>
      <w:r w:rsidRPr="00CE4F32">
        <w:rPr>
          <w:rFonts w:ascii="Times New Roman" w:eastAsia="Times New Roman" w:hAnsi="Times New Roman" w:cs="Times New Roman"/>
          <w:spacing w:val="1"/>
          <w:lang w:val="x-none" w:eastAsia="x-none"/>
        </w:rPr>
        <w:t>”</w:t>
      </w:r>
      <w:r w:rsidRPr="00CE4F32">
        <w:rPr>
          <w:rFonts w:ascii="Times New Roman" w:eastAsia="Times New Roman" w:hAnsi="Times New Roman" w:cs="Times New Roman"/>
          <w:lang w:val="x-none" w:eastAsia="x-none"/>
        </w:rPr>
        <w:t>)</w:t>
      </w:r>
      <w:r w:rsidRPr="00CE4F32">
        <w:rPr>
          <w:rFonts w:ascii="Times New Roman" w:eastAsia="Times New Roman" w:hAnsi="Times New Roman" w:cs="Times New Roman"/>
          <w:spacing w:val="39"/>
          <w:lang w:val="x-none" w:eastAsia="x-none"/>
        </w:rPr>
        <w:t xml:space="preserve"> </w:t>
      </w:r>
      <w:r w:rsidRPr="00CE4F32">
        <w:rPr>
          <w:rFonts w:ascii="Times New Roman" w:eastAsia="Times New Roman" w:hAnsi="Times New Roman" w:cs="Times New Roman"/>
          <w:lang w:val="x-none" w:eastAsia="x-none"/>
        </w:rPr>
        <w:t>b</w:t>
      </w:r>
      <w:r w:rsidRPr="00CE4F32">
        <w:rPr>
          <w:rFonts w:ascii="Times New Roman" w:eastAsia="Times New Roman" w:hAnsi="Times New Roman" w:cs="Times New Roman"/>
          <w:spacing w:val="-2"/>
          <w:lang w:val="x-none" w:eastAsia="x-none"/>
        </w:rPr>
        <w:t>e</w:t>
      </w:r>
      <w:r w:rsidRPr="00CE4F32">
        <w:rPr>
          <w:rFonts w:ascii="Times New Roman" w:eastAsia="Times New Roman" w:hAnsi="Times New Roman" w:cs="Times New Roman"/>
          <w:spacing w:val="1"/>
          <w:lang w:val="x-none" w:eastAsia="x-none"/>
        </w:rPr>
        <w:t>t</w:t>
      </w:r>
      <w:r w:rsidRPr="00CE4F32">
        <w:rPr>
          <w:rFonts w:ascii="Times New Roman" w:eastAsia="Times New Roman" w:hAnsi="Times New Roman" w:cs="Times New Roman"/>
          <w:spacing w:val="-1"/>
          <w:lang w:val="x-none" w:eastAsia="x-none"/>
        </w:rPr>
        <w:t>w</w:t>
      </w:r>
      <w:r w:rsidRPr="00CE4F32">
        <w:rPr>
          <w:rFonts w:ascii="Times New Roman" w:eastAsia="Times New Roman" w:hAnsi="Times New Roman" w:cs="Times New Roman"/>
          <w:lang w:val="x-none" w:eastAsia="x-none"/>
        </w:rPr>
        <w:t>een</w:t>
      </w:r>
      <w:r w:rsidRPr="00CE4F32">
        <w:rPr>
          <w:rFonts w:ascii="Times New Roman" w:eastAsia="Times New Roman" w:hAnsi="Times New Roman" w:cs="Times New Roman"/>
          <w:spacing w:val="38"/>
          <w:lang w:val="x-none" w:eastAsia="x-none"/>
        </w:rPr>
        <w:t xml:space="preserve"> </w:t>
      </w:r>
      <w:r w:rsidRPr="00CE4F32">
        <w:rPr>
          <w:rFonts w:ascii="Times New Roman" w:eastAsia="Times New Roman" w:hAnsi="Times New Roman" w:cs="Times New Roman"/>
          <w:spacing w:val="1"/>
          <w:lang w:val="x-none" w:eastAsia="x-none"/>
        </w:rPr>
        <w:t>t</w:t>
      </w:r>
      <w:r w:rsidRPr="00CE4F32">
        <w:rPr>
          <w:rFonts w:ascii="Times New Roman" w:eastAsia="Times New Roman" w:hAnsi="Times New Roman" w:cs="Times New Roman"/>
          <w:spacing w:val="-2"/>
          <w:lang w:val="x-none" w:eastAsia="x-none"/>
        </w:rPr>
        <w:t>h</w:t>
      </w:r>
      <w:r w:rsidRPr="00CE4F32">
        <w:rPr>
          <w:rFonts w:ascii="Times New Roman" w:eastAsia="Times New Roman" w:hAnsi="Times New Roman" w:cs="Times New Roman"/>
          <w:lang w:val="x-none" w:eastAsia="x-none"/>
        </w:rPr>
        <w:t>e</w:t>
      </w:r>
      <w:r w:rsidRPr="00CE4F32">
        <w:rPr>
          <w:rFonts w:ascii="Times New Roman" w:eastAsia="Times New Roman" w:hAnsi="Times New Roman" w:cs="Times New Roman"/>
          <w:spacing w:val="41"/>
          <w:lang w:val="x-none" w:eastAsia="x-none"/>
        </w:rPr>
        <w:t xml:space="preserve"> </w:t>
      </w:r>
      <w:r w:rsidRPr="00CE4F32">
        <w:rPr>
          <w:rFonts w:ascii="Times New Roman" w:eastAsia="Times New Roman" w:hAnsi="Times New Roman" w:cs="Times New Roman"/>
          <w:lang w:val="x-none" w:eastAsia="x-none"/>
        </w:rPr>
        <w:t>p</w:t>
      </w:r>
      <w:r w:rsidRPr="00CE4F32">
        <w:rPr>
          <w:rFonts w:ascii="Times New Roman" w:eastAsia="Times New Roman" w:hAnsi="Times New Roman" w:cs="Times New Roman"/>
          <w:spacing w:val="-2"/>
          <w:lang w:val="x-none" w:eastAsia="x-none"/>
        </w:rPr>
        <w:t>r</w:t>
      </w:r>
      <w:r w:rsidRPr="00CE4F32">
        <w:rPr>
          <w:rFonts w:ascii="Times New Roman" w:eastAsia="Times New Roman" w:hAnsi="Times New Roman" w:cs="Times New Roman"/>
          <w:spacing w:val="1"/>
          <w:lang w:val="x-none" w:eastAsia="x-none"/>
        </w:rPr>
        <w:t>i</w:t>
      </w:r>
      <w:r w:rsidRPr="00CE4F32">
        <w:rPr>
          <w:rFonts w:ascii="Times New Roman" w:eastAsia="Times New Roman" w:hAnsi="Times New Roman" w:cs="Times New Roman"/>
          <w:lang w:val="x-none" w:eastAsia="x-none"/>
        </w:rPr>
        <w:t>n</w:t>
      </w:r>
      <w:r w:rsidRPr="00CE4F32">
        <w:rPr>
          <w:rFonts w:ascii="Times New Roman" w:eastAsia="Times New Roman" w:hAnsi="Times New Roman" w:cs="Times New Roman"/>
          <w:spacing w:val="-2"/>
          <w:lang w:val="x-none" w:eastAsia="x-none"/>
        </w:rPr>
        <w:t>c</w:t>
      </w:r>
      <w:r w:rsidRPr="00CE4F32">
        <w:rPr>
          <w:rFonts w:ascii="Times New Roman" w:eastAsia="Times New Roman" w:hAnsi="Times New Roman" w:cs="Times New Roman"/>
          <w:spacing w:val="1"/>
          <w:lang w:val="x-none" w:eastAsia="x-none"/>
        </w:rPr>
        <w:t>i</w:t>
      </w:r>
      <w:r w:rsidRPr="00CE4F32">
        <w:rPr>
          <w:rFonts w:ascii="Times New Roman" w:eastAsia="Times New Roman" w:hAnsi="Times New Roman" w:cs="Times New Roman"/>
          <w:spacing w:val="-2"/>
          <w:lang w:val="x-none" w:eastAsia="x-none"/>
        </w:rPr>
        <w:t>p</w:t>
      </w:r>
      <w:r w:rsidRPr="00CE4F32">
        <w:rPr>
          <w:rFonts w:ascii="Times New Roman" w:eastAsia="Times New Roman" w:hAnsi="Times New Roman" w:cs="Times New Roman"/>
          <w:spacing w:val="1"/>
          <w:lang w:val="x-none" w:eastAsia="x-none"/>
        </w:rPr>
        <w:t>l</w:t>
      </w:r>
      <w:r w:rsidRPr="00CE4F32">
        <w:rPr>
          <w:rFonts w:ascii="Times New Roman" w:eastAsia="Times New Roman" w:hAnsi="Times New Roman" w:cs="Times New Roman"/>
          <w:lang w:val="x-none" w:eastAsia="x-none"/>
        </w:rPr>
        <w:t>es</w:t>
      </w:r>
      <w:r w:rsidRPr="00CE4F32">
        <w:rPr>
          <w:rFonts w:ascii="Times New Roman" w:eastAsia="Times New Roman" w:hAnsi="Times New Roman" w:cs="Times New Roman"/>
          <w:spacing w:val="39"/>
          <w:lang w:val="x-none" w:eastAsia="x-none"/>
        </w:rPr>
        <w:t xml:space="preserve"> </w:t>
      </w:r>
      <w:r w:rsidRPr="00CE4F32">
        <w:rPr>
          <w:rFonts w:ascii="Times New Roman" w:eastAsia="Times New Roman" w:hAnsi="Times New Roman" w:cs="Times New Roman"/>
          <w:lang w:val="x-none" w:eastAsia="x-none"/>
        </w:rPr>
        <w:t>a</w:t>
      </w:r>
      <w:r w:rsidRPr="00CE4F32">
        <w:rPr>
          <w:rFonts w:ascii="Times New Roman" w:eastAsia="Times New Roman" w:hAnsi="Times New Roman" w:cs="Times New Roman"/>
          <w:spacing w:val="1"/>
          <w:lang w:val="x-none" w:eastAsia="x-none"/>
        </w:rPr>
        <w:t>d</w:t>
      </w:r>
      <w:r w:rsidRPr="00CE4F32">
        <w:rPr>
          <w:rFonts w:ascii="Times New Roman" w:eastAsia="Times New Roman" w:hAnsi="Times New Roman" w:cs="Times New Roman"/>
          <w:spacing w:val="-2"/>
          <w:lang w:val="x-none" w:eastAsia="x-none"/>
        </w:rPr>
        <w:t>o</w:t>
      </w:r>
      <w:r w:rsidRPr="00CE4F32">
        <w:rPr>
          <w:rFonts w:ascii="Times New Roman" w:eastAsia="Times New Roman" w:hAnsi="Times New Roman" w:cs="Times New Roman"/>
          <w:lang w:val="x-none" w:eastAsia="x-none"/>
        </w:rPr>
        <w:t>pte</w:t>
      </w:r>
      <w:r w:rsidRPr="00CE4F32">
        <w:rPr>
          <w:rFonts w:ascii="Times New Roman" w:eastAsia="Times New Roman" w:hAnsi="Times New Roman" w:cs="Times New Roman"/>
          <w:spacing w:val="1"/>
          <w:lang w:val="x-none" w:eastAsia="x-none"/>
        </w:rPr>
        <w:t>d</w:t>
      </w:r>
      <w:r w:rsidRPr="00CE4F32">
        <w:rPr>
          <w:rFonts w:ascii="Times New Roman" w:eastAsia="Times New Roman" w:hAnsi="Times New Roman" w:cs="Times New Roman"/>
          <w:spacing w:val="38"/>
          <w:lang w:val="x-none" w:eastAsia="x-none"/>
        </w:rPr>
        <w:t xml:space="preserve"> </w:t>
      </w:r>
      <w:r w:rsidRPr="00CE4F32">
        <w:rPr>
          <w:rFonts w:ascii="Times New Roman" w:eastAsia="Times New Roman" w:hAnsi="Times New Roman" w:cs="Times New Roman"/>
          <w:spacing w:val="-1"/>
          <w:lang w:val="x-none" w:eastAsia="x-none"/>
        </w:rPr>
        <w:t>i</w:t>
      </w:r>
      <w:r w:rsidRPr="00CE4F32">
        <w:rPr>
          <w:rFonts w:ascii="Times New Roman" w:eastAsia="Times New Roman" w:hAnsi="Times New Roman" w:cs="Times New Roman"/>
          <w:lang w:val="x-none" w:eastAsia="x-none"/>
        </w:rPr>
        <w:t>n</w:t>
      </w:r>
      <w:r w:rsidRPr="00CE4F32">
        <w:rPr>
          <w:rFonts w:ascii="Times New Roman" w:eastAsia="Times New Roman" w:hAnsi="Times New Roman" w:cs="Times New Roman"/>
          <w:spacing w:val="38"/>
          <w:lang w:val="x-none" w:eastAsia="x-none"/>
        </w:rPr>
        <w:t xml:space="preserve"> </w:t>
      </w:r>
      <w:r w:rsidRPr="00CE4F32">
        <w:rPr>
          <w:rFonts w:ascii="Times New Roman" w:eastAsia="Times New Roman" w:hAnsi="Times New Roman" w:cs="Times New Roman"/>
          <w:i/>
          <w:lang w:val="x-none" w:eastAsia="x-none"/>
        </w:rPr>
        <w:t>Program for Results Financing</w:t>
      </w:r>
      <w:r w:rsidRPr="00CE4F32">
        <w:rPr>
          <w:rFonts w:ascii="Times New Roman" w:eastAsia="Times New Roman" w:hAnsi="Times New Roman" w:cs="Times New Roman"/>
          <w:lang w:val="x-none" w:eastAsia="x-none"/>
        </w:rPr>
        <w:t xml:space="preserve"> a</w:t>
      </w:r>
      <w:r w:rsidRPr="00CE4F32">
        <w:rPr>
          <w:rFonts w:ascii="Times New Roman" w:eastAsia="Times New Roman" w:hAnsi="Times New Roman" w:cs="Times New Roman"/>
          <w:spacing w:val="-2"/>
          <w:lang w:val="x-none" w:eastAsia="x-none"/>
        </w:rPr>
        <w:t>n</w:t>
      </w:r>
      <w:r w:rsidRPr="00CE4F32">
        <w:rPr>
          <w:rFonts w:ascii="Times New Roman" w:eastAsia="Times New Roman" w:hAnsi="Times New Roman" w:cs="Times New Roman"/>
          <w:lang w:val="x-none" w:eastAsia="x-none"/>
        </w:rPr>
        <w:t>d capa</w:t>
      </w:r>
      <w:r w:rsidRPr="00CE4F32">
        <w:rPr>
          <w:rFonts w:ascii="Times New Roman" w:eastAsia="Times New Roman" w:hAnsi="Times New Roman" w:cs="Times New Roman"/>
          <w:spacing w:val="-2"/>
          <w:lang w:val="x-none" w:eastAsia="x-none"/>
        </w:rPr>
        <w:t>c</w:t>
      </w:r>
      <w:r w:rsidRPr="00CE4F32">
        <w:rPr>
          <w:rFonts w:ascii="Times New Roman" w:eastAsia="Times New Roman" w:hAnsi="Times New Roman" w:cs="Times New Roman"/>
          <w:spacing w:val="1"/>
          <w:lang w:val="x-none" w:eastAsia="x-none"/>
        </w:rPr>
        <w:t>it</w:t>
      </w:r>
      <w:r w:rsidRPr="00CE4F32">
        <w:rPr>
          <w:rFonts w:ascii="Times New Roman" w:eastAsia="Times New Roman" w:hAnsi="Times New Roman" w:cs="Times New Roman"/>
          <w:lang w:val="x-none" w:eastAsia="x-none"/>
        </w:rPr>
        <w:t>y</w:t>
      </w:r>
      <w:r w:rsidRPr="00CE4F32">
        <w:rPr>
          <w:rFonts w:ascii="Times New Roman" w:eastAsia="Times New Roman" w:hAnsi="Times New Roman" w:cs="Times New Roman"/>
          <w:spacing w:val="-2"/>
          <w:lang w:val="x-none" w:eastAsia="x-none"/>
        </w:rPr>
        <w:t xml:space="preserve"> </w:t>
      </w:r>
      <w:r w:rsidRPr="00CE4F32">
        <w:rPr>
          <w:rFonts w:ascii="Times New Roman" w:eastAsia="Times New Roman" w:hAnsi="Times New Roman" w:cs="Times New Roman"/>
          <w:lang w:val="x-none" w:eastAsia="x-none"/>
        </w:rPr>
        <w:t>co</w:t>
      </w:r>
      <w:r w:rsidRPr="00CE4F32">
        <w:rPr>
          <w:rFonts w:ascii="Times New Roman" w:eastAsia="Times New Roman" w:hAnsi="Times New Roman" w:cs="Times New Roman"/>
          <w:spacing w:val="-2"/>
          <w:lang w:val="x-none" w:eastAsia="x-none"/>
        </w:rPr>
        <w:t>n</w:t>
      </w:r>
      <w:r w:rsidRPr="00CE4F32">
        <w:rPr>
          <w:rFonts w:ascii="Times New Roman" w:eastAsia="Times New Roman" w:hAnsi="Times New Roman" w:cs="Times New Roman"/>
          <w:lang w:val="x-none" w:eastAsia="x-none"/>
        </w:rPr>
        <w:t>s</w:t>
      </w:r>
      <w:r w:rsidRPr="00CE4F32">
        <w:rPr>
          <w:rFonts w:ascii="Times New Roman" w:eastAsia="Times New Roman" w:hAnsi="Times New Roman" w:cs="Times New Roman"/>
          <w:spacing w:val="-1"/>
          <w:lang w:val="x-none" w:eastAsia="x-none"/>
        </w:rPr>
        <w:t>t</w:t>
      </w:r>
      <w:r w:rsidRPr="00CE4F32">
        <w:rPr>
          <w:rFonts w:ascii="Times New Roman" w:eastAsia="Times New Roman" w:hAnsi="Times New Roman" w:cs="Times New Roman"/>
          <w:spacing w:val="1"/>
          <w:lang w:val="x-none" w:eastAsia="x-none"/>
        </w:rPr>
        <w:t>r</w:t>
      </w:r>
      <w:r w:rsidRPr="00CE4F32">
        <w:rPr>
          <w:rFonts w:ascii="Times New Roman" w:eastAsia="Times New Roman" w:hAnsi="Times New Roman" w:cs="Times New Roman"/>
          <w:spacing w:val="-2"/>
          <w:lang w:val="x-none" w:eastAsia="x-none"/>
        </w:rPr>
        <w:t>a</w:t>
      </w:r>
      <w:r w:rsidRPr="00CE4F32">
        <w:rPr>
          <w:rFonts w:ascii="Times New Roman" w:eastAsia="Times New Roman" w:hAnsi="Times New Roman" w:cs="Times New Roman"/>
          <w:spacing w:val="1"/>
          <w:lang w:val="x-none" w:eastAsia="x-none"/>
        </w:rPr>
        <w:t>i</w:t>
      </w:r>
      <w:r w:rsidRPr="00CE4F32">
        <w:rPr>
          <w:rFonts w:ascii="Times New Roman" w:eastAsia="Times New Roman" w:hAnsi="Times New Roman" w:cs="Times New Roman"/>
          <w:lang w:val="x-none" w:eastAsia="x-none"/>
        </w:rPr>
        <w:t>n</w:t>
      </w:r>
      <w:r w:rsidRPr="00CE4F32">
        <w:rPr>
          <w:rFonts w:ascii="Times New Roman" w:eastAsia="Times New Roman" w:hAnsi="Times New Roman" w:cs="Times New Roman"/>
          <w:spacing w:val="-1"/>
          <w:lang w:val="x-none" w:eastAsia="x-none"/>
        </w:rPr>
        <w:t>t</w:t>
      </w:r>
      <w:r w:rsidRPr="00CE4F32">
        <w:rPr>
          <w:rFonts w:ascii="Times New Roman" w:eastAsia="Times New Roman" w:hAnsi="Times New Roman" w:cs="Times New Roman"/>
          <w:lang w:val="x-none" w:eastAsia="x-none"/>
        </w:rPr>
        <w:t>s.</w:t>
      </w:r>
    </w:p>
    <w:p w14:paraId="71BE5224" w14:textId="70008B52" w:rsidR="00847853" w:rsidRPr="00BE6F08" w:rsidRDefault="00847853" w:rsidP="00CA0715">
      <w:pPr>
        <w:numPr>
          <w:ilvl w:val="0"/>
          <w:numId w:val="2"/>
        </w:numPr>
        <w:spacing w:before="120" w:after="120" w:line="240" w:lineRule="auto"/>
        <w:contextualSpacing/>
        <w:jc w:val="both"/>
        <w:rPr>
          <w:rFonts w:ascii="Times New Roman" w:eastAsia="Times New Roman" w:hAnsi="Times New Roman" w:cs="Times New Roman"/>
          <w:lang w:val="x-none" w:eastAsia="x-none"/>
        </w:rPr>
      </w:pPr>
      <w:r w:rsidRPr="00CE4F32">
        <w:rPr>
          <w:rFonts w:ascii="Times New Roman" w:eastAsia="Times New Roman" w:hAnsi="Times New Roman" w:cs="Times New Roman"/>
          <w:spacing w:val="-1"/>
          <w:position w:val="-1"/>
          <w:lang w:val="x-none" w:eastAsia="x-none"/>
        </w:rPr>
        <w:t>A</w:t>
      </w:r>
      <w:r w:rsidRPr="00CE4F32">
        <w:rPr>
          <w:rFonts w:ascii="Times New Roman" w:eastAsia="Times New Roman" w:hAnsi="Times New Roman" w:cs="Times New Roman"/>
          <w:position w:val="-1"/>
          <w:lang w:val="x-none" w:eastAsia="x-none"/>
        </w:rPr>
        <w:t>c</w:t>
      </w:r>
      <w:r w:rsidRPr="00CE4F32">
        <w:rPr>
          <w:rFonts w:ascii="Times New Roman" w:eastAsia="Times New Roman" w:hAnsi="Times New Roman" w:cs="Times New Roman"/>
          <w:spacing w:val="1"/>
          <w:position w:val="-1"/>
          <w:lang w:val="x-none" w:eastAsia="x-none"/>
        </w:rPr>
        <w:t>ti</w:t>
      </w:r>
      <w:r w:rsidRPr="00CE4F32">
        <w:rPr>
          <w:rFonts w:ascii="Times New Roman" w:eastAsia="Times New Roman" w:hAnsi="Times New Roman" w:cs="Times New Roman"/>
          <w:position w:val="-1"/>
          <w:lang w:val="x-none" w:eastAsia="x-none"/>
        </w:rPr>
        <w:t>o</w:t>
      </w:r>
      <w:r w:rsidRPr="00CE4F32">
        <w:rPr>
          <w:rFonts w:ascii="Times New Roman" w:eastAsia="Times New Roman" w:hAnsi="Times New Roman" w:cs="Times New Roman"/>
          <w:spacing w:val="-2"/>
          <w:position w:val="-1"/>
          <w:lang w:val="x-none" w:eastAsia="x-none"/>
        </w:rPr>
        <w:t>n</w:t>
      </w:r>
      <w:r w:rsidRPr="00CE4F32">
        <w:rPr>
          <w:rFonts w:ascii="Times New Roman" w:eastAsia="Times New Roman" w:hAnsi="Times New Roman" w:cs="Times New Roman"/>
          <w:position w:val="-1"/>
          <w:lang w:val="x-none" w:eastAsia="x-none"/>
        </w:rPr>
        <w:t xml:space="preserve">s </w:t>
      </w:r>
      <w:r w:rsidRPr="00CE4F32">
        <w:rPr>
          <w:rFonts w:ascii="Times New Roman" w:eastAsia="Times New Roman" w:hAnsi="Times New Roman" w:cs="Times New Roman"/>
          <w:spacing w:val="-1"/>
          <w:position w:val="-1"/>
          <w:lang w:val="x-none" w:eastAsia="x-none"/>
        </w:rPr>
        <w:t>(</w:t>
      </w:r>
      <w:r w:rsidRPr="00CE4F32">
        <w:rPr>
          <w:rFonts w:ascii="Times New Roman" w:eastAsia="Times New Roman" w:hAnsi="Times New Roman" w:cs="Times New Roman"/>
          <w:position w:val="-1"/>
          <w:lang w:val="x-none" w:eastAsia="x-none"/>
        </w:rPr>
        <w:t>“</w:t>
      </w:r>
      <w:r w:rsidRPr="00CE4F32">
        <w:rPr>
          <w:rFonts w:ascii="Times New Roman" w:eastAsia="Times New Roman" w:hAnsi="Times New Roman" w:cs="Times New Roman"/>
          <w:b/>
          <w:position w:val="-1"/>
          <w:lang w:val="x-none" w:eastAsia="x-none"/>
        </w:rPr>
        <w:t>opp</w:t>
      </w:r>
      <w:r w:rsidRPr="00CE4F32">
        <w:rPr>
          <w:rFonts w:ascii="Times New Roman" w:eastAsia="Times New Roman" w:hAnsi="Times New Roman" w:cs="Times New Roman"/>
          <w:b/>
          <w:spacing w:val="-2"/>
          <w:position w:val="-1"/>
          <w:lang w:val="x-none" w:eastAsia="x-none"/>
        </w:rPr>
        <w:t>o</w:t>
      </w:r>
      <w:r w:rsidRPr="00CE4F32">
        <w:rPr>
          <w:rFonts w:ascii="Times New Roman" w:eastAsia="Times New Roman" w:hAnsi="Times New Roman" w:cs="Times New Roman"/>
          <w:b/>
          <w:spacing w:val="1"/>
          <w:position w:val="-1"/>
          <w:lang w:val="x-none" w:eastAsia="x-none"/>
        </w:rPr>
        <w:t>rt</w:t>
      </w:r>
      <w:r w:rsidRPr="00CE4F32">
        <w:rPr>
          <w:rFonts w:ascii="Times New Roman" w:eastAsia="Times New Roman" w:hAnsi="Times New Roman" w:cs="Times New Roman"/>
          <w:b/>
          <w:spacing w:val="-2"/>
          <w:position w:val="-1"/>
          <w:lang w:val="x-none" w:eastAsia="x-none"/>
        </w:rPr>
        <w:t>u</w:t>
      </w:r>
      <w:r w:rsidRPr="00CE4F32">
        <w:rPr>
          <w:rFonts w:ascii="Times New Roman" w:eastAsia="Times New Roman" w:hAnsi="Times New Roman" w:cs="Times New Roman"/>
          <w:b/>
          <w:position w:val="-1"/>
          <w:lang w:val="x-none" w:eastAsia="x-none"/>
        </w:rPr>
        <w:t>n</w:t>
      </w:r>
      <w:r w:rsidRPr="00CE4F32">
        <w:rPr>
          <w:rFonts w:ascii="Times New Roman" w:eastAsia="Times New Roman" w:hAnsi="Times New Roman" w:cs="Times New Roman"/>
          <w:b/>
          <w:spacing w:val="-1"/>
          <w:position w:val="-1"/>
          <w:lang w:val="x-none" w:eastAsia="x-none"/>
        </w:rPr>
        <w:t>i</w:t>
      </w:r>
      <w:r w:rsidRPr="00CE4F32">
        <w:rPr>
          <w:rFonts w:ascii="Times New Roman" w:eastAsia="Times New Roman" w:hAnsi="Times New Roman" w:cs="Times New Roman"/>
          <w:b/>
          <w:spacing w:val="1"/>
          <w:position w:val="-1"/>
          <w:lang w:val="x-none" w:eastAsia="x-none"/>
        </w:rPr>
        <w:t>t</w:t>
      </w:r>
      <w:r w:rsidRPr="00CE4F32">
        <w:rPr>
          <w:rFonts w:ascii="Times New Roman" w:eastAsia="Times New Roman" w:hAnsi="Times New Roman" w:cs="Times New Roman"/>
          <w:b/>
          <w:spacing w:val="-1"/>
          <w:position w:val="-1"/>
          <w:lang w:val="x-none" w:eastAsia="x-none"/>
        </w:rPr>
        <w:t>i</w:t>
      </w:r>
      <w:r w:rsidRPr="00CE4F32">
        <w:rPr>
          <w:rFonts w:ascii="Times New Roman" w:eastAsia="Times New Roman" w:hAnsi="Times New Roman" w:cs="Times New Roman"/>
          <w:b/>
          <w:spacing w:val="2"/>
          <w:position w:val="-1"/>
          <w:lang w:val="x-none" w:eastAsia="x-none"/>
        </w:rPr>
        <w:t>e</w:t>
      </w:r>
      <w:r w:rsidRPr="00CE4F32">
        <w:rPr>
          <w:rFonts w:ascii="Times New Roman" w:eastAsia="Times New Roman" w:hAnsi="Times New Roman" w:cs="Times New Roman"/>
          <w:b/>
          <w:position w:val="-1"/>
          <w:lang w:val="x-none" w:eastAsia="x-none"/>
        </w:rPr>
        <w:t>s</w:t>
      </w:r>
      <w:r w:rsidRPr="00CE4F32">
        <w:rPr>
          <w:rFonts w:ascii="Times New Roman" w:eastAsia="Times New Roman" w:hAnsi="Times New Roman" w:cs="Times New Roman"/>
          <w:spacing w:val="-2"/>
          <w:position w:val="-1"/>
          <w:lang w:val="x-none" w:eastAsia="x-none"/>
        </w:rPr>
        <w:t>”</w:t>
      </w:r>
      <w:r w:rsidRPr="00CE4F32">
        <w:rPr>
          <w:rFonts w:ascii="Times New Roman" w:eastAsia="Times New Roman" w:hAnsi="Times New Roman" w:cs="Times New Roman"/>
          <w:position w:val="-1"/>
          <w:lang w:val="x-none" w:eastAsia="x-none"/>
        </w:rPr>
        <w:t>)</w:t>
      </w:r>
      <w:r w:rsidRPr="00CE4F32">
        <w:rPr>
          <w:rFonts w:ascii="Times New Roman" w:eastAsia="Times New Roman" w:hAnsi="Times New Roman" w:cs="Times New Roman"/>
          <w:spacing w:val="1"/>
          <w:position w:val="-1"/>
          <w:lang w:val="x-none" w:eastAsia="x-none"/>
        </w:rPr>
        <w:t xml:space="preserve"> </w:t>
      </w:r>
      <w:r w:rsidRPr="00CE4F32">
        <w:rPr>
          <w:rFonts w:ascii="Times New Roman" w:eastAsia="Times New Roman" w:hAnsi="Times New Roman" w:cs="Times New Roman"/>
          <w:spacing w:val="-1"/>
          <w:position w:val="-1"/>
          <w:lang w:val="x-none" w:eastAsia="x-none"/>
        </w:rPr>
        <w:t>t</w:t>
      </w:r>
      <w:r w:rsidRPr="00CE4F32">
        <w:rPr>
          <w:rFonts w:ascii="Times New Roman" w:eastAsia="Times New Roman" w:hAnsi="Times New Roman" w:cs="Times New Roman"/>
          <w:position w:val="-1"/>
          <w:lang w:val="x-none" w:eastAsia="x-none"/>
        </w:rPr>
        <w:t>o s</w:t>
      </w:r>
      <w:r w:rsidRPr="00CE4F32">
        <w:rPr>
          <w:rFonts w:ascii="Times New Roman" w:eastAsia="Times New Roman" w:hAnsi="Times New Roman" w:cs="Times New Roman"/>
          <w:spacing w:val="-1"/>
          <w:position w:val="-1"/>
          <w:lang w:val="x-none" w:eastAsia="x-none"/>
        </w:rPr>
        <w:t>t</w:t>
      </w:r>
      <w:r w:rsidRPr="00CE4F32">
        <w:rPr>
          <w:rFonts w:ascii="Times New Roman" w:eastAsia="Times New Roman" w:hAnsi="Times New Roman" w:cs="Times New Roman"/>
          <w:spacing w:val="1"/>
          <w:position w:val="-1"/>
          <w:lang w:val="x-none" w:eastAsia="x-none"/>
        </w:rPr>
        <w:t>r</w:t>
      </w:r>
      <w:r w:rsidRPr="00CE4F32">
        <w:rPr>
          <w:rFonts w:ascii="Times New Roman" w:eastAsia="Times New Roman" w:hAnsi="Times New Roman" w:cs="Times New Roman"/>
          <w:position w:val="-1"/>
          <w:lang w:val="x-none" w:eastAsia="x-none"/>
        </w:rPr>
        <w:t>en</w:t>
      </w:r>
      <w:r w:rsidRPr="00CE4F32">
        <w:rPr>
          <w:rFonts w:ascii="Times New Roman" w:eastAsia="Times New Roman" w:hAnsi="Times New Roman" w:cs="Times New Roman"/>
          <w:spacing w:val="-2"/>
          <w:position w:val="-1"/>
          <w:lang w:val="x-none" w:eastAsia="x-none"/>
        </w:rPr>
        <w:t>g</w:t>
      </w:r>
      <w:r w:rsidRPr="00CE4F32">
        <w:rPr>
          <w:rFonts w:ascii="Times New Roman" w:eastAsia="Times New Roman" w:hAnsi="Times New Roman" w:cs="Times New Roman"/>
          <w:spacing w:val="1"/>
          <w:position w:val="-1"/>
          <w:lang w:val="x-none" w:eastAsia="x-none"/>
        </w:rPr>
        <w:t>t</w:t>
      </w:r>
      <w:r w:rsidRPr="00CE4F32">
        <w:rPr>
          <w:rFonts w:ascii="Times New Roman" w:eastAsia="Times New Roman" w:hAnsi="Times New Roman" w:cs="Times New Roman"/>
          <w:position w:val="-1"/>
          <w:lang w:val="x-none" w:eastAsia="x-none"/>
        </w:rPr>
        <w:t>hen</w:t>
      </w:r>
      <w:r w:rsidRPr="00CE4F32">
        <w:rPr>
          <w:rFonts w:ascii="Times New Roman" w:eastAsia="Times New Roman" w:hAnsi="Times New Roman" w:cs="Times New Roman"/>
          <w:spacing w:val="-2"/>
          <w:position w:val="-1"/>
          <w:lang w:val="x-none" w:eastAsia="x-none"/>
        </w:rPr>
        <w:t xml:space="preserve"> </w:t>
      </w:r>
      <w:r w:rsidRPr="00CE4F32">
        <w:rPr>
          <w:rFonts w:ascii="Times New Roman" w:eastAsia="Times New Roman" w:hAnsi="Times New Roman" w:cs="Times New Roman"/>
          <w:spacing w:val="1"/>
          <w:position w:val="-1"/>
          <w:lang w:val="x-none" w:eastAsia="x-none"/>
        </w:rPr>
        <w:t>t</w:t>
      </w:r>
      <w:r w:rsidRPr="00CE4F32">
        <w:rPr>
          <w:rFonts w:ascii="Times New Roman" w:eastAsia="Times New Roman" w:hAnsi="Times New Roman" w:cs="Times New Roman"/>
          <w:position w:val="-1"/>
          <w:lang w:val="x-none" w:eastAsia="x-none"/>
        </w:rPr>
        <w:t>he</w:t>
      </w:r>
      <w:r w:rsidRPr="00CE4F32">
        <w:rPr>
          <w:rFonts w:ascii="Times New Roman" w:eastAsia="Times New Roman" w:hAnsi="Times New Roman" w:cs="Times New Roman"/>
          <w:spacing w:val="-2"/>
          <w:position w:val="-1"/>
          <w:lang w:val="x-none" w:eastAsia="x-none"/>
        </w:rPr>
        <w:t xml:space="preserve"> </w:t>
      </w:r>
      <w:r w:rsidRPr="00CE4F32">
        <w:rPr>
          <w:rFonts w:ascii="Times New Roman" w:eastAsia="Times New Roman" w:hAnsi="Times New Roman" w:cs="Times New Roman"/>
          <w:position w:val="-1"/>
          <w:lang w:val="x-none" w:eastAsia="x-none"/>
        </w:rPr>
        <w:t>e</w:t>
      </w:r>
      <w:r w:rsidRPr="00CE4F32">
        <w:rPr>
          <w:rFonts w:ascii="Times New Roman" w:eastAsia="Times New Roman" w:hAnsi="Times New Roman" w:cs="Times New Roman"/>
          <w:spacing w:val="-2"/>
          <w:position w:val="-1"/>
          <w:lang w:val="x-none" w:eastAsia="x-none"/>
        </w:rPr>
        <w:t>x</w:t>
      </w:r>
      <w:r w:rsidRPr="00CE4F32">
        <w:rPr>
          <w:rFonts w:ascii="Times New Roman" w:eastAsia="Times New Roman" w:hAnsi="Times New Roman" w:cs="Times New Roman"/>
          <w:spacing w:val="1"/>
          <w:position w:val="-1"/>
          <w:lang w:val="x-none" w:eastAsia="x-none"/>
        </w:rPr>
        <w:t>i</w:t>
      </w:r>
      <w:r w:rsidRPr="00CE4F32">
        <w:rPr>
          <w:rFonts w:ascii="Times New Roman" w:eastAsia="Times New Roman" w:hAnsi="Times New Roman" w:cs="Times New Roman"/>
          <w:position w:val="-1"/>
          <w:lang w:val="x-none" w:eastAsia="x-none"/>
        </w:rPr>
        <w:t>s</w:t>
      </w:r>
      <w:r w:rsidRPr="00CE4F32">
        <w:rPr>
          <w:rFonts w:ascii="Times New Roman" w:eastAsia="Times New Roman" w:hAnsi="Times New Roman" w:cs="Times New Roman"/>
          <w:spacing w:val="-1"/>
          <w:position w:val="-1"/>
          <w:lang w:val="x-none" w:eastAsia="x-none"/>
        </w:rPr>
        <w:t>t</w:t>
      </w:r>
      <w:r w:rsidRPr="00CE4F32">
        <w:rPr>
          <w:rFonts w:ascii="Times New Roman" w:eastAsia="Times New Roman" w:hAnsi="Times New Roman" w:cs="Times New Roman"/>
          <w:spacing w:val="1"/>
          <w:position w:val="-1"/>
          <w:lang w:val="x-none" w:eastAsia="x-none"/>
        </w:rPr>
        <w:t>i</w:t>
      </w:r>
      <w:r w:rsidRPr="00CE4F32">
        <w:rPr>
          <w:rFonts w:ascii="Times New Roman" w:eastAsia="Times New Roman" w:hAnsi="Times New Roman" w:cs="Times New Roman"/>
          <w:position w:val="-1"/>
          <w:lang w:val="x-none" w:eastAsia="x-none"/>
        </w:rPr>
        <w:t>ng</w:t>
      </w:r>
      <w:r w:rsidRPr="00CE4F32">
        <w:rPr>
          <w:rFonts w:ascii="Times New Roman" w:eastAsia="Times New Roman" w:hAnsi="Times New Roman" w:cs="Times New Roman"/>
          <w:spacing w:val="-2"/>
          <w:position w:val="-1"/>
          <w:lang w:val="x-none" w:eastAsia="x-none"/>
        </w:rPr>
        <w:t xml:space="preserve"> </w:t>
      </w:r>
      <w:r w:rsidRPr="00CE4F32">
        <w:rPr>
          <w:rFonts w:ascii="Times New Roman" w:eastAsia="Times New Roman" w:hAnsi="Times New Roman" w:cs="Times New Roman"/>
          <w:position w:val="-1"/>
          <w:lang w:val="x-none" w:eastAsia="x-none"/>
        </w:rPr>
        <w:t>s</w:t>
      </w:r>
      <w:r w:rsidRPr="00CE4F32">
        <w:rPr>
          <w:rFonts w:ascii="Times New Roman" w:eastAsia="Times New Roman" w:hAnsi="Times New Roman" w:cs="Times New Roman"/>
          <w:spacing w:val="-2"/>
          <w:position w:val="-1"/>
          <w:lang w:val="x-none" w:eastAsia="x-none"/>
        </w:rPr>
        <w:t>y</w:t>
      </w:r>
      <w:r w:rsidRPr="00CE4F32">
        <w:rPr>
          <w:rFonts w:ascii="Times New Roman" w:eastAsia="Times New Roman" w:hAnsi="Times New Roman" w:cs="Times New Roman"/>
          <w:position w:val="-1"/>
          <w:lang w:val="x-none" w:eastAsia="x-none"/>
        </w:rPr>
        <w:t>s</w:t>
      </w:r>
      <w:r w:rsidRPr="00CE4F32">
        <w:rPr>
          <w:rFonts w:ascii="Times New Roman" w:eastAsia="Times New Roman" w:hAnsi="Times New Roman" w:cs="Times New Roman"/>
          <w:spacing w:val="1"/>
          <w:position w:val="-1"/>
          <w:lang w:val="x-none" w:eastAsia="x-none"/>
        </w:rPr>
        <w:t>t</w:t>
      </w:r>
      <w:r w:rsidRPr="00CE4F32">
        <w:rPr>
          <w:rFonts w:ascii="Times New Roman" w:eastAsia="Times New Roman" w:hAnsi="Times New Roman" w:cs="Times New Roman"/>
          <w:position w:val="-1"/>
          <w:lang w:val="x-none" w:eastAsia="x-none"/>
        </w:rPr>
        <w:t>e</w:t>
      </w:r>
      <w:r w:rsidRPr="00CE4F32">
        <w:rPr>
          <w:rFonts w:ascii="Times New Roman" w:eastAsia="Times New Roman" w:hAnsi="Times New Roman" w:cs="Times New Roman"/>
          <w:spacing w:val="-3"/>
          <w:position w:val="-1"/>
          <w:lang w:val="x-none" w:eastAsia="x-none"/>
        </w:rPr>
        <w:t>m</w:t>
      </w:r>
      <w:r w:rsidRPr="00CE4F32">
        <w:rPr>
          <w:rFonts w:ascii="Times New Roman" w:eastAsia="Times New Roman" w:hAnsi="Times New Roman" w:cs="Times New Roman"/>
          <w:position w:val="-1"/>
          <w:lang w:val="x-none" w:eastAsia="x-none"/>
        </w:rPr>
        <w:t>.</w:t>
      </w:r>
    </w:p>
    <w:p w14:paraId="6A2D1B88" w14:textId="2A874390" w:rsidR="00BE6F08" w:rsidRDefault="00847853" w:rsidP="00CA0715">
      <w:pPr>
        <w:spacing w:before="120" w:after="120" w:line="240" w:lineRule="auto"/>
        <w:ind w:left="720"/>
        <w:contextualSpacing/>
        <w:jc w:val="both"/>
        <w:rPr>
          <w:rFonts w:ascii="Times New Roman" w:eastAsia="Times New Roman" w:hAnsi="Times New Roman" w:cs="Times New Roman"/>
          <w:position w:val="-1"/>
          <w:lang w:val="x-none" w:eastAsia="x-none"/>
        </w:rPr>
      </w:pPr>
      <w:r w:rsidRPr="00BE6F08">
        <w:rPr>
          <w:rFonts w:ascii="Times New Roman" w:eastAsia="Times New Roman" w:hAnsi="Times New Roman" w:cs="Times New Roman"/>
          <w:spacing w:val="-1"/>
          <w:position w:val="-1"/>
          <w:lang w:val="x-none" w:eastAsia="x-none"/>
        </w:rPr>
        <w:t>R</w:t>
      </w:r>
      <w:r w:rsidRPr="00BE6F08">
        <w:rPr>
          <w:rFonts w:ascii="Times New Roman" w:eastAsia="Times New Roman" w:hAnsi="Times New Roman" w:cs="Times New Roman"/>
          <w:spacing w:val="1"/>
          <w:position w:val="-1"/>
          <w:lang w:val="x-none" w:eastAsia="x-none"/>
        </w:rPr>
        <w:t>i</w:t>
      </w:r>
      <w:r w:rsidRPr="00BE6F08">
        <w:rPr>
          <w:rFonts w:ascii="Times New Roman" w:eastAsia="Times New Roman" w:hAnsi="Times New Roman" w:cs="Times New Roman"/>
          <w:position w:val="-1"/>
          <w:lang w:val="x-none" w:eastAsia="x-none"/>
        </w:rPr>
        <w:t>s</w:t>
      </w:r>
      <w:r w:rsidRPr="00BE6F08">
        <w:rPr>
          <w:rFonts w:ascii="Times New Roman" w:eastAsia="Times New Roman" w:hAnsi="Times New Roman" w:cs="Times New Roman"/>
          <w:spacing w:val="-2"/>
          <w:position w:val="-1"/>
          <w:lang w:val="x-none" w:eastAsia="x-none"/>
        </w:rPr>
        <w:t>k</w:t>
      </w:r>
      <w:r w:rsidRPr="00BE6F08">
        <w:rPr>
          <w:rFonts w:ascii="Times New Roman" w:eastAsia="Times New Roman" w:hAnsi="Times New Roman" w:cs="Times New Roman"/>
          <w:position w:val="-1"/>
          <w:lang w:val="x-none" w:eastAsia="x-none"/>
        </w:rPr>
        <w:t xml:space="preserve">s </w:t>
      </w:r>
      <w:r w:rsidRPr="00BE6F08">
        <w:rPr>
          <w:rFonts w:ascii="Times New Roman" w:eastAsia="Times New Roman" w:hAnsi="Times New Roman" w:cs="Times New Roman"/>
          <w:spacing w:val="1"/>
          <w:position w:val="-1"/>
          <w:lang w:val="x-none" w:eastAsia="x-none"/>
        </w:rPr>
        <w:t>(</w:t>
      </w:r>
      <w:r w:rsidRPr="00BE6F08">
        <w:rPr>
          <w:rFonts w:ascii="Times New Roman" w:eastAsia="Times New Roman" w:hAnsi="Times New Roman" w:cs="Times New Roman"/>
          <w:spacing w:val="-2"/>
          <w:position w:val="-1"/>
          <w:lang w:val="x-none" w:eastAsia="x-none"/>
        </w:rPr>
        <w:t>“</w:t>
      </w:r>
      <w:r w:rsidRPr="00BE6F08">
        <w:rPr>
          <w:rFonts w:ascii="Times New Roman" w:eastAsia="Times New Roman" w:hAnsi="Times New Roman" w:cs="Times New Roman"/>
          <w:b/>
          <w:spacing w:val="1"/>
          <w:position w:val="-1"/>
          <w:lang w:val="x-none" w:eastAsia="x-none"/>
        </w:rPr>
        <w:t>t</w:t>
      </w:r>
      <w:r w:rsidRPr="00BE6F08">
        <w:rPr>
          <w:rFonts w:ascii="Times New Roman" w:eastAsia="Times New Roman" w:hAnsi="Times New Roman" w:cs="Times New Roman"/>
          <w:b/>
          <w:position w:val="-1"/>
          <w:lang w:val="x-none" w:eastAsia="x-none"/>
        </w:rPr>
        <w:t>h</w:t>
      </w:r>
      <w:r w:rsidRPr="00BE6F08">
        <w:rPr>
          <w:rFonts w:ascii="Times New Roman" w:eastAsia="Times New Roman" w:hAnsi="Times New Roman" w:cs="Times New Roman"/>
          <w:b/>
          <w:spacing w:val="-2"/>
          <w:position w:val="-1"/>
          <w:lang w:val="x-none" w:eastAsia="x-none"/>
        </w:rPr>
        <w:t>r</w:t>
      </w:r>
      <w:r w:rsidRPr="00BE6F08">
        <w:rPr>
          <w:rFonts w:ascii="Times New Roman" w:eastAsia="Times New Roman" w:hAnsi="Times New Roman" w:cs="Times New Roman"/>
          <w:b/>
          <w:position w:val="-1"/>
          <w:lang w:val="x-none" w:eastAsia="x-none"/>
        </w:rPr>
        <w:t>ea</w:t>
      </w:r>
      <w:r w:rsidRPr="00BE6F08">
        <w:rPr>
          <w:rFonts w:ascii="Times New Roman" w:eastAsia="Times New Roman" w:hAnsi="Times New Roman" w:cs="Times New Roman"/>
          <w:b/>
          <w:spacing w:val="-1"/>
          <w:position w:val="-1"/>
          <w:lang w:val="x-none" w:eastAsia="x-none"/>
        </w:rPr>
        <w:t>t</w:t>
      </w:r>
      <w:r w:rsidRPr="00BE6F08">
        <w:rPr>
          <w:rFonts w:ascii="Times New Roman" w:eastAsia="Times New Roman" w:hAnsi="Times New Roman" w:cs="Times New Roman"/>
          <w:b/>
          <w:position w:val="-1"/>
          <w:lang w:val="x-none" w:eastAsia="x-none"/>
        </w:rPr>
        <w:t>s</w:t>
      </w:r>
      <w:r w:rsidRPr="00BE6F08">
        <w:rPr>
          <w:rFonts w:ascii="Times New Roman" w:eastAsia="Times New Roman" w:hAnsi="Times New Roman" w:cs="Times New Roman"/>
          <w:spacing w:val="1"/>
          <w:position w:val="-1"/>
          <w:lang w:val="x-none" w:eastAsia="x-none"/>
        </w:rPr>
        <w:t>”</w:t>
      </w:r>
      <w:r w:rsidRPr="00BE6F08">
        <w:rPr>
          <w:rFonts w:ascii="Times New Roman" w:eastAsia="Times New Roman" w:hAnsi="Times New Roman" w:cs="Times New Roman"/>
          <w:position w:val="-1"/>
          <w:lang w:val="x-none" w:eastAsia="x-none"/>
        </w:rPr>
        <w:t>)</w:t>
      </w:r>
      <w:r w:rsidRPr="00BE6F08">
        <w:rPr>
          <w:rFonts w:ascii="Times New Roman" w:eastAsia="Times New Roman" w:hAnsi="Times New Roman" w:cs="Times New Roman"/>
          <w:spacing w:val="-1"/>
          <w:position w:val="-1"/>
          <w:lang w:val="x-none" w:eastAsia="x-none"/>
        </w:rPr>
        <w:t xml:space="preserve"> </w:t>
      </w:r>
      <w:r w:rsidRPr="00BE6F08">
        <w:rPr>
          <w:rFonts w:ascii="Times New Roman" w:eastAsia="Times New Roman" w:hAnsi="Times New Roman" w:cs="Times New Roman"/>
          <w:spacing w:val="1"/>
          <w:position w:val="-1"/>
          <w:lang w:val="x-none" w:eastAsia="x-none"/>
        </w:rPr>
        <w:t>t</w:t>
      </w:r>
      <w:r w:rsidRPr="00BE6F08">
        <w:rPr>
          <w:rFonts w:ascii="Times New Roman" w:eastAsia="Times New Roman" w:hAnsi="Times New Roman" w:cs="Times New Roman"/>
          <w:position w:val="-1"/>
          <w:lang w:val="x-none" w:eastAsia="x-none"/>
        </w:rPr>
        <w:t>o</w:t>
      </w:r>
      <w:r w:rsidRPr="00BE6F08">
        <w:rPr>
          <w:rFonts w:ascii="Times New Roman" w:eastAsia="Times New Roman" w:hAnsi="Times New Roman" w:cs="Times New Roman"/>
          <w:spacing w:val="-2"/>
          <w:position w:val="-1"/>
          <w:lang w:val="x-none" w:eastAsia="x-none"/>
        </w:rPr>
        <w:t xml:space="preserve"> </w:t>
      </w:r>
      <w:r w:rsidRPr="00BE6F08">
        <w:rPr>
          <w:rFonts w:ascii="Times New Roman" w:eastAsia="Times New Roman" w:hAnsi="Times New Roman" w:cs="Times New Roman"/>
          <w:spacing w:val="1"/>
          <w:position w:val="-1"/>
          <w:lang w:val="x-none" w:eastAsia="x-none"/>
        </w:rPr>
        <w:t>t</w:t>
      </w:r>
      <w:r w:rsidRPr="00BE6F08">
        <w:rPr>
          <w:rFonts w:ascii="Times New Roman" w:eastAsia="Times New Roman" w:hAnsi="Times New Roman" w:cs="Times New Roman"/>
          <w:position w:val="-1"/>
          <w:lang w:val="x-none" w:eastAsia="x-none"/>
        </w:rPr>
        <w:t>he</w:t>
      </w:r>
      <w:r w:rsidRPr="00BE6F08">
        <w:rPr>
          <w:rFonts w:ascii="Times New Roman" w:eastAsia="Times New Roman" w:hAnsi="Times New Roman" w:cs="Times New Roman"/>
          <w:spacing w:val="-2"/>
          <w:position w:val="-1"/>
          <w:lang w:val="x-none" w:eastAsia="x-none"/>
        </w:rPr>
        <w:t xml:space="preserve"> </w:t>
      </w:r>
      <w:r w:rsidRPr="00BE6F08">
        <w:rPr>
          <w:rFonts w:ascii="Times New Roman" w:eastAsia="Times New Roman" w:hAnsi="Times New Roman" w:cs="Times New Roman"/>
          <w:position w:val="-1"/>
          <w:lang w:val="x-none" w:eastAsia="x-none"/>
        </w:rPr>
        <w:t>p</w:t>
      </w:r>
      <w:r w:rsidRPr="00BE6F08">
        <w:rPr>
          <w:rFonts w:ascii="Times New Roman" w:eastAsia="Times New Roman" w:hAnsi="Times New Roman" w:cs="Times New Roman"/>
          <w:spacing w:val="1"/>
          <w:position w:val="-1"/>
          <w:lang w:val="x-none" w:eastAsia="x-none"/>
        </w:rPr>
        <w:t>r</w:t>
      </w:r>
      <w:r w:rsidRPr="00BE6F08">
        <w:rPr>
          <w:rFonts w:ascii="Times New Roman" w:eastAsia="Times New Roman" w:hAnsi="Times New Roman" w:cs="Times New Roman"/>
          <w:spacing w:val="-2"/>
          <w:position w:val="-1"/>
          <w:lang w:val="x-none" w:eastAsia="x-none"/>
        </w:rPr>
        <w:t>o</w:t>
      </w:r>
      <w:r w:rsidRPr="00BE6F08">
        <w:rPr>
          <w:rFonts w:ascii="Times New Roman" w:eastAsia="Times New Roman" w:hAnsi="Times New Roman" w:cs="Times New Roman"/>
          <w:position w:val="-1"/>
          <w:lang w:val="x-none" w:eastAsia="x-none"/>
        </w:rPr>
        <w:t>pos</w:t>
      </w:r>
      <w:r w:rsidRPr="00BE6F08">
        <w:rPr>
          <w:rFonts w:ascii="Times New Roman" w:eastAsia="Times New Roman" w:hAnsi="Times New Roman" w:cs="Times New Roman"/>
          <w:spacing w:val="1"/>
          <w:position w:val="-1"/>
          <w:lang w:val="x-none" w:eastAsia="x-none"/>
        </w:rPr>
        <w:t>e</w:t>
      </w:r>
      <w:r w:rsidRPr="00BE6F08">
        <w:rPr>
          <w:rFonts w:ascii="Times New Roman" w:eastAsia="Times New Roman" w:hAnsi="Times New Roman" w:cs="Times New Roman"/>
          <w:position w:val="-1"/>
          <w:lang w:val="x-none" w:eastAsia="x-none"/>
        </w:rPr>
        <w:t>d</w:t>
      </w:r>
      <w:r w:rsidRPr="00BE6F08">
        <w:rPr>
          <w:rFonts w:ascii="Times New Roman" w:eastAsia="Times New Roman" w:hAnsi="Times New Roman" w:cs="Times New Roman"/>
          <w:spacing w:val="-2"/>
          <w:position w:val="-1"/>
          <w:lang w:val="x-none" w:eastAsia="x-none"/>
        </w:rPr>
        <w:t xml:space="preserve"> </w:t>
      </w:r>
      <w:r w:rsidRPr="00BE6F08">
        <w:rPr>
          <w:rFonts w:ascii="Times New Roman" w:eastAsia="Times New Roman" w:hAnsi="Times New Roman" w:cs="Times New Roman"/>
          <w:position w:val="-1"/>
          <w:lang w:val="x-none" w:eastAsia="x-none"/>
        </w:rPr>
        <w:t>ac</w:t>
      </w:r>
      <w:r w:rsidRPr="00BE6F08">
        <w:rPr>
          <w:rFonts w:ascii="Times New Roman" w:eastAsia="Times New Roman" w:hAnsi="Times New Roman" w:cs="Times New Roman"/>
          <w:spacing w:val="-1"/>
          <w:position w:val="-1"/>
          <w:lang w:val="x-none" w:eastAsia="x-none"/>
        </w:rPr>
        <w:t>t</w:t>
      </w:r>
      <w:r w:rsidRPr="00BE6F08">
        <w:rPr>
          <w:rFonts w:ascii="Times New Roman" w:eastAsia="Times New Roman" w:hAnsi="Times New Roman" w:cs="Times New Roman"/>
          <w:spacing w:val="1"/>
          <w:position w:val="-1"/>
          <w:lang w:val="x-none" w:eastAsia="x-none"/>
        </w:rPr>
        <w:t>i</w:t>
      </w:r>
      <w:r w:rsidRPr="00BE6F08">
        <w:rPr>
          <w:rFonts w:ascii="Times New Roman" w:eastAsia="Times New Roman" w:hAnsi="Times New Roman" w:cs="Times New Roman"/>
          <w:position w:val="-1"/>
          <w:lang w:val="x-none" w:eastAsia="x-none"/>
        </w:rPr>
        <w:t>o</w:t>
      </w:r>
      <w:r w:rsidRPr="00BE6F08">
        <w:rPr>
          <w:rFonts w:ascii="Times New Roman" w:eastAsia="Times New Roman" w:hAnsi="Times New Roman" w:cs="Times New Roman"/>
          <w:spacing w:val="-2"/>
          <w:position w:val="-1"/>
          <w:lang w:val="x-none" w:eastAsia="x-none"/>
        </w:rPr>
        <w:t>n</w:t>
      </w:r>
      <w:r w:rsidRPr="00BE6F08">
        <w:rPr>
          <w:rFonts w:ascii="Times New Roman" w:eastAsia="Times New Roman" w:hAnsi="Times New Roman" w:cs="Times New Roman"/>
          <w:position w:val="-1"/>
          <w:lang w:val="x-none" w:eastAsia="x-none"/>
        </w:rPr>
        <w:t>s d</w:t>
      </w:r>
      <w:r w:rsidRPr="00BE6F08">
        <w:rPr>
          <w:rFonts w:ascii="Times New Roman" w:eastAsia="Times New Roman" w:hAnsi="Times New Roman" w:cs="Times New Roman"/>
          <w:spacing w:val="1"/>
          <w:position w:val="-1"/>
          <w:lang w:val="x-none" w:eastAsia="x-none"/>
        </w:rPr>
        <w:t>e</w:t>
      </w:r>
      <w:r w:rsidRPr="00BE6F08">
        <w:rPr>
          <w:rFonts w:ascii="Times New Roman" w:eastAsia="Times New Roman" w:hAnsi="Times New Roman" w:cs="Times New Roman"/>
          <w:spacing w:val="-2"/>
          <w:position w:val="-1"/>
          <w:lang w:val="x-none" w:eastAsia="x-none"/>
        </w:rPr>
        <w:t>s</w:t>
      </w:r>
      <w:r w:rsidRPr="00BE6F08">
        <w:rPr>
          <w:rFonts w:ascii="Times New Roman" w:eastAsia="Times New Roman" w:hAnsi="Times New Roman" w:cs="Times New Roman"/>
          <w:spacing w:val="1"/>
          <w:position w:val="-1"/>
          <w:lang w:val="x-none" w:eastAsia="x-none"/>
        </w:rPr>
        <w:t>i</w:t>
      </w:r>
      <w:r w:rsidRPr="00BE6F08">
        <w:rPr>
          <w:rFonts w:ascii="Times New Roman" w:eastAsia="Times New Roman" w:hAnsi="Times New Roman" w:cs="Times New Roman"/>
          <w:spacing w:val="-2"/>
          <w:position w:val="-1"/>
          <w:lang w:val="x-none" w:eastAsia="x-none"/>
        </w:rPr>
        <w:t>g</w:t>
      </w:r>
      <w:r w:rsidRPr="00BE6F08">
        <w:rPr>
          <w:rFonts w:ascii="Times New Roman" w:eastAsia="Times New Roman" w:hAnsi="Times New Roman" w:cs="Times New Roman"/>
          <w:position w:val="-1"/>
          <w:lang w:val="x-none" w:eastAsia="x-none"/>
        </w:rPr>
        <w:t xml:space="preserve">ned </w:t>
      </w:r>
      <w:r w:rsidRPr="00BE6F08">
        <w:rPr>
          <w:rFonts w:ascii="Times New Roman" w:eastAsia="Times New Roman" w:hAnsi="Times New Roman" w:cs="Times New Roman"/>
          <w:spacing w:val="-1"/>
          <w:position w:val="-1"/>
          <w:lang w:val="x-none" w:eastAsia="x-none"/>
        </w:rPr>
        <w:t>t</w:t>
      </w:r>
      <w:r w:rsidRPr="00BE6F08">
        <w:rPr>
          <w:rFonts w:ascii="Times New Roman" w:eastAsia="Times New Roman" w:hAnsi="Times New Roman" w:cs="Times New Roman"/>
          <w:position w:val="-1"/>
          <w:lang w:val="x-none" w:eastAsia="x-none"/>
        </w:rPr>
        <w:t xml:space="preserve">o </w:t>
      </w:r>
      <w:r w:rsidRPr="00BE6F08">
        <w:rPr>
          <w:rFonts w:ascii="Times New Roman" w:eastAsia="Times New Roman" w:hAnsi="Times New Roman" w:cs="Times New Roman"/>
          <w:spacing w:val="-2"/>
          <w:position w:val="-1"/>
          <w:lang w:val="x-none" w:eastAsia="x-none"/>
        </w:rPr>
        <w:t>s</w:t>
      </w:r>
      <w:r w:rsidRPr="00BE6F08">
        <w:rPr>
          <w:rFonts w:ascii="Times New Roman" w:eastAsia="Times New Roman" w:hAnsi="Times New Roman" w:cs="Times New Roman"/>
          <w:spacing w:val="1"/>
          <w:position w:val="-1"/>
          <w:lang w:val="x-none" w:eastAsia="x-none"/>
        </w:rPr>
        <w:t>tr</w:t>
      </w:r>
      <w:r w:rsidRPr="00BE6F08">
        <w:rPr>
          <w:rFonts w:ascii="Times New Roman" w:eastAsia="Times New Roman" w:hAnsi="Times New Roman" w:cs="Times New Roman"/>
          <w:position w:val="-1"/>
          <w:lang w:val="x-none" w:eastAsia="x-none"/>
        </w:rPr>
        <w:t>en</w:t>
      </w:r>
      <w:r w:rsidRPr="00BE6F08">
        <w:rPr>
          <w:rFonts w:ascii="Times New Roman" w:eastAsia="Times New Roman" w:hAnsi="Times New Roman" w:cs="Times New Roman"/>
          <w:spacing w:val="-2"/>
          <w:position w:val="-1"/>
          <w:lang w:val="x-none" w:eastAsia="x-none"/>
        </w:rPr>
        <w:t>g</w:t>
      </w:r>
      <w:r w:rsidRPr="00BE6F08">
        <w:rPr>
          <w:rFonts w:ascii="Times New Roman" w:eastAsia="Times New Roman" w:hAnsi="Times New Roman" w:cs="Times New Roman"/>
          <w:spacing w:val="1"/>
          <w:position w:val="-1"/>
          <w:lang w:val="x-none" w:eastAsia="x-none"/>
        </w:rPr>
        <w:t>t</w:t>
      </w:r>
      <w:r w:rsidRPr="00BE6F08">
        <w:rPr>
          <w:rFonts w:ascii="Times New Roman" w:eastAsia="Times New Roman" w:hAnsi="Times New Roman" w:cs="Times New Roman"/>
          <w:spacing w:val="-2"/>
          <w:position w:val="-1"/>
          <w:lang w:val="x-none" w:eastAsia="x-none"/>
        </w:rPr>
        <w:t>h</w:t>
      </w:r>
      <w:r w:rsidRPr="00BE6F08">
        <w:rPr>
          <w:rFonts w:ascii="Times New Roman" w:eastAsia="Times New Roman" w:hAnsi="Times New Roman" w:cs="Times New Roman"/>
          <w:position w:val="-1"/>
          <w:lang w:val="x-none" w:eastAsia="x-none"/>
        </w:rPr>
        <w:t xml:space="preserve">en </w:t>
      </w:r>
      <w:r w:rsidRPr="00BE6F08">
        <w:rPr>
          <w:rFonts w:ascii="Times New Roman" w:eastAsia="Times New Roman" w:hAnsi="Times New Roman" w:cs="Times New Roman"/>
          <w:spacing w:val="-1"/>
          <w:position w:val="-1"/>
          <w:lang w:val="x-none" w:eastAsia="x-none"/>
        </w:rPr>
        <w:t>t</w:t>
      </w:r>
      <w:r w:rsidRPr="00BE6F08">
        <w:rPr>
          <w:rFonts w:ascii="Times New Roman" w:eastAsia="Times New Roman" w:hAnsi="Times New Roman" w:cs="Times New Roman"/>
          <w:position w:val="-1"/>
          <w:lang w:val="x-none" w:eastAsia="x-none"/>
        </w:rPr>
        <w:t xml:space="preserve">he </w:t>
      </w:r>
      <w:r w:rsidRPr="00BE6F08">
        <w:rPr>
          <w:rFonts w:ascii="Times New Roman" w:eastAsia="Times New Roman" w:hAnsi="Times New Roman" w:cs="Times New Roman"/>
          <w:spacing w:val="1"/>
          <w:position w:val="-1"/>
          <w:lang w:val="x-none" w:eastAsia="x-none"/>
        </w:rPr>
        <w:t>s</w:t>
      </w:r>
      <w:r w:rsidRPr="00BE6F08">
        <w:rPr>
          <w:rFonts w:ascii="Times New Roman" w:eastAsia="Times New Roman" w:hAnsi="Times New Roman" w:cs="Times New Roman"/>
          <w:spacing w:val="-2"/>
          <w:position w:val="-1"/>
          <w:lang w:val="x-none" w:eastAsia="x-none"/>
        </w:rPr>
        <w:t>y</w:t>
      </w:r>
      <w:r w:rsidRPr="00BE6F08">
        <w:rPr>
          <w:rFonts w:ascii="Times New Roman" w:eastAsia="Times New Roman" w:hAnsi="Times New Roman" w:cs="Times New Roman"/>
          <w:position w:val="-1"/>
          <w:lang w:val="x-none" w:eastAsia="x-none"/>
        </w:rPr>
        <w:t>s</w:t>
      </w:r>
      <w:r w:rsidRPr="00BE6F08">
        <w:rPr>
          <w:rFonts w:ascii="Times New Roman" w:eastAsia="Times New Roman" w:hAnsi="Times New Roman" w:cs="Times New Roman"/>
          <w:spacing w:val="-1"/>
          <w:position w:val="-1"/>
          <w:lang w:val="x-none" w:eastAsia="x-none"/>
        </w:rPr>
        <w:t>t</w:t>
      </w:r>
      <w:r w:rsidRPr="00BE6F08">
        <w:rPr>
          <w:rFonts w:ascii="Times New Roman" w:eastAsia="Times New Roman" w:hAnsi="Times New Roman" w:cs="Times New Roman"/>
          <w:position w:val="-1"/>
          <w:lang w:val="x-none" w:eastAsia="x-none"/>
        </w:rPr>
        <w:t>e</w:t>
      </w:r>
      <w:r w:rsidRPr="00BE6F08">
        <w:rPr>
          <w:rFonts w:ascii="Times New Roman" w:eastAsia="Times New Roman" w:hAnsi="Times New Roman" w:cs="Times New Roman"/>
          <w:spacing w:val="-3"/>
          <w:position w:val="-1"/>
          <w:lang w:val="x-none" w:eastAsia="x-none"/>
        </w:rPr>
        <w:t>m</w:t>
      </w:r>
      <w:r w:rsidRPr="00BE6F08">
        <w:rPr>
          <w:rFonts w:ascii="Times New Roman" w:eastAsia="Times New Roman" w:hAnsi="Times New Roman" w:cs="Times New Roman"/>
          <w:position w:val="-1"/>
          <w:lang w:val="x-none" w:eastAsia="x-none"/>
        </w:rPr>
        <w:t>.</w:t>
      </w:r>
      <w:bookmarkStart w:id="42" w:name="_Toc489183681"/>
      <w:bookmarkStart w:id="43" w:name="_Toc496454563"/>
    </w:p>
    <w:p w14:paraId="2237B39F" w14:textId="77777777" w:rsidR="002D09BA" w:rsidRDefault="002D09BA" w:rsidP="00CA0715">
      <w:pPr>
        <w:spacing w:before="120" w:after="120" w:line="240" w:lineRule="auto"/>
        <w:ind w:left="720"/>
        <w:contextualSpacing/>
        <w:jc w:val="both"/>
        <w:rPr>
          <w:rStyle w:val="Heading21"/>
        </w:rPr>
      </w:pPr>
    </w:p>
    <w:p w14:paraId="2246419F" w14:textId="746BAF88" w:rsidR="00847853" w:rsidRDefault="003E2BD8" w:rsidP="00CA0715">
      <w:pPr>
        <w:spacing w:before="120" w:after="120" w:line="240" w:lineRule="auto"/>
        <w:contextualSpacing/>
        <w:jc w:val="both"/>
        <w:rPr>
          <w:rStyle w:val="Heading21"/>
        </w:rPr>
      </w:pPr>
      <w:r w:rsidRPr="00131AC2">
        <w:rPr>
          <w:rStyle w:val="Heading21"/>
        </w:rPr>
        <w:t xml:space="preserve">5.1 </w:t>
      </w:r>
      <w:r w:rsidR="00847853" w:rsidRPr="00131AC2">
        <w:rPr>
          <w:rStyle w:val="Heading21"/>
        </w:rPr>
        <w:t xml:space="preserve">Findings of Management of </w:t>
      </w:r>
      <w:r w:rsidR="005708AB" w:rsidRPr="00131AC2">
        <w:rPr>
          <w:rStyle w:val="Heading21"/>
        </w:rPr>
        <w:t xml:space="preserve">the Program’s </w:t>
      </w:r>
      <w:r w:rsidR="00847853" w:rsidRPr="00131AC2">
        <w:rPr>
          <w:rStyle w:val="Heading21"/>
        </w:rPr>
        <w:t xml:space="preserve">Environmental Impacts </w:t>
      </w:r>
      <w:r w:rsidR="005708AB" w:rsidRPr="00131AC2">
        <w:rPr>
          <w:rStyle w:val="Heading21"/>
        </w:rPr>
        <w:t>and Risks</w:t>
      </w:r>
      <w:bookmarkEnd w:id="40"/>
      <w:bookmarkEnd w:id="41"/>
      <w:bookmarkEnd w:id="42"/>
      <w:bookmarkEnd w:id="43"/>
    </w:p>
    <w:p w14:paraId="6239DF2D" w14:textId="77777777" w:rsidR="006F431D" w:rsidRPr="00102193" w:rsidRDefault="006F431D" w:rsidP="00CA0715">
      <w:pPr>
        <w:spacing w:before="120" w:after="120" w:line="240" w:lineRule="auto"/>
        <w:contextualSpacing/>
        <w:jc w:val="both"/>
        <w:rPr>
          <w:rStyle w:val="Heading21"/>
        </w:rPr>
      </w:pPr>
    </w:p>
    <w:p w14:paraId="4DDEAADA" w14:textId="77777777" w:rsidR="006B3AE0" w:rsidRDefault="005708AB" w:rsidP="00CA0715">
      <w:pPr>
        <w:spacing w:before="120" w:after="120" w:line="240" w:lineRule="auto"/>
        <w:jc w:val="both"/>
        <w:rPr>
          <w:rFonts w:ascii="Times New Roman" w:eastAsia="Calibri" w:hAnsi="Times New Roman" w:cs="Times New Roman"/>
        </w:rPr>
      </w:pPr>
      <w:r w:rsidRPr="00CE4F32">
        <w:rPr>
          <w:rFonts w:ascii="Times New Roman" w:eastAsia="Calibri" w:hAnsi="Times New Roman" w:cs="Times New Roman"/>
        </w:rPr>
        <w:t xml:space="preserve">The ESSA Team’s assessment of country’s EA Systems and Regulations </w:t>
      </w:r>
      <w:r w:rsidR="00C50A02" w:rsidRPr="00CE4F32">
        <w:rPr>
          <w:rFonts w:ascii="Times New Roman" w:eastAsia="Calibri" w:hAnsi="Times New Roman" w:cs="Times New Roman"/>
        </w:rPr>
        <w:t>reveals that there are clear regulations, good procedures, sectoral guidelines and systems in place to (i) screen subprojects for potential environmental and social impacts; (ii) determine the level of environmental and social analysis and specific plan to be prepared based on the outcomes of the screening; (iii) review the results of the assessment and plan and clear environmental permitting process; (iv) monitoring and follow-up; and, (v) penalty and sanctions for violations and infractions to the system.</w:t>
      </w:r>
    </w:p>
    <w:p w14:paraId="43C924B1" w14:textId="3F7C3C99" w:rsidR="006B3AE0" w:rsidRPr="006B3AE0" w:rsidRDefault="006B3AE0" w:rsidP="00CA0715">
      <w:pPr>
        <w:spacing w:before="120" w:after="120" w:line="240" w:lineRule="auto"/>
        <w:jc w:val="both"/>
        <w:rPr>
          <w:rFonts w:ascii="Times New Roman" w:eastAsia="Calibri" w:hAnsi="Times New Roman" w:cs="Times New Roman"/>
          <w:b/>
          <w:color w:val="000000"/>
        </w:rPr>
      </w:pPr>
      <w:r w:rsidRPr="006B3AE0">
        <w:rPr>
          <w:rFonts w:ascii="Times New Roman" w:eastAsia="Calibri" w:hAnsi="Times New Roman" w:cs="Times New Roman"/>
          <w:b/>
          <w:color w:val="000000"/>
        </w:rPr>
        <w:t>Environmental and Social Screening</w:t>
      </w:r>
    </w:p>
    <w:p w14:paraId="5BF7F02C" w14:textId="3CEDB8E1" w:rsidR="00D86E09" w:rsidRPr="00CE4F32" w:rsidRDefault="00847853" w:rsidP="00CA0715">
      <w:pPr>
        <w:spacing w:before="120" w:after="120" w:line="240" w:lineRule="auto"/>
        <w:jc w:val="both"/>
        <w:rPr>
          <w:rFonts w:ascii="Times New Roman" w:eastAsia="Calibri" w:hAnsi="Times New Roman" w:cs="Times New Roman"/>
          <w:color w:val="000000"/>
        </w:rPr>
      </w:pPr>
      <w:r w:rsidRPr="00CE4F32">
        <w:rPr>
          <w:rFonts w:ascii="Times New Roman" w:eastAsia="Calibri" w:hAnsi="Times New Roman" w:cs="Times New Roman"/>
          <w:color w:val="000000"/>
        </w:rPr>
        <w:t xml:space="preserve">All </w:t>
      </w:r>
      <w:r w:rsidR="00D86E09" w:rsidRPr="00CE4F32">
        <w:rPr>
          <w:rFonts w:ascii="Times New Roman" w:eastAsia="Calibri" w:hAnsi="Times New Roman" w:cs="Times New Roman"/>
          <w:color w:val="000000"/>
        </w:rPr>
        <w:t xml:space="preserve">proposed </w:t>
      </w:r>
      <w:r w:rsidRPr="00CE4F32">
        <w:rPr>
          <w:rFonts w:ascii="Times New Roman" w:eastAsia="Calibri" w:hAnsi="Times New Roman" w:cs="Times New Roman"/>
          <w:color w:val="000000"/>
        </w:rPr>
        <w:t xml:space="preserve">subprojects are subject to environmental </w:t>
      </w:r>
      <w:r w:rsidR="00D86E09" w:rsidRPr="00CE4F32">
        <w:rPr>
          <w:rFonts w:ascii="Times New Roman" w:eastAsia="Calibri" w:hAnsi="Times New Roman" w:cs="Times New Roman"/>
          <w:color w:val="000000"/>
        </w:rPr>
        <w:t xml:space="preserve">and social </w:t>
      </w:r>
      <w:r w:rsidRPr="00CE4F32">
        <w:rPr>
          <w:rFonts w:ascii="Times New Roman" w:eastAsia="Calibri" w:hAnsi="Times New Roman" w:cs="Times New Roman"/>
          <w:color w:val="000000"/>
        </w:rPr>
        <w:t xml:space="preserve">screening to decide if a proposed </w:t>
      </w:r>
      <w:r w:rsidR="00D86E09" w:rsidRPr="00CE4F32">
        <w:rPr>
          <w:rFonts w:ascii="Times New Roman" w:eastAsia="Calibri" w:hAnsi="Times New Roman" w:cs="Times New Roman"/>
          <w:color w:val="000000"/>
        </w:rPr>
        <w:t>sub</w:t>
      </w:r>
      <w:r w:rsidRPr="00CE4F32">
        <w:rPr>
          <w:rFonts w:ascii="Times New Roman" w:eastAsia="Calibri" w:hAnsi="Times New Roman" w:cs="Times New Roman"/>
          <w:color w:val="000000"/>
        </w:rPr>
        <w:t xml:space="preserve">project requires a full EIA, preliminary </w:t>
      </w:r>
      <w:r w:rsidR="00D86E09" w:rsidRPr="00CE4F32">
        <w:rPr>
          <w:rFonts w:ascii="Times New Roman" w:eastAsia="Calibri" w:hAnsi="Times New Roman" w:cs="Times New Roman"/>
          <w:color w:val="000000"/>
        </w:rPr>
        <w:t>environmental report with ESMP</w:t>
      </w:r>
      <w:r w:rsidRPr="00CE4F32">
        <w:rPr>
          <w:rFonts w:ascii="Times New Roman" w:eastAsia="Calibri" w:hAnsi="Times New Roman" w:cs="Times New Roman"/>
          <w:color w:val="000000"/>
        </w:rPr>
        <w:t>, or no environmental assessment is needed. The</w:t>
      </w:r>
      <w:r w:rsidR="00D86E09" w:rsidRPr="00CE4F32">
        <w:rPr>
          <w:rFonts w:ascii="Times New Roman" w:eastAsia="Calibri" w:hAnsi="Times New Roman" w:cs="Times New Roman"/>
          <w:color w:val="000000"/>
        </w:rPr>
        <w:t xml:space="preserve"> MMAs use LI 1652 (Schedule 1, Schedule 2 and Schedule 3), various EA Sectoral Guidelines</w:t>
      </w:r>
      <w:r w:rsidRPr="00CE4F32">
        <w:rPr>
          <w:rFonts w:ascii="Times New Roman" w:eastAsia="Calibri" w:hAnsi="Times New Roman" w:cs="Times New Roman"/>
          <w:color w:val="000000"/>
        </w:rPr>
        <w:t xml:space="preserve"> </w:t>
      </w:r>
      <w:r w:rsidR="00D86E09" w:rsidRPr="00CE4F32">
        <w:rPr>
          <w:rFonts w:ascii="Times New Roman" w:eastAsia="Calibri" w:hAnsi="Times New Roman" w:cs="Times New Roman"/>
          <w:color w:val="000000"/>
        </w:rPr>
        <w:t>issued by the EPA and the screening form developed under LGCSP to screen subprojects at the earliest stage</w:t>
      </w:r>
      <w:r w:rsidRPr="00CE4F32">
        <w:rPr>
          <w:rFonts w:ascii="Times New Roman" w:eastAsia="Calibri" w:hAnsi="Times New Roman" w:cs="Times New Roman"/>
          <w:color w:val="000000"/>
        </w:rPr>
        <w:t xml:space="preserve">. </w:t>
      </w:r>
    </w:p>
    <w:p w14:paraId="51C5B454" w14:textId="77777777" w:rsidR="00D86E09" w:rsidRPr="00CE4F32" w:rsidRDefault="00847853" w:rsidP="00CA0715">
      <w:pPr>
        <w:spacing w:before="120" w:after="120" w:line="240" w:lineRule="auto"/>
        <w:jc w:val="both"/>
        <w:rPr>
          <w:rFonts w:ascii="Times New Roman" w:eastAsia="Calibri" w:hAnsi="Times New Roman" w:cs="Times New Roman"/>
          <w:color w:val="000000"/>
        </w:rPr>
      </w:pPr>
      <w:r w:rsidRPr="00CE4F32">
        <w:rPr>
          <w:rFonts w:ascii="Times New Roman" w:eastAsia="Calibri" w:hAnsi="Times New Roman" w:cs="Times New Roman"/>
          <w:color w:val="000000"/>
        </w:rPr>
        <w:t xml:space="preserve">Both the World Bank </w:t>
      </w:r>
      <w:r w:rsidR="00D86E09" w:rsidRPr="00CE4F32">
        <w:rPr>
          <w:rFonts w:ascii="Times New Roman" w:eastAsia="Calibri" w:hAnsi="Times New Roman" w:cs="Times New Roman"/>
          <w:color w:val="000000"/>
        </w:rPr>
        <w:t>OP 4.1 and LI 1652 c</w:t>
      </w:r>
      <w:r w:rsidRPr="00CE4F32">
        <w:rPr>
          <w:rFonts w:ascii="Times New Roman" w:eastAsia="Calibri" w:hAnsi="Times New Roman" w:cs="Times New Roman"/>
          <w:color w:val="000000"/>
        </w:rPr>
        <w:t xml:space="preserve">ategorize subprojects into three; i.e. </w:t>
      </w:r>
      <w:r w:rsidR="00D86E09" w:rsidRPr="00CE4F32">
        <w:rPr>
          <w:rFonts w:ascii="Times New Roman" w:eastAsia="Calibri" w:hAnsi="Times New Roman" w:cs="Times New Roman"/>
          <w:color w:val="000000"/>
        </w:rPr>
        <w:t>Schedule 2 of LI 1652 (</w:t>
      </w:r>
      <w:r w:rsidRPr="00CE4F32">
        <w:rPr>
          <w:rFonts w:ascii="Times New Roman" w:eastAsia="Calibri" w:hAnsi="Times New Roman" w:cs="Times New Roman"/>
          <w:color w:val="000000"/>
        </w:rPr>
        <w:t>Category A</w:t>
      </w:r>
      <w:r w:rsidR="00D86E09" w:rsidRPr="00CE4F32">
        <w:rPr>
          <w:rFonts w:ascii="Times New Roman" w:eastAsia="Calibri" w:hAnsi="Times New Roman" w:cs="Times New Roman"/>
          <w:color w:val="000000"/>
        </w:rPr>
        <w:t xml:space="preserve"> under WB)</w:t>
      </w:r>
      <w:r w:rsidRPr="00CE4F32">
        <w:rPr>
          <w:rFonts w:ascii="Times New Roman" w:eastAsia="Calibri" w:hAnsi="Times New Roman" w:cs="Times New Roman"/>
          <w:color w:val="000000"/>
        </w:rPr>
        <w:t xml:space="preserve">, </w:t>
      </w:r>
      <w:r w:rsidR="00D86E09" w:rsidRPr="00CE4F32">
        <w:rPr>
          <w:rFonts w:ascii="Times New Roman" w:eastAsia="Calibri" w:hAnsi="Times New Roman" w:cs="Times New Roman"/>
          <w:color w:val="000000"/>
        </w:rPr>
        <w:t>Schedule 1 of LI 1652 (Category B under WB). Those not falling within Schedule 1 or Schedule 2 are outside the purview of LI 1652 and hence, are no covered and not required any assessment beyond screening (Category C under WB)</w:t>
      </w:r>
      <w:r w:rsidRPr="00CE4F32">
        <w:rPr>
          <w:rFonts w:ascii="Times New Roman" w:eastAsia="Calibri" w:hAnsi="Times New Roman" w:cs="Times New Roman"/>
          <w:color w:val="000000"/>
        </w:rPr>
        <w:t xml:space="preserve">. </w:t>
      </w:r>
    </w:p>
    <w:p w14:paraId="28A3ED62" w14:textId="77777777" w:rsidR="00D86E09" w:rsidRPr="00CE4F32" w:rsidRDefault="003A5523" w:rsidP="00CA0715">
      <w:pPr>
        <w:spacing w:before="120" w:after="120" w:line="240" w:lineRule="auto"/>
        <w:jc w:val="both"/>
        <w:rPr>
          <w:rFonts w:ascii="Times New Roman" w:eastAsia="Calibri" w:hAnsi="Times New Roman" w:cs="Times New Roman"/>
          <w:color w:val="000000"/>
        </w:rPr>
      </w:pPr>
      <w:r w:rsidRPr="00CE4F32">
        <w:rPr>
          <w:rFonts w:ascii="Times New Roman" w:eastAsia="Calibri" w:hAnsi="Times New Roman" w:cs="Times New Roman"/>
          <w:color w:val="000000"/>
        </w:rPr>
        <w:t xml:space="preserve">Schedule 1 subprojects are required to prepare a preliminary environmental report with environmental and social measures, while Schedule 2 subprojects are required to prepare and submit ESIA, which will be subject to consultations and public hearing. Consultations for Schedule 2 subprojects start from scoping and TOR drafting to when the draft ESIA report is made available to the public. </w:t>
      </w:r>
    </w:p>
    <w:p w14:paraId="33D68D89" w14:textId="77777777" w:rsidR="003A5523" w:rsidRPr="00CE4F32" w:rsidRDefault="003A5523" w:rsidP="00CA0715">
      <w:pPr>
        <w:spacing w:before="120" w:after="120" w:line="240" w:lineRule="auto"/>
        <w:jc w:val="both"/>
        <w:rPr>
          <w:rFonts w:ascii="Times New Roman" w:hAnsi="Times New Roman" w:cs="Times New Roman"/>
        </w:rPr>
      </w:pPr>
      <w:r w:rsidRPr="00CE4F32">
        <w:rPr>
          <w:rFonts w:ascii="Times New Roman" w:eastAsia="Calibri" w:hAnsi="Times New Roman" w:cs="Times New Roman"/>
          <w:color w:val="000000"/>
        </w:rPr>
        <w:t>There are eight EA sectoral guidelines issued by the EPA with support from the Netherlands Environmental Assessment Commission to guide proponents and developers in the screening of their subprojects, preparing relevant assessments and plans and processing the environmental permit application. One of the key EA sectoral guidelines that is relevant to the Program is the</w:t>
      </w:r>
      <w:r w:rsidRPr="00CE4F32">
        <w:rPr>
          <w:rFonts w:ascii="Times New Roman" w:hAnsi="Times New Roman" w:cs="Times New Roman"/>
        </w:rPr>
        <w:t xml:space="preserve"> 2011 EA Sectoral Guidelines for General Construction and Services Sector that cover most of the activities under the Program, including housing and residential buildings, educational, institutional and research facilities, cultural, health, religious, government and public offices, commercial buildings, industrial buildings, recreational and entertainment, transportation, water and sanitation and communications services. The guidelines basically cover almost all types of works and services that the Program will support.   </w:t>
      </w:r>
    </w:p>
    <w:p w14:paraId="49009ECE" w14:textId="77777777" w:rsidR="003A5523" w:rsidRPr="00CE4F32" w:rsidRDefault="003A5523" w:rsidP="00CA0715">
      <w:pPr>
        <w:spacing w:before="120" w:after="120" w:line="240" w:lineRule="auto"/>
        <w:jc w:val="both"/>
        <w:rPr>
          <w:rFonts w:ascii="Times New Roman" w:hAnsi="Times New Roman" w:cs="Times New Roman"/>
        </w:rPr>
      </w:pPr>
      <w:r w:rsidRPr="00CE4F32">
        <w:rPr>
          <w:rFonts w:ascii="Times New Roman" w:hAnsi="Times New Roman" w:cs="Times New Roman"/>
        </w:rPr>
        <w:t xml:space="preserve">Having said the above, the ESSA team noted a weakness in the Ghana’s EA </w:t>
      </w:r>
      <w:r w:rsidR="00B95AD4" w:rsidRPr="00CE4F32">
        <w:rPr>
          <w:rFonts w:ascii="Times New Roman" w:hAnsi="Times New Roman" w:cs="Times New Roman"/>
        </w:rPr>
        <w:t xml:space="preserve">screening, which is based on threshold instead of using an impact-based approach. Thus, there are subprojects under the Program, which, by virtue of their small scale and rehabilitation in nature, are not required to prepare any assessment or plan beyond screening. Some of the subprojects that are outside LI 1652 and are not required to do an assessment and plan include rehabilitation or re-sealing of a few km road, construction of public markets, commercial centers, schools/classrooms and offices. This weakness needs to be addressed in the Program by improving the screening form and process and the EA Sectoral Guidelines for General Construction and Services Sector. </w:t>
      </w:r>
    </w:p>
    <w:p w14:paraId="6E7923D5" w14:textId="1DBEB3E2" w:rsidR="006B3AE0" w:rsidRPr="006B3AE0" w:rsidRDefault="006B3AE0" w:rsidP="00CA0715">
      <w:pPr>
        <w:autoSpaceDE w:val="0"/>
        <w:autoSpaceDN w:val="0"/>
        <w:adjustRightInd w:val="0"/>
        <w:spacing w:before="120" w:after="120" w:line="240" w:lineRule="auto"/>
        <w:jc w:val="both"/>
        <w:rPr>
          <w:rFonts w:ascii="Times New Roman" w:eastAsia="Calibri" w:hAnsi="Times New Roman" w:cs="Times New Roman"/>
          <w:b/>
        </w:rPr>
      </w:pPr>
      <w:r w:rsidRPr="006B3AE0">
        <w:rPr>
          <w:rFonts w:ascii="Times New Roman" w:eastAsia="Calibri" w:hAnsi="Times New Roman" w:cs="Times New Roman"/>
          <w:b/>
        </w:rPr>
        <w:t xml:space="preserve">Analysis </w:t>
      </w:r>
      <w:r w:rsidRPr="006B3AE0">
        <w:rPr>
          <w:rFonts w:ascii="Times New Roman" w:eastAsia="Calibri" w:hAnsi="Times New Roman" w:cs="Times New Roman"/>
          <w:b/>
          <w:lang w:val="x-none" w:eastAsia="x-none"/>
        </w:rPr>
        <w:t>and avoidance of</w:t>
      </w:r>
      <w:r w:rsidRPr="006B3AE0">
        <w:rPr>
          <w:rFonts w:ascii="Times New Roman" w:eastAsia="Calibri" w:hAnsi="Times New Roman" w:cs="Times New Roman"/>
          <w:b/>
          <w:lang w:eastAsia="x-none"/>
        </w:rPr>
        <w:t xml:space="preserve"> impact on </w:t>
      </w:r>
      <w:r w:rsidRPr="006B3AE0">
        <w:rPr>
          <w:rFonts w:ascii="Times New Roman" w:eastAsia="Calibri" w:hAnsi="Times New Roman" w:cs="Times New Roman"/>
          <w:b/>
          <w:lang w:val="x-none" w:eastAsia="x-none"/>
        </w:rPr>
        <w:t>natural habitat</w:t>
      </w:r>
      <w:r w:rsidRPr="006B3AE0">
        <w:rPr>
          <w:rFonts w:ascii="Times New Roman" w:eastAsia="Calibri" w:hAnsi="Times New Roman" w:cs="Times New Roman"/>
          <w:b/>
          <w:lang w:eastAsia="x-none"/>
        </w:rPr>
        <w:t>s</w:t>
      </w:r>
      <w:r w:rsidRPr="006B3AE0">
        <w:rPr>
          <w:rFonts w:ascii="Times New Roman" w:eastAsia="Calibri" w:hAnsi="Times New Roman" w:cs="Times New Roman"/>
          <w:b/>
          <w:lang w:val="x-none" w:eastAsia="x-none"/>
        </w:rPr>
        <w:t xml:space="preserve"> and cultural sites</w:t>
      </w:r>
    </w:p>
    <w:p w14:paraId="1F3E473D" w14:textId="64355E8D" w:rsidR="00B95AD4" w:rsidRPr="00CE4F32" w:rsidRDefault="00B95AD4" w:rsidP="00CA0715">
      <w:pPr>
        <w:autoSpaceDE w:val="0"/>
        <w:autoSpaceDN w:val="0"/>
        <w:adjustRightInd w:val="0"/>
        <w:spacing w:before="120" w:after="120" w:line="240" w:lineRule="auto"/>
        <w:jc w:val="both"/>
        <w:rPr>
          <w:rFonts w:ascii="Times New Roman" w:eastAsia="Calibri" w:hAnsi="Times New Roman" w:cs="Times New Roman"/>
        </w:rPr>
      </w:pPr>
      <w:r w:rsidRPr="00CE4F32">
        <w:rPr>
          <w:rFonts w:ascii="Times New Roman" w:eastAsia="Calibri" w:hAnsi="Times New Roman" w:cs="Times New Roman"/>
        </w:rPr>
        <w:t>As most subprojects only involve rehabilitation, expansion or extension within existing ROW and premises, adverse impacts on natural habitats and cultural resources are basically minimized, if not avoided. In addition, per LGCSP experience, MMAs avoid or not prioritized subprojects that would have adverse impacts on natural habitats and cultural resources to avoid the lengthy and expensive process of assessment</w:t>
      </w:r>
      <w:r w:rsidR="00855CF3" w:rsidRPr="00CE4F32">
        <w:rPr>
          <w:rFonts w:ascii="Times New Roman" w:eastAsia="Calibri" w:hAnsi="Times New Roman" w:cs="Times New Roman"/>
        </w:rPr>
        <w:t xml:space="preserve"> and run the risk of missing the deadline and not meeting the targets and conditions for the next cycle of fund release.</w:t>
      </w:r>
      <w:r w:rsidRPr="00CE4F32">
        <w:rPr>
          <w:rFonts w:ascii="Times New Roman" w:eastAsia="Calibri" w:hAnsi="Times New Roman" w:cs="Times New Roman"/>
        </w:rPr>
        <w:t xml:space="preserve"> </w:t>
      </w:r>
    </w:p>
    <w:p w14:paraId="333FAC01" w14:textId="114AF23F" w:rsidR="00855CF3" w:rsidRPr="00CE4F32" w:rsidRDefault="00855CF3" w:rsidP="00CA0715">
      <w:pPr>
        <w:autoSpaceDE w:val="0"/>
        <w:autoSpaceDN w:val="0"/>
        <w:adjustRightInd w:val="0"/>
        <w:spacing w:before="120" w:after="120" w:line="240" w:lineRule="auto"/>
        <w:jc w:val="both"/>
        <w:rPr>
          <w:rFonts w:ascii="Times New Roman" w:eastAsia="Calibri" w:hAnsi="Times New Roman" w:cs="Times New Roman"/>
        </w:rPr>
      </w:pPr>
      <w:r w:rsidRPr="00CE4F32">
        <w:rPr>
          <w:rFonts w:ascii="Times New Roman" w:eastAsia="Calibri" w:hAnsi="Times New Roman" w:cs="Times New Roman"/>
        </w:rPr>
        <w:t>Schedule 3 of LI 1652 (subprojects that affect natural habitats and cultural resources) seems to have been stringently applied by the EPA, hence MMAs are trying to avoid subprojects that would fall under Schedule 3 of LI 1652.</w:t>
      </w:r>
    </w:p>
    <w:p w14:paraId="2CB668B9" w14:textId="28DF3575" w:rsidR="00847853" w:rsidRPr="00CE4F32" w:rsidRDefault="00847853" w:rsidP="00CA0715">
      <w:pPr>
        <w:tabs>
          <w:tab w:val="left" w:pos="2138"/>
        </w:tabs>
        <w:autoSpaceDE w:val="0"/>
        <w:autoSpaceDN w:val="0"/>
        <w:adjustRightInd w:val="0"/>
        <w:spacing w:before="120" w:after="120" w:line="240" w:lineRule="auto"/>
        <w:jc w:val="both"/>
        <w:rPr>
          <w:rFonts w:ascii="Times New Roman" w:eastAsia="Calibri" w:hAnsi="Times New Roman" w:cs="Times New Roman"/>
          <w:b/>
          <w:lang w:val="x-none" w:eastAsia="x-none"/>
        </w:rPr>
      </w:pPr>
      <w:bookmarkStart w:id="44" w:name="_Toc488568688"/>
      <w:bookmarkStart w:id="45" w:name="_Toc489183684"/>
      <w:bookmarkStart w:id="46" w:name="_Toc496454566"/>
      <w:r w:rsidRPr="00CE4F32">
        <w:rPr>
          <w:rFonts w:ascii="Times New Roman" w:eastAsia="Calibri" w:hAnsi="Times New Roman" w:cs="Times New Roman"/>
          <w:b/>
          <w:lang w:val="x-none" w:eastAsia="x-none"/>
        </w:rPr>
        <w:t>Assessment of impacts and identification of mitigation measures.</w:t>
      </w:r>
      <w:bookmarkEnd w:id="44"/>
      <w:bookmarkEnd w:id="45"/>
      <w:bookmarkEnd w:id="46"/>
      <w:r w:rsidRPr="00CE4F32">
        <w:rPr>
          <w:rFonts w:ascii="Times New Roman" w:eastAsia="Calibri" w:hAnsi="Times New Roman" w:cs="Times New Roman"/>
          <w:b/>
          <w:lang w:val="x-none" w:eastAsia="x-none"/>
        </w:rPr>
        <w:t xml:space="preserve">  </w:t>
      </w:r>
    </w:p>
    <w:p w14:paraId="6CDC4A2F" w14:textId="6DF51E9A" w:rsidR="00240D05" w:rsidRPr="00CE4F32" w:rsidRDefault="00240D05" w:rsidP="00CA0715">
      <w:pPr>
        <w:autoSpaceDE w:val="0"/>
        <w:autoSpaceDN w:val="0"/>
        <w:adjustRightInd w:val="0"/>
        <w:spacing w:before="120" w:after="120" w:line="240" w:lineRule="auto"/>
        <w:jc w:val="both"/>
        <w:rPr>
          <w:rFonts w:ascii="Times New Roman" w:hAnsi="Times New Roman" w:cs="Times New Roman"/>
          <w:color w:val="FF0000"/>
        </w:rPr>
      </w:pPr>
      <w:r w:rsidRPr="00CE4F32">
        <w:rPr>
          <w:rFonts w:ascii="Times New Roman" w:eastAsia="Calibri" w:hAnsi="Times New Roman" w:cs="Times New Roman"/>
        </w:rPr>
        <w:t xml:space="preserve">For subprojects falling under Schedule 1 LI 1652, preliminary environmental reports (PERs) </w:t>
      </w:r>
      <w:r w:rsidR="009F32AC" w:rsidRPr="00CE4F32">
        <w:rPr>
          <w:rFonts w:ascii="Times New Roman" w:eastAsia="Calibri" w:hAnsi="Times New Roman" w:cs="Times New Roman"/>
        </w:rPr>
        <w:t xml:space="preserve">and ESMPs </w:t>
      </w:r>
      <w:r w:rsidRPr="00CE4F32">
        <w:rPr>
          <w:rFonts w:ascii="Times New Roman" w:eastAsia="Calibri" w:hAnsi="Times New Roman" w:cs="Times New Roman"/>
        </w:rPr>
        <w:t>have been prepared by MMA</w:t>
      </w:r>
      <w:r w:rsidR="008E0AD1" w:rsidRPr="00CE4F32">
        <w:rPr>
          <w:rFonts w:ascii="Times New Roman" w:eastAsia="Calibri" w:hAnsi="Times New Roman" w:cs="Times New Roman"/>
        </w:rPr>
        <w:t>s</w:t>
      </w:r>
      <w:r w:rsidRPr="00CE4F32">
        <w:rPr>
          <w:rFonts w:ascii="Times New Roman" w:eastAsia="Calibri" w:hAnsi="Times New Roman" w:cs="Times New Roman"/>
        </w:rPr>
        <w:t xml:space="preserve"> with the help of consultants. The PERs include mitigation measures t</w:t>
      </w:r>
      <w:r w:rsidR="009F32AC" w:rsidRPr="00CE4F32">
        <w:rPr>
          <w:rFonts w:ascii="Times New Roman" w:eastAsia="Calibri" w:hAnsi="Times New Roman" w:cs="Times New Roman"/>
        </w:rPr>
        <w:t>o</w:t>
      </w:r>
      <w:r w:rsidRPr="00CE4F32">
        <w:rPr>
          <w:rFonts w:ascii="Times New Roman" w:eastAsia="Calibri" w:hAnsi="Times New Roman" w:cs="Times New Roman"/>
        </w:rPr>
        <w:t xml:space="preserve"> address and manage environmental and social impacts identified in the preliminary assessment.</w:t>
      </w:r>
      <w:r w:rsidR="009F32AC" w:rsidRPr="00CE4F32">
        <w:rPr>
          <w:rFonts w:ascii="Times New Roman" w:eastAsia="Calibri" w:hAnsi="Times New Roman" w:cs="Times New Roman"/>
        </w:rPr>
        <w:t xml:space="preserve"> PERs/ESMPs were prepared for some medium-scale subprojects but there were also many similar types  </w:t>
      </w:r>
      <w:r w:rsidR="009F32AC" w:rsidRPr="00CE4F32">
        <w:rPr>
          <w:rFonts w:ascii="Times New Roman" w:eastAsia="Calibri" w:hAnsi="Times New Roman" w:cs="Times New Roman"/>
          <w:color w:val="000000" w:themeColor="text1"/>
        </w:rPr>
        <w:t>that</w:t>
      </w:r>
      <w:r w:rsidRPr="00CE4F32">
        <w:rPr>
          <w:rFonts w:ascii="Times New Roman" w:hAnsi="Times New Roman" w:cs="Times New Roman"/>
          <w:color w:val="000000" w:themeColor="text1"/>
        </w:rPr>
        <w:t xml:space="preserve"> did not have any ESMPs</w:t>
      </w:r>
      <w:r w:rsidR="009F32AC" w:rsidRPr="00CE4F32">
        <w:rPr>
          <w:rFonts w:ascii="Times New Roman" w:hAnsi="Times New Roman" w:cs="Times New Roman"/>
          <w:color w:val="000000" w:themeColor="text1"/>
        </w:rPr>
        <w:t>, e.g., public markets, commercial centers</w:t>
      </w:r>
      <w:r w:rsidRPr="00CE4F32">
        <w:rPr>
          <w:rFonts w:ascii="Times New Roman" w:hAnsi="Times New Roman" w:cs="Times New Roman"/>
          <w:color w:val="000000" w:themeColor="text1"/>
        </w:rPr>
        <w:t xml:space="preserve">. Based on the ESSA team’s assessment, there is a tendency of </w:t>
      </w:r>
      <w:r w:rsidR="009F32AC" w:rsidRPr="00CE4F32">
        <w:rPr>
          <w:rFonts w:ascii="Times New Roman" w:hAnsi="Times New Roman" w:cs="Times New Roman"/>
          <w:color w:val="000000" w:themeColor="text1"/>
        </w:rPr>
        <w:t>MMA</w:t>
      </w:r>
      <w:r w:rsidRPr="00CE4F32">
        <w:rPr>
          <w:rFonts w:ascii="Times New Roman" w:hAnsi="Times New Roman" w:cs="Times New Roman"/>
          <w:color w:val="000000" w:themeColor="text1"/>
        </w:rPr>
        <w:t xml:space="preserve"> and EPA to under-screen subprojects in terms of EA requirements. </w:t>
      </w:r>
    </w:p>
    <w:p w14:paraId="3C20D3F9" w14:textId="77777777" w:rsidR="009F32AC" w:rsidRPr="00CE4F32" w:rsidRDefault="009F32AC" w:rsidP="00CA0715">
      <w:pPr>
        <w:autoSpaceDE w:val="0"/>
        <w:autoSpaceDN w:val="0"/>
        <w:adjustRightInd w:val="0"/>
        <w:spacing w:before="120" w:after="120" w:line="240" w:lineRule="auto"/>
        <w:jc w:val="both"/>
        <w:rPr>
          <w:rFonts w:ascii="Times New Roman" w:eastAsia="Calibri" w:hAnsi="Times New Roman" w:cs="Times New Roman"/>
        </w:rPr>
      </w:pPr>
      <w:r w:rsidRPr="00CE4F32">
        <w:rPr>
          <w:rFonts w:ascii="Times New Roman" w:eastAsia="Calibri" w:hAnsi="Times New Roman" w:cs="Times New Roman"/>
        </w:rPr>
        <w:t xml:space="preserve">As mentioned above, there is a need to ensure that some of the subprojects under the Program that are required to have PERs per Schedule 1 and EA Sectoral Guidelines have prepared their PERs and ESMPs. </w:t>
      </w:r>
    </w:p>
    <w:p w14:paraId="5270C515" w14:textId="77777777" w:rsidR="00847853" w:rsidRPr="00CE4F32" w:rsidRDefault="00240D05" w:rsidP="00CA0715">
      <w:pPr>
        <w:autoSpaceDE w:val="0"/>
        <w:autoSpaceDN w:val="0"/>
        <w:adjustRightInd w:val="0"/>
        <w:spacing w:before="120" w:after="120" w:line="240" w:lineRule="auto"/>
        <w:jc w:val="both"/>
        <w:rPr>
          <w:rFonts w:ascii="Times New Roman" w:eastAsia="Calibri" w:hAnsi="Times New Roman" w:cs="Times New Roman"/>
        </w:rPr>
      </w:pPr>
      <w:r w:rsidRPr="00CE4F32">
        <w:rPr>
          <w:rFonts w:ascii="Times New Roman" w:eastAsia="Calibri" w:hAnsi="Times New Roman" w:cs="Times New Roman"/>
        </w:rPr>
        <w:t xml:space="preserve">The ESSA Team also confirms that no subprojects with adverse impacts have been supported under LGCSP, a practice that will continue under the Program. </w:t>
      </w:r>
    </w:p>
    <w:p w14:paraId="56166072" w14:textId="1909ADCA" w:rsidR="00690F25" w:rsidRPr="00690F25" w:rsidRDefault="00690F25" w:rsidP="00CA0715">
      <w:pPr>
        <w:autoSpaceDE w:val="0"/>
        <w:autoSpaceDN w:val="0"/>
        <w:adjustRightInd w:val="0"/>
        <w:spacing w:before="120" w:after="120" w:line="240" w:lineRule="auto"/>
        <w:jc w:val="both"/>
        <w:rPr>
          <w:rFonts w:ascii="Times New Roman" w:eastAsia="Calibri" w:hAnsi="Times New Roman" w:cs="Times New Roman"/>
          <w:b/>
          <w:color w:val="000000" w:themeColor="text1"/>
        </w:rPr>
      </w:pPr>
      <w:r w:rsidRPr="00690F25">
        <w:rPr>
          <w:rFonts w:ascii="Times New Roman" w:eastAsia="Calibri" w:hAnsi="Times New Roman" w:cs="Times New Roman"/>
          <w:b/>
          <w:color w:val="000000" w:themeColor="text1"/>
        </w:rPr>
        <w:t>Implementation of Mitigation measures</w:t>
      </w:r>
    </w:p>
    <w:p w14:paraId="47CC915E" w14:textId="0D281766" w:rsidR="00847853" w:rsidRPr="003E2BD8" w:rsidRDefault="00847853" w:rsidP="00CA0715">
      <w:pPr>
        <w:autoSpaceDE w:val="0"/>
        <w:autoSpaceDN w:val="0"/>
        <w:adjustRightInd w:val="0"/>
        <w:spacing w:before="120" w:after="120" w:line="240" w:lineRule="auto"/>
        <w:jc w:val="both"/>
        <w:rPr>
          <w:rFonts w:ascii="Times New Roman" w:eastAsia="Calibri" w:hAnsi="Times New Roman" w:cs="Times New Roman"/>
          <w:cs/>
          <w:lang w:bidi="ne-NP"/>
        </w:rPr>
      </w:pPr>
      <w:r w:rsidRPr="00CE4F32">
        <w:rPr>
          <w:rFonts w:ascii="Times New Roman" w:eastAsia="Calibri" w:hAnsi="Times New Roman" w:cs="Times New Roman"/>
          <w:color w:val="000000" w:themeColor="text1"/>
        </w:rPr>
        <w:t xml:space="preserve">Implementation of </w:t>
      </w:r>
      <w:r w:rsidR="003B7740" w:rsidRPr="00CE4F32">
        <w:rPr>
          <w:rFonts w:ascii="Times New Roman" w:eastAsia="Calibri" w:hAnsi="Times New Roman" w:cs="Times New Roman"/>
          <w:color w:val="000000" w:themeColor="text1"/>
        </w:rPr>
        <w:t>m</w:t>
      </w:r>
      <w:r w:rsidRPr="00CE4F32">
        <w:rPr>
          <w:rFonts w:ascii="Times New Roman" w:eastAsia="Calibri" w:hAnsi="Times New Roman" w:cs="Times New Roman"/>
          <w:color w:val="000000" w:themeColor="text1"/>
        </w:rPr>
        <w:t xml:space="preserve">itigation measures is the responsibility of the </w:t>
      </w:r>
      <w:r w:rsidR="003B7740" w:rsidRPr="00CE4F32">
        <w:rPr>
          <w:rFonts w:ascii="Times New Roman" w:eastAsia="Calibri" w:hAnsi="Times New Roman" w:cs="Times New Roman"/>
          <w:color w:val="000000" w:themeColor="text1"/>
        </w:rPr>
        <w:t>MMAs</w:t>
      </w:r>
      <w:r w:rsidRPr="00CE4F32">
        <w:rPr>
          <w:rFonts w:ascii="Times New Roman" w:eastAsia="Calibri" w:hAnsi="Times New Roman" w:cs="Times New Roman"/>
          <w:color w:val="000000" w:themeColor="text1"/>
        </w:rPr>
        <w:t xml:space="preserve"> and the</w:t>
      </w:r>
      <w:r w:rsidR="003B7740" w:rsidRPr="00CE4F32">
        <w:rPr>
          <w:rFonts w:ascii="Times New Roman" w:eastAsia="Calibri" w:hAnsi="Times New Roman" w:cs="Times New Roman"/>
          <w:color w:val="000000" w:themeColor="text1"/>
        </w:rPr>
        <w:t>ir</w:t>
      </w:r>
      <w:r w:rsidRPr="00CE4F32">
        <w:rPr>
          <w:rFonts w:ascii="Times New Roman" w:eastAsia="Calibri" w:hAnsi="Times New Roman" w:cs="Times New Roman"/>
          <w:color w:val="000000" w:themeColor="text1"/>
        </w:rPr>
        <w:t xml:space="preserve"> contractor</w:t>
      </w:r>
      <w:r w:rsidR="003B7740" w:rsidRPr="00CE4F32">
        <w:rPr>
          <w:rFonts w:ascii="Times New Roman" w:eastAsia="Calibri" w:hAnsi="Times New Roman" w:cs="Times New Roman"/>
          <w:color w:val="000000" w:themeColor="text1"/>
        </w:rPr>
        <w:t>s</w:t>
      </w:r>
      <w:r w:rsidRPr="00CE4F32">
        <w:rPr>
          <w:rFonts w:ascii="Times New Roman" w:eastAsia="Calibri" w:hAnsi="Times New Roman" w:cs="Times New Roman"/>
          <w:color w:val="000000" w:themeColor="text1"/>
        </w:rPr>
        <w:t xml:space="preserve">. </w:t>
      </w:r>
      <w:r w:rsidR="003B7740" w:rsidRPr="00CE4F32">
        <w:rPr>
          <w:rFonts w:ascii="Times New Roman" w:eastAsia="Calibri" w:hAnsi="Times New Roman" w:cs="Times New Roman"/>
          <w:color w:val="000000" w:themeColor="text1"/>
        </w:rPr>
        <w:t xml:space="preserve">Based on review of ESMPs and contracts, the </w:t>
      </w:r>
      <w:r w:rsidRPr="00CE4F32">
        <w:rPr>
          <w:rFonts w:ascii="Times New Roman" w:eastAsia="Calibri" w:hAnsi="Times New Roman" w:cs="Times New Roman"/>
          <w:color w:val="000000" w:themeColor="text1"/>
        </w:rPr>
        <w:t>environmental mitigation cost is generally calculated on a lump sum basis</w:t>
      </w:r>
      <w:r w:rsidR="004B2D4B" w:rsidRPr="00CE4F32">
        <w:rPr>
          <w:rFonts w:ascii="Times New Roman" w:eastAsia="Calibri" w:hAnsi="Times New Roman" w:cs="Times New Roman"/>
          <w:color w:val="000000" w:themeColor="text1"/>
        </w:rPr>
        <w:t xml:space="preserve"> based on</w:t>
      </w:r>
      <w:r w:rsidR="003B7740" w:rsidRPr="00CE4F32">
        <w:rPr>
          <w:rFonts w:ascii="Times New Roman" w:hAnsi="Times New Roman" w:cs="Times New Roman"/>
          <w:color w:val="000000" w:themeColor="text1"/>
        </w:rPr>
        <w:t xml:space="preserve"> generic provisions </w:t>
      </w:r>
      <w:r w:rsidR="004B2D4B" w:rsidRPr="00CE4F32">
        <w:rPr>
          <w:rFonts w:ascii="Times New Roman" w:hAnsi="Times New Roman" w:cs="Times New Roman"/>
          <w:color w:val="000000" w:themeColor="text1"/>
        </w:rPr>
        <w:t xml:space="preserve">in the contract </w:t>
      </w:r>
      <w:r w:rsidR="003B7740" w:rsidRPr="00CE4F32">
        <w:rPr>
          <w:rFonts w:ascii="Times New Roman" w:hAnsi="Times New Roman" w:cs="Times New Roman"/>
          <w:color w:val="000000" w:themeColor="text1"/>
        </w:rPr>
        <w:t xml:space="preserve">for health and safety, proper housekeeping and restoration of sites after construction. </w:t>
      </w:r>
      <w:r w:rsidR="004B2D4B" w:rsidRPr="00CE4F32">
        <w:rPr>
          <w:rFonts w:ascii="Times New Roman" w:hAnsi="Times New Roman" w:cs="Times New Roman"/>
          <w:color w:val="000000" w:themeColor="text1"/>
        </w:rPr>
        <w:t>S</w:t>
      </w:r>
      <w:r w:rsidRPr="00CE4F32">
        <w:rPr>
          <w:rFonts w:ascii="Times New Roman" w:eastAsia="Calibri" w:hAnsi="Times New Roman" w:cs="Times New Roman"/>
          <w:color w:val="000000" w:themeColor="text1"/>
        </w:rPr>
        <w:t>pecific mitigation costs for various activities/ items are rarely included in the contract bid document. The lack of specific mitigation plan and lack of specific cost item in the bid document is an area that needs strengthening. Field observation</w:t>
      </w:r>
      <w:r w:rsidR="004B2D4B" w:rsidRPr="00CE4F32">
        <w:rPr>
          <w:rFonts w:ascii="Times New Roman" w:eastAsia="Calibri" w:hAnsi="Times New Roman" w:cs="Times New Roman"/>
          <w:color w:val="000000" w:themeColor="text1"/>
        </w:rPr>
        <w:t>s</w:t>
      </w:r>
      <w:r w:rsidRPr="00CE4F32">
        <w:rPr>
          <w:rFonts w:ascii="Times New Roman" w:eastAsia="Calibri" w:hAnsi="Times New Roman" w:cs="Times New Roman"/>
          <w:color w:val="000000" w:themeColor="text1"/>
        </w:rPr>
        <w:t xml:space="preserve"> of some of the selected ongoing </w:t>
      </w:r>
      <w:r w:rsidR="004B2D4B" w:rsidRPr="00CE4F32">
        <w:rPr>
          <w:rFonts w:ascii="Times New Roman" w:eastAsia="Calibri" w:hAnsi="Times New Roman" w:cs="Times New Roman"/>
          <w:color w:val="000000" w:themeColor="text1"/>
        </w:rPr>
        <w:t>subprojects under LGCSP</w:t>
      </w:r>
      <w:r w:rsidRPr="00CE4F32">
        <w:rPr>
          <w:rFonts w:ascii="Times New Roman" w:eastAsia="Calibri" w:hAnsi="Times New Roman" w:cs="Times New Roman"/>
          <w:color w:val="000000" w:themeColor="text1"/>
        </w:rPr>
        <w:t xml:space="preserve"> carried </w:t>
      </w:r>
      <w:r w:rsidR="004B2D4B" w:rsidRPr="00CE4F32">
        <w:rPr>
          <w:rFonts w:ascii="Times New Roman" w:eastAsia="Calibri" w:hAnsi="Times New Roman" w:cs="Times New Roman"/>
          <w:color w:val="000000" w:themeColor="text1"/>
        </w:rPr>
        <w:t xml:space="preserve">out as part of this assessment </w:t>
      </w:r>
      <w:r w:rsidRPr="00CE4F32">
        <w:rPr>
          <w:rFonts w:ascii="Times New Roman" w:eastAsia="Calibri" w:hAnsi="Times New Roman" w:cs="Times New Roman"/>
          <w:color w:val="000000" w:themeColor="text1"/>
        </w:rPr>
        <w:t xml:space="preserve">reveals uneven environmental management and mitigation during construction period. Examples of </w:t>
      </w:r>
      <w:r w:rsidR="004B2D4B" w:rsidRPr="00CE4F32">
        <w:rPr>
          <w:rFonts w:ascii="Times New Roman" w:eastAsia="Calibri" w:hAnsi="Times New Roman" w:cs="Times New Roman"/>
          <w:color w:val="000000" w:themeColor="text1"/>
        </w:rPr>
        <w:t xml:space="preserve">good construction management measures observed on site include enclosures of construction sites, workers wearing and providing suitable temporary relocation sites for vendors, hawkers and drivers during </w:t>
      </w:r>
      <w:r w:rsidR="004B2D4B" w:rsidRPr="00CE4F32">
        <w:rPr>
          <w:rFonts w:ascii="Times New Roman" w:eastAsia="Calibri" w:hAnsi="Times New Roman" w:cs="Times New Roman"/>
        </w:rPr>
        <w:t xml:space="preserve">construction usually very close to the area where construction activities are taking place. Areas that need improvement include proper management and housekeeping of the construction sites and ensuring community health and safety especially those that are near construction sites. While priority local hiring is practiced, this needs to be consistently enforced in contracts specifically for unskilled labor. </w:t>
      </w:r>
      <w:r w:rsidRPr="003E2BD8">
        <w:rPr>
          <w:rFonts w:ascii="Times New Roman" w:eastAsia="Calibri" w:hAnsi="Times New Roman" w:cs="Times New Roman"/>
          <w:cs/>
          <w:lang w:bidi="ne-NP"/>
        </w:rPr>
        <w:t xml:space="preserve"> </w:t>
      </w:r>
    </w:p>
    <w:p w14:paraId="5D54D263" w14:textId="34A9DA19" w:rsidR="00690F25" w:rsidRPr="00690F25" w:rsidRDefault="00690F25" w:rsidP="00CA0715">
      <w:pPr>
        <w:spacing w:before="120" w:after="120" w:line="240" w:lineRule="auto"/>
        <w:jc w:val="both"/>
        <w:rPr>
          <w:rFonts w:ascii="Times New Roman" w:eastAsia="Calibri" w:hAnsi="Times New Roman" w:cs="Times New Roman"/>
          <w:b/>
        </w:rPr>
      </w:pPr>
      <w:r w:rsidRPr="00690F25">
        <w:rPr>
          <w:rFonts w:ascii="Times New Roman" w:eastAsia="Calibri" w:hAnsi="Times New Roman" w:cs="Times New Roman"/>
          <w:b/>
        </w:rPr>
        <w:t>Environmental Monitoring</w:t>
      </w:r>
    </w:p>
    <w:p w14:paraId="7E0CEE9C" w14:textId="02B693ED" w:rsidR="00656F3E" w:rsidRPr="003E2BD8" w:rsidRDefault="00656F3E" w:rsidP="00CA0715">
      <w:pPr>
        <w:spacing w:before="120" w:after="120" w:line="240" w:lineRule="auto"/>
        <w:jc w:val="both"/>
        <w:rPr>
          <w:rFonts w:ascii="Times New Roman" w:eastAsia="Calibri" w:hAnsi="Times New Roman" w:cs="Times New Roman"/>
        </w:rPr>
      </w:pPr>
      <w:r w:rsidRPr="003E2BD8">
        <w:rPr>
          <w:rFonts w:ascii="Times New Roman" w:eastAsia="Calibri" w:hAnsi="Times New Roman" w:cs="Times New Roman"/>
        </w:rPr>
        <w:t>E</w:t>
      </w:r>
      <w:r w:rsidR="00847853" w:rsidRPr="003E2BD8">
        <w:rPr>
          <w:rFonts w:ascii="Times New Roman" w:eastAsia="Calibri" w:hAnsi="Times New Roman" w:cs="Times New Roman"/>
        </w:rPr>
        <w:t xml:space="preserve">nvironmental monitoring is the responsibility of the </w:t>
      </w:r>
      <w:r w:rsidR="004B2D4B" w:rsidRPr="003E2BD8">
        <w:rPr>
          <w:rFonts w:ascii="Times New Roman" w:eastAsia="Calibri" w:hAnsi="Times New Roman" w:cs="Times New Roman"/>
        </w:rPr>
        <w:t>MMA</w:t>
      </w:r>
      <w:r w:rsidR="00847853" w:rsidRPr="003E2BD8">
        <w:rPr>
          <w:rFonts w:ascii="Times New Roman" w:eastAsia="Calibri" w:hAnsi="Times New Roman" w:cs="Times New Roman"/>
        </w:rPr>
        <w:t xml:space="preserve">, which is an area for further improvement. </w:t>
      </w:r>
      <w:r w:rsidRPr="003E2BD8">
        <w:rPr>
          <w:rFonts w:ascii="Times New Roman" w:eastAsia="Calibri" w:hAnsi="Times New Roman" w:cs="Times New Roman"/>
        </w:rPr>
        <w:t xml:space="preserve">Regional EPA, as part of its mandate, especially for subprojects issued with environmental permit, should </w:t>
      </w:r>
      <w:bookmarkStart w:id="47" w:name="_Toc368575512"/>
      <w:bookmarkStart w:id="48" w:name="_Toc488568691"/>
      <w:bookmarkStart w:id="49" w:name="_Toc489183687"/>
      <w:bookmarkStart w:id="50" w:name="_Toc496454569"/>
      <w:r w:rsidRPr="003E2BD8">
        <w:rPr>
          <w:rFonts w:ascii="Times New Roman" w:eastAsia="Calibri" w:hAnsi="Times New Roman" w:cs="Times New Roman"/>
        </w:rPr>
        <w:t>also be involved in monitoring.</w:t>
      </w:r>
      <w:r w:rsidR="006F431D">
        <w:rPr>
          <w:rFonts w:ascii="Times New Roman" w:eastAsia="Calibri" w:hAnsi="Times New Roman" w:cs="Times New Roman"/>
        </w:rPr>
        <w:t xml:space="preserve"> </w:t>
      </w:r>
    </w:p>
    <w:p w14:paraId="6C94B779" w14:textId="77777777" w:rsidR="0023499E" w:rsidRPr="003E2BD8" w:rsidRDefault="0023499E" w:rsidP="00CA0715">
      <w:pPr>
        <w:spacing w:before="120" w:after="0" w:line="360" w:lineRule="auto"/>
        <w:jc w:val="both"/>
        <w:rPr>
          <w:rFonts w:ascii="Times New Roman" w:eastAsia="Times New Roman" w:hAnsi="Times New Roman" w:cs="Times New Roman"/>
          <w:b/>
          <w:lang w:val="x-none" w:eastAsia="x-none"/>
        </w:rPr>
      </w:pPr>
    </w:p>
    <w:p w14:paraId="74CCB252" w14:textId="09731954" w:rsidR="00847853" w:rsidRPr="00CA0715" w:rsidRDefault="003E2BD8" w:rsidP="00CA0715">
      <w:pPr>
        <w:spacing w:before="120" w:after="120" w:line="240" w:lineRule="auto"/>
        <w:jc w:val="both"/>
        <w:rPr>
          <w:rFonts w:ascii="Times New Roman" w:eastAsia="Calibri" w:hAnsi="Times New Roman" w:cs="Times New Roman"/>
          <w:b/>
          <w:sz w:val="24"/>
          <w:szCs w:val="24"/>
          <w:lang w:val="x-none" w:eastAsia="x-none"/>
        </w:rPr>
      </w:pPr>
      <w:r w:rsidRPr="006F431D">
        <w:rPr>
          <w:rStyle w:val="Heading21"/>
          <w:szCs w:val="24"/>
        </w:rPr>
        <w:t xml:space="preserve">5.2 </w:t>
      </w:r>
      <w:r w:rsidR="00847853" w:rsidRPr="006F431D">
        <w:rPr>
          <w:rStyle w:val="Heading21"/>
          <w:szCs w:val="24"/>
        </w:rPr>
        <w:t>Management of Social Impacts in urban program</w:t>
      </w:r>
      <w:bookmarkStart w:id="51" w:name="_Toc489183688"/>
      <w:bookmarkStart w:id="52" w:name="_Toc496454570"/>
      <w:bookmarkEnd w:id="47"/>
      <w:bookmarkEnd w:id="48"/>
      <w:bookmarkEnd w:id="49"/>
      <w:bookmarkEnd w:id="50"/>
      <w:r w:rsidR="00847853" w:rsidRPr="00CA0715">
        <w:rPr>
          <w:rFonts w:ascii="Times New Roman" w:eastAsia="Calibri" w:hAnsi="Times New Roman" w:cs="Times New Roman"/>
          <w:b/>
          <w:sz w:val="24"/>
          <w:szCs w:val="24"/>
          <w:lang w:val="x-none" w:eastAsia="x-none"/>
        </w:rPr>
        <w:t>Impacts of Land Take</w:t>
      </w:r>
      <w:r w:rsidR="00847853" w:rsidRPr="00CA0715">
        <w:rPr>
          <w:rFonts w:ascii="Times New Roman" w:eastAsia="Calibri" w:hAnsi="Times New Roman" w:cs="Times New Roman"/>
          <w:b/>
          <w:sz w:val="24"/>
          <w:szCs w:val="24"/>
          <w:lang w:eastAsia="x-none"/>
        </w:rPr>
        <w:t xml:space="preserve"> and Compensation,</w:t>
      </w:r>
      <w:r w:rsidR="00847853" w:rsidRPr="00CA0715">
        <w:rPr>
          <w:rFonts w:ascii="Times New Roman" w:eastAsia="Calibri" w:hAnsi="Times New Roman" w:cs="Times New Roman"/>
          <w:b/>
          <w:sz w:val="24"/>
          <w:szCs w:val="24"/>
          <w:lang w:val="x-none" w:eastAsia="x-none"/>
        </w:rPr>
        <w:t xml:space="preserve"> </w:t>
      </w:r>
      <w:r w:rsidR="006F431D" w:rsidRPr="00CA0715">
        <w:rPr>
          <w:rFonts w:ascii="Times New Roman" w:eastAsia="Calibri" w:hAnsi="Times New Roman" w:cs="Times New Roman"/>
          <w:b/>
          <w:sz w:val="24"/>
          <w:szCs w:val="24"/>
          <w:lang w:eastAsia="x-none"/>
        </w:rPr>
        <w:t xml:space="preserve"> </w:t>
      </w:r>
      <w:r w:rsidR="00847853" w:rsidRPr="00CA0715">
        <w:rPr>
          <w:rFonts w:ascii="Times New Roman" w:eastAsia="Calibri" w:hAnsi="Times New Roman" w:cs="Times New Roman"/>
          <w:b/>
          <w:sz w:val="24"/>
          <w:szCs w:val="24"/>
          <w:lang w:val="x-none" w:eastAsia="x-none"/>
        </w:rPr>
        <w:t>including on those without titles</w:t>
      </w:r>
      <w:bookmarkEnd w:id="51"/>
      <w:bookmarkEnd w:id="52"/>
    </w:p>
    <w:p w14:paraId="6BE1F3EA" w14:textId="4B17439F" w:rsidR="00847853" w:rsidRPr="00BE6F08" w:rsidRDefault="00847853" w:rsidP="00CA0715">
      <w:pPr>
        <w:spacing w:before="120" w:after="120" w:line="240" w:lineRule="auto"/>
        <w:jc w:val="both"/>
        <w:rPr>
          <w:rFonts w:ascii="Times New Roman" w:eastAsia="Calibri" w:hAnsi="Times New Roman" w:cs="Times New Roman"/>
          <w:color w:val="000000"/>
        </w:rPr>
      </w:pPr>
      <w:r w:rsidRPr="00BE6F08">
        <w:rPr>
          <w:rFonts w:ascii="Times New Roman" w:eastAsia="Calibri" w:hAnsi="Times New Roman" w:cs="Times New Roman"/>
          <w:color w:val="000000"/>
        </w:rPr>
        <w:t xml:space="preserve">The risk of land acquisition and resettlement and loss of formal or informal livelihood related to civil work of subprojects is not expected to be significant but is a likelihood. Densely populated urban areas are likely to face more challenge than less dens ones. Project with large-scale displacement, i.e. 200 people and more, are ineligible for finance. Experience from </w:t>
      </w:r>
      <w:r w:rsidR="00D37288" w:rsidRPr="00BE6F08">
        <w:rPr>
          <w:rFonts w:ascii="Times New Roman" w:eastAsia="Calibri" w:hAnsi="Times New Roman" w:cs="Times New Roman"/>
          <w:color w:val="000000"/>
        </w:rPr>
        <w:t xml:space="preserve">LGCSP indicates that MMAs avoid subprojects that would involve land acquisition and resettlement, hence the tendency to prioritize subprojects operating within existing ROW or premises. That said, under LGCSP, there was minimal </w:t>
      </w:r>
      <w:r w:rsidRPr="00BE6F08">
        <w:rPr>
          <w:rFonts w:ascii="Times New Roman" w:eastAsia="Calibri" w:hAnsi="Times New Roman" w:cs="Times New Roman"/>
          <w:color w:val="000000"/>
        </w:rPr>
        <w:t>land acquisition</w:t>
      </w:r>
      <w:r w:rsidR="00D37288" w:rsidRPr="00BE6F08">
        <w:rPr>
          <w:rFonts w:ascii="Times New Roman" w:eastAsia="Calibri" w:hAnsi="Times New Roman" w:cs="Times New Roman"/>
          <w:color w:val="000000"/>
        </w:rPr>
        <w:t xml:space="preserve"> and impacts were mainly temporary economic displacement of vendors, hawkers, drivers, etc. who need to move out from the construction sites. For this, ARAPs have been prepared by MMAs and appropriate temporary relocation sites have been provided to those temporarily affected.</w:t>
      </w:r>
      <w:r w:rsidRPr="00BE6F08">
        <w:rPr>
          <w:rFonts w:ascii="Times New Roman" w:eastAsia="Calibri" w:hAnsi="Times New Roman" w:cs="Times New Roman"/>
          <w:color w:val="000000"/>
        </w:rPr>
        <w:t xml:space="preserve"> </w:t>
      </w:r>
    </w:p>
    <w:p w14:paraId="107232F2" w14:textId="317C599C" w:rsidR="00BE6F08" w:rsidRDefault="00D37288" w:rsidP="00CA0715">
      <w:pPr>
        <w:autoSpaceDE w:val="0"/>
        <w:autoSpaceDN w:val="0"/>
        <w:adjustRightInd w:val="0"/>
        <w:spacing w:before="120" w:after="120" w:line="240" w:lineRule="auto"/>
        <w:jc w:val="both"/>
        <w:rPr>
          <w:rFonts w:ascii="Times New Roman" w:eastAsia="Calibri" w:hAnsi="Times New Roman" w:cs="Times New Roman"/>
          <w:color w:val="000000"/>
        </w:rPr>
      </w:pPr>
      <w:r w:rsidRPr="00BE6F08">
        <w:rPr>
          <w:rFonts w:ascii="Times New Roman" w:hAnsi="Times New Roman" w:cs="Times New Roman"/>
        </w:rPr>
        <w:t xml:space="preserve">One weakness noted by the ESSA Team, as observed in one MMA, </w:t>
      </w:r>
      <w:r w:rsidR="008F02D2" w:rsidRPr="00BE6F08">
        <w:rPr>
          <w:rFonts w:ascii="Times New Roman" w:hAnsi="Times New Roman" w:cs="Times New Roman"/>
        </w:rPr>
        <w:t xml:space="preserve">is the exclusion of </w:t>
      </w:r>
      <w:r w:rsidR="00553C3C" w:rsidRPr="00BE6F08">
        <w:rPr>
          <w:rFonts w:ascii="Times New Roman" w:hAnsi="Times New Roman" w:cs="Times New Roman"/>
        </w:rPr>
        <w:t xml:space="preserve">some </w:t>
      </w:r>
      <w:r w:rsidR="008F02D2" w:rsidRPr="00BE6F08">
        <w:rPr>
          <w:rFonts w:ascii="Times New Roman" w:hAnsi="Times New Roman" w:cs="Times New Roman"/>
        </w:rPr>
        <w:t xml:space="preserve">PAPs in the ARAP.  Moving forward, there </w:t>
      </w:r>
      <w:r w:rsidRPr="00BE6F08">
        <w:rPr>
          <w:rFonts w:ascii="Times New Roman" w:hAnsi="Times New Roman" w:cs="Times New Roman"/>
        </w:rPr>
        <w:t>is a need to make sure that 100% of PAPs are covered in the RAP</w:t>
      </w:r>
      <w:r w:rsidR="008F02D2" w:rsidRPr="00BE6F08">
        <w:rPr>
          <w:rFonts w:ascii="Times New Roman" w:hAnsi="Times New Roman" w:cs="Times New Roman"/>
        </w:rPr>
        <w:t xml:space="preserve"> and not only a segment of the PAPs</w:t>
      </w:r>
      <w:r w:rsidRPr="00BE6F08">
        <w:rPr>
          <w:rFonts w:ascii="Times New Roman" w:hAnsi="Times New Roman" w:cs="Times New Roman"/>
        </w:rPr>
        <w:t>.</w:t>
      </w:r>
      <w:r w:rsidR="008F02D2" w:rsidRPr="00BE6F08">
        <w:rPr>
          <w:rFonts w:ascii="Times New Roman" w:hAnsi="Times New Roman" w:cs="Times New Roman"/>
        </w:rPr>
        <w:t xml:space="preserve"> There is </w:t>
      </w:r>
      <w:r w:rsidRPr="00BE6F08">
        <w:rPr>
          <w:rFonts w:ascii="Times New Roman" w:hAnsi="Times New Roman" w:cs="Times New Roman"/>
        </w:rPr>
        <w:t xml:space="preserve">also a need to consistently and proactively involve the Land Valuation </w:t>
      </w:r>
      <w:r w:rsidR="0040509B" w:rsidRPr="00BE6F08">
        <w:rPr>
          <w:rFonts w:ascii="Times New Roman" w:hAnsi="Times New Roman" w:cs="Times New Roman"/>
        </w:rPr>
        <w:t xml:space="preserve">Division </w:t>
      </w:r>
      <w:r w:rsidRPr="00BE6F08">
        <w:rPr>
          <w:rFonts w:ascii="Times New Roman" w:hAnsi="Times New Roman" w:cs="Times New Roman"/>
        </w:rPr>
        <w:t>in the preparation of ARAP</w:t>
      </w:r>
      <w:r w:rsidR="008F02D2" w:rsidRPr="00BE6F08">
        <w:rPr>
          <w:rFonts w:ascii="Times New Roman" w:hAnsi="Times New Roman" w:cs="Times New Roman"/>
        </w:rPr>
        <w:t xml:space="preserve"> as the country</w:t>
      </w:r>
      <w:r w:rsidR="0040509B" w:rsidRPr="00BE6F08">
        <w:rPr>
          <w:rFonts w:ascii="Times New Roman" w:hAnsi="Times New Roman" w:cs="Times New Roman"/>
        </w:rPr>
        <w:t>’s</w:t>
      </w:r>
      <w:r w:rsidR="008F02D2" w:rsidRPr="00BE6F08">
        <w:rPr>
          <w:rFonts w:ascii="Times New Roman" w:hAnsi="Times New Roman" w:cs="Times New Roman"/>
        </w:rPr>
        <w:t xml:space="preserve"> authority mandated to set compensation for PAPs</w:t>
      </w:r>
      <w:r w:rsidRPr="00BE6F08">
        <w:rPr>
          <w:rFonts w:ascii="Times New Roman" w:hAnsi="Times New Roman" w:cs="Times New Roman"/>
        </w:rPr>
        <w:t>.</w:t>
      </w:r>
      <w:r w:rsidR="00F37A9A" w:rsidRPr="00BE6F08">
        <w:rPr>
          <w:rFonts w:ascii="Times New Roman" w:hAnsi="Times New Roman" w:cs="Times New Roman"/>
        </w:rPr>
        <w:t xml:space="preserve"> The compensation entitlements in the ARAPs prepared in almost all the MMAs were not validated by the LVD and this will have to be curtailed to avert potential ineligible expenditure queries from the relevant </w:t>
      </w:r>
      <w:r w:rsidR="006F431D" w:rsidRPr="00BE6F08">
        <w:rPr>
          <w:rFonts w:ascii="Times New Roman" w:hAnsi="Times New Roman" w:cs="Times New Roman"/>
        </w:rPr>
        <w:t>authorities.</w:t>
      </w:r>
      <w:r w:rsidR="006F431D" w:rsidRPr="00BE6F08">
        <w:rPr>
          <w:rFonts w:ascii="Times New Roman" w:eastAsia="Calibri" w:hAnsi="Times New Roman" w:cs="Times New Roman"/>
          <w:color w:val="000000"/>
        </w:rPr>
        <w:t xml:space="preserve"> Another</w:t>
      </w:r>
      <w:r w:rsidR="008F02D2" w:rsidRPr="00BE6F08">
        <w:rPr>
          <w:rFonts w:ascii="Times New Roman" w:eastAsia="Calibri" w:hAnsi="Times New Roman" w:cs="Times New Roman"/>
          <w:color w:val="000000"/>
        </w:rPr>
        <w:t xml:space="preserve"> key weakness in Ghana’s resettlement law is the non-recognition of illegal settlers or those without titles in any land compensation and resettlement assistance, including livelihood restoration. This is an area that is addressed by the LGCSP, which also needs to be addressed in the Program moving forward. The use of existing Resettlement Framework for LGCSP should address the gap</w:t>
      </w:r>
      <w:bookmarkStart w:id="53" w:name="_Toc489183689"/>
      <w:bookmarkStart w:id="54" w:name="_Toc496454571"/>
      <w:bookmarkStart w:id="55" w:name="_Toc368575516"/>
      <w:bookmarkStart w:id="56" w:name="_Toc488568694"/>
      <w:r w:rsidR="00BE6F08">
        <w:rPr>
          <w:rFonts w:ascii="Times New Roman" w:eastAsia="Calibri" w:hAnsi="Times New Roman" w:cs="Times New Roman"/>
          <w:color w:val="000000"/>
        </w:rPr>
        <w:t xml:space="preserve">. </w:t>
      </w:r>
    </w:p>
    <w:p w14:paraId="16ED28DD" w14:textId="77777777" w:rsidR="005F4CB0" w:rsidRDefault="005F4CB0" w:rsidP="00CA0715">
      <w:pPr>
        <w:autoSpaceDE w:val="0"/>
        <w:autoSpaceDN w:val="0"/>
        <w:adjustRightInd w:val="0"/>
        <w:spacing w:after="120" w:line="240" w:lineRule="auto"/>
        <w:jc w:val="both"/>
        <w:rPr>
          <w:rFonts w:ascii="Times New Roman" w:eastAsia="Calibri" w:hAnsi="Times New Roman" w:cs="Times New Roman"/>
          <w:b/>
          <w:lang w:eastAsia="x-none"/>
        </w:rPr>
      </w:pPr>
    </w:p>
    <w:p w14:paraId="53D2D302" w14:textId="49CB4A46" w:rsidR="00847853" w:rsidRPr="00BE6F08" w:rsidRDefault="00847853" w:rsidP="00CA0715">
      <w:pPr>
        <w:autoSpaceDE w:val="0"/>
        <w:autoSpaceDN w:val="0"/>
        <w:adjustRightInd w:val="0"/>
        <w:spacing w:before="120" w:after="120" w:line="240" w:lineRule="auto"/>
        <w:jc w:val="both"/>
        <w:rPr>
          <w:rFonts w:ascii="Times New Roman" w:eastAsia="Calibri" w:hAnsi="Times New Roman" w:cs="Times New Roman"/>
          <w:b/>
          <w:lang w:eastAsia="x-none"/>
        </w:rPr>
      </w:pPr>
      <w:r w:rsidRPr="00BE6F08">
        <w:rPr>
          <w:rFonts w:ascii="Times New Roman" w:eastAsia="Calibri" w:hAnsi="Times New Roman" w:cs="Times New Roman"/>
          <w:b/>
          <w:lang w:eastAsia="x-none"/>
        </w:rPr>
        <w:t>Underserved People and Vulnerable groups</w:t>
      </w:r>
      <w:bookmarkEnd w:id="53"/>
      <w:bookmarkEnd w:id="54"/>
      <w:r w:rsidRPr="00BE6F08">
        <w:rPr>
          <w:rFonts w:ascii="Times New Roman" w:eastAsia="Calibri" w:hAnsi="Times New Roman" w:cs="Times New Roman"/>
          <w:b/>
          <w:lang w:eastAsia="x-none"/>
        </w:rPr>
        <w:t xml:space="preserve"> </w:t>
      </w:r>
    </w:p>
    <w:p w14:paraId="59F5E624" w14:textId="77777777" w:rsidR="00402EF9" w:rsidRPr="00BE6F08" w:rsidRDefault="0000493D" w:rsidP="00CA0715">
      <w:pPr>
        <w:autoSpaceDE w:val="0"/>
        <w:autoSpaceDN w:val="0"/>
        <w:adjustRightInd w:val="0"/>
        <w:spacing w:before="120" w:after="120" w:line="240" w:lineRule="auto"/>
        <w:jc w:val="both"/>
        <w:rPr>
          <w:rFonts w:ascii="Times New Roman" w:eastAsia="Calibri" w:hAnsi="Times New Roman" w:cs="Times New Roman"/>
        </w:rPr>
      </w:pPr>
      <w:r w:rsidRPr="00BE6F08">
        <w:rPr>
          <w:rFonts w:ascii="Times New Roman" w:eastAsia="Calibri" w:hAnsi="Times New Roman" w:cs="Times New Roman"/>
        </w:rPr>
        <w:t>The P</w:t>
      </w:r>
      <w:r w:rsidR="00847853" w:rsidRPr="00BE6F08">
        <w:rPr>
          <w:rFonts w:ascii="Times New Roman" w:eastAsia="Calibri" w:hAnsi="Times New Roman" w:cs="Times New Roman"/>
        </w:rPr>
        <w:t xml:space="preserve">rogram was reviewed to determine if underserved people and vulnerable groups are present in the </w:t>
      </w:r>
      <w:r w:rsidRPr="00BE6F08">
        <w:rPr>
          <w:rFonts w:ascii="Times New Roman" w:eastAsia="Calibri" w:hAnsi="Times New Roman" w:cs="Times New Roman"/>
        </w:rPr>
        <w:t>P</w:t>
      </w:r>
      <w:r w:rsidR="00847853" w:rsidRPr="00BE6F08">
        <w:rPr>
          <w:rFonts w:ascii="Times New Roman" w:eastAsia="Calibri" w:hAnsi="Times New Roman" w:cs="Times New Roman"/>
        </w:rPr>
        <w:t xml:space="preserve">roject areas. </w:t>
      </w:r>
      <w:r w:rsidRPr="00BE6F08">
        <w:rPr>
          <w:rFonts w:ascii="Times New Roman" w:eastAsia="Calibri" w:hAnsi="Times New Roman" w:cs="Times New Roman"/>
        </w:rPr>
        <w:t xml:space="preserve">At the outset, the ESSA team would like to confirm that there are no indigenous peoples or ethnic minorities in Ghana. </w:t>
      </w:r>
    </w:p>
    <w:p w14:paraId="498ADAEE" w14:textId="77777777" w:rsidR="0000493D" w:rsidRPr="00BE6F08" w:rsidRDefault="00847853" w:rsidP="00CA0715">
      <w:pPr>
        <w:autoSpaceDE w:val="0"/>
        <w:autoSpaceDN w:val="0"/>
        <w:adjustRightInd w:val="0"/>
        <w:spacing w:before="120" w:after="120" w:line="240" w:lineRule="auto"/>
        <w:jc w:val="both"/>
        <w:rPr>
          <w:rFonts w:ascii="Times New Roman" w:eastAsia="Calibri" w:hAnsi="Times New Roman" w:cs="Times New Roman"/>
        </w:rPr>
      </w:pPr>
      <w:r w:rsidRPr="00BE6F08">
        <w:rPr>
          <w:rFonts w:ascii="Times New Roman" w:eastAsia="Calibri" w:hAnsi="Times New Roman" w:cs="Times New Roman"/>
        </w:rPr>
        <w:t xml:space="preserve">Identification of vulnerable groups and households, creation of employment opportunities in maintenance and management of small infrastructure, ensuring representation and active participation of vulnerable groups in continuous consultations and decision-making will be focused to address the risks related to excluding vulnerable groups. Furthermore, the design of subprojects will be gender and disabled friendly so that buildings, drainage crossing, and other infrastructure facilities will be equally beneficial and accessible for all including the vulnerable groups. </w:t>
      </w:r>
    </w:p>
    <w:p w14:paraId="6EFDACDB" w14:textId="0D729CC9" w:rsidR="00847853" w:rsidRPr="00BE6F08" w:rsidRDefault="00402EF9" w:rsidP="00CA0715">
      <w:pPr>
        <w:tabs>
          <w:tab w:val="left" w:pos="720"/>
        </w:tabs>
        <w:spacing w:before="120" w:after="120" w:line="240" w:lineRule="auto"/>
        <w:jc w:val="both"/>
        <w:rPr>
          <w:rFonts w:ascii="Times New Roman" w:eastAsia="Calibri" w:hAnsi="Times New Roman" w:cs="Times New Roman"/>
        </w:rPr>
      </w:pPr>
      <w:r w:rsidRPr="00BE6F08">
        <w:rPr>
          <w:rFonts w:ascii="Times New Roman" w:eastAsia="Calibri" w:hAnsi="Times New Roman" w:cs="Times New Roman"/>
        </w:rPr>
        <w:t xml:space="preserve">In terms of gender-based violence, this would not be an issue under the Project as labor is mainly sourced locally and given the size of the contracts local contractors normally get the contract. That said, </w:t>
      </w:r>
      <w:r w:rsidR="00847853" w:rsidRPr="00BE6F08">
        <w:rPr>
          <w:rFonts w:ascii="Times New Roman" w:eastAsia="Calibri" w:hAnsi="Times New Roman" w:cs="Times New Roman"/>
        </w:rPr>
        <w:t xml:space="preserve">the </w:t>
      </w:r>
      <w:r w:rsidRPr="00BE6F08">
        <w:rPr>
          <w:rFonts w:ascii="Times New Roman" w:eastAsia="Calibri" w:hAnsi="Times New Roman" w:cs="Times New Roman"/>
        </w:rPr>
        <w:t>P</w:t>
      </w:r>
      <w:r w:rsidR="00847853" w:rsidRPr="00BE6F08">
        <w:rPr>
          <w:rFonts w:ascii="Times New Roman" w:eastAsia="Calibri" w:hAnsi="Times New Roman" w:cs="Times New Roman"/>
        </w:rPr>
        <w:t xml:space="preserve">rogram will strengthen the capacity of </w:t>
      </w:r>
      <w:r w:rsidR="006F431D" w:rsidRPr="00BE6F08">
        <w:rPr>
          <w:rFonts w:ascii="Times New Roman" w:eastAsia="Calibri" w:hAnsi="Times New Roman" w:cs="Times New Roman"/>
        </w:rPr>
        <w:t>MMAs to</w:t>
      </w:r>
      <w:r w:rsidR="00847853" w:rsidRPr="00BE6F08">
        <w:rPr>
          <w:rFonts w:ascii="Times New Roman" w:eastAsia="Calibri" w:hAnsi="Times New Roman" w:cs="Times New Roman"/>
        </w:rPr>
        <w:t xml:space="preserve">  manage </w:t>
      </w:r>
      <w:r w:rsidRPr="00BE6F08">
        <w:rPr>
          <w:rFonts w:ascii="Times New Roman" w:eastAsia="Calibri" w:hAnsi="Times New Roman" w:cs="Times New Roman"/>
        </w:rPr>
        <w:t>g</w:t>
      </w:r>
      <w:r w:rsidR="00847853" w:rsidRPr="00BE6F08">
        <w:rPr>
          <w:rFonts w:ascii="Times New Roman" w:eastAsia="Calibri" w:hAnsi="Times New Roman" w:cs="Times New Roman"/>
        </w:rPr>
        <w:t>ender equality/social inclusion related risks by having clear guideline</w:t>
      </w:r>
      <w:r w:rsidRPr="00BE6F08">
        <w:rPr>
          <w:rFonts w:ascii="Times New Roman" w:eastAsia="Calibri" w:hAnsi="Times New Roman" w:cs="Times New Roman"/>
        </w:rPr>
        <w:t>s</w:t>
      </w:r>
      <w:r w:rsidR="00847853" w:rsidRPr="00BE6F08">
        <w:rPr>
          <w:rFonts w:ascii="Times New Roman" w:eastAsia="Calibri" w:hAnsi="Times New Roman" w:cs="Times New Roman"/>
        </w:rPr>
        <w:t xml:space="preserve"> and procedure in place (</w:t>
      </w:r>
      <w:r w:rsidRPr="00BE6F08">
        <w:rPr>
          <w:rFonts w:ascii="Times New Roman" w:eastAsia="Calibri" w:hAnsi="Times New Roman" w:cs="Times New Roman"/>
        </w:rPr>
        <w:t xml:space="preserve">e.g., </w:t>
      </w:r>
      <w:r w:rsidR="00847853" w:rsidRPr="00BE6F08">
        <w:rPr>
          <w:rFonts w:ascii="Times New Roman" w:eastAsia="Calibri" w:hAnsi="Times New Roman" w:cs="Times New Roman"/>
        </w:rPr>
        <w:t xml:space="preserve">updating  </w:t>
      </w:r>
      <w:r w:rsidRPr="00BE6F08">
        <w:rPr>
          <w:rFonts w:ascii="Times New Roman" w:eastAsia="Calibri" w:hAnsi="Times New Roman" w:cs="Times New Roman"/>
        </w:rPr>
        <w:t>of EA Sectoral Guidelines</w:t>
      </w:r>
      <w:r w:rsidR="00847853" w:rsidRPr="00BE6F08">
        <w:rPr>
          <w:rFonts w:ascii="Times New Roman" w:eastAsia="Calibri" w:hAnsi="Times New Roman" w:cs="Times New Roman"/>
        </w:rPr>
        <w:t xml:space="preserve">) for clear procedures in identification of vulnerable household/people, assigning focal persons on gender and social development, provision of trainings , and  implementation of </w:t>
      </w:r>
      <w:r w:rsidRPr="00BE6F08">
        <w:rPr>
          <w:rFonts w:ascii="Times New Roman" w:eastAsia="Calibri" w:hAnsi="Times New Roman" w:cs="Times New Roman"/>
        </w:rPr>
        <w:t>other inclusion activities.</w:t>
      </w:r>
    </w:p>
    <w:p w14:paraId="564A7E76" w14:textId="70243303" w:rsidR="00BE6F08" w:rsidRDefault="00402EF9" w:rsidP="00CA0715">
      <w:pPr>
        <w:tabs>
          <w:tab w:val="left" w:pos="720"/>
        </w:tabs>
        <w:spacing w:before="120" w:after="120" w:line="240" w:lineRule="auto"/>
        <w:jc w:val="both"/>
        <w:rPr>
          <w:rFonts w:ascii="Times New Roman" w:eastAsia="Calibri" w:hAnsi="Times New Roman" w:cs="Times New Roman"/>
        </w:rPr>
      </w:pPr>
      <w:r w:rsidRPr="00BE6F08">
        <w:rPr>
          <w:rFonts w:ascii="Times New Roman" w:eastAsia="Calibri" w:hAnsi="Times New Roman" w:cs="Times New Roman"/>
        </w:rPr>
        <w:t>The Program will make sure that hiring of minors will be in accordance with the national law. Accordingly, contracts will include provisions along this line.</w:t>
      </w:r>
      <w:bookmarkStart w:id="57" w:name="_Toc489183690"/>
      <w:bookmarkStart w:id="58" w:name="_Toc496454572"/>
      <w:r w:rsidR="00BE6F08">
        <w:rPr>
          <w:rFonts w:ascii="Times New Roman" w:eastAsia="Calibri" w:hAnsi="Times New Roman" w:cs="Times New Roman"/>
        </w:rPr>
        <w:t xml:space="preserve"> </w:t>
      </w:r>
    </w:p>
    <w:p w14:paraId="086A6A1C" w14:textId="10B3A195" w:rsidR="00847853" w:rsidRPr="00BE6F08" w:rsidRDefault="00847853" w:rsidP="00CA0715">
      <w:pPr>
        <w:tabs>
          <w:tab w:val="left" w:pos="720"/>
        </w:tabs>
        <w:spacing w:before="120" w:after="120" w:line="240" w:lineRule="auto"/>
        <w:jc w:val="both"/>
        <w:rPr>
          <w:rFonts w:ascii="Times New Roman" w:eastAsia="Calibri" w:hAnsi="Times New Roman" w:cs="Times New Roman"/>
        </w:rPr>
      </w:pPr>
      <w:r w:rsidRPr="00BE6F08">
        <w:rPr>
          <w:rFonts w:ascii="Times New Roman" w:eastAsia="Calibri" w:hAnsi="Times New Roman" w:cs="Times New Roman"/>
          <w:b/>
          <w:lang w:eastAsia="x-none"/>
        </w:rPr>
        <w:t>Grievance Redress</w:t>
      </w:r>
      <w:bookmarkEnd w:id="55"/>
      <w:bookmarkEnd w:id="56"/>
      <w:bookmarkEnd w:id="57"/>
      <w:bookmarkEnd w:id="58"/>
    </w:p>
    <w:p w14:paraId="7575798D" w14:textId="228C31C3" w:rsidR="00402EF9" w:rsidRPr="00BE6F08" w:rsidRDefault="00402EF9" w:rsidP="00CA0715">
      <w:pPr>
        <w:spacing w:before="120" w:after="120" w:line="240" w:lineRule="auto"/>
        <w:jc w:val="both"/>
        <w:rPr>
          <w:rFonts w:ascii="Times New Roman" w:eastAsia="Calibri" w:hAnsi="Times New Roman" w:cs="Times New Roman"/>
        </w:rPr>
      </w:pPr>
      <w:r w:rsidRPr="00BE6F08">
        <w:rPr>
          <w:rFonts w:ascii="Times New Roman" w:eastAsia="Calibri" w:hAnsi="Times New Roman" w:cs="Times New Roman"/>
        </w:rPr>
        <w:t xml:space="preserve">Grievance redress is an area that the Program needs to fully put in place and implement. Based on the site visits of MMAs participating LGCSP, the grievance redress system at the MMA level has found no records of complaints, status and resolution of those complaints, etc. </w:t>
      </w:r>
    </w:p>
    <w:p w14:paraId="36C51E12" w14:textId="76B182DF" w:rsidR="00847853" w:rsidRPr="00BE6F08" w:rsidRDefault="006774E8" w:rsidP="00CA0715">
      <w:pPr>
        <w:spacing w:before="120" w:after="120" w:line="240" w:lineRule="auto"/>
        <w:jc w:val="both"/>
        <w:rPr>
          <w:rFonts w:ascii="Times New Roman" w:eastAsia="Calibri" w:hAnsi="Times New Roman" w:cs="Times New Roman"/>
        </w:rPr>
      </w:pPr>
      <w:r w:rsidRPr="00BE6F08">
        <w:rPr>
          <w:rFonts w:ascii="Times New Roman" w:eastAsia="Calibri" w:hAnsi="Times New Roman" w:cs="Times New Roman"/>
        </w:rPr>
        <w:t>Under the LGCSP a Grievance Redress Mechanism</w:t>
      </w:r>
      <w:r w:rsidR="00F42721" w:rsidRPr="00BE6F08">
        <w:rPr>
          <w:rFonts w:ascii="Times New Roman" w:eastAsia="Calibri" w:hAnsi="Times New Roman" w:cs="Times New Roman"/>
        </w:rPr>
        <w:t xml:space="preserve"> (GRM)</w:t>
      </w:r>
      <w:r w:rsidRPr="00BE6F08">
        <w:rPr>
          <w:rFonts w:ascii="Times New Roman" w:eastAsia="Calibri" w:hAnsi="Times New Roman" w:cs="Times New Roman"/>
        </w:rPr>
        <w:t xml:space="preserve"> was outlined in the Resettlement Policy Framework but </w:t>
      </w:r>
      <w:r w:rsidR="00B350FD" w:rsidRPr="00BE6F08">
        <w:rPr>
          <w:rFonts w:ascii="Times New Roman" w:eastAsia="Calibri" w:hAnsi="Times New Roman" w:cs="Times New Roman"/>
        </w:rPr>
        <w:t>this remains non-functional as it was not effectively operationalized</w:t>
      </w:r>
      <w:r w:rsidRPr="00BE6F08">
        <w:rPr>
          <w:rFonts w:ascii="Times New Roman" w:eastAsia="Calibri" w:hAnsi="Times New Roman" w:cs="Times New Roman"/>
        </w:rPr>
        <w:t xml:space="preserve">. </w:t>
      </w:r>
      <w:r w:rsidR="00B350FD" w:rsidRPr="00BE6F08">
        <w:rPr>
          <w:rFonts w:ascii="Times New Roman" w:eastAsia="Calibri" w:hAnsi="Times New Roman" w:cs="Times New Roman"/>
        </w:rPr>
        <w:t xml:space="preserve">Among others, no Grievance Redress Committees (GRC) have been set up to receive and resolve complaints, </w:t>
      </w:r>
      <w:r w:rsidR="006F431D" w:rsidRPr="00BE6F08">
        <w:rPr>
          <w:rFonts w:ascii="Times New Roman" w:eastAsia="Calibri" w:hAnsi="Times New Roman" w:cs="Times New Roman"/>
        </w:rPr>
        <w:t>and no</w:t>
      </w:r>
      <w:r w:rsidRPr="00BE6F08">
        <w:rPr>
          <w:rFonts w:ascii="Times New Roman" w:eastAsia="Calibri" w:hAnsi="Times New Roman" w:cs="Times New Roman"/>
        </w:rPr>
        <w:t xml:space="preserve"> standalone and systematic documentations of complaints/grievances on the LGCSP.</w:t>
      </w:r>
      <w:r w:rsidR="00FE2D10" w:rsidRPr="00BE6F08">
        <w:rPr>
          <w:rFonts w:ascii="Times New Roman" w:eastAsia="Calibri" w:hAnsi="Times New Roman" w:cs="Times New Roman"/>
        </w:rPr>
        <w:t xml:space="preserve"> Similarly, no strategy exists for community and stakeholder consultations, although each policy for implementation by the Ministry has a component for engaging and with the citizenry. </w:t>
      </w:r>
      <w:r w:rsidRPr="00BE6F08">
        <w:rPr>
          <w:rFonts w:ascii="Times New Roman" w:eastAsia="Calibri" w:hAnsi="Times New Roman" w:cs="Times New Roman"/>
        </w:rPr>
        <w:t xml:space="preserve">However, at the MMAs there are Client Services Units which serve as the main interface between the respective MMA and the public and receive complaints and provide feedback. Also at the MLGRD the Social Accountability Unit (SAU) has been set up to stimulate citizens demand for accountability. Thus, one of the </w:t>
      </w:r>
      <w:r w:rsidR="00FE2D10" w:rsidRPr="00BE6F08">
        <w:rPr>
          <w:rFonts w:ascii="Times New Roman" w:eastAsia="Calibri" w:hAnsi="Times New Roman" w:cs="Times New Roman"/>
        </w:rPr>
        <w:t>core components of the unit</w:t>
      </w:r>
      <w:r w:rsidRPr="00BE6F08">
        <w:rPr>
          <w:rFonts w:ascii="Times New Roman" w:eastAsia="Calibri" w:hAnsi="Times New Roman" w:cs="Times New Roman"/>
        </w:rPr>
        <w:t xml:space="preserve"> is strengthening of social accountability through town hall meetings where the citizenry </w:t>
      </w:r>
      <w:r w:rsidR="00FE2D10" w:rsidRPr="00BE6F08">
        <w:rPr>
          <w:rFonts w:ascii="Times New Roman" w:eastAsia="Calibri" w:hAnsi="Times New Roman" w:cs="Times New Roman"/>
        </w:rPr>
        <w:t>interacts directly</w:t>
      </w:r>
      <w:r w:rsidRPr="00BE6F08">
        <w:rPr>
          <w:rFonts w:ascii="Times New Roman" w:eastAsia="Calibri" w:hAnsi="Times New Roman" w:cs="Times New Roman"/>
        </w:rPr>
        <w:t xml:space="preserve"> with the public officers.</w:t>
      </w:r>
      <w:r w:rsidR="00FE2D10" w:rsidRPr="00BE6F08">
        <w:rPr>
          <w:rFonts w:ascii="Times New Roman" w:eastAsia="Calibri" w:hAnsi="Times New Roman" w:cs="Times New Roman"/>
        </w:rPr>
        <w:t xml:space="preserve"> There is therefore opportunity to operationalize a GRM within the MLGRD under the proposed Program.</w:t>
      </w:r>
    </w:p>
    <w:p w14:paraId="05F435C7" w14:textId="477B9946" w:rsidR="00517F77" w:rsidRPr="00BE6F08" w:rsidRDefault="00FE2D10" w:rsidP="00CA0715">
      <w:pPr>
        <w:spacing w:before="120" w:after="120" w:line="240" w:lineRule="auto"/>
        <w:jc w:val="both"/>
        <w:rPr>
          <w:rFonts w:ascii="Times New Roman" w:eastAsia="Calibri" w:hAnsi="Times New Roman" w:cs="Times New Roman"/>
        </w:rPr>
      </w:pPr>
      <w:r w:rsidRPr="00BE6F08">
        <w:rPr>
          <w:rFonts w:ascii="Times New Roman" w:eastAsia="Calibri" w:hAnsi="Times New Roman" w:cs="Times New Roman"/>
        </w:rPr>
        <w:t>The activities of the SAU will have to be institutionalized within the setup of the MLGRD and to be the umbrella department</w:t>
      </w:r>
      <w:r w:rsidR="00B350FD" w:rsidRPr="00BE6F08">
        <w:rPr>
          <w:rFonts w:ascii="Times New Roman" w:eastAsia="Calibri" w:hAnsi="Times New Roman" w:cs="Times New Roman"/>
        </w:rPr>
        <w:t xml:space="preserve"> for grievance management. Staff of the SAU will be assessed for capacity to manage a grievance redress system for the Program. The assessment will determine the gaps in capacity that may require training to be able to operationalize the GRM that will be set up. </w:t>
      </w:r>
      <w:r w:rsidR="00A878AB" w:rsidRPr="00BE6F08">
        <w:rPr>
          <w:rFonts w:ascii="Times New Roman" w:eastAsia="Calibri" w:hAnsi="Times New Roman" w:cs="Times New Roman"/>
        </w:rPr>
        <w:t xml:space="preserve"> </w:t>
      </w:r>
      <w:r w:rsidR="008300D5" w:rsidRPr="00BE6F08">
        <w:rPr>
          <w:rFonts w:ascii="Times New Roman" w:eastAsia="Calibri" w:hAnsi="Times New Roman" w:cs="Times New Roman"/>
        </w:rPr>
        <w:t xml:space="preserve">The SAU will coordinate and collaborate with the MMAs on safeguards activities that relates complaints management. </w:t>
      </w:r>
      <w:r w:rsidR="00A878AB" w:rsidRPr="00BE6F08">
        <w:rPr>
          <w:rFonts w:ascii="Times New Roman" w:eastAsia="Calibri" w:hAnsi="Times New Roman" w:cs="Times New Roman"/>
        </w:rPr>
        <w:t xml:space="preserve">Staff at the SAU and focal officers at the MMAs will be trained </w:t>
      </w:r>
      <w:r w:rsidR="008300D5" w:rsidRPr="00BE6F08">
        <w:rPr>
          <w:rFonts w:ascii="Times New Roman" w:eastAsia="Calibri" w:hAnsi="Times New Roman" w:cs="Times New Roman"/>
        </w:rPr>
        <w:t>requirements</w:t>
      </w:r>
      <w:r w:rsidR="009654C2">
        <w:rPr>
          <w:rFonts w:ascii="Times New Roman" w:eastAsia="Calibri" w:hAnsi="Times New Roman" w:cs="Times New Roman"/>
        </w:rPr>
        <w:t xml:space="preserve"> for </w:t>
      </w:r>
      <w:r w:rsidR="008300D5" w:rsidRPr="00BE6F08">
        <w:rPr>
          <w:rFonts w:ascii="Times New Roman" w:eastAsia="Calibri" w:hAnsi="Times New Roman" w:cs="Times New Roman"/>
        </w:rPr>
        <w:t xml:space="preserve">GRM and stakeholder consultations, which will be key components of safeguards risk management. </w:t>
      </w:r>
    </w:p>
    <w:p w14:paraId="431F5827" w14:textId="77777777" w:rsidR="00847853" w:rsidRPr="00BE6F08" w:rsidRDefault="00847853" w:rsidP="00CA0715">
      <w:pPr>
        <w:spacing w:before="120" w:after="120" w:line="240" w:lineRule="auto"/>
        <w:jc w:val="both"/>
        <w:rPr>
          <w:rFonts w:ascii="Times New Roman" w:eastAsia="Calibri" w:hAnsi="Times New Roman" w:cs="Times New Roman"/>
          <w:b/>
        </w:rPr>
      </w:pPr>
      <w:r w:rsidRPr="00BE6F08">
        <w:rPr>
          <w:rFonts w:ascii="Times New Roman" w:eastAsia="Calibri" w:hAnsi="Times New Roman" w:cs="Times New Roman"/>
          <w:b/>
        </w:rPr>
        <w:t>Social conflict</w:t>
      </w:r>
    </w:p>
    <w:p w14:paraId="2485B22D" w14:textId="77777777" w:rsidR="00710199" w:rsidRPr="00BE6F08" w:rsidRDefault="00847853" w:rsidP="00CA0715">
      <w:pPr>
        <w:spacing w:before="120" w:after="120" w:line="240" w:lineRule="auto"/>
        <w:jc w:val="both"/>
        <w:rPr>
          <w:rFonts w:ascii="Times New Roman" w:eastAsia="Calibri" w:hAnsi="Times New Roman" w:cs="Times New Roman"/>
        </w:rPr>
      </w:pPr>
      <w:r w:rsidRPr="00BE6F08">
        <w:rPr>
          <w:rFonts w:ascii="Times New Roman" w:eastAsia="Calibri" w:hAnsi="Times New Roman" w:cs="Times New Roman"/>
        </w:rPr>
        <w:t>The proposed program will not exacerbate social conflict nor will it operate in a fragile state context, a post conflict area, or areas subject to territorial disputes. The program is also designed to yield significant social benefits to all citizens and to</w:t>
      </w:r>
      <w:bookmarkStart w:id="59" w:name="_Toc368575517"/>
      <w:bookmarkStart w:id="60" w:name="_Toc488568695"/>
      <w:bookmarkStart w:id="61" w:name="_Toc489183691"/>
      <w:bookmarkStart w:id="62" w:name="_Toc496454573"/>
      <w:r w:rsidR="00710199" w:rsidRPr="00BE6F08">
        <w:rPr>
          <w:rFonts w:ascii="Times New Roman" w:eastAsia="Calibri" w:hAnsi="Times New Roman" w:cs="Times New Roman"/>
        </w:rPr>
        <w:t xml:space="preserve"> improve distributional equity.</w:t>
      </w:r>
    </w:p>
    <w:p w14:paraId="0991070B" w14:textId="77777777" w:rsidR="003E2BD8" w:rsidRDefault="003E2BD8" w:rsidP="00CA0715">
      <w:pPr>
        <w:spacing w:before="120" w:after="120" w:line="240" w:lineRule="auto"/>
        <w:jc w:val="both"/>
        <w:rPr>
          <w:rFonts w:ascii="Times New Roman" w:eastAsia="Times New Roman" w:hAnsi="Times New Roman" w:cs="Times New Roman"/>
          <w:b/>
          <w:lang w:val="x-none" w:eastAsia="x-none"/>
        </w:rPr>
      </w:pPr>
    </w:p>
    <w:p w14:paraId="3811324D" w14:textId="08B228AC" w:rsidR="00847853" w:rsidRPr="00131AC2" w:rsidRDefault="003E2BD8" w:rsidP="00CA0715">
      <w:pPr>
        <w:spacing w:before="120" w:after="120" w:line="240" w:lineRule="auto"/>
        <w:jc w:val="both"/>
        <w:rPr>
          <w:rStyle w:val="Heading21"/>
        </w:rPr>
      </w:pPr>
      <w:r w:rsidRPr="00131AC2">
        <w:rPr>
          <w:rStyle w:val="Heading21"/>
        </w:rPr>
        <w:t xml:space="preserve">5.3 </w:t>
      </w:r>
      <w:r w:rsidR="00847853" w:rsidRPr="00131AC2">
        <w:rPr>
          <w:rStyle w:val="Heading21"/>
        </w:rPr>
        <w:t>Key Areas for System Strengthening</w:t>
      </w:r>
      <w:bookmarkEnd w:id="59"/>
      <w:bookmarkEnd w:id="60"/>
      <w:bookmarkEnd w:id="61"/>
      <w:r w:rsidR="00847853" w:rsidRPr="00131AC2">
        <w:rPr>
          <w:rStyle w:val="Heading21"/>
        </w:rPr>
        <w:t>:</w:t>
      </w:r>
      <w:bookmarkStart w:id="63" w:name="_Toc368575518"/>
      <w:bookmarkStart w:id="64" w:name="_Toc488568696"/>
      <w:bookmarkStart w:id="65" w:name="_Toc489183692"/>
      <w:r w:rsidR="00847853" w:rsidRPr="00131AC2">
        <w:rPr>
          <w:rStyle w:val="Heading21"/>
        </w:rPr>
        <w:t xml:space="preserve"> Institutional capacity strengthening</w:t>
      </w:r>
      <w:bookmarkEnd w:id="62"/>
      <w:bookmarkEnd w:id="63"/>
      <w:bookmarkEnd w:id="64"/>
      <w:bookmarkEnd w:id="65"/>
    </w:p>
    <w:p w14:paraId="06C39888" w14:textId="132BA14A" w:rsidR="00710199" w:rsidRPr="009654C2" w:rsidRDefault="00847853" w:rsidP="00CA0715">
      <w:pPr>
        <w:spacing w:before="120" w:after="120" w:line="240" w:lineRule="auto"/>
        <w:jc w:val="both"/>
        <w:rPr>
          <w:rFonts w:ascii="Times New Roman" w:eastAsia="Calibri" w:hAnsi="Times New Roman" w:cs="Times New Roman"/>
        </w:rPr>
      </w:pPr>
      <w:r w:rsidRPr="009654C2">
        <w:rPr>
          <w:rFonts w:ascii="Times New Roman" w:eastAsia="Calibri" w:hAnsi="Times New Roman" w:cs="Times New Roman"/>
        </w:rPr>
        <w:t xml:space="preserve">The </w:t>
      </w:r>
      <w:r w:rsidR="00710199" w:rsidRPr="009654C2">
        <w:rPr>
          <w:rFonts w:ascii="Times New Roman" w:eastAsia="Calibri" w:hAnsi="Times New Roman" w:cs="Times New Roman"/>
        </w:rPr>
        <w:t xml:space="preserve">Program will be implemented in existing MMAs who participated under the ongoing LGCSP, who already have familiarity, experiences on the processes and procedures and implementation structure of the Program. There might be new MMAs who are new to the Program whose capacity will need to be built, </w:t>
      </w:r>
      <w:r w:rsidR="006F431D" w:rsidRPr="009654C2">
        <w:rPr>
          <w:rFonts w:ascii="Times New Roman" w:eastAsia="Calibri" w:hAnsi="Times New Roman" w:cs="Times New Roman"/>
        </w:rPr>
        <w:t>alongside</w:t>
      </w:r>
      <w:r w:rsidR="00710199" w:rsidRPr="009654C2">
        <w:rPr>
          <w:rFonts w:ascii="Times New Roman" w:eastAsia="Calibri" w:hAnsi="Times New Roman" w:cs="Times New Roman"/>
        </w:rPr>
        <w:t xml:space="preserve"> those who currently participate in LGCSP.</w:t>
      </w:r>
    </w:p>
    <w:p w14:paraId="18BF43BE" w14:textId="69EC4085" w:rsidR="00710199" w:rsidRPr="009654C2" w:rsidRDefault="00710199" w:rsidP="00CA0715">
      <w:pPr>
        <w:spacing w:before="120" w:after="120" w:line="240" w:lineRule="auto"/>
        <w:jc w:val="both"/>
        <w:rPr>
          <w:rFonts w:ascii="Times New Roman" w:eastAsia="Calibri" w:hAnsi="Times New Roman" w:cs="Times New Roman"/>
        </w:rPr>
      </w:pPr>
      <w:r w:rsidRPr="009654C2">
        <w:rPr>
          <w:rFonts w:ascii="Times New Roman" w:eastAsia="Calibri" w:hAnsi="Times New Roman" w:cs="Times New Roman"/>
        </w:rPr>
        <w:t>In particular, MMAs need to formalize their Environmental and Social Team with clear assignment of Focal and members and clearly described duties and responsibilities. The MMA Environmental and Social Team will need to undergo regular and sustained training on screening, preparation of PERs/ESMP and ARAP, inclusion and costing of environmental and social measures in the bidding documents and contracting, environmental supervision, monitoring and reporting; and grievance redress, among others.</w:t>
      </w:r>
    </w:p>
    <w:p w14:paraId="7C969B8C" w14:textId="71CEB74F" w:rsidR="004A0695" w:rsidRPr="009654C2" w:rsidRDefault="00710199" w:rsidP="00CA0715">
      <w:pPr>
        <w:spacing w:before="120" w:after="120" w:line="240" w:lineRule="auto"/>
        <w:jc w:val="both"/>
        <w:rPr>
          <w:rFonts w:ascii="Times New Roman" w:eastAsia="Calibri" w:hAnsi="Times New Roman" w:cs="Times New Roman"/>
        </w:rPr>
      </w:pPr>
      <w:r w:rsidRPr="009654C2">
        <w:rPr>
          <w:rFonts w:ascii="Times New Roman" w:eastAsia="Calibri" w:hAnsi="Times New Roman" w:cs="Times New Roman"/>
        </w:rPr>
        <w:t>At the Executing Agency level, there is need to retain the current Environmental Specialist under LCGSP and to hire a Social Development Specialist to work</w:t>
      </w:r>
      <w:r w:rsidR="004A0695" w:rsidRPr="009654C2">
        <w:rPr>
          <w:rFonts w:ascii="Times New Roman" w:eastAsia="Calibri" w:hAnsi="Times New Roman" w:cs="Times New Roman"/>
        </w:rPr>
        <w:t xml:space="preserve"> with the Environmental Specialist, in providing technical support to the Environmental and Social Teams of MMAs, provide regular and sustained trainings and capacity building and to monitor the overall implementation of the Program in terms of management of environmental and social risks.</w:t>
      </w:r>
    </w:p>
    <w:p w14:paraId="38DA4DA9" w14:textId="77777777" w:rsidR="004A0695" w:rsidRPr="009654C2" w:rsidRDefault="004A0695" w:rsidP="00CA0715">
      <w:pPr>
        <w:spacing w:before="120" w:after="120" w:line="240" w:lineRule="auto"/>
        <w:jc w:val="both"/>
        <w:rPr>
          <w:rFonts w:ascii="Times New Roman" w:eastAsia="Calibri" w:hAnsi="Times New Roman" w:cs="Times New Roman"/>
        </w:rPr>
      </w:pPr>
      <w:r w:rsidRPr="009654C2">
        <w:rPr>
          <w:rFonts w:ascii="Times New Roman" w:eastAsia="Calibri" w:hAnsi="Times New Roman" w:cs="Times New Roman"/>
        </w:rPr>
        <w:t>The Social Accountability Unit of MLGRD created under LGCSP should expand its mandate on grievance redress.</w:t>
      </w:r>
    </w:p>
    <w:p w14:paraId="29E2135A" w14:textId="0BD74677" w:rsidR="004A0695" w:rsidRPr="009654C2" w:rsidRDefault="004A0695" w:rsidP="00CA0715">
      <w:pPr>
        <w:spacing w:before="120" w:after="120" w:line="240" w:lineRule="auto"/>
        <w:jc w:val="both"/>
        <w:rPr>
          <w:rFonts w:ascii="Times New Roman" w:hAnsi="Times New Roman" w:cs="Times New Roman"/>
          <w:color w:val="FF0000"/>
        </w:rPr>
      </w:pPr>
      <w:r w:rsidRPr="009654C2">
        <w:rPr>
          <w:rFonts w:ascii="Times New Roman" w:eastAsia="Calibri" w:hAnsi="Times New Roman" w:cs="Times New Roman"/>
        </w:rPr>
        <w:t xml:space="preserve">The Regional EPA and the Land Valuation </w:t>
      </w:r>
      <w:r w:rsidR="00B27E78" w:rsidRPr="009654C2">
        <w:rPr>
          <w:rFonts w:ascii="Times New Roman" w:eastAsia="Calibri" w:hAnsi="Times New Roman" w:cs="Times New Roman"/>
        </w:rPr>
        <w:t xml:space="preserve">Division </w:t>
      </w:r>
      <w:r w:rsidRPr="009654C2">
        <w:rPr>
          <w:rFonts w:ascii="Times New Roman" w:eastAsia="Calibri" w:hAnsi="Times New Roman" w:cs="Times New Roman"/>
        </w:rPr>
        <w:t>also need to be fully engaged by MMAs and PP</w:t>
      </w:r>
      <w:r w:rsidR="00975839">
        <w:rPr>
          <w:rFonts w:ascii="Times New Roman" w:eastAsia="Calibri" w:hAnsi="Times New Roman" w:cs="Times New Roman"/>
        </w:rPr>
        <w:t>B</w:t>
      </w:r>
      <w:r w:rsidRPr="009654C2">
        <w:rPr>
          <w:rFonts w:ascii="Times New Roman" w:eastAsia="Calibri" w:hAnsi="Times New Roman" w:cs="Times New Roman"/>
        </w:rPr>
        <w:t>ME</w:t>
      </w:r>
      <w:r w:rsidR="00975839">
        <w:rPr>
          <w:rFonts w:ascii="Times New Roman" w:eastAsia="Calibri" w:hAnsi="Times New Roman" w:cs="Times New Roman"/>
        </w:rPr>
        <w:t>D</w:t>
      </w:r>
      <w:r w:rsidRPr="009654C2">
        <w:rPr>
          <w:rFonts w:ascii="Times New Roman" w:eastAsia="Calibri" w:hAnsi="Times New Roman" w:cs="Times New Roman"/>
        </w:rPr>
        <w:t xml:space="preserve"> in terms of screening subprojects, site validation and preparation of PERs/ESMPs and ARAPs. </w:t>
      </w:r>
    </w:p>
    <w:p w14:paraId="2A75FBAC" w14:textId="43988D89" w:rsidR="00B27E78" w:rsidRPr="00F5393B" w:rsidRDefault="004A0695" w:rsidP="00CA0715">
      <w:pPr>
        <w:spacing w:before="120" w:after="120" w:line="240" w:lineRule="auto"/>
        <w:jc w:val="both"/>
        <w:rPr>
          <w:rFonts w:ascii="Times New Roman" w:hAnsi="Times New Roman" w:cs="Times New Roman"/>
        </w:rPr>
      </w:pPr>
      <w:r w:rsidRPr="003E2BD8">
        <w:rPr>
          <w:rFonts w:ascii="Times New Roman" w:hAnsi="Times New Roman" w:cs="Times New Roman"/>
        </w:rPr>
        <w:t xml:space="preserve">The lack of clarity </w:t>
      </w:r>
      <w:r w:rsidR="00C50A02" w:rsidRPr="003E2BD8">
        <w:rPr>
          <w:rFonts w:ascii="Times New Roman" w:hAnsi="Times New Roman" w:cs="Times New Roman"/>
        </w:rPr>
        <w:t>institution</w:t>
      </w:r>
      <w:r w:rsidRPr="003E2BD8">
        <w:rPr>
          <w:rFonts w:ascii="Times New Roman" w:hAnsi="Times New Roman" w:cs="Times New Roman"/>
        </w:rPr>
        <w:t>s</w:t>
      </w:r>
      <w:r w:rsidR="00C50A02" w:rsidRPr="003E2BD8">
        <w:rPr>
          <w:rFonts w:ascii="Times New Roman" w:hAnsi="Times New Roman" w:cs="Times New Roman"/>
        </w:rPr>
        <w:t xml:space="preserve"> involved in regulating and supervising la</w:t>
      </w:r>
      <w:r w:rsidRPr="003E2BD8">
        <w:rPr>
          <w:rFonts w:ascii="Times New Roman" w:hAnsi="Times New Roman" w:cs="Times New Roman"/>
        </w:rPr>
        <w:t>nd acquisition and resettlement will need to be assessed and addressed moving forward</w:t>
      </w:r>
      <w:r w:rsidRPr="00F5393B">
        <w:rPr>
          <w:rFonts w:ascii="Times New Roman" w:hAnsi="Times New Roman" w:cs="Times New Roman"/>
        </w:rPr>
        <w:t xml:space="preserve">. </w:t>
      </w:r>
      <w:r w:rsidR="00B27E78" w:rsidRPr="00F5393B">
        <w:rPr>
          <w:rFonts w:ascii="Times New Roman" w:hAnsi="Times New Roman" w:cs="Times New Roman"/>
        </w:rPr>
        <w:t xml:space="preserve">Land acquisition and resettlement under the LGCSP has only resulted in minor social impacts requiring cash compensation and reinstatement of affected properties, which have all been manageable under applicable laws and regulations.  The legal framework in the country is explicit about the institutional responsibilities for the acquisition of land for government projects and the assessment and approval of compensation for cash payments. Thus, the Public </w:t>
      </w:r>
      <w:r w:rsidR="003E2BD8" w:rsidRPr="00F5393B">
        <w:rPr>
          <w:rFonts w:ascii="Times New Roman" w:hAnsi="Times New Roman" w:cs="Times New Roman"/>
        </w:rPr>
        <w:t>and Vested Land</w:t>
      </w:r>
      <w:r w:rsidR="00F96D61" w:rsidRPr="00F5393B">
        <w:rPr>
          <w:rFonts w:ascii="Times New Roman" w:hAnsi="Times New Roman" w:cs="Times New Roman"/>
        </w:rPr>
        <w:t xml:space="preserve"> Management Division (PVLMD) and the Land Valuation Division (LVD) of the Lands Commission are tasked with the legal mandates for advising government institutions on land acquisitions and compensations respectively. What is not clear is the institutional responsibilities for managing large scale physical relocations requiring resettlement. Although the EPA has play</w:t>
      </w:r>
      <w:r w:rsidR="0021086C" w:rsidRPr="00F5393B">
        <w:rPr>
          <w:rFonts w:ascii="Times New Roman" w:hAnsi="Times New Roman" w:cs="Times New Roman"/>
        </w:rPr>
        <w:t>ed</w:t>
      </w:r>
      <w:r w:rsidR="00F96D61" w:rsidRPr="00F5393B">
        <w:rPr>
          <w:rFonts w:ascii="Times New Roman" w:hAnsi="Times New Roman" w:cs="Times New Roman"/>
        </w:rPr>
        <w:t xml:space="preserve"> an effective regulatory role when there </w:t>
      </w:r>
      <w:r w:rsidR="00412A99" w:rsidRPr="00F5393B">
        <w:rPr>
          <w:rFonts w:ascii="Times New Roman" w:hAnsi="Times New Roman" w:cs="Times New Roman"/>
        </w:rPr>
        <w:t>is resettlement</w:t>
      </w:r>
      <w:r w:rsidR="00F96D61" w:rsidRPr="00F5393B">
        <w:rPr>
          <w:rFonts w:ascii="Times New Roman" w:hAnsi="Times New Roman" w:cs="Times New Roman"/>
        </w:rPr>
        <w:t xml:space="preserve"> associated with mining activities, it is not clear if there were to be resettlement in urban areas which state institutions will play the lead role. Perhaps it may be the responsibilities of the respective MMAs, since these are the planning authorities (section 82 of the Local Governance Act 2016, Act 936). The Program will not be engaging in activities that are likely to result in the </w:t>
      </w:r>
      <w:r w:rsidR="0021086C" w:rsidRPr="00F5393B">
        <w:rPr>
          <w:rFonts w:ascii="Times New Roman" w:hAnsi="Times New Roman" w:cs="Times New Roman"/>
        </w:rPr>
        <w:t xml:space="preserve">large </w:t>
      </w:r>
      <w:r w:rsidR="00F96D61" w:rsidRPr="00F5393B">
        <w:rPr>
          <w:rFonts w:ascii="Times New Roman" w:hAnsi="Times New Roman" w:cs="Times New Roman"/>
        </w:rPr>
        <w:t>scale physical resettlement of PAPs beyond what has already been implemented under the LGCSP, however as part of the new Program the capacity of the MLGRD and the MMAs will have to be enhanced to manage resettlement to ensure that there is adequate capacity available to manage the environmental and social risks and impacts that are often associated w</w:t>
      </w:r>
      <w:r w:rsidR="00412A99" w:rsidRPr="00F5393B">
        <w:rPr>
          <w:rFonts w:ascii="Times New Roman" w:hAnsi="Times New Roman" w:cs="Times New Roman"/>
        </w:rPr>
        <w:t>ith physical resettlement of PAP</w:t>
      </w:r>
      <w:r w:rsidR="00F96D61" w:rsidRPr="00F5393B">
        <w:rPr>
          <w:rFonts w:ascii="Times New Roman" w:hAnsi="Times New Roman" w:cs="Times New Roman"/>
        </w:rPr>
        <w:t>s during Program implementation. This will require additional huma</w:t>
      </w:r>
      <w:r w:rsidR="00412A99" w:rsidRPr="00F5393B">
        <w:rPr>
          <w:rFonts w:ascii="Times New Roman" w:hAnsi="Times New Roman" w:cs="Times New Roman"/>
        </w:rPr>
        <w:t>n</w:t>
      </w:r>
      <w:r w:rsidR="00F96D61" w:rsidRPr="00F5393B">
        <w:rPr>
          <w:rFonts w:ascii="Times New Roman" w:hAnsi="Times New Roman" w:cs="Times New Roman"/>
        </w:rPr>
        <w:t xml:space="preserve"> resources and capacity building </w:t>
      </w:r>
      <w:r w:rsidR="00412A99" w:rsidRPr="00F5393B">
        <w:rPr>
          <w:rFonts w:ascii="Times New Roman" w:hAnsi="Times New Roman" w:cs="Times New Roman"/>
        </w:rPr>
        <w:t>trainings.</w:t>
      </w:r>
    </w:p>
    <w:p w14:paraId="0E504040" w14:textId="22C3414F" w:rsidR="008300D5" w:rsidRPr="003E2BD8" w:rsidRDefault="0023499E" w:rsidP="00CA0715">
      <w:pPr>
        <w:spacing w:line="240" w:lineRule="auto"/>
        <w:rPr>
          <w:rFonts w:ascii="Times New Roman" w:eastAsia="Times New Roman" w:hAnsi="Times New Roman" w:cs="Times New Roman"/>
          <w:b/>
          <w:lang w:eastAsia="x-none"/>
        </w:rPr>
      </w:pPr>
      <w:bookmarkStart w:id="66" w:name="_Toc368575519"/>
      <w:bookmarkStart w:id="67" w:name="_Toc488568697"/>
      <w:bookmarkStart w:id="68" w:name="_Toc489183693"/>
      <w:bookmarkStart w:id="69" w:name="_Toc496454574"/>
      <w:r w:rsidRPr="003E2BD8">
        <w:rPr>
          <w:rFonts w:ascii="Times New Roman" w:eastAsia="Times New Roman" w:hAnsi="Times New Roman" w:cs="Times New Roman"/>
          <w:b/>
          <w:lang w:eastAsia="x-none"/>
        </w:rPr>
        <w:br w:type="page"/>
      </w:r>
    </w:p>
    <w:p w14:paraId="5412A189" w14:textId="391C2C29" w:rsidR="00847853" w:rsidRPr="00E15C04" w:rsidRDefault="0023499E" w:rsidP="006F431D">
      <w:pPr>
        <w:pStyle w:val="Heading2"/>
      </w:pPr>
      <w:bookmarkStart w:id="70" w:name="_Toc508892829"/>
      <w:r w:rsidRPr="00E15C04">
        <w:t xml:space="preserve">Section VI: </w:t>
      </w:r>
      <w:r w:rsidR="004A0695" w:rsidRPr="00E15C04">
        <w:t xml:space="preserve">Consistency of the Program’s </w:t>
      </w:r>
      <w:r w:rsidR="00847853" w:rsidRPr="00E15C04">
        <w:t>Environmental and Social Management System with</w:t>
      </w:r>
      <w:r w:rsidR="004A0695" w:rsidRPr="00E15C04">
        <w:t xml:space="preserve"> the</w:t>
      </w:r>
      <w:r w:rsidR="00847853" w:rsidRPr="00E15C04">
        <w:t xml:space="preserve"> Program for Results Financing Core Principles</w:t>
      </w:r>
      <w:bookmarkEnd w:id="66"/>
      <w:bookmarkEnd w:id="67"/>
      <w:bookmarkEnd w:id="68"/>
      <w:bookmarkEnd w:id="69"/>
      <w:bookmarkEnd w:id="70"/>
      <w:r w:rsidR="00847853" w:rsidRPr="00E15C04">
        <w:t xml:space="preserve"> </w:t>
      </w:r>
    </w:p>
    <w:p w14:paraId="69CBE7AC" w14:textId="7F3A1FCA" w:rsidR="00847853" w:rsidRPr="003E2BD8" w:rsidRDefault="00847853" w:rsidP="00CA0715">
      <w:pPr>
        <w:tabs>
          <w:tab w:val="left" w:pos="0"/>
        </w:tabs>
        <w:spacing w:before="120" w:after="120" w:line="240" w:lineRule="auto"/>
        <w:jc w:val="both"/>
        <w:rPr>
          <w:rFonts w:ascii="Times New Roman" w:eastAsia="Calibri" w:hAnsi="Times New Roman" w:cs="Times New Roman"/>
        </w:rPr>
      </w:pPr>
      <w:r w:rsidRPr="003E2BD8">
        <w:rPr>
          <w:rFonts w:ascii="Times New Roman" w:eastAsia="Calibri" w:hAnsi="Times New Roman" w:cs="Times New Roman"/>
        </w:rPr>
        <w:t xml:space="preserve">The below section summarizes the assessment of the capacity of Program institutions to effectively implement the Program environmental and social management system as defined in various rules, procedures, and implementing guidelines consistent with the core principles of </w:t>
      </w:r>
      <w:r w:rsidRPr="003E2BD8">
        <w:rPr>
          <w:rFonts w:ascii="Times New Roman" w:eastAsia="Calibri" w:hAnsi="Times New Roman" w:cs="Times New Roman"/>
          <w:i/>
          <w:iCs/>
        </w:rPr>
        <w:t xml:space="preserve">Program for Results Financing. </w:t>
      </w:r>
      <w:r w:rsidRPr="003E2BD8">
        <w:rPr>
          <w:rFonts w:ascii="Times New Roman" w:eastAsia="Calibri" w:hAnsi="Times New Roman" w:cs="Times New Roman"/>
          <w:iCs/>
        </w:rPr>
        <w:t xml:space="preserve">As stated above the below summary </w:t>
      </w:r>
      <w:r w:rsidRPr="003E2BD8">
        <w:rPr>
          <w:rFonts w:ascii="Times New Roman" w:eastAsia="Calibri" w:hAnsi="Times New Roman" w:cs="Times New Roman"/>
        </w:rPr>
        <w:t xml:space="preserve">discusses the applicability of the six core principles in terms of their Strengths, Weaknesses, Opportunities and Risks with respect to the policy and legal framework, the institutional context, and existing environment and social management </w:t>
      </w:r>
      <w:r w:rsidR="00B1688C" w:rsidRPr="003E2BD8">
        <w:rPr>
          <w:rFonts w:ascii="Times New Roman" w:eastAsia="Calibri" w:hAnsi="Times New Roman" w:cs="Times New Roman"/>
        </w:rPr>
        <w:t>procedures.</w:t>
      </w:r>
      <w:r w:rsidRPr="003E2BD8">
        <w:rPr>
          <w:rFonts w:ascii="Times New Roman" w:eastAsia="Calibri" w:hAnsi="Times New Roman" w:cs="Times New Roman"/>
        </w:rPr>
        <w:t xml:space="preserve"> </w:t>
      </w:r>
      <w:r w:rsidR="00733488" w:rsidRPr="003E2BD8">
        <w:rPr>
          <w:rFonts w:ascii="Times New Roman" w:eastAsia="Calibri" w:hAnsi="Times New Roman" w:cs="Times New Roman"/>
        </w:rPr>
        <w:t xml:space="preserve">The analysis </w:t>
      </w:r>
      <w:r w:rsidR="0023499E" w:rsidRPr="003E2BD8">
        <w:rPr>
          <w:rFonts w:ascii="Times New Roman" w:eastAsia="Calibri" w:hAnsi="Times New Roman" w:cs="Times New Roman"/>
        </w:rPr>
        <w:t>below</w:t>
      </w:r>
      <w:r w:rsidR="00733488" w:rsidRPr="003E2BD8">
        <w:rPr>
          <w:rFonts w:ascii="Times New Roman" w:eastAsia="Calibri" w:hAnsi="Times New Roman" w:cs="Times New Roman"/>
        </w:rPr>
        <w:t xml:space="preserve"> underpins the recommendations for action which have been provided in the next section (section VII).</w:t>
      </w:r>
    </w:p>
    <w:p w14:paraId="200EBC6D" w14:textId="77777777" w:rsidR="00733488" w:rsidRPr="003E2BD8" w:rsidRDefault="00733488" w:rsidP="00CA0715">
      <w:pPr>
        <w:tabs>
          <w:tab w:val="left" w:pos="0"/>
        </w:tabs>
        <w:spacing w:after="0" w:line="240" w:lineRule="auto"/>
        <w:jc w:val="both"/>
        <w:rPr>
          <w:rFonts w:ascii="Times New Roman" w:eastAsia="Calibri" w:hAnsi="Times New Roman" w:cs="Times New Roman"/>
        </w:rPr>
      </w:pPr>
    </w:p>
    <w:p w14:paraId="4E83A8B2" w14:textId="77777777" w:rsidR="00847853" w:rsidRPr="003E2BD8" w:rsidRDefault="00847853" w:rsidP="00CA0715">
      <w:pPr>
        <w:spacing w:after="0" w:line="360" w:lineRule="auto"/>
        <w:jc w:val="both"/>
        <w:outlineLvl w:val="2"/>
        <w:rPr>
          <w:rFonts w:ascii="Times New Roman" w:eastAsia="Calibri" w:hAnsi="Times New Roman" w:cs="Times New Roman"/>
        </w:rPr>
      </w:pPr>
      <w:bookmarkStart w:id="71" w:name="_Toc496454575"/>
      <w:bookmarkStart w:id="72" w:name="_Toc508892830"/>
      <w:r w:rsidRPr="003E2BD8">
        <w:rPr>
          <w:rFonts w:ascii="Times New Roman" w:eastAsia="Calibri" w:hAnsi="Times New Roman" w:cs="Times New Roman"/>
          <w:b/>
          <w:lang w:eastAsia="x-none"/>
        </w:rPr>
        <w:t>Core Principle 1:  General Principle of Environmental and Social Management</w:t>
      </w:r>
      <w:bookmarkEnd w:id="71"/>
      <w:bookmarkEnd w:id="72"/>
    </w:p>
    <w:tbl>
      <w:tblPr>
        <w:tblW w:w="4942" w:type="pct"/>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shd w:val="clear" w:color="auto" w:fill="FFFFFF"/>
        <w:tblLook w:val="04A0" w:firstRow="1" w:lastRow="0" w:firstColumn="1" w:lastColumn="0" w:noHBand="0" w:noVBand="1"/>
      </w:tblPr>
      <w:tblGrid>
        <w:gridCol w:w="9374"/>
      </w:tblGrid>
      <w:tr w:rsidR="00847853" w:rsidRPr="003E2BD8" w14:paraId="06B85D30" w14:textId="77777777" w:rsidTr="00D316D4">
        <w:tc>
          <w:tcPr>
            <w:tcW w:w="5000" w:type="pct"/>
            <w:shd w:val="clear" w:color="auto" w:fill="9CC2E5"/>
          </w:tcPr>
          <w:p w14:paraId="2BEB8E21" w14:textId="77777777" w:rsidR="00847853" w:rsidRPr="003E2BD8" w:rsidRDefault="00847853" w:rsidP="00CA0715">
            <w:pPr>
              <w:spacing w:after="0" w:line="240" w:lineRule="auto"/>
              <w:jc w:val="both"/>
              <w:rPr>
                <w:rFonts w:ascii="Times New Roman" w:eastAsia="Calibri" w:hAnsi="Times New Roman" w:cs="Times New Roman"/>
                <w:b/>
                <w:bCs/>
              </w:rPr>
            </w:pPr>
            <w:bookmarkStart w:id="73" w:name="_Toc490926998"/>
            <w:bookmarkStart w:id="74" w:name="_Toc490929558"/>
            <w:bookmarkStart w:id="75" w:name="_Toc490946043"/>
            <w:bookmarkStart w:id="76" w:name="_Toc490926999"/>
            <w:bookmarkStart w:id="77" w:name="_Toc490929559"/>
            <w:bookmarkStart w:id="78" w:name="_Toc490946044"/>
            <w:bookmarkStart w:id="79" w:name="_Toc490927000"/>
            <w:bookmarkStart w:id="80" w:name="_Toc490929560"/>
            <w:bookmarkStart w:id="81" w:name="_Toc490946045"/>
            <w:bookmarkStart w:id="82" w:name="_Toc490927001"/>
            <w:bookmarkStart w:id="83" w:name="_Toc490929561"/>
            <w:bookmarkStart w:id="84" w:name="_Toc490946046"/>
            <w:bookmarkStart w:id="85" w:name="_Toc490927002"/>
            <w:bookmarkStart w:id="86" w:name="_Toc490929562"/>
            <w:bookmarkStart w:id="87" w:name="_Toc490946047"/>
            <w:bookmarkStart w:id="88" w:name="_Toc490927003"/>
            <w:bookmarkStart w:id="89" w:name="_Toc490929563"/>
            <w:bookmarkStart w:id="90" w:name="_Toc490946048"/>
            <w:bookmarkStart w:id="91" w:name="_Toc490927004"/>
            <w:bookmarkStart w:id="92" w:name="_Toc490929564"/>
            <w:bookmarkStart w:id="93" w:name="_Toc490946049"/>
            <w:bookmarkStart w:id="94" w:name="_Toc490927005"/>
            <w:bookmarkStart w:id="95" w:name="_Toc490929565"/>
            <w:bookmarkStart w:id="96" w:name="_Toc490946050"/>
            <w:bookmarkStart w:id="97" w:name="_Toc490927006"/>
            <w:bookmarkStart w:id="98" w:name="_Toc490929566"/>
            <w:bookmarkStart w:id="99" w:name="_Toc490946051"/>
            <w:bookmarkStart w:id="100" w:name="_Toc490927007"/>
            <w:bookmarkStart w:id="101" w:name="_Toc490929567"/>
            <w:bookmarkStart w:id="102" w:name="_Toc490946052"/>
            <w:bookmarkStart w:id="103" w:name="_Toc490927008"/>
            <w:bookmarkStart w:id="104" w:name="_Toc490929568"/>
            <w:bookmarkStart w:id="105" w:name="_Toc490946053"/>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3E2BD8">
              <w:rPr>
                <w:rFonts w:ascii="Times New Roman" w:eastAsia="Times New Roman" w:hAnsi="Times New Roman" w:cs="Times New Roman"/>
              </w:rPr>
              <w:t xml:space="preserve">Environmental and social management procedures and processes are designed to (a) promote environmental and social sustainability in Program design; (b) avoid, minimize or mitigate against adverse impacts; and (c) promote informed decision-making relating to a </w:t>
            </w:r>
            <w:r w:rsidR="00D448F8" w:rsidRPr="003E2BD8">
              <w:rPr>
                <w:rFonts w:ascii="Times New Roman" w:eastAsia="Times New Roman" w:hAnsi="Times New Roman" w:cs="Times New Roman"/>
              </w:rPr>
              <w:t>P</w:t>
            </w:r>
            <w:r w:rsidRPr="003E2BD8">
              <w:rPr>
                <w:rFonts w:ascii="Times New Roman" w:eastAsia="Times New Roman" w:hAnsi="Times New Roman" w:cs="Times New Roman"/>
              </w:rPr>
              <w:t>rogram’s environmental and social effects.</w:t>
            </w:r>
          </w:p>
        </w:tc>
      </w:tr>
      <w:tr w:rsidR="00847853" w:rsidRPr="003E2BD8" w14:paraId="35C44FE6" w14:textId="77777777" w:rsidTr="00D316D4">
        <w:trPr>
          <w:trHeight w:val="831"/>
        </w:trPr>
        <w:tc>
          <w:tcPr>
            <w:tcW w:w="5000" w:type="pct"/>
            <w:shd w:val="clear" w:color="auto" w:fill="BDD6EE"/>
          </w:tcPr>
          <w:p w14:paraId="69DB9BB4" w14:textId="77777777" w:rsidR="00847853" w:rsidRPr="003E2BD8" w:rsidRDefault="00847853" w:rsidP="00CA0715">
            <w:pPr>
              <w:spacing w:after="0" w:line="240" w:lineRule="auto"/>
              <w:jc w:val="both"/>
              <w:rPr>
                <w:rFonts w:ascii="Times New Roman" w:eastAsia="Times New Roman" w:hAnsi="Times New Roman" w:cs="Times New Roman"/>
                <w:b/>
              </w:rPr>
            </w:pPr>
            <w:r w:rsidRPr="003E2BD8">
              <w:rPr>
                <w:rFonts w:ascii="Times New Roman" w:eastAsia="Times New Roman" w:hAnsi="Times New Roman" w:cs="Times New Roman"/>
                <w:b/>
              </w:rPr>
              <w:t xml:space="preserve">Program procedures will: </w:t>
            </w:r>
          </w:p>
          <w:p w14:paraId="28F13B1C" w14:textId="77777777" w:rsidR="00847853" w:rsidRPr="003E2BD8" w:rsidRDefault="00847853" w:rsidP="00CA0715">
            <w:pPr>
              <w:numPr>
                <w:ilvl w:val="0"/>
                <w:numId w:val="22"/>
              </w:numPr>
              <w:tabs>
                <w:tab w:val="left" w:pos="284"/>
              </w:tabs>
              <w:spacing w:after="0" w:line="240" w:lineRule="auto"/>
              <w:ind w:left="284" w:hanging="218"/>
              <w:jc w:val="both"/>
              <w:rPr>
                <w:rFonts w:ascii="Times New Roman" w:eastAsia="Times New Roman" w:hAnsi="Times New Roman" w:cs="Times New Roman"/>
                <w:lang w:val="x-none" w:eastAsia="x-none"/>
              </w:rPr>
            </w:pPr>
            <w:r w:rsidRPr="003E2BD8">
              <w:rPr>
                <w:rFonts w:ascii="Times New Roman" w:eastAsia="Times New Roman" w:hAnsi="Times New Roman" w:cs="Times New Roman"/>
                <w:lang w:val="x-none" w:eastAsia="x-none"/>
              </w:rPr>
              <w:t>Operate within an adequate legal and regulatory framework to guide environmental and so</w:t>
            </w:r>
            <w:r w:rsidR="00D448F8" w:rsidRPr="003E2BD8">
              <w:rPr>
                <w:rFonts w:ascii="Times New Roman" w:eastAsia="Times New Roman" w:hAnsi="Times New Roman" w:cs="Times New Roman"/>
                <w:lang w:val="x-none" w:eastAsia="x-none"/>
              </w:rPr>
              <w:t xml:space="preserve">cial impact assessments at the </w:t>
            </w:r>
            <w:r w:rsidR="00D448F8" w:rsidRPr="003E2BD8">
              <w:rPr>
                <w:rFonts w:ascii="Times New Roman" w:eastAsia="Times New Roman" w:hAnsi="Times New Roman" w:cs="Times New Roman"/>
                <w:lang w:eastAsia="x-none"/>
              </w:rPr>
              <w:t>P</w:t>
            </w:r>
            <w:r w:rsidRPr="003E2BD8">
              <w:rPr>
                <w:rFonts w:ascii="Times New Roman" w:eastAsia="Times New Roman" w:hAnsi="Times New Roman" w:cs="Times New Roman"/>
                <w:lang w:val="x-none" w:eastAsia="x-none"/>
              </w:rPr>
              <w:t>rogram level</w:t>
            </w:r>
            <w:r w:rsidRPr="003E2BD8">
              <w:rPr>
                <w:rFonts w:ascii="Times New Roman" w:eastAsia="Times New Roman" w:hAnsi="Times New Roman" w:cs="Times New Roman"/>
                <w:i/>
                <w:lang w:val="x-none" w:eastAsia="x-none"/>
              </w:rPr>
              <w:t>.</w:t>
            </w:r>
          </w:p>
          <w:p w14:paraId="4975582B" w14:textId="77777777" w:rsidR="00847853" w:rsidRPr="003E2BD8" w:rsidRDefault="00847853" w:rsidP="00CA0715">
            <w:pPr>
              <w:numPr>
                <w:ilvl w:val="0"/>
                <w:numId w:val="22"/>
              </w:numPr>
              <w:spacing w:after="0" w:line="240" w:lineRule="auto"/>
              <w:ind w:left="284" w:hanging="218"/>
              <w:jc w:val="both"/>
              <w:rPr>
                <w:rFonts w:ascii="Times New Roman" w:eastAsia="Calibri" w:hAnsi="Times New Roman" w:cs="Times New Roman"/>
                <w:b/>
                <w:bCs/>
              </w:rPr>
            </w:pPr>
            <w:r w:rsidRPr="003E2BD8">
              <w:rPr>
                <w:rFonts w:ascii="Times New Roman" w:eastAsia="Times New Roman" w:hAnsi="Times New Roman" w:cs="Times New Roman"/>
                <w:lang w:val="x-none" w:eastAsia="x-none"/>
              </w:rPr>
              <w:t>Incorporate recognized elements of environmental and social assessment good practice, including (a) early screening of potential effects; (b) consideration of strategic, technical, and site alternatives (including the “no action” alternative); (c) explicit assessment of potential induced, cumulative, and trans-boundary impacts; (d) identification of measures to mitigate adverse environmental or social impacts that cannot be otherwise avoided or minimized; (e) clear articulation of institutional responsibilities and resources to support implementation of plans; and (f) responsiveness and accountability through stakeholder consultation, timely dissemination of program information, and responsive grievance redress measures.</w:t>
            </w:r>
          </w:p>
        </w:tc>
      </w:tr>
      <w:tr w:rsidR="00847853" w:rsidRPr="003E2BD8" w14:paraId="4692F848" w14:textId="77777777" w:rsidTr="00D316D4">
        <w:tc>
          <w:tcPr>
            <w:tcW w:w="5000" w:type="pct"/>
            <w:shd w:val="clear" w:color="auto" w:fill="FFFFFF"/>
          </w:tcPr>
          <w:p w14:paraId="473A0212" w14:textId="77777777" w:rsidR="00847853" w:rsidRPr="003E2BD8" w:rsidRDefault="00847853" w:rsidP="00CA0715">
            <w:pPr>
              <w:spacing w:after="0" w:line="240" w:lineRule="auto"/>
              <w:jc w:val="both"/>
              <w:rPr>
                <w:rFonts w:ascii="Times New Roman" w:eastAsia="Calibri" w:hAnsi="Times New Roman" w:cs="Times New Roman"/>
                <w:b/>
                <w:bCs/>
              </w:rPr>
            </w:pPr>
            <w:r w:rsidRPr="003E2BD8">
              <w:rPr>
                <w:rFonts w:ascii="Times New Roman" w:eastAsia="Calibri" w:hAnsi="Times New Roman" w:cs="Times New Roman"/>
                <w:b/>
                <w:bCs/>
              </w:rPr>
              <w:t>Applicability:  Fully applicable</w:t>
            </w:r>
          </w:p>
          <w:p w14:paraId="176E4C60" w14:textId="64A0444C" w:rsidR="00847853" w:rsidRPr="003E2BD8" w:rsidRDefault="00847853" w:rsidP="00CA0715">
            <w:pPr>
              <w:numPr>
                <w:ilvl w:val="0"/>
                <w:numId w:val="17"/>
              </w:numPr>
              <w:spacing w:after="0" w:line="240" w:lineRule="auto"/>
              <w:contextualSpacing/>
              <w:jc w:val="both"/>
              <w:rPr>
                <w:rFonts w:ascii="Times New Roman" w:eastAsia="Times New Roman" w:hAnsi="Times New Roman" w:cs="Times New Roman"/>
                <w:lang w:val="x-none" w:eastAsia="x-none"/>
              </w:rPr>
            </w:pPr>
            <w:r w:rsidRPr="003E2BD8">
              <w:rPr>
                <w:rFonts w:ascii="Times New Roman" w:eastAsia="Times New Roman" w:hAnsi="Times New Roman" w:cs="Times New Roman"/>
                <w:b/>
                <w:spacing w:val="-1"/>
                <w:lang w:val="x-none" w:eastAsia="x-none"/>
              </w:rPr>
              <w:t>C</w:t>
            </w:r>
            <w:r w:rsidRPr="003E2BD8">
              <w:rPr>
                <w:rFonts w:ascii="Times New Roman" w:eastAsia="Times New Roman" w:hAnsi="Times New Roman" w:cs="Times New Roman"/>
                <w:b/>
                <w:lang w:val="x-none" w:eastAsia="x-none"/>
              </w:rPr>
              <w:t>o</w:t>
            </w:r>
            <w:r w:rsidRPr="003E2BD8">
              <w:rPr>
                <w:rFonts w:ascii="Times New Roman" w:eastAsia="Times New Roman" w:hAnsi="Times New Roman" w:cs="Times New Roman"/>
                <w:b/>
                <w:spacing w:val="1"/>
                <w:lang w:val="x-none" w:eastAsia="x-none"/>
              </w:rPr>
              <w:t>r</w:t>
            </w:r>
            <w:r w:rsidRPr="003E2BD8">
              <w:rPr>
                <w:rFonts w:ascii="Times New Roman" w:eastAsia="Times New Roman" w:hAnsi="Times New Roman" w:cs="Times New Roman"/>
                <w:b/>
                <w:lang w:val="x-none" w:eastAsia="x-none"/>
              </w:rPr>
              <w:t>e</w:t>
            </w:r>
            <w:r w:rsidRPr="003E2BD8">
              <w:rPr>
                <w:rFonts w:ascii="Times New Roman" w:eastAsia="Times New Roman" w:hAnsi="Times New Roman" w:cs="Times New Roman"/>
                <w:b/>
                <w:spacing w:val="1"/>
                <w:lang w:val="x-none" w:eastAsia="x-none"/>
              </w:rPr>
              <w:t xml:space="preserve"> </w:t>
            </w:r>
            <w:r w:rsidRPr="003E2BD8">
              <w:rPr>
                <w:rFonts w:ascii="Times New Roman" w:eastAsia="Times New Roman" w:hAnsi="Times New Roman" w:cs="Times New Roman"/>
                <w:b/>
                <w:lang w:val="x-none" w:eastAsia="x-none"/>
              </w:rPr>
              <w:t>Pr</w:t>
            </w:r>
            <w:r w:rsidRPr="003E2BD8">
              <w:rPr>
                <w:rFonts w:ascii="Times New Roman" w:eastAsia="Times New Roman" w:hAnsi="Times New Roman" w:cs="Times New Roman"/>
                <w:b/>
                <w:spacing w:val="1"/>
                <w:lang w:val="x-none" w:eastAsia="x-none"/>
              </w:rPr>
              <w:t>i</w:t>
            </w:r>
            <w:r w:rsidRPr="003E2BD8">
              <w:rPr>
                <w:rFonts w:ascii="Times New Roman" w:eastAsia="Times New Roman" w:hAnsi="Times New Roman" w:cs="Times New Roman"/>
                <w:b/>
                <w:spacing w:val="-2"/>
                <w:lang w:val="x-none" w:eastAsia="x-none"/>
              </w:rPr>
              <w:t>n</w:t>
            </w:r>
            <w:r w:rsidRPr="003E2BD8">
              <w:rPr>
                <w:rFonts w:ascii="Times New Roman" w:eastAsia="Times New Roman" w:hAnsi="Times New Roman" w:cs="Times New Roman"/>
                <w:b/>
                <w:lang w:val="x-none" w:eastAsia="x-none"/>
              </w:rPr>
              <w:t>c</w:t>
            </w:r>
            <w:r w:rsidRPr="003E2BD8">
              <w:rPr>
                <w:rFonts w:ascii="Times New Roman" w:eastAsia="Times New Roman" w:hAnsi="Times New Roman" w:cs="Times New Roman"/>
                <w:b/>
                <w:spacing w:val="-1"/>
                <w:lang w:val="x-none" w:eastAsia="x-none"/>
              </w:rPr>
              <w:t>i</w:t>
            </w:r>
            <w:r w:rsidRPr="003E2BD8">
              <w:rPr>
                <w:rFonts w:ascii="Times New Roman" w:eastAsia="Times New Roman" w:hAnsi="Times New Roman" w:cs="Times New Roman"/>
                <w:b/>
                <w:lang w:val="x-none" w:eastAsia="x-none"/>
              </w:rPr>
              <w:t>p</w:t>
            </w:r>
            <w:r w:rsidRPr="003E2BD8">
              <w:rPr>
                <w:rFonts w:ascii="Times New Roman" w:eastAsia="Times New Roman" w:hAnsi="Times New Roman" w:cs="Times New Roman"/>
                <w:b/>
                <w:spacing w:val="1"/>
                <w:lang w:val="x-none" w:eastAsia="x-none"/>
              </w:rPr>
              <w:t>l</w:t>
            </w:r>
            <w:r w:rsidRPr="003E2BD8">
              <w:rPr>
                <w:rFonts w:ascii="Times New Roman" w:eastAsia="Times New Roman" w:hAnsi="Times New Roman" w:cs="Times New Roman"/>
                <w:b/>
                <w:lang w:val="x-none" w:eastAsia="x-none"/>
              </w:rPr>
              <w:t>e</w:t>
            </w:r>
            <w:r w:rsidRPr="003E2BD8">
              <w:rPr>
                <w:rFonts w:ascii="Times New Roman" w:eastAsia="Times New Roman" w:hAnsi="Times New Roman" w:cs="Times New Roman"/>
                <w:b/>
                <w:spacing w:val="1"/>
                <w:lang w:val="x-none" w:eastAsia="x-none"/>
              </w:rPr>
              <w:t xml:space="preserve"> </w:t>
            </w:r>
            <w:r w:rsidRPr="003E2BD8">
              <w:rPr>
                <w:rFonts w:ascii="Times New Roman" w:eastAsia="Times New Roman" w:hAnsi="Times New Roman" w:cs="Times New Roman"/>
                <w:b/>
                <w:lang w:val="x-none" w:eastAsia="x-none"/>
              </w:rPr>
              <w:t>1</w:t>
            </w:r>
            <w:r w:rsidRPr="003E2BD8">
              <w:rPr>
                <w:rFonts w:ascii="Times New Roman" w:eastAsia="Times New Roman" w:hAnsi="Times New Roman" w:cs="Times New Roman"/>
                <w:lang w:val="x-none" w:eastAsia="x-none"/>
              </w:rPr>
              <w:t xml:space="preserve"> </w:t>
            </w:r>
            <w:r w:rsidRPr="003E2BD8">
              <w:rPr>
                <w:rFonts w:ascii="Times New Roman" w:eastAsia="Times New Roman" w:hAnsi="Times New Roman" w:cs="Times New Roman"/>
                <w:spacing w:val="1"/>
                <w:lang w:val="x-none" w:eastAsia="x-none"/>
              </w:rPr>
              <w:t>i</w:t>
            </w:r>
            <w:r w:rsidRPr="003E2BD8">
              <w:rPr>
                <w:rFonts w:ascii="Times New Roman" w:eastAsia="Times New Roman" w:hAnsi="Times New Roman" w:cs="Times New Roman"/>
                <w:lang w:val="x-none" w:eastAsia="x-none"/>
              </w:rPr>
              <w:t>s</w:t>
            </w:r>
            <w:r w:rsidRPr="003E2BD8">
              <w:rPr>
                <w:rFonts w:ascii="Times New Roman" w:eastAsia="Times New Roman" w:hAnsi="Times New Roman" w:cs="Times New Roman"/>
                <w:spacing w:val="1"/>
                <w:lang w:val="x-none" w:eastAsia="x-none"/>
              </w:rPr>
              <w:t xml:space="preserve"> </w:t>
            </w:r>
            <w:r w:rsidRPr="003E2BD8">
              <w:rPr>
                <w:rFonts w:ascii="Times New Roman" w:eastAsia="Times New Roman" w:hAnsi="Times New Roman" w:cs="Times New Roman"/>
                <w:lang w:val="x-none" w:eastAsia="x-none"/>
              </w:rPr>
              <w:t>c</w:t>
            </w:r>
            <w:r w:rsidRPr="003E2BD8">
              <w:rPr>
                <w:rFonts w:ascii="Times New Roman" w:eastAsia="Times New Roman" w:hAnsi="Times New Roman" w:cs="Times New Roman"/>
                <w:spacing w:val="-2"/>
                <w:lang w:val="x-none" w:eastAsia="x-none"/>
              </w:rPr>
              <w:t>o</w:t>
            </w:r>
            <w:r w:rsidRPr="003E2BD8">
              <w:rPr>
                <w:rFonts w:ascii="Times New Roman" w:eastAsia="Times New Roman" w:hAnsi="Times New Roman" w:cs="Times New Roman"/>
                <w:lang w:val="x-none" w:eastAsia="x-none"/>
              </w:rPr>
              <w:t>ns</w:t>
            </w:r>
            <w:r w:rsidRPr="003E2BD8">
              <w:rPr>
                <w:rFonts w:ascii="Times New Roman" w:eastAsia="Times New Roman" w:hAnsi="Times New Roman" w:cs="Times New Roman"/>
                <w:spacing w:val="-1"/>
                <w:lang w:val="x-none" w:eastAsia="x-none"/>
              </w:rPr>
              <w:t>i</w:t>
            </w:r>
            <w:r w:rsidRPr="003E2BD8">
              <w:rPr>
                <w:rFonts w:ascii="Times New Roman" w:eastAsia="Times New Roman" w:hAnsi="Times New Roman" w:cs="Times New Roman"/>
                <w:lang w:val="x-none" w:eastAsia="x-none"/>
              </w:rPr>
              <w:t>d</w:t>
            </w:r>
            <w:r w:rsidRPr="003E2BD8">
              <w:rPr>
                <w:rFonts w:ascii="Times New Roman" w:eastAsia="Times New Roman" w:hAnsi="Times New Roman" w:cs="Times New Roman"/>
                <w:spacing w:val="-2"/>
                <w:lang w:val="x-none" w:eastAsia="x-none"/>
              </w:rPr>
              <w:t>e</w:t>
            </w:r>
            <w:r w:rsidRPr="003E2BD8">
              <w:rPr>
                <w:rFonts w:ascii="Times New Roman" w:eastAsia="Times New Roman" w:hAnsi="Times New Roman" w:cs="Times New Roman"/>
                <w:spacing w:val="1"/>
                <w:lang w:val="x-none" w:eastAsia="x-none"/>
              </w:rPr>
              <w:t>r</w:t>
            </w:r>
            <w:r w:rsidRPr="003E2BD8">
              <w:rPr>
                <w:rFonts w:ascii="Times New Roman" w:eastAsia="Times New Roman" w:hAnsi="Times New Roman" w:cs="Times New Roman"/>
                <w:lang w:val="x-none" w:eastAsia="x-none"/>
              </w:rPr>
              <w:t>ed</w:t>
            </w:r>
            <w:r w:rsidRPr="003E2BD8">
              <w:rPr>
                <w:rFonts w:ascii="Times New Roman" w:eastAsia="Times New Roman" w:hAnsi="Times New Roman" w:cs="Times New Roman"/>
                <w:spacing w:val="3"/>
                <w:lang w:val="x-none" w:eastAsia="x-none"/>
              </w:rPr>
              <w:t xml:space="preserve"> </w:t>
            </w:r>
            <w:r w:rsidRPr="003E2BD8">
              <w:rPr>
                <w:rFonts w:ascii="Times New Roman" w:eastAsia="Times New Roman" w:hAnsi="Times New Roman" w:cs="Times New Roman"/>
                <w:spacing w:val="1"/>
                <w:lang w:val="x-none" w:eastAsia="x-none"/>
              </w:rPr>
              <w:t>i</w:t>
            </w:r>
            <w:r w:rsidRPr="003E2BD8">
              <w:rPr>
                <w:rFonts w:ascii="Times New Roman" w:eastAsia="Times New Roman" w:hAnsi="Times New Roman" w:cs="Times New Roman"/>
                <w:lang w:val="x-none" w:eastAsia="x-none"/>
              </w:rPr>
              <w:t xml:space="preserve">n </w:t>
            </w:r>
            <w:r w:rsidRPr="003E2BD8">
              <w:rPr>
                <w:rFonts w:ascii="Times New Roman" w:eastAsia="Times New Roman" w:hAnsi="Times New Roman" w:cs="Times New Roman"/>
                <w:spacing w:val="-1"/>
                <w:lang w:val="x-none" w:eastAsia="x-none"/>
              </w:rPr>
              <w:t>t</w:t>
            </w:r>
            <w:r w:rsidRPr="003E2BD8">
              <w:rPr>
                <w:rFonts w:ascii="Times New Roman" w:eastAsia="Times New Roman" w:hAnsi="Times New Roman" w:cs="Times New Roman"/>
                <w:lang w:val="x-none" w:eastAsia="x-none"/>
              </w:rPr>
              <w:t>e</w:t>
            </w:r>
            <w:r w:rsidRPr="003E2BD8">
              <w:rPr>
                <w:rFonts w:ascii="Times New Roman" w:eastAsia="Times New Roman" w:hAnsi="Times New Roman" w:cs="Times New Roman"/>
                <w:spacing w:val="1"/>
                <w:lang w:val="x-none" w:eastAsia="x-none"/>
              </w:rPr>
              <w:t>r</w:t>
            </w:r>
            <w:r w:rsidRPr="003E2BD8">
              <w:rPr>
                <w:rFonts w:ascii="Times New Roman" w:eastAsia="Times New Roman" w:hAnsi="Times New Roman" w:cs="Times New Roman"/>
                <w:spacing w:val="-4"/>
                <w:lang w:val="x-none" w:eastAsia="x-none"/>
              </w:rPr>
              <w:t>m</w:t>
            </w:r>
            <w:r w:rsidRPr="003E2BD8">
              <w:rPr>
                <w:rFonts w:ascii="Times New Roman" w:eastAsia="Times New Roman" w:hAnsi="Times New Roman" w:cs="Times New Roman"/>
                <w:lang w:val="x-none" w:eastAsia="x-none"/>
              </w:rPr>
              <w:t>s</w:t>
            </w:r>
            <w:r w:rsidRPr="003E2BD8">
              <w:rPr>
                <w:rFonts w:ascii="Times New Roman" w:eastAsia="Times New Roman" w:hAnsi="Times New Roman" w:cs="Times New Roman"/>
                <w:spacing w:val="1"/>
                <w:lang w:val="x-none" w:eastAsia="x-none"/>
              </w:rPr>
              <w:t xml:space="preserve"> </w:t>
            </w:r>
            <w:r w:rsidRPr="003E2BD8">
              <w:rPr>
                <w:rFonts w:ascii="Times New Roman" w:eastAsia="Times New Roman" w:hAnsi="Times New Roman" w:cs="Times New Roman"/>
                <w:lang w:val="x-none" w:eastAsia="x-none"/>
              </w:rPr>
              <w:t>of</w:t>
            </w:r>
            <w:r w:rsidRPr="003E2BD8">
              <w:rPr>
                <w:rFonts w:ascii="Times New Roman" w:eastAsia="Times New Roman" w:hAnsi="Times New Roman" w:cs="Times New Roman"/>
                <w:spacing w:val="1"/>
                <w:lang w:val="x-none" w:eastAsia="x-none"/>
              </w:rPr>
              <w:t xml:space="preserve"> </w:t>
            </w:r>
            <w:r w:rsidRPr="003E2BD8">
              <w:rPr>
                <w:rFonts w:ascii="Times New Roman" w:eastAsia="Times New Roman" w:hAnsi="Times New Roman" w:cs="Times New Roman"/>
                <w:lang w:val="x-none" w:eastAsia="x-none"/>
              </w:rPr>
              <w:t>en</w:t>
            </w:r>
            <w:r w:rsidRPr="003E2BD8">
              <w:rPr>
                <w:rFonts w:ascii="Times New Roman" w:eastAsia="Times New Roman" w:hAnsi="Times New Roman" w:cs="Times New Roman"/>
                <w:spacing w:val="-2"/>
                <w:lang w:val="x-none" w:eastAsia="x-none"/>
              </w:rPr>
              <w:t>v</w:t>
            </w:r>
            <w:r w:rsidRPr="003E2BD8">
              <w:rPr>
                <w:rFonts w:ascii="Times New Roman" w:eastAsia="Times New Roman" w:hAnsi="Times New Roman" w:cs="Times New Roman"/>
                <w:spacing w:val="1"/>
                <w:lang w:val="x-none" w:eastAsia="x-none"/>
              </w:rPr>
              <w:t>ir</w:t>
            </w:r>
            <w:r w:rsidRPr="003E2BD8">
              <w:rPr>
                <w:rFonts w:ascii="Times New Roman" w:eastAsia="Times New Roman" w:hAnsi="Times New Roman" w:cs="Times New Roman"/>
                <w:lang w:val="x-none" w:eastAsia="x-none"/>
              </w:rPr>
              <w:t>on</w:t>
            </w:r>
            <w:r w:rsidRPr="003E2BD8">
              <w:rPr>
                <w:rFonts w:ascii="Times New Roman" w:eastAsia="Times New Roman" w:hAnsi="Times New Roman" w:cs="Times New Roman"/>
                <w:spacing w:val="-4"/>
                <w:lang w:val="x-none" w:eastAsia="x-none"/>
              </w:rPr>
              <w:t>m</w:t>
            </w:r>
            <w:r w:rsidRPr="003E2BD8">
              <w:rPr>
                <w:rFonts w:ascii="Times New Roman" w:eastAsia="Times New Roman" w:hAnsi="Times New Roman" w:cs="Times New Roman"/>
                <w:lang w:val="x-none" w:eastAsia="x-none"/>
              </w:rPr>
              <w:t>en</w:t>
            </w:r>
            <w:r w:rsidRPr="003E2BD8">
              <w:rPr>
                <w:rFonts w:ascii="Times New Roman" w:eastAsia="Times New Roman" w:hAnsi="Times New Roman" w:cs="Times New Roman"/>
                <w:spacing w:val="1"/>
                <w:lang w:val="x-none" w:eastAsia="x-none"/>
              </w:rPr>
              <w:t>t</w:t>
            </w:r>
            <w:r w:rsidRPr="003E2BD8">
              <w:rPr>
                <w:rFonts w:ascii="Times New Roman" w:eastAsia="Times New Roman" w:hAnsi="Times New Roman" w:cs="Times New Roman"/>
                <w:spacing w:val="-2"/>
                <w:lang w:val="x-none" w:eastAsia="x-none"/>
              </w:rPr>
              <w:t>a</w:t>
            </w:r>
            <w:r w:rsidRPr="003E2BD8">
              <w:rPr>
                <w:rFonts w:ascii="Times New Roman" w:eastAsia="Times New Roman" w:hAnsi="Times New Roman" w:cs="Times New Roman"/>
                <w:lang w:val="x-none" w:eastAsia="x-none"/>
              </w:rPr>
              <w:t>l</w:t>
            </w:r>
            <w:r w:rsidRPr="003E2BD8">
              <w:rPr>
                <w:rFonts w:ascii="Times New Roman" w:eastAsia="Times New Roman" w:hAnsi="Times New Roman" w:cs="Times New Roman"/>
                <w:spacing w:val="1"/>
                <w:lang w:val="x-none" w:eastAsia="x-none"/>
              </w:rPr>
              <w:t xml:space="preserve"> </w:t>
            </w:r>
            <w:r w:rsidRPr="003E2BD8">
              <w:rPr>
                <w:rFonts w:ascii="Times New Roman" w:eastAsia="Times New Roman" w:hAnsi="Times New Roman" w:cs="Times New Roman"/>
                <w:lang w:val="x-none" w:eastAsia="x-none"/>
              </w:rPr>
              <w:t>and</w:t>
            </w:r>
            <w:r w:rsidRPr="003E2BD8">
              <w:rPr>
                <w:rFonts w:ascii="Times New Roman" w:eastAsia="Times New Roman" w:hAnsi="Times New Roman" w:cs="Times New Roman"/>
                <w:spacing w:val="1"/>
                <w:lang w:val="x-none" w:eastAsia="x-none"/>
              </w:rPr>
              <w:t xml:space="preserve"> </w:t>
            </w:r>
            <w:r w:rsidRPr="003E2BD8">
              <w:rPr>
                <w:rFonts w:ascii="Times New Roman" w:eastAsia="Times New Roman" w:hAnsi="Times New Roman" w:cs="Times New Roman"/>
                <w:lang w:val="x-none" w:eastAsia="x-none"/>
              </w:rPr>
              <w:t>so</w:t>
            </w:r>
            <w:r w:rsidRPr="003E2BD8">
              <w:rPr>
                <w:rFonts w:ascii="Times New Roman" w:eastAsia="Times New Roman" w:hAnsi="Times New Roman" w:cs="Times New Roman"/>
                <w:spacing w:val="-2"/>
                <w:lang w:val="x-none" w:eastAsia="x-none"/>
              </w:rPr>
              <w:t>c</w:t>
            </w:r>
            <w:r w:rsidRPr="003E2BD8">
              <w:rPr>
                <w:rFonts w:ascii="Times New Roman" w:eastAsia="Times New Roman" w:hAnsi="Times New Roman" w:cs="Times New Roman"/>
                <w:spacing w:val="1"/>
                <w:lang w:val="x-none" w:eastAsia="x-none"/>
              </w:rPr>
              <w:t>i</w:t>
            </w:r>
            <w:r w:rsidRPr="003E2BD8">
              <w:rPr>
                <w:rFonts w:ascii="Times New Roman" w:eastAsia="Times New Roman" w:hAnsi="Times New Roman" w:cs="Times New Roman"/>
                <w:lang w:val="x-none" w:eastAsia="x-none"/>
              </w:rPr>
              <w:t>al</w:t>
            </w:r>
            <w:r w:rsidRPr="003E2BD8">
              <w:rPr>
                <w:rFonts w:ascii="Times New Roman" w:eastAsia="Times New Roman" w:hAnsi="Times New Roman" w:cs="Times New Roman"/>
                <w:spacing w:val="1"/>
                <w:lang w:val="x-none" w:eastAsia="x-none"/>
              </w:rPr>
              <w:t xml:space="preserve"> </w:t>
            </w:r>
            <w:r w:rsidRPr="003E2BD8">
              <w:rPr>
                <w:rFonts w:ascii="Times New Roman" w:eastAsia="Times New Roman" w:hAnsi="Times New Roman" w:cs="Times New Roman"/>
                <w:spacing w:val="-4"/>
                <w:lang w:val="x-none" w:eastAsia="x-none"/>
              </w:rPr>
              <w:t>m</w:t>
            </w:r>
            <w:r w:rsidRPr="003E2BD8">
              <w:rPr>
                <w:rFonts w:ascii="Times New Roman" w:eastAsia="Times New Roman" w:hAnsi="Times New Roman" w:cs="Times New Roman"/>
                <w:lang w:val="x-none" w:eastAsia="x-none"/>
              </w:rPr>
              <w:t>ana</w:t>
            </w:r>
            <w:r w:rsidRPr="003E2BD8">
              <w:rPr>
                <w:rFonts w:ascii="Times New Roman" w:eastAsia="Times New Roman" w:hAnsi="Times New Roman" w:cs="Times New Roman"/>
                <w:spacing w:val="-2"/>
                <w:lang w:val="x-none" w:eastAsia="x-none"/>
              </w:rPr>
              <w:t>g</w:t>
            </w:r>
            <w:r w:rsidRPr="003E2BD8">
              <w:rPr>
                <w:rFonts w:ascii="Times New Roman" w:eastAsia="Times New Roman" w:hAnsi="Times New Roman" w:cs="Times New Roman"/>
                <w:lang w:val="x-none" w:eastAsia="x-none"/>
              </w:rPr>
              <w:t>e</w:t>
            </w:r>
            <w:r w:rsidRPr="003E2BD8">
              <w:rPr>
                <w:rFonts w:ascii="Times New Roman" w:eastAsia="Times New Roman" w:hAnsi="Times New Roman" w:cs="Times New Roman"/>
                <w:spacing w:val="-3"/>
                <w:lang w:val="x-none" w:eastAsia="x-none"/>
              </w:rPr>
              <w:t>m</w:t>
            </w:r>
            <w:r w:rsidRPr="003E2BD8">
              <w:rPr>
                <w:rFonts w:ascii="Times New Roman" w:eastAsia="Times New Roman" w:hAnsi="Times New Roman" w:cs="Times New Roman"/>
                <w:lang w:val="x-none" w:eastAsia="x-none"/>
              </w:rPr>
              <w:t>e</w:t>
            </w:r>
            <w:r w:rsidRPr="003E2BD8">
              <w:rPr>
                <w:rFonts w:ascii="Times New Roman" w:eastAsia="Times New Roman" w:hAnsi="Times New Roman" w:cs="Times New Roman"/>
                <w:spacing w:val="3"/>
                <w:lang w:val="x-none" w:eastAsia="x-none"/>
              </w:rPr>
              <w:t>n</w:t>
            </w:r>
            <w:r w:rsidRPr="003E2BD8">
              <w:rPr>
                <w:rFonts w:ascii="Times New Roman" w:eastAsia="Times New Roman" w:hAnsi="Times New Roman" w:cs="Times New Roman"/>
                <w:lang w:val="x-none" w:eastAsia="x-none"/>
              </w:rPr>
              <w:t>t</w:t>
            </w:r>
            <w:r w:rsidRPr="003E2BD8">
              <w:rPr>
                <w:rFonts w:ascii="Times New Roman" w:eastAsia="Times New Roman" w:hAnsi="Times New Roman" w:cs="Times New Roman"/>
                <w:spacing w:val="1"/>
                <w:lang w:val="x-none" w:eastAsia="x-none"/>
              </w:rPr>
              <w:t xml:space="preserve"> (</w:t>
            </w:r>
            <w:r w:rsidRPr="003E2BD8">
              <w:rPr>
                <w:rFonts w:ascii="Times New Roman" w:eastAsia="Times New Roman" w:hAnsi="Times New Roman" w:cs="Times New Roman"/>
                <w:lang w:val="x-none" w:eastAsia="x-none"/>
              </w:rPr>
              <w:t>E</w:t>
            </w:r>
            <w:r w:rsidRPr="003E2BD8">
              <w:rPr>
                <w:rFonts w:ascii="Times New Roman" w:eastAsia="Times New Roman" w:hAnsi="Times New Roman" w:cs="Times New Roman"/>
                <w:spacing w:val="-1"/>
                <w:lang w:val="x-none" w:eastAsia="x-none"/>
              </w:rPr>
              <w:t>S</w:t>
            </w:r>
            <w:r w:rsidRPr="003E2BD8">
              <w:rPr>
                <w:rFonts w:ascii="Times New Roman" w:eastAsia="Times New Roman" w:hAnsi="Times New Roman" w:cs="Times New Roman"/>
                <w:lang w:val="x-none" w:eastAsia="x-none"/>
              </w:rPr>
              <w:t>M)</w:t>
            </w:r>
            <w:r w:rsidRPr="003E2BD8">
              <w:rPr>
                <w:rFonts w:ascii="Times New Roman" w:eastAsia="Times New Roman" w:hAnsi="Times New Roman" w:cs="Times New Roman"/>
                <w:spacing w:val="1"/>
                <w:lang w:val="x-none" w:eastAsia="x-none"/>
              </w:rPr>
              <w:t xml:space="preserve"> </w:t>
            </w:r>
            <w:r w:rsidRPr="003E2BD8">
              <w:rPr>
                <w:rFonts w:ascii="Times New Roman" w:eastAsia="Times New Roman" w:hAnsi="Times New Roman" w:cs="Times New Roman"/>
                <w:spacing w:val="-2"/>
                <w:lang w:val="x-none" w:eastAsia="x-none"/>
              </w:rPr>
              <w:t>f</w:t>
            </w:r>
            <w:r w:rsidRPr="003E2BD8">
              <w:rPr>
                <w:rFonts w:ascii="Times New Roman" w:eastAsia="Times New Roman" w:hAnsi="Times New Roman" w:cs="Times New Roman"/>
                <w:lang w:val="x-none" w:eastAsia="x-none"/>
              </w:rPr>
              <w:t>or</w:t>
            </w:r>
            <w:r w:rsidRPr="003E2BD8">
              <w:rPr>
                <w:rFonts w:ascii="Times New Roman" w:eastAsia="Times New Roman" w:hAnsi="Times New Roman" w:cs="Times New Roman"/>
                <w:spacing w:val="1"/>
                <w:lang w:val="x-none" w:eastAsia="x-none"/>
              </w:rPr>
              <w:t xml:space="preserve"> t</w:t>
            </w:r>
            <w:r w:rsidRPr="003E2BD8">
              <w:rPr>
                <w:rFonts w:ascii="Times New Roman" w:eastAsia="Times New Roman" w:hAnsi="Times New Roman" w:cs="Times New Roman"/>
                <w:spacing w:val="-2"/>
                <w:lang w:val="x-none" w:eastAsia="x-none"/>
              </w:rPr>
              <w:t>h</w:t>
            </w:r>
            <w:r w:rsidRPr="003E2BD8">
              <w:rPr>
                <w:rFonts w:ascii="Times New Roman" w:eastAsia="Times New Roman" w:hAnsi="Times New Roman" w:cs="Times New Roman"/>
                <w:lang w:val="x-none" w:eastAsia="x-none"/>
              </w:rPr>
              <w:t>e</w:t>
            </w:r>
            <w:r w:rsidRPr="003E2BD8">
              <w:rPr>
                <w:rFonts w:ascii="Times New Roman" w:eastAsia="Times New Roman" w:hAnsi="Times New Roman" w:cs="Times New Roman"/>
                <w:spacing w:val="7"/>
                <w:lang w:val="x-none" w:eastAsia="x-none"/>
              </w:rPr>
              <w:t xml:space="preserve"> </w:t>
            </w:r>
            <w:r w:rsidRPr="003E2BD8">
              <w:rPr>
                <w:rFonts w:ascii="Times New Roman" w:eastAsia="Times New Roman" w:hAnsi="Times New Roman" w:cs="Times New Roman"/>
                <w:spacing w:val="1"/>
                <w:lang w:val="x-none" w:eastAsia="x-none"/>
              </w:rPr>
              <w:t xml:space="preserve"> </w:t>
            </w:r>
            <w:r w:rsidRPr="003E2BD8">
              <w:rPr>
                <w:rFonts w:ascii="Times New Roman" w:eastAsia="Times New Roman" w:hAnsi="Times New Roman" w:cs="Times New Roman"/>
                <w:lang w:val="x-none" w:eastAsia="x-none"/>
              </w:rPr>
              <w:t>s</w:t>
            </w:r>
            <w:r w:rsidRPr="003E2BD8">
              <w:rPr>
                <w:rFonts w:ascii="Times New Roman" w:eastAsia="Times New Roman" w:hAnsi="Times New Roman" w:cs="Times New Roman"/>
                <w:spacing w:val="-2"/>
                <w:lang w:val="x-none" w:eastAsia="x-none"/>
              </w:rPr>
              <w:t>e</w:t>
            </w:r>
            <w:r w:rsidRPr="003E2BD8">
              <w:rPr>
                <w:rFonts w:ascii="Times New Roman" w:eastAsia="Times New Roman" w:hAnsi="Times New Roman" w:cs="Times New Roman"/>
                <w:lang w:val="x-none" w:eastAsia="x-none"/>
              </w:rPr>
              <w:t>c</w:t>
            </w:r>
            <w:r w:rsidRPr="003E2BD8">
              <w:rPr>
                <w:rFonts w:ascii="Times New Roman" w:eastAsia="Times New Roman" w:hAnsi="Times New Roman" w:cs="Times New Roman"/>
                <w:spacing w:val="1"/>
                <w:lang w:val="x-none" w:eastAsia="x-none"/>
              </w:rPr>
              <w:t>t</w:t>
            </w:r>
            <w:r w:rsidRPr="003E2BD8">
              <w:rPr>
                <w:rFonts w:ascii="Times New Roman" w:eastAsia="Times New Roman" w:hAnsi="Times New Roman" w:cs="Times New Roman"/>
                <w:spacing w:val="-2"/>
                <w:lang w:val="x-none" w:eastAsia="x-none"/>
              </w:rPr>
              <w:t>o</w:t>
            </w:r>
            <w:r w:rsidRPr="003E2BD8">
              <w:rPr>
                <w:rFonts w:ascii="Times New Roman" w:eastAsia="Times New Roman" w:hAnsi="Times New Roman" w:cs="Times New Roman"/>
                <w:spacing w:val="2"/>
                <w:lang w:val="x-none" w:eastAsia="x-none"/>
              </w:rPr>
              <w:t xml:space="preserve">r during implementation </w:t>
            </w:r>
            <w:r w:rsidRPr="003E2BD8">
              <w:rPr>
                <w:rFonts w:ascii="Times New Roman" w:eastAsia="Times New Roman" w:hAnsi="Times New Roman" w:cs="Times New Roman"/>
                <w:spacing w:val="2"/>
                <w:lang w:eastAsia="x-none"/>
              </w:rPr>
              <w:t xml:space="preserve">the proposed </w:t>
            </w:r>
            <w:r w:rsidR="00927B79" w:rsidRPr="003E2BD8">
              <w:rPr>
                <w:rFonts w:ascii="Times New Roman" w:eastAsia="Times New Roman" w:hAnsi="Times New Roman" w:cs="Times New Roman"/>
                <w:spacing w:val="2"/>
                <w:lang w:eastAsia="x-none"/>
              </w:rPr>
              <w:t>Pr</w:t>
            </w:r>
            <w:r w:rsidRPr="003E2BD8">
              <w:rPr>
                <w:rFonts w:ascii="Times New Roman" w:eastAsia="Times New Roman" w:hAnsi="Times New Roman" w:cs="Times New Roman"/>
                <w:spacing w:val="2"/>
                <w:lang w:eastAsia="x-none"/>
              </w:rPr>
              <w:t>ogram</w:t>
            </w:r>
            <w:r w:rsidRPr="003E2BD8">
              <w:rPr>
                <w:rFonts w:ascii="Times New Roman" w:eastAsia="Times New Roman" w:hAnsi="Times New Roman" w:cs="Times New Roman"/>
                <w:lang w:val="x-none" w:eastAsia="x-none"/>
              </w:rPr>
              <w:t>,</w:t>
            </w:r>
            <w:r w:rsidRPr="003E2BD8">
              <w:rPr>
                <w:rFonts w:ascii="Times New Roman" w:eastAsia="Times New Roman" w:hAnsi="Times New Roman" w:cs="Times New Roman"/>
                <w:spacing w:val="24"/>
                <w:lang w:val="x-none" w:eastAsia="x-none"/>
              </w:rPr>
              <w:t xml:space="preserve"> </w:t>
            </w:r>
            <w:r w:rsidRPr="003E2BD8">
              <w:rPr>
                <w:rFonts w:ascii="Times New Roman" w:eastAsia="Times New Roman" w:hAnsi="Times New Roman" w:cs="Times New Roman"/>
                <w:lang w:val="x-none" w:eastAsia="x-none"/>
              </w:rPr>
              <w:t>as</w:t>
            </w:r>
            <w:r w:rsidRPr="003E2BD8">
              <w:rPr>
                <w:rFonts w:ascii="Times New Roman" w:eastAsia="Times New Roman" w:hAnsi="Times New Roman" w:cs="Times New Roman"/>
                <w:spacing w:val="23"/>
                <w:lang w:val="x-none" w:eastAsia="x-none"/>
              </w:rPr>
              <w:t xml:space="preserve"> </w:t>
            </w:r>
            <w:r w:rsidRPr="003E2BD8">
              <w:rPr>
                <w:rFonts w:ascii="Times New Roman" w:eastAsia="Times New Roman" w:hAnsi="Times New Roman" w:cs="Times New Roman"/>
                <w:lang w:val="x-none" w:eastAsia="x-none"/>
              </w:rPr>
              <w:t>a</w:t>
            </w:r>
            <w:r w:rsidRPr="003E2BD8">
              <w:rPr>
                <w:rFonts w:ascii="Times New Roman" w:eastAsia="Times New Roman" w:hAnsi="Times New Roman" w:cs="Times New Roman"/>
                <w:spacing w:val="24"/>
                <w:lang w:val="x-none" w:eastAsia="x-none"/>
              </w:rPr>
              <w:t xml:space="preserve"> </w:t>
            </w:r>
            <w:r w:rsidRPr="003E2BD8">
              <w:rPr>
                <w:rFonts w:ascii="Times New Roman" w:eastAsia="Times New Roman" w:hAnsi="Times New Roman" w:cs="Times New Roman"/>
                <w:spacing w:val="-2"/>
                <w:lang w:val="x-none" w:eastAsia="x-none"/>
              </w:rPr>
              <w:t>k</w:t>
            </w:r>
            <w:r w:rsidRPr="003E2BD8">
              <w:rPr>
                <w:rFonts w:ascii="Times New Roman" w:eastAsia="Times New Roman" w:hAnsi="Times New Roman" w:cs="Times New Roman"/>
                <w:lang w:val="x-none" w:eastAsia="x-none"/>
              </w:rPr>
              <w:t>ey</w:t>
            </w:r>
            <w:r w:rsidRPr="003E2BD8">
              <w:rPr>
                <w:rFonts w:ascii="Times New Roman" w:eastAsia="Times New Roman" w:hAnsi="Times New Roman" w:cs="Times New Roman"/>
                <w:spacing w:val="22"/>
                <w:lang w:val="x-none" w:eastAsia="x-none"/>
              </w:rPr>
              <w:t xml:space="preserve"> </w:t>
            </w:r>
            <w:r w:rsidRPr="003E2BD8">
              <w:rPr>
                <w:rFonts w:ascii="Times New Roman" w:eastAsia="Times New Roman" w:hAnsi="Times New Roman" w:cs="Times New Roman"/>
                <w:lang w:val="x-none" w:eastAsia="x-none"/>
              </w:rPr>
              <w:t xml:space="preserve">instrument to establish and strengthen the existing environment and social management systems under the </w:t>
            </w:r>
            <w:r w:rsidR="00D448F8" w:rsidRPr="003E2BD8">
              <w:rPr>
                <w:rFonts w:ascii="Times New Roman" w:eastAsia="Times New Roman" w:hAnsi="Times New Roman" w:cs="Times New Roman"/>
                <w:lang w:eastAsia="x-none"/>
              </w:rPr>
              <w:t>executing a</w:t>
            </w:r>
            <w:r w:rsidRPr="003E2BD8">
              <w:rPr>
                <w:rFonts w:ascii="Times New Roman" w:eastAsia="Times New Roman" w:hAnsi="Times New Roman" w:cs="Times New Roman"/>
                <w:lang w:eastAsia="x-none"/>
              </w:rPr>
              <w:t>gency (</w:t>
            </w:r>
            <w:r w:rsidR="00927B79" w:rsidRPr="003E2BD8">
              <w:rPr>
                <w:rFonts w:ascii="Times New Roman" w:eastAsia="Times New Roman" w:hAnsi="Times New Roman" w:cs="Times New Roman"/>
                <w:lang w:eastAsia="x-none"/>
              </w:rPr>
              <w:t>MLGRD)</w:t>
            </w:r>
            <w:r w:rsidRPr="003E2BD8">
              <w:rPr>
                <w:rFonts w:ascii="Times New Roman" w:eastAsia="Times New Roman" w:hAnsi="Times New Roman" w:cs="Times New Roman"/>
                <w:lang w:eastAsia="x-none"/>
              </w:rPr>
              <w:t xml:space="preserve"> and </w:t>
            </w:r>
            <w:r w:rsidR="00D448F8" w:rsidRPr="003E2BD8">
              <w:rPr>
                <w:rFonts w:ascii="Times New Roman" w:eastAsia="Times New Roman" w:hAnsi="Times New Roman" w:cs="Times New Roman"/>
                <w:lang w:eastAsia="x-none"/>
              </w:rPr>
              <w:t>implementing units (MMAs)</w:t>
            </w:r>
            <w:r w:rsidRPr="003E2BD8">
              <w:rPr>
                <w:rFonts w:ascii="Times New Roman" w:eastAsia="Times New Roman" w:hAnsi="Times New Roman" w:cs="Times New Roman"/>
                <w:lang w:eastAsia="x-none"/>
              </w:rPr>
              <w:t xml:space="preserve">. </w:t>
            </w:r>
            <w:r w:rsidRPr="003E2BD8">
              <w:rPr>
                <w:rFonts w:ascii="Times New Roman" w:eastAsia="Times New Roman" w:hAnsi="Times New Roman" w:cs="Times New Roman"/>
                <w:lang w:val="x-none" w:eastAsia="x-none"/>
              </w:rPr>
              <w:t>The principle becomes more relevant because the Program includes civil works related to construction</w:t>
            </w:r>
            <w:r w:rsidR="00575C15" w:rsidRPr="003E2BD8">
              <w:rPr>
                <w:rFonts w:ascii="Times New Roman" w:eastAsia="Times New Roman" w:hAnsi="Times New Roman" w:cs="Times New Roman"/>
                <w:lang w:eastAsia="x-none"/>
              </w:rPr>
              <w:t xml:space="preserve"> of new infrastructure and rehabilitation, expansion or </w:t>
            </w:r>
            <w:r w:rsidRPr="003E2BD8">
              <w:rPr>
                <w:rFonts w:ascii="Times New Roman" w:eastAsia="Times New Roman" w:hAnsi="Times New Roman" w:cs="Times New Roman"/>
                <w:lang w:val="x-none" w:eastAsia="x-none"/>
              </w:rPr>
              <w:t xml:space="preserve">extension of </w:t>
            </w:r>
            <w:r w:rsidR="00927B79" w:rsidRPr="003E2BD8">
              <w:rPr>
                <w:rFonts w:ascii="Times New Roman" w:eastAsia="Times New Roman" w:hAnsi="Times New Roman" w:cs="Times New Roman"/>
                <w:lang w:eastAsia="x-none"/>
              </w:rPr>
              <w:t xml:space="preserve">existing </w:t>
            </w:r>
            <w:r w:rsidRPr="003E2BD8">
              <w:rPr>
                <w:rFonts w:ascii="Times New Roman" w:eastAsia="Times New Roman" w:hAnsi="Times New Roman" w:cs="Times New Roman"/>
                <w:lang w:val="x-none" w:eastAsia="x-none"/>
              </w:rPr>
              <w:t>infrastructur</w:t>
            </w:r>
            <w:r w:rsidR="00927B79" w:rsidRPr="003E2BD8">
              <w:rPr>
                <w:rFonts w:ascii="Times New Roman" w:eastAsia="Times New Roman" w:hAnsi="Times New Roman" w:cs="Times New Roman"/>
                <w:lang w:eastAsia="x-none"/>
              </w:rPr>
              <w:t>e</w:t>
            </w:r>
            <w:r w:rsidRPr="003E2BD8">
              <w:rPr>
                <w:rFonts w:ascii="Times New Roman" w:eastAsia="Times New Roman" w:hAnsi="Times New Roman" w:cs="Times New Roman"/>
                <w:lang w:val="x-none" w:eastAsia="x-none"/>
              </w:rPr>
              <w:t xml:space="preserve">. </w:t>
            </w:r>
          </w:p>
          <w:p w14:paraId="7D74BE90" w14:textId="2005CC48" w:rsidR="00847853" w:rsidRPr="003E2BD8" w:rsidRDefault="00927B79" w:rsidP="00CA0715">
            <w:pPr>
              <w:numPr>
                <w:ilvl w:val="0"/>
                <w:numId w:val="17"/>
              </w:numPr>
              <w:spacing w:after="0" w:line="240" w:lineRule="auto"/>
              <w:jc w:val="both"/>
              <w:rPr>
                <w:rFonts w:ascii="Times New Roman" w:eastAsia="Times New Roman" w:hAnsi="Times New Roman" w:cs="Times New Roman"/>
                <w:b/>
                <w:bCs/>
                <w:lang w:val="x-none" w:eastAsia="x-none"/>
              </w:rPr>
            </w:pPr>
            <w:r w:rsidRPr="003E2BD8">
              <w:rPr>
                <w:rFonts w:ascii="Times New Roman" w:eastAsia="Times New Roman" w:hAnsi="Times New Roman" w:cs="Times New Roman"/>
                <w:bCs/>
                <w:lang w:val="x-none" w:eastAsia="x-none"/>
              </w:rPr>
              <w:t>Like the ongoing LGCSP</w:t>
            </w:r>
            <w:r w:rsidR="00847853" w:rsidRPr="003E2BD8">
              <w:rPr>
                <w:rFonts w:ascii="Times New Roman" w:eastAsia="Times New Roman" w:hAnsi="Times New Roman" w:cs="Times New Roman"/>
                <w:bCs/>
                <w:lang w:val="x-none" w:eastAsia="x-none"/>
              </w:rPr>
              <w:t xml:space="preserve">, the </w:t>
            </w:r>
            <w:r w:rsidRPr="003E2BD8">
              <w:rPr>
                <w:rFonts w:ascii="Times New Roman" w:eastAsia="Times New Roman" w:hAnsi="Times New Roman" w:cs="Times New Roman"/>
                <w:bCs/>
                <w:lang w:eastAsia="x-none"/>
              </w:rPr>
              <w:t>P</w:t>
            </w:r>
            <w:r w:rsidR="00847853" w:rsidRPr="003E2BD8">
              <w:rPr>
                <w:rFonts w:ascii="Times New Roman" w:eastAsia="Times New Roman" w:hAnsi="Times New Roman" w:cs="Times New Roman"/>
                <w:bCs/>
                <w:lang w:val="x-none" w:eastAsia="x-none"/>
              </w:rPr>
              <w:t xml:space="preserve">rogram </w:t>
            </w:r>
            <w:r w:rsidRPr="003E2BD8">
              <w:rPr>
                <w:rFonts w:ascii="Times New Roman" w:eastAsia="Times New Roman" w:hAnsi="Times New Roman" w:cs="Times New Roman"/>
                <w:bCs/>
                <w:lang w:eastAsia="x-none"/>
              </w:rPr>
              <w:t xml:space="preserve">will </w:t>
            </w:r>
            <w:r w:rsidR="00847853" w:rsidRPr="003E2BD8">
              <w:rPr>
                <w:rFonts w:ascii="Times New Roman" w:eastAsia="Times New Roman" w:hAnsi="Times New Roman" w:cs="Times New Roman"/>
                <w:bCs/>
                <w:lang w:val="x-none" w:eastAsia="x-none"/>
              </w:rPr>
              <w:t xml:space="preserve">continue catalyzing investments in urban infrastructure in </w:t>
            </w:r>
            <w:r w:rsidR="00575C15" w:rsidRPr="003E2BD8">
              <w:rPr>
                <w:rFonts w:ascii="Times New Roman" w:eastAsia="Times New Roman" w:hAnsi="Times New Roman" w:cs="Times New Roman"/>
                <w:bCs/>
                <w:lang w:eastAsia="x-none"/>
              </w:rPr>
              <w:t>MMAs</w:t>
            </w:r>
            <w:r w:rsidR="00847853" w:rsidRPr="003E2BD8">
              <w:rPr>
                <w:rFonts w:ascii="Times New Roman" w:eastAsia="Times New Roman" w:hAnsi="Times New Roman" w:cs="Times New Roman"/>
                <w:bCs/>
                <w:lang w:val="x-none" w:eastAsia="x-none"/>
              </w:rPr>
              <w:t>. These investments are likely to have physical footprint with a varying degree of environmental</w:t>
            </w:r>
            <w:r w:rsidR="00847853" w:rsidRPr="003E2BD8">
              <w:rPr>
                <w:rFonts w:ascii="Times New Roman" w:eastAsia="Times New Roman" w:hAnsi="Times New Roman" w:cs="Times New Roman"/>
                <w:bCs/>
                <w:lang w:eastAsia="x-none"/>
              </w:rPr>
              <w:t xml:space="preserve"> and social</w:t>
            </w:r>
            <w:r w:rsidR="00847853" w:rsidRPr="003E2BD8">
              <w:rPr>
                <w:rFonts w:ascii="Times New Roman" w:eastAsia="Times New Roman" w:hAnsi="Times New Roman" w:cs="Times New Roman"/>
                <w:bCs/>
                <w:lang w:val="x-none" w:eastAsia="x-none"/>
              </w:rPr>
              <w:t xml:space="preserve"> impacts,</w:t>
            </w:r>
            <w:r w:rsidR="00575C15" w:rsidRPr="003E2BD8">
              <w:rPr>
                <w:rFonts w:ascii="Times New Roman" w:eastAsia="Times New Roman" w:hAnsi="Times New Roman" w:cs="Times New Roman"/>
                <w:bCs/>
                <w:lang w:eastAsia="x-none"/>
              </w:rPr>
              <w:t xml:space="preserve"> though expected to be localized, manageable and temporary,</w:t>
            </w:r>
            <w:r w:rsidR="00847853" w:rsidRPr="003E2BD8">
              <w:rPr>
                <w:rFonts w:ascii="Times New Roman" w:eastAsia="Times New Roman" w:hAnsi="Times New Roman" w:cs="Times New Roman"/>
                <w:bCs/>
                <w:lang w:val="x-none" w:eastAsia="x-none"/>
              </w:rPr>
              <w:t xml:space="preserve"> requiring mitigation.</w:t>
            </w:r>
          </w:p>
          <w:p w14:paraId="02BF834B" w14:textId="77777777" w:rsidR="00847853" w:rsidRPr="003E2BD8" w:rsidRDefault="00847853" w:rsidP="00CA0715">
            <w:pPr>
              <w:numPr>
                <w:ilvl w:val="0"/>
                <w:numId w:val="17"/>
              </w:numPr>
              <w:spacing w:after="0" w:line="240" w:lineRule="auto"/>
              <w:jc w:val="both"/>
              <w:rPr>
                <w:rFonts w:ascii="Times New Roman" w:eastAsia="Times New Roman" w:hAnsi="Times New Roman" w:cs="Times New Roman"/>
                <w:b/>
                <w:bCs/>
                <w:lang w:val="x-none" w:eastAsia="x-none"/>
              </w:rPr>
            </w:pPr>
            <w:r w:rsidRPr="003E2BD8">
              <w:rPr>
                <w:rFonts w:ascii="Times New Roman" w:eastAsia="Times New Roman" w:hAnsi="Times New Roman" w:cs="Times New Roman"/>
                <w:bCs/>
                <w:lang w:val="x-none" w:eastAsia="x-none"/>
              </w:rPr>
              <w:t xml:space="preserve">Certain type of urban investment, such as </w:t>
            </w:r>
            <w:r w:rsidR="00927B79" w:rsidRPr="003E2BD8">
              <w:rPr>
                <w:rFonts w:ascii="Times New Roman" w:eastAsia="Times New Roman" w:hAnsi="Times New Roman" w:cs="Times New Roman"/>
                <w:bCs/>
                <w:lang w:eastAsia="x-none"/>
              </w:rPr>
              <w:t xml:space="preserve">municipal </w:t>
            </w:r>
            <w:r w:rsidRPr="003E2BD8">
              <w:rPr>
                <w:rFonts w:ascii="Times New Roman" w:eastAsia="Times New Roman" w:hAnsi="Times New Roman" w:cs="Times New Roman"/>
                <w:bCs/>
                <w:lang w:val="x-none" w:eastAsia="x-none"/>
              </w:rPr>
              <w:t xml:space="preserve">roads, water supply and </w:t>
            </w:r>
            <w:r w:rsidR="00927B79" w:rsidRPr="003E2BD8">
              <w:rPr>
                <w:rFonts w:ascii="Times New Roman" w:eastAsia="Times New Roman" w:hAnsi="Times New Roman" w:cs="Times New Roman"/>
                <w:bCs/>
                <w:lang w:eastAsia="x-none"/>
              </w:rPr>
              <w:t>sanitation, abattoir</w:t>
            </w:r>
            <w:r w:rsidRPr="003E2BD8">
              <w:rPr>
                <w:rFonts w:ascii="Times New Roman" w:eastAsia="Times New Roman" w:hAnsi="Times New Roman" w:cs="Times New Roman"/>
                <w:bCs/>
                <w:lang w:eastAsia="x-none"/>
              </w:rPr>
              <w:t>, market for small business, etc</w:t>
            </w:r>
            <w:r w:rsidR="00927B79" w:rsidRPr="003E2BD8">
              <w:rPr>
                <w:rFonts w:ascii="Times New Roman" w:eastAsia="Times New Roman" w:hAnsi="Times New Roman" w:cs="Times New Roman"/>
                <w:bCs/>
                <w:lang w:eastAsia="x-none"/>
              </w:rPr>
              <w:t>.</w:t>
            </w:r>
            <w:r w:rsidRPr="003E2BD8">
              <w:rPr>
                <w:rFonts w:ascii="Times New Roman" w:eastAsia="Times New Roman" w:hAnsi="Times New Roman" w:cs="Times New Roman"/>
                <w:bCs/>
                <w:lang w:val="x-none" w:eastAsia="x-none"/>
              </w:rPr>
              <w:t xml:space="preserve"> could potentially </w:t>
            </w:r>
            <w:r w:rsidRPr="003E2BD8">
              <w:rPr>
                <w:rFonts w:ascii="Times New Roman" w:eastAsia="Times New Roman" w:hAnsi="Times New Roman" w:cs="Times New Roman"/>
                <w:bCs/>
                <w:lang w:eastAsia="x-none"/>
              </w:rPr>
              <w:t xml:space="preserve">generate </w:t>
            </w:r>
            <w:r w:rsidRPr="003E2BD8">
              <w:rPr>
                <w:rFonts w:ascii="Times New Roman" w:eastAsia="Times New Roman" w:hAnsi="Times New Roman" w:cs="Times New Roman"/>
                <w:bCs/>
                <w:lang w:val="x-none" w:eastAsia="x-none"/>
              </w:rPr>
              <w:t xml:space="preserve">environmental </w:t>
            </w:r>
            <w:r w:rsidRPr="003E2BD8">
              <w:rPr>
                <w:rFonts w:ascii="Times New Roman" w:eastAsia="Times New Roman" w:hAnsi="Times New Roman" w:cs="Times New Roman"/>
                <w:bCs/>
                <w:lang w:eastAsia="x-none"/>
              </w:rPr>
              <w:t xml:space="preserve">and social </w:t>
            </w:r>
            <w:r w:rsidRPr="003E2BD8">
              <w:rPr>
                <w:rFonts w:ascii="Times New Roman" w:eastAsia="Times New Roman" w:hAnsi="Times New Roman" w:cs="Times New Roman"/>
                <w:bCs/>
                <w:lang w:val="x-none" w:eastAsia="x-none"/>
              </w:rPr>
              <w:t xml:space="preserve">impacts due to raw materials </w:t>
            </w:r>
            <w:r w:rsidR="00927B79" w:rsidRPr="003E2BD8">
              <w:rPr>
                <w:rFonts w:ascii="Times New Roman" w:eastAsia="Times New Roman" w:hAnsi="Times New Roman" w:cs="Times New Roman"/>
                <w:bCs/>
                <w:lang w:eastAsia="x-none"/>
              </w:rPr>
              <w:t>extraction;</w:t>
            </w:r>
            <w:r w:rsidRPr="003E2BD8">
              <w:rPr>
                <w:rFonts w:ascii="Times New Roman" w:eastAsia="Times New Roman" w:hAnsi="Times New Roman" w:cs="Times New Roman"/>
                <w:bCs/>
                <w:lang w:val="x-none" w:eastAsia="x-none"/>
              </w:rPr>
              <w:t xml:space="preserve"> </w:t>
            </w:r>
            <w:r w:rsidRPr="003E2BD8">
              <w:rPr>
                <w:rFonts w:ascii="Times New Roman" w:eastAsia="Times New Roman" w:hAnsi="Times New Roman" w:cs="Times New Roman"/>
                <w:bCs/>
                <w:lang w:eastAsia="x-none"/>
              </w:rPr>
              <w:t>solid and liquid waste discharge</w:t>
            </w:r>
            <w:r w:rsidR="00927B79" w:rsidRPr="003E2BD8">
              <w:rPr>
                <w:rFonts w:ascii="Times New Roman" w:eastAsia="Times New Roman" w:hAnsi="Times New Roman" w:cs="Times New Roman"/>
                <w:bCs/>
                <w:lang w:eastAsia="x-none"/>
              </w:rPr>
              <w:t>s;</w:t>
            </w:r>
            <w:r w:rsidRPr="003E2BD8">
              <w:rPr>
                <w:rFonts w:ascii="Times New Roman" w:eastAsia="Times New Roman" w:hAnsi="Times New Roman" w:cs="Times New Roman"/>
                <w:bCs/>
                <w:lang w:eastAsia="x-none"/>
              </w:rPr>
              <w:t xml:space="preserve"> </w:t>
            </w:r>
            <w:r w:rsidRPr="003E2BD8">
              <w:rPr>
                <w:rFonts w:ascii="Times New Roman" w:eastAsia="Times New Roman" w:hAnsi="Times New Roman" w:cs="Times New Roman"/>
                <w:bCs/>
                <w:lang w:val="x-none" w:eastAsia="x-none"/>
              </w:rPr>
              <w:t>land acquisition; occupation</w:t>
            </w:r>
            <w:r w:rsidR="00575C15" w:rsidRPr="003E2BD8">
              <w:rPr>
                <w:rFonts w:ascii="Times New Roman" w:eastAsia="Times New Roman" w:hAnsi="Times New Roman" w:cs="Times New Roman"/>
                <w:bCs/>
                <w:lang w:eastAsia="x-none"/>
              </w:rPr>
              <w:t>al</w:t>
            </w:r>
            <w:r w:rsidRPr="003E2BD8">
              <w:rPr>
                <w:rFonts w:ascii="Times New Roman" w:eastAsia="Times New Roman" w:hAnsi="Times New Roman" w:cs="Times New Roman"/>
                <w:bCs/>
                <w:lang w:val="x-none" w:eastAsia="x-none"/>
              </w:rPr>
              <w:t xml:space="preserve"> health and safety for workers, as well as air and water pollution due to construction activities. </w:t>
            </w:r>
          </w:p>
          <w:p w14:paraId="081C73CB" w14:textId="77777777" w:rsidR="00847853" w:rsidRPr="003E2BD8" w:rsidRDefault="00847853" w:rsidP="00CA0715">
            <w:pPr>
              <w:numPr>
                <w:ilvl w:val="0"/>
                <w:numId w:val="17"/>
              </w:numPr>
              <w:spacing w:after="0" w:line="240" w:lineRule="auto"/>
              <w:jc w:val="both"/>
              <w:rPr>
                <w:rFonts w:ascii="Times New Roman" w:eastAsia="Times New Roman" w:hAnsi="Times New Roman" w:cs="Times New Roman"/>
                <w:b/>
                <w:bCs/>
                <w:lang w:val="x-none" w:eastAsia="x-none"/>
              </w:rPr>
            </w:pPr>
            <w:r w:rsidRPr="003E2BD8">
              <w:rPr>
                <w:rFonts w:ascii="Times New Roman" w:eastAsia="Times New Roman" w:hAnsi="Times New Roman" w:cs="Times New Roman"/>
                <w:bCs/>
                <w:lang w:eastAsia="x-none"/>
              </w:rPr>
              <w:t xml:space="preserve">Required to undertake </w:t>
            </w:r>
            <w:r w:rsidRPr="003E2BD8">
              <w:rPr>
                <w:rFonts w:ascii="Times New Roman" w:eastAsia="Times New Roman" w:hAnsi="Times New Roman" w:cs="Times New Roman"/>
                <w:bCs/>
                <w:lang w:val="x-none" w:eastAsia="x-none"/>
              </w:rPr>
              <w:t xml:space="preserve">environmental </w:t>
            </w:r>
            <w:r w:rsidRPr="003E2BD8">
              <w:rPr>
                <w:rFonts w:ascii="Times New Roman" w:eastAsia="Times New Roman" w:hAnsi="Times New Roman" w:cs="Times New Roman"/>
                <w:bCs/>
                <w:lang w:eastAsia="x-none"/>
              </w:rPr>
              <w:t xml:space="preserve">and social </w:t>
            </w:r>
            <w:r w:rsidRPr="003E2BD8">
              <w:rPr>
                <w:rFonts w:ascii="Times New Roman" w:eastAsia="Times New Roman" w:hAnsi="Times New Roman" w:cs="Times New Roman"/>
                <w:bCs/>
                <w:lang w:val="x-none" w:eastAsia="x-none"/>
              </w:rPr>
              <w:t xml:space="preserve">assessment and implementing </w:t>
            </w:r>
            <w:r w:rsidRPr="003E2BD8">
              <w:rPr>
                <w:rFonts w:ascii="Times New Roman" w:eastAsia="Times New Roman" w:hAnsi="Times New Roman" w:cs="Times New Roman"/>
                <w:bCs/>
                <w:lang w:eastAsia="x-none"/>
              </w:rPr>
              <w:t xml:space="preserve">measures stated in the </w:t>
            </w:r>
            <w:r w:rsidRPr="003E2BD8">
              <w:rPr>
                <w:rFonts w:ascii="Times New Roman" w:eastAsia="Times New Roman" w:hAnsi="Times New Roman" w:cs="Times New Roman"/>
                <w:bCs/>
                <w:lang w:val="x-none" w:eastAsia="x-none"/>
              </w:rPr>
              <w:t>Environmental</w:t>
            </w:r>
            <w:r w:rsidRPr="003E2BD8">
              <w:rPr>
                <w:rFonts w:ascii="Times New Roman" w:eastAsia="Times New Roman" w:hAnsi="Times New Roman" w:cs="Times New Roman"/>
                <w:bCs/>
                <w:lang w:eastAsia="x-none"/>
              </w:rPr>
              <w:t xml:space="preserve"> and Social </w:t>
            </w:r>
            <w:r w:rsidRPr="003E2BD8">
              <w:rPr>
                <w:rFonts w:ascii="Times New Roman" w:eastAsia="Times New Roman" w:hAnsi="Times New Roman" w:cs="Times New Roman"/>
                <w:bCs/>
                <w:lang w:val="x-none" w:eastAsia="x-none"/>
              </w:rPr>
              <w:t>Management Plan</w:t>
            </w:r>
            <w:r w:rsidR="00575C15" w:rsidRPr="003E2BD8">
              <w:rPr>
                <w:rFonts w:ascii="Times New Roman" w:eastAsia="Times New Roman" w:hAnsi="Times New Roman" w:cs="Times New Roman"/>
                <w:bCs/>
                <w:lang w:eastAsia="x-none"/>
              </w:rPr>
              <w:t>/Preliminary Environmental Reports</w:t>
            </w:r>
            <w:r w:rsidRPr="003E2BD8">
              <w:rPr>
                <w:rFonts w:ascii="Times New Roman" w:eastAsia="Times New Roman" w:hAnsi="Times New Roman" w:cs="Times New Roman"/>
                <w:bCs/>
                <w:lang w:val="x-none" w:eastAsia="x-none"/>
              </w:rPr>
              <w:t xml:space="preserve"> to mitigate adverse environment and social impacts. </w:t>
            </w:r>
          </w:p>
        </w:tc>
      </w:tr>
      <w:tr w:rsidR="00847853" w:rsidRPr="003E2BD8" w14:paraId="3A9283EA" w14:textId="77777777" w:rsidTr="00D316D4">
        <w:tc>
          <w:tcPr>
            <w:tcW w:w="5000" w:type="pct"/>
            <w:shd w:val="clear" w:color="auto" w:fill="FFFFFF"/>
          </w:tcPr>
          <w:p w14:paraId="0F4BC235" w14:textId="77777777" w:rsidR="00847853" w:rsidRPr="003E2BD8" w:rsidRDefault="00847853" w:rsidP="00CA0715">
            <w:pPr>
              <w:spacing w:after="0" w:line="240" w:lineRule="auto"/>
              <w:jc w:val="both"/>
              <w:rPr>
                <w:rFonts w:ascii="Times New Roman" w:eastAsia="Times New Roman" w:hAnsi="Times New Roman" w:cs="Times New Roman"/>
                <w:b/>
                <w:bCs/>
                <w:lang w:val="x-none" w:eastAsia="x-none"/>
              </w:rPr>
            </w:pPr>
            <w:r w:rsidRPr="003E2BD8">
              <w:rPr>
                <w:rFonts w:ascii="Times New Roman" w:eastAsia="Times New Roman" w:hAnsi="Times New Roman" w:cs="Times New Roman"/>
                <w:b/>
                <w:bCs/>
                <w:lang w:val="x-none" w:eastAsia="x-none"/>
              </w:rPr>
              <w:t>System</w:t>
            </w:r>
            <w:r w:rsidRPr="003E2BD8">
              <w:rPr>
                <w:rFonts w:ascii="Times New Roman" w:eastAsia="Times New Roman" w:hAnsi="Times New Roman" w:cs="Times New Roman"/>
                <w:b/>
                <w:bCs/>
                <w:lang w:eastAsia="x-none"/>
              </w:rPr>
              <w:t xml:space="preserve"> Strengthen</w:t>
            </w:r>
            <w:r w:rsidRPr="003E2BD8">
              <w:rPr>
                <w:rFonts w:ascii="Times New Roman" w:eastAsia="Times New Roman" w:hAnsi="Times New Roman" w:cs="Times New Roman"/>
                <w:b/>
                <w:bCs/>
                <w:lang w:val="x-none" w:eastAsia="x-none"/>
              </w:rPr>
              <w:t>/</w:t>
            </w:r>
            <w:r w:rsidRPr="003E2BD8">
              <w:rPr>
                <w:rFonts w:ascii="Times New Roman" w:eastAsia="Times New Roman" w:hAnsi="Times New Roman" w:cs="Times New Roman"/>
                <w:b/>
                <w:bCs/>
                <w:lang w:eastAsia="x-none"/>
              </w:rPr>
              <w:t xml:space="preserve">Summary of </w:t>
            </w:r>
            <w:r w:rsidRPr="003E2BD8">
              <w:rPr>
                <w:rFonts w:ascii="Times New Roman" w:eastAsia="Times New Roman" w:hAnsi="Times New Roman" w:cs="Times New Roman"/>
                <w:b/>
                <w:bCs/>
                <w:lang w:val="x-none" w:eastAsia="x-none"/>
              </w:rPr>
              <w:t xml:space="preserve">Findings </w:t>
            </w:r>
          </w:p>
          <w:p w14:paraId="6866308F" w14:textId="77777777" w:rsidR="00847853" w:rsidRPr="003E2BD8" w:rsidRDefault="00847853" w:rsidP="00CA0715">
            <w:pPr>
              <w:numPr>
                <w:ilvl w:val="0"/>
                <w:numId w:val="18"/>
              </w:numPr>
              <w:spacing w:after="0" w:line="240" w:lineRule="auto"/>
              <w:jc w:val="both"/>
              <w:rPr>
                <w:rFonts w:ascii="Times New Roman" w:eastAsia="Times New Roman" w:hAnsi="Times New Roman" w:cs="Times New Roman"/>
                <w:bCs/>
                <w:lang w:val="x-none" w:eastAsia="x-none"/>
              </w:rPr>
            </w:pPr>
            <w:r w:rsidRPr="003E2BD8">
              <w:rPr>
                <w:rFonts w:ascii="Times New Roman" w:eastAsia="Times New Roman" w:hAnsi="Times New Roman" w:cs="Times New Roman"/>
                <w:bCs/>
                <w:lang w:val="x-none" w:eastAsia="x-none"/>
              </w:rPr>
              <w:t xml:space="preserve">EIA system provides a comprehensive framework for environmental and social </w:t>
            </w:r>
            <w:r w:rsidR="00927B79" w:rsidRPr="003E2BD8">
              <w:rPr>
                <w:rFonts w:ascii="Times New Roman" w:eastAsia="Times New Roman" w:hAnsi="Times New Roman" w:cs="Times New Roman"/>
                <w:bCs/>
                <w:lang w:eastAsia="x-none"/>
              </w:rPr>
              <w:t xml:space="preserve">screening, </w:t>
            </w:r>
            <w:r w:rsidRPr="003E2BD8">
              <w:rPr>
                <w:rFonts w:ascii="Times New Roman" w:eastAsia="Times New Roman" w:hAnsi="Times New Roman" w:cs="Times New Roman"/>
                <w:bCs/>
                <w:lang w:val="x-none" w:eastAsia="x-none"/>
              </w:rPr>
              <w:t xml:space="preserve">impact assessment </w:t>
            </w:r>
            <w:r w:rsidR="00927B79" w:rsidRPr="003E2BD8">
              <w:rPr>
                <w:rFonts w:ascii="Times New Roman" w:eastAsia="Times New Roman" w:hAnsi="Times New Roman" w:cs="Times New Roman"/>
                <w:bCs/>
                <w:lang w:eastAsia="x-none"/>
              </w:rPr>
              <w:t xml:space="preserve">and management </w:t>
            </w:r>
            <w:r w:rsidRPr="003E2BD8">
              <w:rPr>
                <w:rFonts w:ascii="Times New Roman" w:eastAsia="Times New Roman" w:hAnsi="Times New Roman" w:cs="Times New Roman"/>
                <w:bCs/>
                <w:lang w:val="x-none" w:eastAsia="x-none"/>
              </w:rPr>
              <w:t>consistent with the core principles outlined in Program for Results Financing.</w:t>
            </w:r>
          </w:p>
          <w:p w14:paraId="3361DED4" w14:textId="77777777" w:rsidR="00847853" w:rsidRPr="003E2BD8" w:rsidRDefault="00847853" w:rsidP="00CA0715">
            <w:pPr>
              <w:numPr>
                <w:ilvl w:val="0"/>
                <w:numId w:val="18"/>
              </w:numPr>
              <w:spacing w:after="0" w:line="240" w:lineRule="auto"/>
              <w:jc w:val="both"/>
              <w:rPr>
                <w:rFonts w:ascii="Times New Roman" w:eastAsia="Times New Roman" w:hAnsi="Times New Roman" w:cs="Times New Roman"/>
                <w:bCs/>
                <w:lang w:val="x-none" w:eastAsia="x-none"/>
              </w:rPr>
            </w:pPr>
            <w:r w:rsidRPr="003E2BD8">
              <w:rPr>
                <w:rFonts w:ascii="Times New Roman" w:eastAsia="Times New Roman" w:hAnsi="Times New Roman" w:cs="Times New Roman"/>
                <w:bCs/>
                <w:lang w:val="x-none" w:eastAsia="x-none"/>
              </w:rPr>
              <w:t xml:space="preserve">The Government </w:t>
            </w:r>
            <w:r w:rsidRPr="003E2BD8">
              <w:rPr>
                <w:rFonts w:ascii="Times New Roman" w:eastAsia="Times New Roman" w:hAnsi="Times New Roman" w:cs="Times New Roman"/>
                <w:bCs/>
                <w:lang w:eastAsia="x-none"/>
              </w:rPr>
              <w:t>of</w:t>
            </w:r>
            <w:r w:rsidR="00927B79" w:rsidRPr="003E2BD8">
              <w:rPr>
                <w:rFonts w:ascii="Times New Roman" w:eastAsia="Times New Roman" w:hAnsi="Times New Roman" w:cs="Times New Roman"/>
                <w:bCs/>
                <w:lang w:eastAsia="x-none"/>
              </w:rPr>
              <w:t xml:space="preserve"> Ghana</w:t>
            </w:r>
            <w:r w:rsidRPr="003E2BD8">
              <w:rPr>
                <w:rFonts w:ascii="Times New Roman" w:eastAsia="Times New Roman" w:hAnsi="Times New Roman" w:cs="Times New Roman"/>
                <w:bCs/>
                <w:lang w:eastAsia="x-none"/>
              </w:rPr>
              <w:t xml:space="preserve"> </w:t>
            </w:r>
            <w:r w:rsidRPr="003E2BD8">
              <w:rPr>
                <w:rFonts w:ascii="Times New Roman" w:eastAsia="Times New Roman" w:hAnsi="Times New Roman" w:cs="Times New Roman"/>
                <w:bCs/>
                <w:lang w:val="x-none" w:eastAsia="x-none"/>
              </w:rPr>
              <w:t>has solid environmental legal and policy framework in place to protect, conserve</w:t>
            </w:r>
            <w:r w:rsidR="009E472B" w:rsidRPr="003E2BD8">
              <w:rPr>
                <w:rFonts w:ascii="Times New Roman" w:eastAsia="Times New Roman" w:hAnsi="Times New Roman" w:cs="Times New Roman"/>
                <w:bCs/>
                <w:lang w:val="x-none" w:eastAsia="x-none"/>
              </w:rPr>
              <w:t>, and mitigate adverse impacts and has, a matter of fact, one of the oldest and most established EIA System in Africa.</w:t>
            </w:r>
          </w:p>
          <w:p w14:paraId="4CAE2EAD" w14:textId="77777777" w:rsidR="00847853" w:rsidRPr="003E2BD8" w:rsidRDefault="009E472B" w:rsidP="00CA0715">
            <w:pPr>
              <w:numPr>
                <w:ilvl w:val="0"/>
                <w:numId w:val="18"/>
              </w:numPr>
              <w:spacing w:after="0" w:line="240" w:lineRule="auto"/>
              <w:jc w:val="both"/>
              <w:rPr>
                <w:rFonts w:ascii="Times New Roman" w:eastAsia="Times New Roman" w:hAnsi="Times New Roman" w:cs="Times New Roman"/>
                <w:bCs/>
                <w:lang w:val="x-none" w:eastAsia="x-none"/>
              </w:rPr>
            </w:pPr>
            <w:r w:rsidRPr="003E2BD8">
              <w:rPr>
                <w:rFonts w:ascii="Times New Roman" w:eastAsia="Times New Roman" w:hAnsi="Times New Roman" w:cs="Times New Roman"/>
                <w:bCs/>
                <w:lang w:eastAsia="x-none"/>
              </w:rPr>
              <w:t xml:space="preserve">National </w:t>
            </w:r>
            <w:r w:rsidR="00847853" w:rsidRPr="003E2BD8">
              <w:rPr>
                <w:rFonts w:ascii="Times New Roman" w:eastAsia="Times New Roman" w:hAnsi="Times New Roman" w:cs="Times New Roman"/>
                <w:bCs/>
                <w:lang w:val="x-none" w:eastAsia="x-none"/>
              </w:rPr>
              <w:t>and regional EP</w:t>
            </w:r>
            <w:r w:rsidRPr="003E2BD8">
              <w:rPr>
                <w:rFonts w:ascii="Times New Roman" w:eastAsia="Times New Roman" w:hAnsi="Times New Roman" w:cs="Times New Roman"/>
                <w:bCs/>
                <w:lang w:eastAsia="x-none"/>
              </w:rPr>
              <w:t>A</w:t>
            </w:r>
            <w:r w:rsidR="00847853" w:rsidRPr="003E2BD8">
              <w:rPr>
                <w:rFonts w:ascii="Times New Roman" w:eastAsia="Times New Roman" w:hAnsi="Times New Roman" w:cs="Times New Roman"/>
                <w:bCs/>
                <w:lang w:val="x-none" w:eastAsia="x-none"/>
              </w:rPr>
              <w:t xml:space="preserve"> are active</w:t>
            </w:r>
            <w:r w:rsidRPr="003E2BD8">
              <w:rPr>
                <w:rFonts w:ascii="Times New Roman" w:eastAsia="Times New Roman" w:hAnsi="Times New Roman" w:cs="Times New Roman"/>
                <w:bCs/>
                <w:lang w:eastAsia="x-none"/>
              </w:rPr>
              <w:t xml:space="preserve"> and onboard</w:t>
            </w:r>
            <w:r w:rsidR="00847853" w:rsidRPr="003E2BD8">
              <w:rPr>
                <w:rFonts w:ascii="Times New Roman" w:eastAsia="Times New Roman" w:hAnsi="Times New Roman" w:cs="Times New Roman"/>
                <w:bCs/>
                <w:lang w:val="x-none" w:eastAsia="x-none"/>
              </w:rPr>
              <w:t xml:space="preserve"> to ensure compliance with EIA regulations.</w:t>
            </w:r>
          </w:p>
          <w:p w14:paraId="51417D83" w14:textId="77777777" w:rsidR="00847853" w:rsidRPr="003E2BD8" w:rsidRDefault="00847853" w:rsidP="00CA0715">
            <w:pPr>
              <w:numPr>
                <w:ilvl w:val="0"/>
                <w:numId w:val="18"/>
              </w:numPr>
              <w:spacing w:after="0" w:line="240" w:lineRule="auto"/>
              <w:jc w:val="both"/>
              <w:rPr>
                <w:rFonts w:ascii="Times New Roman" w:eastAsia="Times New Roman" w:hAnsi="Times New Roman" w:cs="Times New Roman"/>
                <w:bCs/>
                <w:lang w:val="x-none" w:eastAsia="x-none"/>
              </w:rPr>
            </w:pPr>
            <w:r w:rsidRPr="003E2BD8">
              <w:rPr>
                <w:rFonts w:ascii="Times New Roman" w:eastAsia="Times New Roman" w:hAnsi="Times New Roman" w:cs="Times New Roman"/>
                <w:bCs/>
                <w:lang w:val="x-none" w:eastAsia="x-none"/>
              </w:rPr>
              <w:t xml:space="preserve">Existence of comprehensive standards and </w:t>
            </w:r>
            <w:r w:rsidR="009E472B" w:rsidRPr="003E2BD8">
              <w:rPr>
                <w:rFonts w:ascii="Times New Roman" w:eastAsia="Times New Roman" w:hAnsi="Times New Roman" w:cs="Times New Roman"/>
                <w:bCs/>
                <w:lang w:eastAsia="x-none"/>
              </w:rPr>
              <w:t xml:space="preserve">EA sectoral </w:t>
            </w:r>
            <w:r w:rsidRPr="003E2BD8">
              <w:rPr>
                <w:rFonts w:ascii="Times New Roman" w:eastAsia="Times New Roman" w:hAnsi="Times New Roman" w:cs="Times New Roman"/>
                <w:bCs/>
                <w:lang w:val="x-none" w:eastAsia="x-none"/>
              </w:rPr>
              <w:t xml:space="preserve">guidelines for </w:t>
            </w:r>
            <w:r w:rsidR="009E472B" w:rsidRPr="003E2BD8">
              <w:rPr>
                <w:rFonts w:ascii="Times New Roman" w:eastAsia="Times New Roman" w:hAnsi="Times New Roman" w:cs="Times New Roman"/>
                <w:bCs/>
                <w:lang w:eastAsia="x-none"/>
              </w:rPr>
              <w:t xml:space="preserve">key sectors covered by the Program (General Construction, Health, </w:t>
            </w:r>
            <w:r w:rsidR="009E472B" w:rsidRPr="003E2BD8">
              <w:rPr>
                <w:rFonts w:ascii="Times New Roman" w:eastAsia="Times New Roman" w:hAnsi="Times New Roman" w:cs="Times New Roman"/>
                <w:bCs/>
                <w:lang w:val="x-none" w:eastAsia="x-none"/>
              </w:rPr>
              <w:t xml:space="preserve">Energy, </w:t>
            </w:r>
            <w:r w:rsidR="009E472B" w:rsidRPr="003E2BD8">
              <w:rPr>
                <w:rFonts w:ascii="Times New Roman" w:eastAsia="Times New Roman" w:hAnsi="Times New Roman" w:cs="Times New Roman"/>
                <w:bCs/>
                <w:lang w:eastAsia="x-none"/>
              </w:rPr>
              <w:t>Tourism, Health Care and Veterinary Wastes, etc.).</w:t>
            </w:r>
          </w:p>
          <w:p w14:paraId="5878DC30" w14:textId="1313831C" w:rsidR="00847853" w:rsidRPr="003E2BD8" w:rsidRDefault="00847853" w:rsidP="00CA0715">
            <w:pPr>
              <w:numPr>
                <w:ilvl w:val="0"/>
                <w:numId w:val="18"/>
              </w:numPr>
              <w:spacing w:after="0" w:line="240" w:lineRule="auto"/>
              <w:jc w:val="both"/>
              <w:rPr>
                <w:rFonts w:ascii="Times New Roman" w:eastAsia="Times New Roman" w:hAnsi="Times New Roman" w:cs="Times New Roman"/>
                <w:bCs/>
                <w:lang w:val="x-none" w:eastAsia="x-none"/>
              </w:rPr>
            </w:pPr>
            <w:r w:rsidRPr="003E2BD8">
              <w:rPr>
                <w:rFonts w:ascii="Times New Roman" w:eastAsia="Times New Roman" w:hAnsi="Times New Roman" w:cs="Times New Roman"/>
                <w:bCs/>
                <w:lang w:val="x-none" w:eastAsia="x-none"/>
              </w:rPr>
              <w:t xml:space="preserve">The current </w:t>
            </w:r>
            <w:r w:rsidR="009E472B" w:rsidRPr="003E2BD8">
              <w:rPr>
                <w:rFonts w:ascii="Times New Roman" w:eastAsia="Times New Roman" w:hAnsi="Times New Roman" w:cs="Times New Roman"/>
                <w:bCs/>
                <w:lang w:eastAsia="x-none"/>
              </w:rPr>
              <w:t>LGCSP</w:t>
            </w:r>
            <w:r w:rsidRPr="003E2BD8">
              <w:rPr>
                <w:rFonts w:ascii="Times New Roman" w:eastAsia="Times New Roman" w:hAnsi="Times New Roman" w:cs="Times New Roman"/>
                <w:bCs/>
                <w:lang w:val="x-none" w:eastAsia="x-none"/>
              </w:rPr>
              <w:t xml:space="preserve"> has helped to develop capacity at </w:t>
            </w:r>
            <w:r w:rsidR="00575C15" w:rsidRPr="003E2BD8">
              <w:rPr>
                <w:rFonts w:ascii="Times New Roman" w:eastAsia="Times New Roman" w:hAnsi="Times New Roman" w:cs="Times New Roman"/>
                <w:bCs/>
                <w:lang w:eastAsia="x-none"/>
              </w:rPr>
              <w:t>MMA</w:t>
            </w:r>
            <w:r w:rsidRPr="003E2BD8">
              <w:rPr>
                <w:rFonts w:ascii="Times New Roman" w:eastAsia="Times New Roman" w:hAnsi="Times New Roman" w:cs="Times New Roman"/>
                <w:bCs/>
                <w:lang w:val="x-none" w:eastAsia="x-none"/>
              </w:rPr>
              <w:t xml:space="preserve"> level for EIA and EMP preparation</w:t>
            </w:r>
            <w:r w:rsidRPr="003E2BD8">
              <w:rPr>
                <w:rFonts w:ascii="Times New Roman" w:eastAsia="Times New Roman" w:hAnsi="Times New Roman" w:cs="Times New Roman"/>
                <w:bCs/>
                <w:lang w:eastAsia="x-none"/>
              </w:rPr>
              <w:t xml:space="preserve"> and implementation</w:t>
            </w:r>
            <w:r w:rsidR="009E472B" w:rsidRPr="003E2BD8">
              <w:rPr>
                <w:rFonts w:ascii="Times New Roman" w:eastAsia="Times New Roman" w:hAnsi="Times New Roman" w:cs="Times New Roman"/>
                <w:bCs/>
                <w:lang w:eastAsia="x-none"/>
              </w:rPr>
              <w:t>.</w:t>
            </w:r>
          </w:p>
          <w:p w14:paraId="2FA3EFDC" w14:textId="0FE58E46" w:rsidR="003F0E7F" w:rsidRPr="003E2BD8" w:rsidRDefault="009E472B" w:rsidP="00CA0715">
            <w:pPr>
              <w:numPr>
                <w:ilvl w:val="0"/>
                <w:numId w:val="18"/>
              </w:numPr>
              <w:spacing w:after="0" w:line="240" w:lineRule="auto"/>
              <w:jc w:val="both"/>
              <w:rPr>
                <w:rFonts w:ascii="Times New Roman" w:eastAsia="Times New Roman" w:hAnsi="Times New Roman" w:cs="Times New Roman"/>
                <w:bCs/>
                <w:lang w:val="x-none" w:eastAsia="x-none"/>
              </w:rPr>
            </w:pPr>
            <w:r w:rsidRPr="003E2BD8">
              <w:rPr>
                <w:rFonts w:ascii="Times New Roman" w:eastAsia="Calibri" w:hAnsi="Times New Roman" w:cs="Times New Roman"/>
              </w:rPr>
              <w:t xml:space="preserve">Participating </w:t>
            </w:r>
            <w:r w:rsidR="00575C15" w:rsidRPr="003E2BD8">
              <w:rPr>
                <w:rFonts w:ascii="Times New Roman" w:eastAsia="Calibri" w:hAnsi="Times New Roman" w:cs="Times New Roman"/>
              </w:rPr>
              <w:t>MMAs</w:t>
            </w:r>
            <w:r w:rsidRPr="003E2BD8">
              <w:rPr>
                <w:rFonts w:ascii="Times New Roman" w:eastAsia="Calibri" w:hAnsi="Times New Roman" w:cs="Times New Roman"/>
              </w:rPr>
              <w:t xml:space="preserve"> </w:t>
            </w:r>
            <w:r w:rsidR="00847853" w:rsidRPr="003E2BD8">
              <w:rPr>
                <w:rFonts w:ascii="Times New Roman" w:eastAsia="Calibri" w:hAnsi="Times New Roman" w:cs="Times New Roman"/>
              </w:rPr>
              <w:t xml:space="preserve">have put in place </w:t>
            </w:r>
            <w:r w:rsidRPr="003E2BD8">
              <w:rPr>
                <w:rFonts w:ascii="Times New Roman" w:eastAsia="Calibri" w:hAnsi="Times New Roman" w:cs="Times New Roman"/>
              </w:rPr>
              <w:t xml:space="preserve">safeguard focal and team to screen subprojects, prepare instruments and implement measures. </w:t>
            </w:r>
          </w:p>
          <w:p w14:paraId="3F359D45" w14:textId="77777777" w:rsidR="00847853" w:rsidRPr="003E2BD8" w:rsidRDefault="00847853" w:rsidP="00CA0715">
            <w:pPr>
              <w:numPr>
                <w:ilvl w:val="0"/>
                <w:numId w:val="18"/>
              </w:numPr>
              <w:spacing w:after="0" w:line="240" w:lineRule="auto"/>
              <w:jc w:val="both"/>
              <w:rPr>
                <w:rFonts w:ascii="Times New Roman" w:eastAsia="Times New Roman" w:hAnsi="Times New Roman" w:cs="Times New Roman"/>
                <w:bCs/>
                <w:lang w:val="x-none" w:eastAsia="x-none"/>
              </w:rPr>
            </w:pPr>
            <w:r w:rsidRPr="003E2BD8">
              <w:rPr>
                <w:rFonts w:ascii="Times New Roman" w:eastAsia="Times New Roman" w:hAnsi="Times New Roman" w:cs="Times New Roman"/>
                <w:bCs/>
                <w:lang w:val="x-none" w:eastAsia="x-none"/>
              </w:rPr>
              <w:t>There is also a well-defined policy framework</w:t>
            </w:r>
            <w:r w:rsidR="009E472B" w:rsidRPr="003E2BD8">
              <w:rPr>
                <w:rFonts w:ascii="Times New Roman" w:eastAsia="Times New Roman" w:hAnsi="Times New Roman" w:cs="Times New Roman"/>
                <w:bCs/>
                <w:lang w:eastAsia="x-none"/>
              </w:rPr>
              <w:t xml:space="preserve"> and structure through the Social Accountability Unit of the MLGRD</w:t>
            </w:r>
            <w:r w:rsidRPr="003E2BD8">
              <w:rPr>
                <w:rFonts w:ascii="Times New Roman" w:eastAsia="Times New Roman" w:hAnsi="Times New Roman" w:cs="Times New Roman"/>
                <w:bCs/>
                <w:lang w:val="x-none" w:eastAsia="x-none"/>
              </w:rPr>
              <w:t xml:space="preserve"> to enhance transparency of the development </w:t>
            </w:r>
            <w:r w:rsidR="00575C15" w:rsidRPr="003E2BD8">
              <w:rPr>
                <w:rFonts w:ascii="Times New Roman" w:eastAsia="Times New Roman" w:hAnsi="Times New Roman" w:cs="Times New Roman"/>
                <w:bCs/>
                <w:lang w:eastAsia="x-none"/>
              </w:rPr>
              <w:t>P</w:t>
            </w:r>
            <w:r w:rsidRPr="003E2BD8">
              <w:rPr>
                <w:rFonts w:ascii="Times New Roman" w:eastAsia="Times New Roman" w:hAnsi="Times New Roman" w:cs="Times New Roman"/>
                <w:bCs/>
                <w:lang w:eastAsia="x-none"/>
              </w:rPr>
              <w:t xml:space="preserve">rograms and </w:t>
            </w:r>
            <w:r w:rsidRPr="003E2BD8">
              <w:rPr>
                <w:rFonts w:ascii="Times New Roman" w:eastAsia="Times New Roman" w:hAnsi="Times New Roman" w:cs="Times New Roman"/>
                <w:bCs/>
                <w:lang w:val="x-none" w:eastAsia="x-none"/>
              </w:rPr>
              <w:t>projects.</w:t>
            </w:r>
          </w:p>
          <w:p w14:paraId="06DF2B73" w14:textId="4DD0E14B" w:rsidR="00847853" w:rsidRPr="003E2BD8" w:rsidRDefault="00575C15" w:rsidP="00CA0715">
            <w:pPr>
              <w:numPr>
                <w:ilvl w:val="0"/>
                <w:numId w:val="18"/>
              </w:numPr>
              <w:spacing w:after="0" w:line="240" w:lineRule="auto"/>
              <w:jc w:val="both"/>
              <w:rPr>
                <w:rFonts w:ascii="Times New Roman" w:eastAsia="Times New Roman" w:hAnsi="Times New Roman" w:cs="Times New Roman"/>
                <w:bCs/>
                <w:lang w:val="x-none" w:eastAsia="x-none"/>
              </w:rPr>
            </w:pPr>
            <w:r w:rsidRPr="003E2BD8">
              <w:rPr>
                <w:rFonts w:ascii="Times New Roman" w:eastAsia="Calibri" w:hAnsi="Times New Roman" w:cs="Times New Roman"/>
              </w:rPr>
              <w:t>MMAs</w:t>
            </w:r>
            <w:r w:rsidR="003F0E7F" w:rsidRPr="003E2BD8">
              <w:rPr>
                <w:rFonts w:ascii="Times New Roman" w:eastAsia="Calibri" w:hAnsi="Times New Roman" w:cs="Times New Roman"/>
              </w:rPr>
              <w:t xml:space="preserve"> c</w:t>
            </w:r>
            <w:r w:rsidR="00847853" w:rsidRPr="003E2BD8">
              <w:rPr>
                <w:rFonts w:ascii="Times New Roman" w:eastAsia="Calibri" w:hAnsi="Times New Roman" w:cs="Times New Roman"/>
              </w:rPr>
              <w:t xml:space="preserve">overed by </w:t>
            </w:r>
            <w:r w:rsidR="003F0E7F" w:rsidRPr="003E2BD8">
              <w:rPr>
                <w:rFonts w:ascii="Times New Roman" w:eastAsia="Calibri" w:hAnsi="Times New Roman" w:cs="Times New Roman"/>
              </w:rPr>
              <w:t xml:space="preserve">LGCSP </w:t>
            </w:r>
            <w:r w:rsidR="00847853" w:rsidRPr="003E2BD8">
              <w:rPr>
                <w:rFonts w:ascii="Times New Roman" w:eastAsia="Calibri" w:hAnsi="Times New Roman" w:cs="Times New Roman"/>
              </w:rPr>
              <w:t xml:space="preserve">have put in place administrative body for grievance that redress complaints </w:t>
            </w:r>
            <w:r w:rsidR="003F0E7F" w:rsidRPr="003E2BD8">
              <w:rPr>
                <w:rFonts w:ascii="Times New Roman" w:eastAsia="Calibri" w:hAnsi="Times New Roman" w:cs="Times New Roman"/>
              </w:rPr>
              <w:t>although this needs to be strengthened and made functional</w:t>
            </w:r>
            <w:r w:rsidRPr="003E2BD8">
              <w:rPr>
                <w:rFonts w:ascii="Times New Roman" w:eastAsia="Calibri" w:hAnsi="Times New Roman" w:cs="Times New Roman"/>
              </w:rPr>
              <w:t xml:space="preserve"> and operational</w:t>
            </w:r>
            <w:r w:rsidR="00847853" w:rsidRPr="003E2BD8">
              <w:rPr>
                <w:rFonts w:ascii="Times New Roman" w:eastAsia="Calibri" w:hAnsi="Times New Roman" w:cs="Times New Roman"/>
              </w:rPr>
              <w:t>.</w:t>
            </w:r>
          </w:p>
        </w:tc>
      </w:tr>
      <w:tr w:rsidR="00847853" w:rsidRPr="003E2BD8" w14:paraId="55A085FD" w14:textId="77777777" w:rsidTr="00D316D4">
        <w:tc>
          <w:tcPr>
            <w:tcW w:w="5000" w:type="pct"/>
            <w:shd w:val="clear" w:color="auto" w:fill="FFFFFF"/>
          </w:tcPr>
          <w:p w14:paraId="21DB7722" w14:textId="77777777" w:rsidR="00847853" w:rsidRPr="003E2BD8" w:rsidRDefault="00847853" w:rsidP="00CA0715">
            <w:pPr>
              <w:spacing w:after="0" w:line="240" w:lineRule="auto"/>
              <w:jc w:val="both"/>
              <w:rPr>
                <w:rFonts w:ascii="Times New Roman" w:eastAsia="Times New Roman" w:hAnsi="Times New Roman" w:cs="Times New Roman"/>
                <w:b/>
                <w:bCs/>
                <w:lang w:val="x-none" w:eastAsia="x-none"/>
              </w:rPr>
            </w:pPr>
            <w:r w:rsidRPr="003E2BD8">
              <w:rPr>
                <w:rFonts w:ascii="Times New Roman" w:eastAsia="Times New Roman" w:hAnsi="Times New Roman" w:cs="Times New Roman"/>
                <w:b/>
                <w:bCs/>
                <w:lang w:eastAsia="x-none"/>
              </w:rPr>
              <w:t>Gaps</w:t>
            </w:r>
          </w:p>
          <w:p w14:paraId="7B7625FF" w14:textId="77777777" w:rsidR="00575C15" w:rsidRPr="003E2BD8" w:rsidRDefault="00575C15" w:rsidP="00CA0715">
            <w:pPr>
              <w:numPr>
                <w:ilvl w:val="0"/>
                <w:numId w:val="19"/>
              </w:numPr>
              <w:spacing w:after="0" w:line="240" w:lineRule="auto"/>
              <w:jc w:val="both"/>
              <w:rPr>
                <w:rFonts w:ascii="Times New Roman" w:eastAsia="Times New Roman" w:hAnsi="Times New Roman" w:cs="Times New Roman"/>
                <w:bCs/>
                <w:lang w:val="x-none" w:eastAsia="x-none"/>
              </w:rPr>
            </w:pPr>
            <w:r w:rsidRPr="003E2BD8">
              <w:rPr>
                <w:rFonts w:ascii="Times New Roman" w:eastAsia="Times New Roman" w:hAnsi="Times New Roman" w:cs="Times New Roman"/>
                <w:bCs/>
                <w:lang w:val="x-none" w:eastAsia="x-none"/>
              </w:rPr>
              <w:t>The existing system excludes many subprojects under the Program because they are outside the t</w:t>
            </w:r>
            <w:r w:rsidRPr="003E2BD8">
              <w:rPr>
                <w:rFonts w:ascii="Times New Roman" w:eastAsia="Times New Roman" w:hAnsi="Times New Roman" w:cs="Times New Roman"/>
                <w:bCs/>
                <w:lang w:eastAsia="x-none"/>
              </w:rPr>
              <w:t>hreshold under Schedule 1 of LI 1652.</w:t>
            </w:r>
          </w:p>
          <w:p w14:paraId="7E9C8EE2" w14:textId="1F4C758E" w:rsidR="00847853" w:rsidRPr="003E2BD8" w:rsidRDefault="00575C15" w:rsidP="00CA0715">
            <w:pPr>
              <w:numPr>
                <w:ilvl w:val="0"/>
                <w:numId w:val="19"/>
              </w:numPr>
              <w:spacing w:after="0" w:line="240" w:lineRule="auto"/>
              <w:jc w:val="both"/>
              <w:rPr>
                <w:rFonts w:ascii="Times New Roman" w:eastAsia="Times New Roman" w:hAnsi="Times New Roman" w:cs="Times New Roman"/>
                <w:bCs/>
                <w:lang w:val="x-none" w:eastAsia="x-none"/>
              </w:rPr>
            </w:pPr>
            <w:r w:rsidRPr="003E2BD8">
              <w:rPr>
                <w:rFonts w:ascii="Times New Roman" w:eastAsia="Times New Roman" w:hAnsi="Times New Roman" w:cs="Times New Roman"/>
                <w:bCs/>
                <w:lang w:eastAsia="x-none"/>
              </w:rPr>
              <w:t>There is</w:t>
            </w:r>
            <w:r w:rsidR="00847853" w:rsidRPr="003E2BD8">
              <w:rPr>
                <w:rFonts w:ascii="Times New Roman" w:eastAsia="Times New Roman" w:hAnsi="Times New Roman" w:cs="Times New Roman"/>
                <w:bCs/>
                <w:lang w:val="x-none" w:eastAsia="x-none"/>
              </w:rPr>
              <w:t xml:space="preserve"> limited guidance on screening for potential environmental</w:t>
            </w:r>
            <w:r w:rsidR="00847853" w:rsidRPr="003E2BD8">
              <w:rPr>
                <w:rFonts w:ascii="Times New Roman" w:eastAsia="Times New Roman" w:hAnsi="Times New Roman" w:cs="Times New Roman"/>
                <w:bCs/>
                <w:lang w:eastAsia="x-none"/>
              </w:rPr>
              <w:t xml:space="preserve"> and social </w:t>
            </w:r>
            <w:r w:rsidR="00847853" w:rsidRPr="003E2BD8">
              <w:rPr>
                <w:rFonts w:ascii="Times New Roman" w:eastAsia="Times New Roman" w:hAnsi="Times New Roman" w:cs="Times New Roman"/>
                <w:bCs/>
                <w:lang w:val="x-none" w:eastAsia="x-none"/>
              </w:rPr>
              <w:t xml:space="preserve">impacts and risks </w:t>
            </w:r>
            <w:r w:rsidRPr="003E2BD8">
              <w:rPr>
                <w:rFonts w:ascii="Times New Roman" w:eastAsia="Times New Roman" w:hAnsi="Times New Roman" w:cs="Times New Roman"/>
                <w:bCs/>
                <w:lang w:eastAsia="x-none"/>
              </w:rPr>
              <w:t>for those subprojects outside threshold.</w:t>
            </w:r>
          </w:p>
          <w:p w14:paraId="57227FFE" w14:textId="77777777" w:rsidR="00847853" w:rsidRPr="003E2BD8" w:rsidRDefault="00847853" w:rsidP="00CA0715">
            <w:pPr>
              <w:numPr>
                <w:ilvl w:val="0"/>
                <w:numId w:val="19"/>
              </w:numPr>
              <w:spacing w:after="0" w:line="240" w:lineRule="auto"/>
              <w:jc w:val="both"/>
              <w:rPr>
                <w:rFonts w:ascii="Times New Roman" w:eastAsia="Times New Roman" w:hAnsi="Times New Roman" w:cs="Times New Roman"/>
                <w:bCs/>
                <w:lang w:val="x-none" w:eastAsia="x-none"/>
              </w:rPr>
            </w:pPr>
            <w:r w:rsidRPr="003E2BD8">
              <w:rPr>
                <w:rFonts w:ascii="Times New Roman" w:eastAsia="Times New Roman" w:hAnsi="Times New Roman" w:cs="Times New Roman"/>
                <w:bCs/>
                <w:lang w:val="x-none" w:eastAsia="x-none"/>
              </w:rPr>
              <w:t xml:space="preserve">Environmental screening checklists applied by </w:t>
            </w:r>
            <w:r w:rsidR="00575C15" w:rsidRPr="003E2BD8">
              <w:rPr>
                <w:rFonts w:ascii="Times New Roman" w:eastAsia="Times New Roman" w:hAnsi="Times New Roman" w:cs="Times New Roman"/>
                <w:bCs/>
                <w:lang w:eastAsia="x-none"/>
              </w:rPr>
              <w:t xml:space="preserve">LGCSP need to be upgraded to manage risks of  subprojects outside Schedule 2 threshold. </w:t>
            </w:r>
          </w:p>
          <w:p w14:paraId="619511E8" w14:textId="35831437" w:rsidR="00847853" w:rsidRPr="003E2BD8" w:rsidRDefault="00847853" w:rsidP="00CA0715">
            <w:pPr>
              <w:numPr>
                <w:ilvl w:val="0"/>
                <w:numId w:val="19"/>
              </w:numPr>
              <w:spacing w:after="0" w:line="240" w:lineRule="auto"/>
              <w:jc w:val="both"/>
              <w:rPr>
                <w:rFonts w:ascii="Times New Roman" w:eastAsia="Times New Roman" w:hAnsi="Times New Roman" w:cs="Times New Roman"/>
                <w:bCs/>
                <w:lang w:val="x-none" w:eastAsia="x-none"/>
              </w:rPr>
            </w:pPr>
            <w:r w:rsidRPr="003E2BD8">
              <w:rPr>
                <w:rFonts w:ascii="Times New Roman" w:eastAsia="Times New Roman" w:hAnsi="Times New Roman" w:cs="Times New Roman"/>
                <w:bCs/>
                <w:lang w:val="x-none" w:eastAsia="x-none"/>
              </w:rPr>
              <w:t>The quality of implementation of E</w:t>
            </w:r>
            <w:r w:rsidR="00575C15" w:rsidRPr="003E2BD8">
              <w:rPr>
                <w:rFonts w:ascii="Times New Roman" w:eastAsia="Times New Roman" w:hAnsi="Times New Roman" w:cs="Times New Roman"/>
                <w:bCs/>
                <w:lang w:eastAsia="x-none"/>
              </w:rPr>
              <w:t>S</w:t>
            </w:r>
            <w:r w:rsidRPr="003E2BD8">
              <w:rPr>
                <w:rFonts w:ascii="Times New Roman" w:eastAsia="Times New Roman" w:hAnsi="Times New Roman" w:cs="Times New Roman"/>
                <w:bCs/>
                <w:lang w:val="x-none" w:eastAsia="x-none"/>
              </w:rPr>
              <w:t xml:space="preserve">MP is </w:t>
            </w:r>
            <w:r w:rsidR="00575C15" w:rsidRPr="003E2BD8">
              <w:rPr>
                <w:rFonts w:ascii="Times New Roman" w:eastAsia="Times New Roman" w:hAnsi="Times New Roman" w:cs="Times New Roman"/>
                <w:bCs/>
                <w:lang w:eastAsia="x-none"/>
              </w:rPr>
              <w:t xml:space="preserve">inconsistent </w:t>
            </w:r>
            <w:r w:rsidRPr="003E2BD8">
              <w:rPr>
                <w:rFonts w:ascii="Times New Roman" w:eastAsia="Times New Roman" w:hAnsi="Times New Roman" w:cs="Times New Roman"/>
                <w:bCs/>
                <w:lang w:val="x-none" w:eastAsia="x-none"/>
              </w:rPr>
              <w:t xml:space="preserve">due to </w:t>
            </w:r>
            <w:r w:rsidR="00575C15" w:rsidRPr="003E2BD8">
              <w:rPr>
                <w:rFonts w:ascii="Times New Roman" w:eastAsia="Times New Roman" w:hAnsi="Times New Roman" w:cs="Times New Roman"/>
                <w:bCs/>
                <w:lang w:eastAsia="x-none"/>
              </w:rPr>
              <w:t xml:space="preserve">the weak </w:t>
            </w:r>
            <w:r w:rsidRPr="003E2BD8">
              <w:rPr>
                <w:rFonts w:ascii="Times New Roman" w:eastAsia="Times New Roman" w:hAnsi="Times New Roman" w:cs="Times New Roman"/>
                <w:bCs/>
                <w:lang w:val="x-none" w:eastAsia="x-none"/>
              </w:rPr>
              <w:t xml:space="preserve">capacity </w:t>
            </w:r>
            <w:r w:rsidR="00575C15" w:rsidRPr="003E2BD8">
              <w:rPr>
                <w:rFonts w:ascii="Times New Roman" w:eastAsia="Times New Roman" w:hAnsi="Times New Roman" w:cs="Times New Roman"/>
                <w:bCs/>
                <w:lang w:eastAsia="x-none"/>
              </w:rPr>
              <w:t>of MMAs</w:t>
            </w:r>
            <w:r w:rsidRPr="003E2BD8">
              <w:rPr>
                <w:rFonts w:ascii="Times New Roman" w:eastAsia="Times New Roman" w:hAnsi="Times New Roman" w:cs="Times New Roman"/>
                <w:bCs/>
                <w:lang w:val="x-none" w:eastAsia="x-none"/>
              </w:rPr>
              <w:t xml:space="preserve"> – this represents a moderate to significant risk as without appropriate implementation capacity it is highly unlikely that the </w:t>
            </w:r>
            <w:r w:rsidR="00575C15" w:rsidRPr="003E2BD8">
              <w:rPr>
                <w:rFonts w:ascii="Times New Roman" w:eastAsia="Times New Roman" w:hAnsi="Times New Roman" w:cs="Times New Roman"/>
                <w:bCs/>
                <w:lang w:eastAsia="x-none"/>
              </w:rPr>
              <w:t>MMAs</w:t>
            </w:r>
            <w:r w:rsidRPr="003E2BD8">
              <w:rPr>
                <w:rFonts w:ascii="Times New Roman" w:eastAsia="Times New Roman" w:hAnsi="Times New Roman" w:cs="Times New Roman"/>
                <w:bCs/>
                <w:lang w:val="x-none" w:eastAsia="x-none"/>
              </w:rPr>
              <w:t xml:space="preserve"> will properly manage environment mitigation measures. This risk will be addressed through training and capacity building support. </w:t>
            </w:r>
          </w:p>
          <w:p w14:paraId="2EDCDAEE" w14:textId="77066B33" w:rsidR="00847853" w:rsidRPr="003E2BD8" w:rsidRDefault="0091104A" w:rsidP="00CA0715">
            <w:pPr>
              <w:numPr>
                <w:ilvl w:val="0"/>
                <w:numId w:val="19"/>
              </w:numPr>
              <w:spacing w:after="0" w:line="240" w:lineRule="auto"/>
              <w:jc w:val="both"/>
              <w:rPr>
                <w:rFonts w:ascii="Times New Roman" w:eastAsia="Times New Roman" w:hAnsi="Times New Roman" w:cs="Times New Roman"/>
                <w:bCs/>
                <w:lang w:val="x-none" w:eastAsia="x-none"/>
              </w:rPr>
            </w:pPr>
            <w:r w:rsidRPr="003E2BD8">
              <w:rPr>
                <w:rFonts w:ascii="Times New Roman" w:eastAsia="Times New Roman" w:hAnsi="Times New Roman" w:cs="Times New Roman"/>
                <w:bCs/>
                <w:lang w:eastAsia="x-none"/>
              </w:rPr>
              <w:t>Inadequate social staffing at the Executing Agency level (PP</w:t>
            </w:r>
            <w:r w:rsidR="00975839">
              <w:rPr>
                <w:rFonts w:ascii="Times New Roman" w:eastAsia="Times New Roman" w:hAnsi="Times New Roman" w:cs="Times New Roman"/>
                <w:bCs/>
                <w:lang w:eastAsia="x-none"/>
              </w:rPr>
              <w:t>B</w:t>
            </w:r>
            <w:r w:rsidRPr="003E2BD8">
              <w:rPr>
                <w:rFonts w:ascii="Times New Roman" w:eastAsia="Times New Roman" w:hAnsi="Times New Roman" w:cs="Times New Roman"/>
                <w:bCs/>
                <w:lang w:eastAsia="x-none"/>
              </w:rPr>
              <w:t>ME</w:t>
            </w:r>
            <w:r w:rsidR="00975839">
              <w:rPr>
                <w:rFonts w:ascii="Times New Roman" w:eastAsia="Times New Roman" w:hAnsi="Times New Roman" w:cs="Times New Roman"/>
                <w:bCs/>
                <w:lang w:eastAsia="x-none"/>
              </w:rPr>
              <w:t>D</w:t>
            </w:r>
            <w:r w:rsidRPr="003E2BD8">
              <w:rPr>
                <w:rFonts w:ascii="Times New Roman" w:eastAsia="Times New Roman" w:hAnsi="Times New Roman" w:cs="Times New Roman"/>
                <w:bCs/>
                <w:lang w:eastAsia="x-none"/>
              </w:rPr>
              <w:t xml:space="preserve"> – MLGRD)</w:t>
            </w:r>
            <w:r w:rsidRPr="003E2BD8">
              <w:rPr>
                <w:rFonts w:ascii="Times New Roman" w:eastAsia="Times New Roman" w:hAnsi="Times New Roman" w:cs="Times New Roman"/>
                <w:bCs/>
                <w:lang w:val="x-none" w:eastAsia="x-none"/>
              </w:rPr>
              <w:t>.</w:t>
            </w:r>
          </w:p>
          <w:p w14:paraId="69C7BAA5" w14:textId="00AB54C8" w:rsidR="00847853" w:rsidRPr="003E2BD8" w:rsidRDefault="00847853" w:rsidP="00CA0715">
            <w:pPr>
              <w:numPr>
                <w:ilvl w:val="0"/>
                <w:numId w:val="19"/>
              </w:numPr>
              <w:spacing w:after="0" w:line="240" w:lineRule="auto"/>
              <w:jc w:val="both"/>
              <w:rPr>
                <w:rFonts w:ascii="Times New Roman" w:eastAsia="Times New Roman" w:hAnsi="Times New Roman" w:cs="Times New Roman"/>
                <w:bCs/>
                <w:lang w:val="x-none" w:eastAsia="x-none"/>
              </w:rPr>
            </w:pPr>
            <w:r w:rsidRPr="003E2BD8">
              <w:rPr>
                <w:rFonts w:ascii="Times New Roman" w:eastAsia="Times New Roman" w:hAnsi="Times New Roman" w:cs="Times New Roman"/>
                <w:bCs/>
                <w:lang w:val="x-none" w:eastAsia="x-none"/>
              </w:rPr>
              <w:t xml:space="preserve">Shortage of transport facilities </w:t>
            </w:r>
            <w:r w:rsidR="0091104A" w:rsidRPr="003E2BD8">
              <w:rPr>
                <w:rFonts w:ascii="Times New Roman" w:eastAsia="Times New Roman" w:hAnsi="Times New Roman" w:cs="Times New Roman"/>
                <w:bCs/>
                <w:lang w:eastAsia="x-none"/>
              </w:rPr>
              <w:t>at the Executing Agency level to conduct mo</w:t>
            </w:r>
            <w:r w:rsidRPr="003E2BD8">
              <w:rPr>
                <w:rFonts w:ascii="Times New Roman" w:eastAsia="Times New Roman" w:hAnsi="Times New Roman" w:cs="Times New Roman"/>
                <w:bCs/>
                <w:lang w:val="x-none" w:eastAsia="x-none"/>
              </w:rPr>
              <w:t xml:space="preserve">nitoring and inspection of subprojects implemented </w:t>
            </w:r>
            <w:r w:rsidR="0091104A" w:rsidRPr="003E2BD8">
              <w:rPr>
                <w:rFonts w:ascii="Times New Roman" w:eastAsia="Times New Roman" w:hAnsi="Times New Roman" w:cs="Times New Roman"/>
                <w:bCs/>
                <w:lang w:eastAsia="x-none"/>
              </w:rPr>
              <w:t>by MMAs</w:t>
            </w:r>
            <w:r w:rsidRPr="003E2BD8">
              <w:rPr>
                <w:rFonts w:ascii="Times New Roman" w:eastAsia="Times New Roman" w:hAnsi="Times New Roman" w:cs="Times New Roman"/>
                <w:bCs/>
                <w:lang w:val="x-none" w:eastAsia="x-none"/>
              </w:rPr>
              <w:t>.</w:t>
            </w:r>
          </w:p>
          <w:p w14:paraId="2E503225" w14:textId="77777777" w:rsidR="00847853" w:rsidRPr="003E2BD8" w:rsidRDefault="0091104A" w:rsidP="00CA0715">
            <w:pPr>
              <w:numPr>
                <w:ilvl w:val="0"/>
                <w:numId w:val="19"/>
              </w:numPr>
              <w:tabs>
                <w:tab w:val="left" w:pos="360"/>
              </w:tabs>
              <w:spacing w:after="0" w:line="240" w:lineRule="auto"/>
              <w:jc w:val="both"/>
              <w:rPr>
                <w:rFonts w:ascii="Times New Roman" w:eastAsia="Calibri" w:hAnsi="Times New Roman" w:cs="Times New Roman"/>
              </w:rPr>
            </w:pPr>
            <w:r w:rsidRPr="003E2BD8">
              <w:rPr>
                <w:rFonts w:ascii="Times New Roman" w:eastAsia="Calibri" w:hAnsi="Times New Roman" w:cs="Times New Roman"/>
              </w:rPr>
              <w:t>Low budget allocation by the P</w:t>
            </w:r>
            <w:r w:rsidR="00847853" w:rsidRPr="003E2BD8">
              <w:rPr>
                <w:rFonts w:ascii="Times New Roman" w:eastAsia="Calibri" w:hAnsi="Times New Roman" w:cs="Times New Roman"/>
              </w:rPr>
              <w:t xml:space="preserve">rogram implementing institutions for </w:t>
            </w:r>
            <w:r w:rsidRPr="003E2BD8">
              <w:rPr>
                <w:rFonts w:ascii="Times New Roman" w:eastAsia="Calibri" w:hAnsi="Times New Roman" w:cs="Times New Roman"/>
              </w:rPr>
              <w:t>e</w:t>
            </w:r>
            <w:r w:rsidR="00847853" w:rsidRPr="003E2BD8">
              <w:rPr>
                <w:rFonts w:ascii="Times New Roman" w:eastAsia="Calibri" w:hAnsi="Times New Roman" w:cs="Times New Roman"/>
              </w:rPr>
              <w:t xml:space="preserve">nvironmental </w:t>
            </w:r>
            <w:r w:rsidRPr="003E2BD8">
              <w:rPr>
                <w:rFonts w:ascii="Times New Roman" w:eastAsia="Calibri" w:hAnsi="Times New Roman" w:cs="Times New Roman"/>
              </w:rPr>
              <w:t xml:space="preserve">and social risk </w:t>
            </w:r>
            <w:r w:rsidR="00847853" w:rsidRPr="003E2BD8">
              <w:rPr>
                <w:rFonts w:ascii="Times New Roman" w:eastAsia="Calibri" w:hAnsi="Times New Roman" w:cs="Times New Roman"/>
              </w:rPr>
              <w:t>management</w:t>
            </w:r>
            <w:r w:rsidRPr="003E2BD8">
              <w:rPr>
                <w:rFonts w:ascii="Times New Roman" w:eastAsia="Calibri" w:hAnsi="Times New Roman" w:cs="Times New Roman"/>
              </w:rPr>
              <w:t>.</w:t>
            </w:r>
          </w:p>
        </w:tc>
      </w:tr>
      <w:tr w:rsidR="00847853" w:rsidRPr="003E2BD8" w14:paraId="3CBB63D9" w14:textId="77777777" w:rsidTr="00D316D4">
        <w:tc>
          <w:tcPr>
            <w:tcW w:w="5000" w:type="pct"/>
            <w:shd w:val="clear" w:color="auto" w:fill="FFFFFF"/>
          </w:tcPr>
          <w:p w14:paraId="0A411EDE" w14:textId="77777777" w:rsidR="00847853" w:rsidRPr="003E2BD8" w:rsidRDefault="00847853" w:rsidP="00CA0715">
            <w:pPr>
              <w:spacing w:after="0" w:line="240" w:lineRule="auto"/>
              <w:jc w:val="both"/>
              <w:rPr>
                <w:rFonts w:ascii="Times New Roman" w:eastAsia="Calibri" w:hAnsi="Times New Roman" w:cs="Times New Roman"/>
                <w:b/>
                <w:bCs/>
              </w:rPr>
            </w:pPr>
            <w:r w:rsidRPr="003E2BD8">
              <w:rPr>
                <w:rFonts w:ascii="Times New Roman" w:eastAsia="Calibri" w:hAnsi="Times New Roman" w:cs="Times New Roman"/>
                <w:b/>
                <w:bCs/>
              </w:rPr>
              <w:t>Opportunities/Actions</w:t>
            </w:r>
          </w:p>
          <w:p w14:paraId="7F49E9F6" w14:textId="47E0251E" w:rsidR="00847853" w:rsidRPr="003E2BD8" w:rsidRDefault="00847853" w:rsidP="00CA0715">
            <w:pPr>
              <w:numPr>
                <w:ilvl w:val="0"/>
                <w:numId w:val="29"/>
              </w:numPr>
              <w:autoSpaceDE w:val="0"/>
              <w:autoSpaceDN w:val="0"/>
              <w:adjustRightInd w:val="0"/>
              <w:spacing w:after="0" w:line="240" w:lineRule="auto"/>
              <w:jc w:val="both"/>
              <w:rPr>
                <w:rFonts w:ascii="Times New Roman" w:eastAsia="MS Mincho" w:hAnsi="Times New Roman" w:cs="Times New Roman"/>
                <w:color w:val="000000"/>
              </w:rPr>
            </w:pPr>
            <w:r w:rsidRPr="003E2BD8">
              <w:rPr>
                <w:rFonts w:ascii="Times New Roman" w:eastAsia="MS Mincho" w:hAnsi="Times New Roman" w:cs="Times New Roman"/>
                <w:color w:val="000000"/>
              </w:rPr>
              <w:t xml:space="preserve">The </w:t>
            </w:r>
            <w:r w:rsidR="0091104A" w:rsidRPr="003E2BD8">
              <w:rPr>
                <w:rFonts w:ascii="Times New Roman" w:eastAsia="MS Mincho" w:hAnsi="Times New Roman" w:cs="Times New Roman"/>
                <w:color w:val="000000"/>
              </w:rPr>
              <w:t>Executing Agency (MLGRD) and implementing agencies (MMAs)</w:t>
            </w:r>
            <w:r w:rsidRPr="003E2BD8">
              <w:rPr>
                <w:rFonts w:ascii="Times New Roman" w:eastAsia="MS Mincho" w:hAnsi="Times New Roman" w:cs="Times New Roman"/>
                <w:color w:val="000000"/>
              </w:rPr>
              <w:t xml:space="preserve"> ha</w:t>
            </w:r>
            <w:r w:rsidR="0091104A" w:rsidRPr="003E2BD8">
              <w:rPr>
                <w:rFonts w:ascii="Times New Roman" w:eastAsia="MS Mincho" w:hAnsi="Times New Roman" w:cs="Times New Roman"/>
                <w:color w:val="000000"/>
              </w:rPr>
              <w:t>ve</w:t>
            </w:r>
            <w:r w:rsidRPr="003E2BD8">
              <w:rPr>
                <w:rFonts w:ascii="Times New Roman" w:eastAsia="MS Mincho" w:hAnsi="Times New Roman" w:cs="Times New Roman"/>
                <w:color w:val="000000"/>
              </w:rPr>
              <w:t xml:space="preserve"> experience in implementing </w:t>
            </w:r>
            <w:r w:rsidR="0091104A" w:rsidRPr="003E2BD8">
              <w:rPr>
                <w:rFonts w:ascii="Times New Roman" w:eastAsia="MS Mincho" w:hAnsi="Times New Roman" w:cs="Times New Roman"/>
                <w:color w:val="000000"/>
              </w:rPr>
              <w:t>subprojects under LGCSP and are familiar with the processes, procedures and requirements.</w:t>
            </w:r>
          </w:p>
          <w:p w14:paraId="51A16EDD" w14:textId="77777777" w:rsidR="00847853" w:rsidRPr="003E2BD8" w:rsidRDefault="0091104A" w:rsidP="00CA0715">
            <w:pPr>
              <w:numPr>
                <w:ilvl w:val="0"/>
                <w:numId w:val="29"/>
              </w:numPr>
              <w:autoSpaceDE w:val="0"/>
              <w:autoSpaceDN w:val="0"/>
              <w:adjustRightInd w:val="0"/>
              <w:spacing w:after="0" w:line="240" w:lineRule="auto"/>
              <w:jc w:val="both"/>
              <w:rPr>
                <w:rFonts w:ascii="Times New Roman" w:eastAsia="MS Mincho" w:hAnsi="Times New Roman" w:cs="Times New Roman"/>
                <w:color w:val="000000"/>
              </w:rPr>
            </w:pPr>
            <w:r w:rsidRPr="003E2BD8">
              <w:rPr>
                <w:rFonts w:ascii="Times New Roman" w:eastAsia="MS Mincho" w:hAnsi="Times New Roman" w:cs="Times New Roman"/>
                <w:color w:val="000000"/>
              </w:rPr>
              <w:t xml:space="preserve">Presence of EA Sectoral Guidelines that cover sectors and thematic areas covered by the Program that can be updated to cover subprojects falling outside Schedule 1 of LI 1652. </w:t>
            </w:r>
          </w:p>
          <w:p w14:paraId="3926EEB9" w14:textId="77777777" w:rsidR="00847853" w:rsidRPr="003E2BD8" w:rsidRDefault="0091104A" w:rsidP="00CA0715">
            <w:pPr>
              <w:numPr>
                <w:ilvl w:val="0"/>
                <w:numId w:val="29"/>
              </w:numPr>
              <w:autoSpaceDE w:val="0"/>
              <w:autoSpaceDN w:val="0"/>
              <w:adjustRightInd w:val="0"/>
              <w:spacing w:after="0" w:line="240" w:lineRule="auto"/>
              <w:jc w:val="both"/>
              <w:rPr>
                <w:rFonts w:ascii="Times New Roman" w:eastAsia="MS Mincho" w:hAnsi="Times New Roman" w:cs="Times New Roman"/>
                <w:color w:val="000000"/>
              </w:rPr>
            </w:pPr>
            <w:r w:rsidRPr="003E2BD8">
              <w:rPr>
                <w:rFonts w:ascii="Times New Roman" w:eastAsia="MS Mincho" w:hAnsi="Times New Roman" w:cs="Times New Roman"/>
                <w:color w:val="000000"/>
              </w:rPr>
              <w:t>Updating of screening checklists used under LGCSP,</w:t>
            </w:r>
            <w:r w:rsidR="00847853" w:rsidRPr="003E2BD8">
              <w:rPr>
                <w:rFonts w:ascii="Times New Roman" w:eastAsia="MS Mincho" w:hAnsi="Times New Roman" w:cs="Times New Roman"/>
                <w:color w:val="000000"/>
              </w:rPr>
              <w:t xml:space="preserve"> manuals</w:t>
            </w:r>
            <w:r w:rsidRPr="003E2BD8">
              <w:rPr>
                <w:rFonts w:ascii="Times New Roman" w:eastAsia="MS Mincho" w:hAnsi="Times New Roman" w:cs="Times New Roman"/>
                <w:color w:val="000000"/>
              </w:rPr>
              <w:t>, and standard bid documents and contracts</w:t>
            </w:r>
            <w:r w:rsidR="00847853" w:rsidRPr="003E2BD8">
              <w:rPr>
                <w:rFonts w:ascii="Times New Roman" w:eastAsia="MS Mincho" w:hAnsi="Times New Roman" w:cs="Times New Roman"/>
                <w:color w:val="000000"/>
              </w:rPr>
              <w:t xml:space="preserve"> to ensure compliance with environment and social </w:t>
            </w:r>
            <w:r w:rsidRPr="003E2BD8">
              <w:rPr>
                <w:rFonts w:ascii="Times New Roman" w:eastAsia="MS Mincho" w:hAnsi="Times New Roman" w:cs="Times New Roman"/>
                <w:color w:val="000000"/>
              </w:rPr>
              <w:t>system</w:t>
            </w:r>
            <w:r w:rsidR="00847853" w:rsidRPr="003E2BD8">
              <w:rPr>
                <w:rFonts w:ascii="Times New Roman" w:eastAsia="MS Mincho" w:hAnsi="Times New Roman" w:cs="Times New Roman"/>
                <w:color w:val="000000"/>
              </w:rPr>
              <w:t xml:space="preserve"> within the Program.</w:t>
            </w:r>
          </w:p>
          <w:p w14:paraId="25A11244" w14:textId="7CFCCD08" w:rsidR="00847853" w:rsidRPr="003E2BD8" w:rsidRDefault="00847853" w:rsidP="00CA0715">
            <w:pPr>
              <w:numPr>
                <w:ilvl w:val="0"/>
                <w:numId w:val="29"/>
              </w:numPr>
              <w:spacing w:after="0" w:line="240" w:lineRule="auto"/>
              <w:jc w:val="both"/>
              <w:rPr>
                <w:rFonts w:ascii="Times New Roman" w:eastAsia="Calibri" w:hAnsi="Times New Roman" w:cs="Times New Roman"/>
                <w:b/>
                <w:bCs/>
              </w:rPr>
            </w:pPr>
            <w:r w:rsidRPr="003E2BD8">
              <w:rPr>
                <w:rFonts w:ascii="Times New Roman" w:eastAsia="MS Mincho" w:hAnsi="Times New Roman" w:cs="Times New Roman"/>
                <w:color w:val="000000"/>
              </w:rPr>
              <w:t xml:space="preserve">Strengthening of Country and </w:t>
            </w:r>
            <w:r w:rsidR="0091104A" w:rsidRPr="003E2BD8">
              <w:rPr>
                <w:rFonts w:ascii="Times New Roman" w:eastAsia="MS Mincho" w:hAnsi="Times New Roman" w:cs="Times New Roman"/>
                <w:color w:val="000000"/>
              </w:rPr>
              <w:t>MMA</w:t>
            </w:r>
            <w:r w:rsidRPr="003E2BD8">
              <w:rPr>
                <w:rFonts w:ascii="Times New Roman" w:eastAsia="MS Mincho" w:hAnsi="Times New Roman" w:cs="Times New Roman"/>
                <w:color w:val="000000"/>
              </w:rPr>
              <w:t xml:space="preserve"> systems to manage environmental and social risks.</w:t>
            </w:r>
          </w:p>
          <w:p w14:paraId="2F467320" w14:textId="77777777" w:rsidR="00847853" w:rsidRPr="003E2BD8" w:rsidRDefault="0091104A" w:rsidP="00CA0715">
            <w:pPr>
              <w:numPr>
                <w:ilvl w:val="0"/>
                <w:numId w:val="29"/>
              </w:numPr>
              <w:tabs>
                <w:tab w:val="left" w:pos="360"/>
              </w:tabs>
              <w:spacing w:after="0" w:line="240" w:lineRule="auto"/>
              <w:jc w:val="both"/>
              <w:rPr>
                <w:rFonts w:ascii="Times New Roman" w:eastAsia="Calibri" w:hAnsi="Times New Roman" w:cs="Times New Roman"/>
                <w:b/>
                <w:bCs/>
              </w:rPr>
            </w:pPr>
            <w:r w:rsidRPr="003E2BD8">
              <w:rPr>
                <w:rFonts w:ascii="Times New Roman" w:eastAsia="Times New Roman" w:hAnsi="Times New Roman" w:cs="Times New Roman"/>
                <w:bCs/>
                <w:lang w:eastAsia="x-none"/>
              </w:rPr>
              <w:t>Imp</w:t>
            </w:r>
            <w:r w:rsidR="00FB45BF" w:rsidRPr="003E2BD8">
              <w:rPr>
                <w:rFonts w:ascii="Times New Roman" w:eastAsia="Times New Roman" w:hAnsi="Times New Roman" w:cs="Times New Roman"/>
                <w:bCs/>
                <w:lang w:eastAsia="x-none"/>
              </w:rPr>
              <w:t xml:space="preserve">lement the E &amp; S actions as part of the </w:t>
            </w:r>
            <w:r w:rsidR="00847853" w:rsidRPr="003E2BD8">
              <w:rPr>
                <w:rFonts w:ascii="Times New Roman" w:eastAsia="Times New Roman" w:hAnsi="Times New Roman" w:cs="Times New Roman"/>
                <w:bCs/>
                <w:lang w:val="x-none" w:eastAsia="x-none"/>
              </w:rPr>
              <w:t>Program Action Plan</w:t>
            </w:r>
            <w:r w:rsidR="00FB45BF" w:rsidRPr="003E2BD8">
              <w:rPr>
                <w:rFonts w:ascii="Times New Roman" w:eastAsia="Times New Roman" w:hAnsi="Times New Roman" w:cs="Times New Roman"/>
                <w:bCs/>
                <w:lang w:eastAsia="x-none"/>
              </w:rPr>
              <w:t>.</w:t>
            </w:r>
          </w:p>
        </w:tc>
      </w:tr>
      <w:tr w:rsidR="00847853" w:rsidRPr="003E2BD8" w14:paraId="280CA088" w14:textId="77777777" w:rsidTr="00D316D4">
        <w:tc>
          <w:tcPr>
            <w:tcW w:w="5000" w:type="pct"/>
            <w:shd w:val="clear" w:color="auto" w:fill="FFFFFF"/>
          </w:tcPr>
          <w:p w14:paraId="7BF251C5" w14:textId="77777777" w:rsidR="00847853" w:rsidRPr="003E2BD8" w:rsidRDefault="00847853" w:rsidP="00CA0715">
            <w:pPr>
              <w:spacing w:after="0" w:line="240" w:lineRule="auto"/>
              <w:jc w:val="both"/>
              <w:rPr>
                <w:rFonts w:ascii="Times New Roman" w:eastAsia="Calibri" w:hAnsi="Times New Roman" w:cs="Times New Roman"/>
                <w:b/>
                <w:bCs/>
              </w:rPr>
            </w:pPr>
            <w:r w:rsidRPr="003E2BD8">
              <w:rPr>
                <w:rFonts w:ascii="Times New Roman" w:eastAsia="Calibri" w:hAnsi="Times New Roman" w:cs="Times New Roman"/>
                <w:b/>
                <w:bCs/>
              </w:rPr>
              <w:t>Risks to the Program:</w:t>
            </w:r>
          </w:p>
          <w:p w14:paraId="1A37FFE2" w14:textId="0952AF1C" w:rsidR="00847853" w:rsidRPr="003E2BD8" w:rsidRDefault="00FB45BF" w:rsidP="00CA0715">
            <w:pPr>
              <w:numPr>
                <w:ilvl w:val="0"/>
                <w:numId w:val="20"/>
              </w:numPr>
              <w:tabs>
                <w:tab w:val="left" w:pos="284"/>
              </w:tabs>
              <w:spacing w:after="0" w:line="240" w:lineRule="auto"/>
              <w:ind w:left="284" w:hanging="284"/>
              <w:jc w:val="both"/>
              <w:rPr>
                <w:rFonts w:ascii="Times New Roman" w:eastAsia="Calibri" w:hAnsi="Times New Roman" w:cs="Times New Roman"/>
              </w:rPr>
            </w:pPr>
            <w:r w:rsidRPr="003E2BD8">
              <w:rPr>
                <w:rFonts w:ascii="Times New Roman" w:eastAsia="Times New Roman" w:hAnsi="Times New Roman" w:cs="Times New Roman"/>
                <w:bCs/>
                <w:lang w:eastAsia="x-none"/>
              </w:rPr>
              <w:t>L</w:t>
            </w:r>
            <w:r w:rsidR="00847853" w:rsidRPr="003E2BD8">
              <w:rPr>
                <w:rFonts w:ascii="Times New Roman" w:eastAsia="Times New Roman" w:hAnsi="Times New Roman" w:cs="Times New Roman"/>
                <w:bCs/>
                <w:lang w:eastAsia="x-none"/>
              </w:rPr>
              <w:t>imited</w:t>
            </w:r>
            <w:r w:rsidR="00847853" w:rsidRPr="003E2BD8">
              <w:rPr>
                <w:rFonts w:ascii="Times New Roman" w:eastAsia="Times New Roman" w:hAnsi="Times New Roman" w:cs="Times New Roman"/>
                <w:bCs/>
                <w:lang w:val="x-none" w:eastAsia="x-none"/>
              </w:rPr>
              <w:t xml:space="preserve"> institutional capacity particularly in new </w:t>
            </w:r>
            <w:r w:rsidRPr="003E2BD8">
              <w:rPr>
                <w:rFonts w:ascii="Times New Roman" w:eastAsia="Times New Roman" w:hAnsi="Times New Roman" w:cs="Times New Roman"/>
                <w:bCs/>
                <w:lang w:eastAsia="x-none"/>
              </w:rPr>
              <w:t>MMAs</w:t>
            </w:r>
            <w:r w:rsidR="00847853" w:rsidRPr="003E2BD8">
              <w:rPr>
                <w:rFonts w:ascii="Times New Roman" w:eastAsia="Times New Roman" w:hAnsi="Times New Roman" w:cs="Times New Roman"/>
                <w:bCs/>
                <w:lang w:val="x-none" w:eastAsia="x-none"/>
              </w:rPr>
              <w:t xml:space="preserve"> and inability to </w:t>
            </w:r>
            <w:r w:rsidR="00F33634" w:rsidRPr="003E2BD8">
              <w:rPr>
                <w:rFonts w:ascii="Times New Roman" w:eastAsia="Times New Roman" w:hAnsi="Times New Roman" w:cs="Times New Roman"/>
                <w:bCs/>
                <w:lang w:eastAsia="x-none"/>
              </w:rPr>
              <w:t>manage en</w:t>
            </w:r>
            <w:r w:rsidR="00847853" w:rsidRPr="003E2BD8">
              <w:rPr>
                <w:rFonts w:ascii="Times New Roman" w:eastAsia="Times New Roman" w:hAnsi="Times New Roman" w:cs="Times New Roman"/>
                <w:bCs/>
                <w:lang w:val="x-none" w:eastAsia="x-none"/>
              </w:rPr>
              <w:t>vironmental</w:t>
            </w:r>
            <w:r w:rsidR="00847853" w:rsidRPr="003E2BD8">
              <w:rPr>
                <w:rFonts w:ascii="Times New Roman" w:eastAsia="Times New Roman" w:hAnsi="Times New Roman" w:cs="Times New Roman"/>
                <w:bCs/>
                <w:lang w:eastAsia="x-none"/>
              </w:rPr>
              <w:t xml:space="preserve"> and social</w:t>
            </w:r>
            <w:r w:rsidR="00847853" w:rsidRPr="003E2BD8">
              <w:rPr>
                <w:rFonts w:ascii="Times New Roman" w:eastAsia="Times New Roman" w:hAnsi="Times New Roman" w:cs="Times New Roman"/>
                <w:bCs/>
                <w:lang w:val="x-none" w:eastAsia="x-none"/>
              </w:rPr>
              <w:t xml:space="preserve"> </w:t>
            </w:r>
            <w:r w:rsidR="00F33634" w:rsidRPr="003E2BD8">
              <w:rPr>
                <w:rFonts w:ascii="Times New Roman" w:eastAsia="Times New Roman" w:hAnsi="Times New Roman" w:cs="Times New Roman"/>
                <w:bCs/>
                <w:lang w:eastAsia="x-none"/>
              </w:rPr>
              <w:t>risks</w:t>
            </w:r>
            <w:r w:rsidRPr="003E2BD8">
              <w:rPr>
                <w:rFonts w:ascii="Times New Roman" w:eastAsia="Times New Roman" w:hAnsi="Times New Roman" w:cs="Times New Roman"/>
                <w:bCs/>
                <w:lang w:eastAsia="x-none"/>
              </w:rPr>
              <w:t>.</w:t>
            </w:r>
          </w:p>
          <w:p w14:paraId="71604AC1" w14:textId="77777777" w:rsidR="00FB45BF" w:rsidRPr="003E2BD8" w:rsidRDefault="00FB45BF" w:rsidP="00CA0715">
            <w:pPr>
              <w:numPr>
                <w:ilvl w:val="0"/>
                <w:numId w:val="31"/>
              </w:numPr>
              <w:tabs>
                <w:tab w:val="left" w:pos="284"/>
                <w:tab w:val="left" w:pos="567"/>
              </w:tabs>
              <w:spacing w:after="0" w:line="240" w:lineRule="auto"/>
              <w:ind w:left="284" w:right="-37" w:hanging="284"/>
              <w:contextualSpacing/>
              <w:jc w:val="both"/>
              <w:rPr>
                <w:rFonts w:ascii="Times New Roman" w:eastAsia="Times New Roman" w:hAnsi="Times New Roman" w:cs="Times New Roman"/>
                <w:spacing w:val="3"/>
                <w:lang w:val="x-none" w:eastAsia="x-none"/>
              </w:rPr>
            </w:pPr>
            <w:r w:rsidRPr="003E2BD8">
              <w:rPr>
                <w:rFonts w:ascii="Times New Roman" w:eastAsia="Times New Roman" w:hAnsi="Times New Roman" w:cs="Times New Roman"/>
                <w:lang w:eastAsia="x-none"/>
              </w:rPr>
              <w:t xml:space="preserve">No budget allocated </w:t>
            </w:r>
            <w:r w:rsidR="00F33634" w:rsidRPr="003E2BD8">
              <w:rPr>
                <w:rFonts w:ascii="Times New Roman" w:eastAsia="Times New Roman" w:hAnsi="Times New Roman" w:cs="Times New Roman"/>
                <w:lang w:eastAsia="x-none"/>
              </w:rPr>
              <w:t xml:space="preserve">and lack of commitment </w:t>
            </w:r>
            <w:r w:rsidRPr="003E2BD8">
              <w:rPr>
                <w:rFonts w:ascii="Times New Roman" w:eastAsia="Times New Roman" w:hAnsi="Times New Roman" w:cs="Times New Roman"/>
                <w:lang w:eastAsia="x-none"/>
              </w:rPr>
              <w:t xml:space="preserve">to implement E &amp; S actions as part of the Program Action Plan. </w:t>
            </w:r>
          </w:p>
          <w:p w14:paraId="1620BD29" w14:textId="77777777" w:rsidR="00847853" w:rsidRPr="003E2BD8" w:rsidRDefault="00847853" w:rsidP="00CA0715">
            <w:pPr>
              <w:numPr>
                <w:ilvl w:val="0"/>
                <w:numId w:val="31"/>
              </w:numPr>
              <w:tabs>
                <w:tab w:val="left" w:pos="284"/>
                <w:tab w:val="left" w:pos="567"/>
              </w:tabs>
              <w:spacing w:after="0" w:line="240" w:lineRule="auto"/>
              <w:ind w:left="284" w:right="-37" w:hanging="284"/>
              <w:contextualSpacing/>
              <w:jc w:val="both"/>
              <w:rPr>
                <w:rFonts w:ascii="Times New Roman" w:eastAsia="Times New Roman" w:hAnsi="Times New Roman" w:cs="Times New Roman"/>
                <w:b/>
                <w:lang w:val="x-none" w:eastAsia="x-none"/>
              </w:rPr>
            </w:pPr>
            <w:r w:rsidRPr="003E2BD8">
              <w:rPr>
                <w:rFonts w:ascii="Times New Roman" w:eastAsia="Times New Roman" w:hAnsi="Times New Roman" w:cs="Times New Roman"/>
                <w:lang w:val="x-none" w:eastAsia="x-none"/>
              </w:rPr>
              <w:t>S</w:t>
            </w:r>
            <w:r w:rsidRPr="003E2BD8">
              <w:rPr>
                <w:rFonts w:ascii="Times New Roman" w:eastAsia="Times New Roman" w:hAnsi="Times New Roman" w:cs="Times New Roman"/>
                <w:spacing w:val="-2"/>
                <w:lang w:val="x-none" w:eastAsia="x-none"/>
              </w:rPr>
              <w:t>t</w:t>
            </w:r>
            <w:r w:rsidRPr="003E2BD8">
              <w:rPr>
                <w:rFonts w:ascii="Times New Roman" w:eastAsia="Times New Roman" w:hAnsi="Times New Roman" w:cs="Times New Roman"/>
                <w:lang w:val="x-none" w:eastAsia="x-none"/>
              </w:rPr>
              <w:t>a</w:t>
            </w:r>
            <w:r w:rsidRPr="003E2BD8">
              <w:rPr>
                <w:rFonts w:ascii="Times New Roman" w:eastAsia="Times New Roman" w:hAnsi="Times New Roman" w:cs="Times New Roman"/>
                <w:spacing w:val="-2"/>
                <w:lang w:val="x-none" w:eastAsia="x-none"/>
              </w:rPr>
              <w:t>k</w:t>
            </w:r>
            <w:r w:rsidRPr="003E2BD8">
              <w:rPr>
                <w:rFonts w:ascii="Times New Roman" w:eastAsia="Times New Roman" w:hAnsi="Times New Roman" w:cs="Times New Roman"/>
                <w:lang w:val="x-none" w:eastAsia="x-none"/>
              </w:rPr>
              <w:t>eho</w:t>
            </w:r>
            <w:r w:rsidRPr="003E2BD8">
              <w:rPr>
                <w:rFonts w:ascii="Times New Roman" w:eastAsia="Times New Roman" w:hAnsi="Times New Roman" w:cs="Times New Roman"/>
                <w:spacing w:val="1"/>
                <w:lang w:val="x-none" w:eastAsia="x-none"/>
              </w:rPr>
              <w:t>l</w:t>
            </w:r>
            <w:r w:rsidRPr="003E2BD8">
              <w:rPr>
                <w:rFonts w:ascii="Times New Roman" w:eastAsia="Times New Roman" w:hAnsi="Times New Roman" w:cs="Times New Roman"/>
                <w:lang w:val="x-none" w:eastAsia="x-none"/>
              </w:rPr>
              <w:t>d</w:t>
            </w:r>
            <w:r w:rsidRPr="003E2BD8">
              <w:rPr>
                <w:rFonts w:ascii="Times New Roman" w:eastAsia="Times New Roman" w:hAnsi="Times New Roman" w:cs="Times New Roman"/>
                <w:spacing w:val="-2"/>
                <w:lang w:val="x-none" w:eastAsia="x-none"/>
              </w:rPr>
              <w:t>e</w:t>
            </w:r>
            <w:r w:rsidRPr="003E2BD8">
              <w:rPr>
                <w:rFonts w:ascii="Times New Roman" w:eastAsia="Times New Roman" w:hAnsi="Times New Roman" w:cs="Times New Roman"/>
                <w:lang w:val="x-none" w:eastAsia="x-none"/>
              </w:rPr>
              <w:t>r</w:t>
            </w:r>
            <w:r w:rsidRPr="003E2BD8">
              <w:rPr>
                <w:rFonts w:ascii="Times New Roman" w:eastAsia="Times New Roman" w:hAnsi="Times New Roman" w:cs="Times New Roman"/>
                <w:spacing w:val="3"/>
                <w:lang w:val="x-none" w:eastAsia="x-none"/>
              </w:rPr>
              <w:t xml:space="preserve"> </w:t>
            </w:r>
            <w:r w:rsidRPr="003E2BD8">
              <w:rPr>
                <w:rFonts w:ascii="Times New Roman" w:eastAsia="Times New Roman" w:hAnsi="Times New Roman" w:cs="Times New Roman"/>
                <w:lang w:val="x-none" w:eastAsia="x-none"/>
              </w:rPr>
              <w:t>c</w:t>
            </w:r>
            <w:r w:rsidRPr="003E2BD8">
              <w:rPr>
                <w:rFonts w:ascii="Times New Roman" w:eastAsia="Times New Roman" w:hAnsi="Times New Roman" w:cs="Times New Roman"/>
                <w:spacing w:val="-2"/>
                <w:lang w:val="x-none" w:eastAsia="x-none"/>
              </w:rPr>
              <w:t>o</w:t>
            </w:r>
            <w:r w:rsidRPr="003E2BD8">
              <w:rPr>
                <w:rFonts w:ascii="Times New Roman" w:eastAsia="Times New Roman" w:hAnsi="Times New Roman" w:cs="Times New Roman"/>
                <w:lang w:val="x-none" w:eastAsia="x-none"/>
              </w:rPr>
              <w:t>nc</w:t>
            </w:r>
            <w:r w:rsidRPr="003E2BD8">
              <w:rPr>
                <w:rFonts w:ascii="Times New Roman" w:eastAsia="Times New Roman" w:hAnsi="Times New Roman" w:cs="Times New Roman"/>
                <w:spacing w:val="-2"/>
                <w:lang w:val="x-none" w:eastAsia="x-none"/>
              </w:rPr>
              <w:t>e</w:t>
            </w:r>
            <w:r w:rsidRPr="003E2BD8">
              <w:rPr>
                <w:rFonts w:ascii="Times New Roman" w:eastAsia="Times New Roman" w:hAnsi="Times New Roman" w:cs="Times New Roman"/>
                <w:spacing w:val="1"/>
                <w:lang w:val="x-none" w:eastAsia="x-none"/>
              </w:rPr>
              <w:t>r</w:t>
            </w:r>
            <w:r w:rsidRPr="003E2BD8">
              <w:rPr>
                <w:rFonts w:ascii="Times New Roman" w:eastAsia="Times New Roman" w:hAnsi="Times New Roman" w:cs="Times New Roman"/>
                <w:lang w:val="x-none" w:eastAsia="x-none"/>
              </w:rPr>
              <w:t xml:space="preserve">ns </w:t>
            </w:r>
            <w:r w:rsidRPr="003E2BD8">
              <w:rPr>
                <w:rFonts w:ascii="Times New Roman" w:eastAsia="Times New Roman" w:hAnsi="Times New Roman" w:cs="Times New Roman"/>
                <w:spacing w:val="-1"/>
                <w:lang w:val="x-none" w:eastAsia="x-none"/>
              </w:rPr>
              <w:t>w</w:t>
            </w:r>
            <w:r w:rsidRPr="003E2BD8">
              <w:rPr>
                <w:rFonts w:ascii="Times New Roman" w:eastAsia="Times New Roman" w:hAnsi="Times New Roman" w:cs="Times New Roman"/>
                <w:spacing w:val="1"/>
                <w:lang w:val="x-none" w:eastAsia="x-none"/>
              </w:rPr>
              <w:t>i</w:t>
            </w:r>
            <w:r w:rsidRPr="003E2BD8">
              <w:rPr>
                <w:rFonts w:ascii="Times New Roman" w:eastAsia="Times New Roman" w:hAnsi="Times New Roman" w:cs="Times New Roman"/>
                <w:spacing w:val="-1"/>
                <w:lang w:val="x-none" w:eastAsia="x-none"/>
              </w:rPr>
              <w:t>l</w:t>
            </w:r>
            <w:r w:rsidRPr="003E2BD8">
              <w:rPr>
                <w:rFonts w:ascii="Times New Roman" w:eastAsia="Times New Roman" w:hAnsi="Times New Roman" w:cs="Times New Roman"/>
                <w:lang w:val="x-none" w:eastAsia="x-none"/>
              </w:rPr>
              <w:t>l</w:t>
            </w:r>
            <w:r w:rsidRPr="003E2BD8">
              <w:rPr>
                <w:rFonts w:ascii="Times New Roman" w:eastAsia="Times New Roman" w:hAnsi="Times New Roman" w:cs="Times New Roman"/>
                <w:spacing w:val="3"/>
                <w:lang w:val="x-none" w:eastAsia="x-none"/>
              </w:rPr>
              <w:t xml:space="preserve"> </w:t>
            </w:r>
            <w:r w:rsidRPr="003E2BD8">
              <w:rPr>
                <w:rFonts w:ascii="Times New Roman" w:eastAsia="Times New Roman" w:hAnsi="Times New Roman" w:cs="Times New Roman"/>
                <w:spacing w:val="-2"/>
                <w:lang w:val="x-none" w:eastAsia="x-none"/>
              </w:rPr>
              <w:t>n</w:t>
            </w:r>
            <w:r w:rsidRPr="003E2BD8">
              <w:rPr>
                <w:rFonts w:ascii="Times New Roman" w:eastAsia="Times New Roman" w:hAnsi="Times New Roman" w:cs="Times New Roman"/>
                <w:lang w:val="x-none" w:eastAsia="x-none"/>
              </w:rPr>
              <w:t>ot</w:t>
            </w:r>
            <w:r w:rsidRPr="003E2BD8">
              <w:rPr>
                <w:rFonts w:ascii="Times New Roman" w:eastAsia="Times New Roman" w:hAnsi="Times New Roman" w:cs="Times New Roman"/>
                <w:spacing w:val="1"/>
                <w:lang w:val="x-none" w:eastAsia="x-none"/>
              </w:rPr>
              <w:t xml:space="preserve"> </w:t>
            </w:r>
            <w:r w:rsidRPr="003E2BD8">
              <w:rPr>
                <w:rFonts w:ascii="Times New Roman" w:eastAsia="Times New Roman" w:hAnsi="Times New Roman" w:cs="Times New Roman"/>
                <w:spacing w:val="-2"/>
                <w:lang w:val="x-none" w:eastAsia="x-none"/>
              </w:rPr>
              <w:t>b</w:t>
            </w:r>
            <w:r w:rsidRPr="003E2BD8">
              <w:rPr>
                <w:rFonts w:ascii="Times New Roman" w:eastAsia="Times New Roman" w:hAnsi="Times New Roman" w:cs="Times New Roman"/>
                <w:lang w:val="x-none" w:eastAsia="x-none"/>
              </w:rPr>
              <w:t>e con</w:t>
            </w:r>
            <w:r w:rsidRPr="003E2BD8">
              <w:rPr>
                <w:rFonts w:ascii="Times New Roman" w:eastAsia="Times New Roman" w:hAnsi="Times New Roman" w:cs="Times New Roman"/>
                <w:spacing w:val="1"/>
                <w:lang w:val="x-none" w:eastAsia="x-none"/>
              </w:rPr>
              <w:t>s</w:t>
            </w:r>
            <w:r w:rsidRPr="003E2BD8">
              <w:rPr>
                <w:rFonts w:ascii="Times New Roman" w:eastAsia="Times New Roman" w:hAnsi="Times New Roman" w:cs="Times New Roman"/>
                <w:spacing w:val="-1"/>
                <w:lang w:val="x-none" w:eastAsia="x-none"/>
              </w:rPr>
              <w:t>i</w:t>
            </w:r>
            <w:r w:rsidRPr="003E2BD8">
              <w:rPr>
                <w:rFonts w:ascii="Times New Roman" w:eastAsia="Times New Roman" w:hAnsi="Times New Roman" w:cs="Times New Roman"/>
                <w:lang w:val="x-none" w:eastAsia="x-none"/>
              </w:rPr>
              <w:t>s</w:t>
            </w:r>
            <w:r w:rsidRPr="003E2BD8">
              <w:rPr>
                <w:rFonts w:ascii="Times New Roman" w:eastAsia="Times New Roman" w:hAnsi="Times New Roman" w:cs="Times New Roman"/>
                <w:spacing w:val="-1"/>
                <w:lang w:val="x-none" w:eastAsia="x-none"/>
              </w:rPr>
              <w:t>t</w:t>
            </w:r>
            <w:r w:rsidRPr="003E2BD8">
              <w:rPr>
                <w:rFonts w:ascii="Times New Roman" w:eastAsia="Times New Roman" w:hAnsi="Times New Roman" w:cs="Times New Roman"/>
                <w:lang w:val="x-none" w:eastAsia="x-none"/>
              </w:rPr>
              <w:t>en</w:t>
            </w:r>
            <w:r w:rsidRPr="003E2BD8">
              <w:rPr>
                <w:rFonts w:ascii="Times New Roman" w:eastAsia="Times New Roman" w:hAnsi="Times New Roman" w:cs="Times New Roman"/>
                <w:spacing w:val="-1"/>
                <w:lang w:val="x-none" w:eastAsia="x-none"/>
              </w:rPr>
              <w:t>t</w:t>
            </w:r>
            <w:r w:rsidRPr="003E2BD8">
              <w:rPr>
                <w:rFonts w:ascii="Times New Roman" w:eastAsia="Times New Roman" w:hAnsi="Times New Roman" w:cs="Times New Roman"/>
                <w:spacing w:val="1"/>
                <w:lang w:val="x-none" w:eastAsia="x-none"/>
              </w:rPr>
              <w:t>l</w:t>
            </w:r>
            <w:r w:rsidRPr="003E2BD8">
              <w:rPr>
                <w:rFonts w:ascii="Times New Roman" w:eastAsia="Times New Roman" w:hAnsi="Times New Roman" w:cs="Times New Roman"/>
                <w:lang w:val="x-none" w:eastAsia="x-none"/>
              </w:rPr>
              <w:t xml:space="preserve">y </w:t>
            </w:r>
            <w:r w:rsidRPr="003E2BD8">
              <w:rPr>
                <w:rFonts w:ascii="Times New Roman" w:eastAsia="Times New Roman" w:hAnsi="Times New Roman" w:cs="Times New Roman"/>
                <w:spacing w:val="1"/>
                <w:lang w:val="x-none" w:eastAsia="x-none"/>
              </w:rPr>
              <w:t>t</w:t>
            </w:r>
            <w:r w:rsidRPr="003E2BD8">
              <w:rPr>
                <w:rFonts w:ascii="Times New Roman" w:eastAsia="Times New Roman" w:hAnsi="Times New Roman" w:cs="Times New Roman"/>
                <w:lang w:val="x-none" w:eastAsia="x-none"/>
              </w:rPr>
              <w:t>a</w:t>
            </w:r>
            <w:r w:rsidRPr="003E2BD8">
              <w:rPr>
                <w:rFonts w:ascii="Times New Roman" w:eastAsia="Times New Roman" w:hAnsi="Times New Roman" w:cs="Times New Roman"/>
                <w:spacing w:val="-2"/>
                <w:lang w:val="x-none" w:eastAsia="x-none"/>
              </w:rPr>
              <w:t>k</w:t>
            </w:r>
            <w:r w:rsidRPr="003E2BD8">
              <w:rPr>
                <w:rFonts w:ascii="Times New Roman" w:eastAsia="Times New Roman" w:hAnsi="Times New Roman" w:cs="Times New Roman"/>
                <w:lang w:val="x-none" w:eastAsia="x-none"/>
              </w:rPr>
              <w:t>en</w:t>
            </w:r>
            <w:r w:rsidRPr="003E2BD8">
              <w:rPr>
                <w:rFonts w:ascii="Times New Roman" w:eastAsia="Times New Roman" w:hAnsi="Times New Roman" w:cs="Times New Roman"/>
                <w:spacing w:val="1"/>
                <w:lang w:val="x-none" w:eastAsia="x-none"/>
              </w:rPr>
              <w:t xml:space="preserve"> i</w:t>
            </w:r>
            <w:r w:rsidRPr="003E2BD8">
              <w:rPr>
                <w:rFonts w:ascii="Times New Roman" w:eastAsia="Times New Roman" w:hAnsi="Times New Roman" w:cs="Times New Roman"/>
                <w:lang w:val="x-none" w:eastAsia="x-none"/>
              </w:rPr>
              <w:t>n</w:t>
            </w:r>
            <w:r w:rsidRPr="003E2BD8">
              <w:rPr>
                <w:rFonts w:ascii="Times New Roman" w:eastAsia="Times New Roman" w:hAnsi="Times New Roman" w:cs="Times New Roman"/>
                <w:spacing w:val="1"/>
                <w:lang w:val="x-none" w:eastAsia="x-none"/>
              </w:rPr>
              <w:t>t</w:t>
            </w:r>
            <w:r w:rsidRPr="003E2BD8">
              <w:rPr>
                <w:rFonts w:ascii="Times New Roman" w:eastAsia="Times New Roman" w:hAnsi="Times New Roman" w:cs="Times New Roman"/>
                <w:lang w:val="x-none" w:eastAsia="x-none"/>
              </w:rPr>
              <w:t>o a</w:t>
            </w:r>
            <w:r w:rsidRPr="003E2BD8">
              <w:rPr>
                <w:rFonts w:ascii="Times New Roman" w:eastAsia="Times New Roman" w:hAnsi="Times New Roman" w:cs="Times New Roman"/>
                <w:spacing w:val="-2"/>
                <w:lang w:val="x-none" w:eastAsia="x-none"/>
              </w:rPr>
              <w:t>c</w:t>
            </w:r>
            <w:r w:rsidRPr="003E2BD8">
              <w:rPr>
                <w:rFonts w:ascii="Times New Roman" w:eastAsia="Times New Roman" w:hAnsi="Times New Roman" w:cs="Times New Roman"/>
                <w:lang w:val="x-none" w:eastAsia="x-none"/>
              </w:rPr>
              <w:t>count</w:t>
            </w:r>
            <w:r w:rsidRPr="003E2BD8">
              <w:rPr>
                <w:rFonts w:ascii="Times New Roman" w:eastAsia="Times New Roman" w:hAnsi="Times New Roman" w:cs="Times New Roman"/>
                <w:spacing w:val="2"/>
                <w:lang w:val="x-none" w:eastAsia="x-none"/>
              </w:rPr>
              <w:t xml:space="preserve"> </w:t>
            </w:r>
            <w:r w:rsidRPr="003E2BD8">
              <w:rPr>
                <w:rFonts w:ascii="Times New Roman" w:eastAsia="Times New Roman" w:hAnsi="Times New Roman" w:cs="Times New Roman"/>
                <w:spacing w:val="1"/>
                <w:lang w:val="x-none" w:eastAsia="x-none"/>
              </w:rPr>
              <w:t>i</w:t>
            </w:r>
            <w:r w:rsidRPr="003E2BD8">
              <w:rPr>
                <w:rFonts w:ascii="Times New Roman" w:eastAsia="Times New Roman" w:hAnsi="Times New Roman" w:cs="Times New Roman"/>
                <w:lang w:val="x-none" w:eastAsia="x-none"/>
              </w:rPr>
              <w:t>n en</w:t>
            </w:r>
            <w:r w:rsidRPr="003E2BD8">
              <w:rPr>
                <w:rFonts w:ascii="Times New Roman" w:eastAsia="Times New Roman" w:hAnsi="Times New Roman" w:cs="Times New Roman"/>
                <w:spacing w:val="-2"/>
                <w:lang w:val="x-none" w:eastAsia="x-none"/>
              </w:rPr>
              <w:t>v</w:t>
            </w:r>
            <w:r w:rsidRPr="003E2BD8">
              <w:rPr>
                <w:rFonts w:ascii="Times New Roman" w:eastAsia="Times New Roman" w:hAnsi="Times New Roman" w:cs="Times New Roman"/>
                <w:spacing w:val="1"/>
                <w:lang w:val="x-none" w:eastAsia="x-none"/>
              </w:rPr>
              <w:t>ir</w:t>
            </w:r>
            <w:r w:rsidRPr="003E2BD8">
              <w:rPr>
                <w:rFonts w:ascii="Times New Roman" w:eastAsia="Times New Roman" w:hAnsi="Times New Roman" w:cs="Times New Roman"/>
                <w:spacing w:val="-2"/>
                <w:lang w:val="x-none" w:eastAsia="x-none"/>
              </w:rPr>
              <w:t>o</w:t>
            </w:r>
            <w:r w:rsidRPr="003E2BD8">
              <w:rPr>
                <w:rFonts w:ascii="Times New Roman" w:eastAsia="Times New Roman" w:hAnsi="Times New Roman" w:cs="Times New Roman"/>
                <w:lang w:val="x-none" w:eastAsia="x-none"/>
              </w:rPr>
              <w:t>n</w:t>
            </w:r>
            <w:r w:rsidRPr="003E2BD8">
              <w:rPr>
                <w:rFonts w:ascii="Times New Roman" w:eastAsia="Times New Roman" w:hAnsi="Times New Roman" w:cs="Times New Roman"/>
                <w:spacing w:val="-4"/>
                <w:lang w:val="x-none" w:eastAsia="x-none"/>
              </w:rPr>
              <w:t>m</w:t>
            </w:r>
            <w:r w:rsidRPr="003E2BD8">
              <w:rPr>
                <w:rFonts w:ascii="Times New Roman" w:eastAsia="Times New Roman" w:hAnsi="Times New Roman" w:cs="Times New Roman"/>
                <w:lang w:val="x-none" w:eastAsia="x-none"/>
              </w:rPr>
              <w:t>en</w:t>
            </w:r>
            <w:r w:rsidRPr="003E2BD8">
              <w:rPr>
                <w:rFonts w:ascii="Times New Roman" w:eastAsia="Times New Roman" w:hAnsi="Times New Roman" w:cs="Times New Roman"/>
                <w:spacing w:val="1"/>
                <w:lang w:val="x-none" w:eastAsia="x-none"/>
              </w:rPr>
              <w:t>t</w:t>
            </w:r>
            <w:r w:rsidRPr="003E2BD8">
              <w:rPr>
                <w:rFonts w:ascii="Times New Roman" w:eastAsia="Times New Roman" w:hAnsi="Times New Roman" w:cs="Times New Roman"/>
                <w:spacing w:val="-2"/>
                <w:lang w:val="x-none" w:eastAsia="x-none"/>
              </w:rPr>
              <w:t>a</w:t>
            </w:r>
            <w:r w:rsidRPr="003E2BD8">
              <w:rPr>
                <w:rFonts w:ascii="Times New Roman" w:eastAsia="Times New Roman" w:hAnsi="Times New Roman" w:cs="Times New Roman"/>
                <w:lang w:val="x-none" w:eastAsia="x-none"/>
              </w:rPr>
              <w:t xml:space="preserve">l, </w:t>
            </w:r>
            <w:r w:rsidRPr="003E2BD8">
              <w:rPr>
                <w:rFonts w:ascii="Times New Roman" w:eastAsia="Times New Roman" w:hAnsi="Times New Roman" w:cs="Times New Roman"/>
                <w:spacing w:val="1"/>
                <w:lang w:val="x-none" w:eastAsia="x-none"/>
              </w:rPr>
              <w:t>s</w:t>
            </w:r>
            <w:r w:rsidRPr="003E2BD8">
              <w:rPr>
                <w:rFonts w:ascii="Times New Roman" w:eastAsia="Times New Roman" w:hAnsi="Times New Roman" w:cs="Times New Roman"/>
                <w:spacing w:val="-2"/>
                <w:lang w:val="x-none" w:eastAsia="x-none"/>
              </w:rPr>
              <w:t>o</w:t>
            </w:r>
            <w:r w:rsidRPr="003E2BD8">
              <w:rPr>
                <w:rFonts w:ascii="Times New Roman" w:eastAsia="Times New Roman" w:hAnsi="Times New Roman" w:cs="Times New Roman"/>
                <w:lang w:val="x-none" w:eastAsia="x-none"/>
              </w:rPr>
              <w:t>c</w:t>
            </w:r>
            <w:r w:rsidRPr="003E2BD8">
              <w:rPr>
                <w:rFonts w:ascii="Times New Roman" w:eastAsia="Times New Roman" w:hAnsi="Times New Roman" w:cs="Times New Roman"/>
                <w:spacing w:val="1"/>
                <w:lang w:val="x-none" w:eastAsia="x-none"/>
              </w:rPr>
              <w:t>i</w:t>
            </w:r>
            <w:r w:rsidRPr="003E2BD8">
              <w:rPr>
                <w:rFonts w:ascii="Times New Roman" w:eastAsia="Times New Roman" w:hAnsi="Times New Roman" w:cs="Times New Roman"/>
                <w:spacing w:val="-2"/>
                <w:lang w:val="x-none" w:eastAsia="x-none"/>
              </w:rPr>
              <w:t>a</w:t>
            </w:r>
            <w:r w:rsidRPr="003E2BD8">
              <w:rPr>
                <w:rFonts w:ascii="Times New Roman" w:eastAsia="Times New Roman" w:hAnsi="Times New Roman" w:cs="Times New Roman"/>
                <w:lang w:val="x-none" w:eastAsia="x-none"/>
              </w:rPr>
              <w:t>l and safety</w:t>
            </w:r>
            <w:r w:rsidRPr="003E2BD8">
              <w:rPr>
                <w:rFonts w:ascii="Times New Roman" w:eastAsia="Times New Roman" w:hAnsi="Times New Roman" w:cs="Times New Roman"/>
                <w:spacing w:val="1"/>
                <w:lang w:val="x-none" w:eastAsia="x-none"/>
              </w:rPr>
              <w:t xml:space="preserve"> </w:t>
            </w:r>
            <w:r w:rsidRPr="003E2BD8">
              <w:rPr>
                <w:rFonts w:ascii="Times New Roman" w:eastAsia="Times New Roman" w:hAnsi="Times New Roman" w:cs="Times New Roman"/>
                <w:spacing w:val="-2"/>
                <w:lang w:val="x-none" w:eastAsia="x-none"/>
              </w:rPr>
              <w:t>issues</w:t>
            </w:r>
            <w:r w:rsidRPr="003E2BD8">
              <w:rPr>
                <w:rFonts w:ascii="Times New Roman" w:eastAsia="Times New Roman" w:hAnsi="Times New Roman" w:cs="Times New Roman"/>
                <w:lang w:val="x-none" w:eastAsia="x-none"/>
              </w:rPr>
              <w:t>.</w:t>
            </w:r>
          </w:p>
          <w:p w14:paraId="010588DE" w14:textId="0558A9F6" w:rsidR="00847853" w:rsidRPr="003E2BD8" w:rsidRDefault="00847853" w:rsidP="00CA0715">
            <w:pPr>
              <w:numPr>
                <w:ilvl w:val="0"/>
                <w:numId w:val="20"/>
              </w:numPr>
              <w:tabs>
                <w:tab w:val="left" w:pos="284"/>
                <w:tab w:val="left" w:pos="567"/>
              </w:tabs>
              <w:spacing w:after="0" w:line="240" w:lineRule="auto"/>
              <w:ind w:left="284" w:hanging="284"/>
              <w:jc w:val="both"/>
              <w:rPr>
                <w:rFonts w:ascii="Times New Roman" w:eastAsia="Calibri" w:hAnsi="Times New Roman" w:cs="Times New Roman"/>
              </w:rPr>
            </w:pPr>
            <w:r w:rsidRPr="003E2BD8">
              <w:rPr>
                <w:rFonts w:ascii="Times New Roman" w:eastAsia="Times New Roman" w:hAnsi="Times New Roman" w:cs="Times New Roman"/>
              </w:rPr>
              <w:t xml:space="preserve">Staffing and skills mix at the </w:t>
            </w:r>
            <w:r w:rsidR="00FB45BF" w:rsidRPr="003E2BD8">
              <w:rPr>
                <w:rFonts w:ascii="Times New Roman" w:eastAsia="Times New Roman" w:hAnsi="Times New Roman" w:cs="Times New Roman"/>
              </w:rPr>
              <w:t>National</w:t>
            </w:r>
            <w:r w:rsidR="00F33634" w:rsidRPr="003E2BD8">
              <w:rPr>
                <w:rFonts w:ascii="Times New Roman" w:eastAsia="Times New Roman" w:hAnsi="Times New Roman" w:cs="Times New Roman"/>
              </w:rPr>
              <w:t xml:space="preserve"> (PP</w:t>
            </w:r>
            <w:r w:rsidR="00975839">
              <w:rPr>
                <w:rFonts w:ascii="Times New Roman" w:eastAsia="Times New Roman" w:hAnsi="Times New Roman" w:cs="Times New Roman"/>
              </w:rPr>
              <w:t>B</w:t>
            </w:r>
            <w:r w:rsidR="00F33634" w:rsidRPr="003E2BD8">
              <w:rPr>
                <w:rFonts w:ascii="Times New Roman" w:eastAsia="Times New Roman" w:hAnsi="Times New Roman" w:cs="Times New Roman"/>
              </w:rPr>
              <w:t>ME</w:t>
            </w:r>
            <w:r w:rsidR="00975839">
              <w:rPr>
                <w:rFonts w:ascii="Times New Roman" w:eastAsia="Times New Roman" w:hAnsi="Times New Roman" w:cs="Times New Roman"/>
              </w:rPr>
              <w:t>D</w:t>
            </w:r>
            <w:r w:rsidR="00F33634" w:rsidRPr="003E2BD8">
              <w:rPr>
                <w:rFonts w:ascii="Times New Roman" w:eastAsia="Times New Roman" w:hAnsi="Times New Roman" w:cs="Times New Roman"/>
              </w:rPr>
              <w:t>)</w:t>
            </w:r>
            <w:r w:rsidR="00FB45BF" w:rsidRPr="003E2BD8">
              <w:rPr>
                <w:rFonts w:ascii="Times New Roman" w:eastAsia="Times New Roman" w:hAnsi="Times New Roman" w:cs="Times New Roman"/>
              </w:rPr>
              <w:t xml:space="preserve"> and MMA level are inadequate to</w:t>
            </w:r>
            <w:r w:rsidRPr="003E2BD8">
              <w:rPr>
                <w:rFonts w:ascii="Times New Roman" w:eastAsia="Times New Roman" w:hAnsi="Times New Roman" w:cs="Times New Roman"/>
              </w:rPr>
              <w:t xml:space="preserve"> handle environmental, social and safety management.</w:t>
            </w:r>
          </w:p>
          <w:p w14:paraId="4C605E40" w14:textId="77777777" w:rsidR="00847853" w:rsidRPr="003E2BD8" w:rsidRDefault="00847853" w:rsidP="00CA0715">
            <w:pPr>
              <w:numPr>
                <w:ilvl w:val="0"/>
                <w:numId w:val="20"/>
              </w:numPr>
              <w:tabs>
                <w:tab w:val="left" w:pos="284"/>
              </w:tabs>
              <w:spacing w:after="0" w:line="240" w:lineRule="auto"/>
              <w:ind w:hanging="218"/>
              <w:jc w:val="both"/>
              <w:rPr>
                <w:rFonts w:ascii="Times New Roman" w:eastAsia="Calibri" w:hAnsi="Times New Roman" w:cs="Times New Roman"/>
              </w:rPr>
            </w:pPr>
            <w:r w:rsidRPr="003E2BD8">
              <w:rPr>
                <w:rFonts w:ascii="Times New Roman" w:eastAsia="Times New Roman" w:hAnsi="Times New Roman" w:cs="Times New Roman"/>
                <w:b/>
                <w:bCs/>
                <w:lang w:eastAsia="x-none"/>
              </w:rPr>
              <w:t>Risks</w:t>
            </w:r>
            <w:r w:rsidRPr="003E2BD8">
              <w:rPr>
                <w:rFonts w:ascii="Times New Roman" w:eastAsia="Times New Roman" w:hAnsi="Times New Roman" w:cs="Times New Roman"/>
                <w:b/>
                <w:bCs/>
                <w:lang w:val="x-none" w:eastAsia="x-none"/>
              </w:rPr>
              <w:t xml:space="preserve"> are deemed</w:t>
            </w:r>
            <w:r w:rsidRPr="003E2BD8">
              <w:rPr>
                <w:rFonts w:ascii="Times New Roman" w:eastAsia="Times New Roman" w:hAnsi="Times New Roman" w:cs="Times New Roman"/>
                <w:b/>
                <w:bCs/>
                <w:lang w:eastAsia="x-none"/>
              </w:rPr>
              <w:t xml:space="preserve">: </w:t>
            </w:r>
            <w:r w:rsidR="00FB45BF" w:rsidRPr="003E2BD8">
              <w:rPr>
                <w:rFonts w:ascii="Times New Roman" w:eastAsia="Times New Roman" w:hAnsi="Times New Roman" w:cs="Times New Roman"/>
                <w:b/>
                <w:bCs/>
                <w:lang w:eastAsia="x-none"/>
              </w:rPr>
              <w:t>Moderate</w:t>
            </w:r>
          </w:p>
        </w:tc>
      </w:tr>
    </w:tbl>
    <w:p w14:paraId="07775A33" w14:textId="77777777" w:rsidR="00847853" w:rsidRPr="003E2BD8" w:rsidRDefault="00847853" w:rsidP="00CA0715">
      <w:pPr>
        <w:spacing w:after="0" w:line="240" w:lineRule="auto"/>
        <w:jc w:val="both"/>
        <w:rPr>
          <w:rFonts w:ascii="Times New Roman" w:eastAsia="Calibri" w:hAnsi="Times New Roman" w:cs="Times New Roman"/>
        </w:rPr>
      </w:pPr>
    </w:p>
    <w:p w14:paraId="5863A92C" w14:textId="77777777" w:rsidR="00847853" w:rsidRPr="003E2BD8" w:rsidRDefault="00847853" w:rsidP="00CA0715">
      <w:pPr>
        <w:spacing w:after="0" w:line="360" w:lineRule="auto"/>
        <w:jc w:val="both"/>
        <w:outlineLvl w:val="2"/>
        <w:rPr>
          <w:rFonts w:ascii="Times New Roman" w:eastAsia="Calibri" w:hAnsi="Times New Roman" w:cs="Times New Roman"/>
          <w:b/>
        </w:rPr>
      </w:pPr>
      <w:bookmarkStart w:id="106" w:name="_Toc496451181"/>
      <w:bookmarkStart w:id="107" w:name="_Toc496451333"/>
      <w:bookmarkStart w:id="108" w:name="_Toc496451454"/>
      <w:bookmarkStart w:id="109" w:name="_Toc496451585"/>
      <w:bookmarkStart w:id="110" w:name="_Toc496451721"/>
      <w:bookmarkStart w:id="111" w:name="_Toc496452406"/>
      <w:bookmarkStart w:id="112" w:name="_Toc496453538"/>
      <w:bookmarkStart w:id="113" w:name="_Toc496453674"/>
      <w:bookmarkStart w:id="114" w:name="_Toc496453798"/>
      <w:bookmarkStart w:id="115" w:name="_Toc496453919"/>
      <w:bookmarkStart w:id="116" w:name="_Toc496454150"/>
      <w:bookmarkStart w:id="117" w:name="_Toc496454576"/>
      <w:bookmarkStart w:id="118" w:name="_Toc496451182"/>
      <w:bookmarkStart w:id="119" w:name="_Toc496451334"/>
      <w:bookmarkStart w:id="120" w:name="_Toc496451455"/>
      <w:bookmarkStart w:id="121" w:name="_Toc496451586"/>
      <w:bookmarkStart w:id="122" w:name="_Toc496451722"/>
      <w:bookmarkStart w:id="123" w:name="_Toc496452407"/>
      <w:bookmarkStart w:id="124" w:name="_Toc496453539"/>
      <w:bookmarkStart w:id="125" w:name="_Toc496453675"/>
      <w:bookmarkStart w:id="126" w:name="_Toc496453799"/>
      <w:bookmarkStart w:id="127" w:name="_Toc496453920"/>
      <w:bookmarkStart w:id="128" w:name="_Toc496454151"/>
      <w:bookmarkStart w:id="129" w:name="_Toc496454577"/>
      <w:bookmarkStart w:id="130" w:name="_Toc496451183"/>
      <w:bookmarkStart w:id="131" w:name="_Toc496451335"/>
      <w:bookmarkStart w:id="132" w:name="_Toc496451456"/>
      <w:bookmarkStart w:id="133" w:name="_Toc496451587"/>
      <w:bookmarkStart w:id="134" w:name="_Toc496451723"/>
      <w:bookmarkStart w:id="135" w:name="_Toc496452408"/>
      <w:bookmarkStart w:id="136" w:name="_Toc496453540"/>
      <w:bookmarkStart w:id="137" w:name="_Toc496453676"/>
      <w:bookmarkStart w:id="138" w:name="_Toc496453800"/>
      <w:bookmarkStart w:id="139" w:name="_Toc496453921"/>
      <w:bookmarkStart w:id="140" w:name="_Toc496454152"/>
      <w:bookmarkStart w:id="141" w:name="_Toc496454578"/>
      <w:bookmarkStart w:id="142" w:name="_Toc496451184"/>
      <w:bookmarkStart w:id="143" w:name="_Toc496451336"/>
      <w:bookmarkStart w:id="144" w:name="_Toc496451457"/>
      <w:bookmarkStart w:id="145" w:name="_Toc496451588"/>
      <w:bookmarkStart w:id="146" w:name="_Toc496451724"/>
      <w:bookmarkStart w:id="147" w:name="_Toc496452409"/>
      <w:bookmarkStart w:id="148" w:name="_Toc496453541"/>
      <w:bookmarkStart w:id="149" w:name="_Toc496453677"/>
      <w:bookmarkStart w:id="150" w:name="_Toc496453801"/>
      <w:bookmarkStart w:id="151" w:name="_Toc496453922"/>
      <w:bookmarkStart w:id="152" w:name="_Toc496454153"/>
      <w:bookmarkStart w:id="153" w:name="_Toc496454579"/>
      <w:bookmarkStart w:id="154" w:name="_Toc496451185"/>
      <w:bookmarkStart w:id="155" w:name="_Toc496451337"/>
      <w:bookmarkStart w:id="156" w:name="_Toc496451458"/>
      <w:bookmarkStart w:id="157" w:name="_Toc496451589"/>
      <w:bookmarkStart w:id="158" w:name="_Toc496451725"/>
      <w:bookmarkStart w:id="159" w:name="_Toc496452410"/>
      <w:bookmarkStart w:id="160" w:name="_Toc496453542"/>
      <w:bookmarkStart w:id="161" w:name="_Toc496453678"/>
      <w:bookmarkStart w:id="162" w:name="_Toc496453802"/>
      <w:bookmarkStart w:id="163" w:name="_Toc496453923"/>
      <w:bookmarkStart w:id="164" w:name="_Toc496454154"/>
      <w:bookmarkStart w:id="165" w:name="_Toc496454580"/>
      <w:bookmarkStart w:id="166" w:name="_Toc496451186"/>
      <w:bookmarkStart w:id="167" w:name="_Toc496451338"/>
      <w:bookmarkStart w:id="168" w:name="_Toc496451459"/>
      <w:bookmarkStart w:id="169" w:name="_Toc496451590"/>
      <w:bookmarkStart w:id="170" w:name="_Toc496451726"/>
      <w:bookmarkStart w:id="171" w:name="_Toc496452411"/>
      <w:bookmarkStart w:id="172" w:name="_Toc496453543"/>
      <w:bookmarkStart w:id="173" w:name="_Toc496453679"/>
      <w:bookmarkStart w:id="174" w:name="_Toc496453803"/>
      <w:bookmarkStart w:id="175" w:name="_Toc496453924"/>
      <w:bookmarkStart w:id="176" w:name="_Toc496454155"/>
      <w:bookmarkStart w:id="177" w:name="_Toc496454581"/>
      <w:bookmarkStart w:id="178" w:name="_Toc496451187"/>
      <w:bookmarkStart w:id="179" w:name="_Toc496451339"/>
      <w:bookmarkStart w:id="180" w:name="_Toc496451460"/>
      <w:bookmarkStart w:id="181" w:name="_Toc496451591"/>
      <w:bookmarkStart w:id="182" w:name="_Toc496451727"/>
      <w:bookmarkStart w:id="183" w:name="_Toc496452412"/>
      <w:bookmarkStart w:id="184" w:name="_Toc496453544"/>
      <w:bookmarkStart w:id="185" w:name="_Toc496453680"/>
      <w:bookmarkStart w:id="186" w:name="_Toc496453804"/>
      <w:bookmarkStart w:id="187" w:name="_Toc496453925"/>
      <w:bookmarkStart w:id="188" w:name="_Toc496454156"/>
      <w:bookmarkStart w:id="189" w:name="_Toc496454582"/>
      <w:bookmarkStart w:id="190" w:name="_Toc496451188"/>
      <w:bookmarkStart w:id="191" w:name="_Toc496451340"/>
      <w:bookmarkStart w:id="192" w:name="_Toc496451461"/>
      <w:bookmarkStart w:id="193" w:name="_Toc496451592"/>
      <w:bookmarkStart w:id="194" w:name="_Toc496451728"/>
      <w:bookmarkStart w:id="195" w:name="_Toc496452413"/>
      <w:bookmarkStart w:id="196" w:name="_Toc496453545"/>
      <w:bookmarkStart w:id="197" w:name="_Toc496453681"/>
      <w:bookmarkStart w:id="198" w:name="_Toc496453805"/>
      <w:bookmarkStart w:id="199" w:name="_Toc496453926"/>
      <w:bookmarkStart w:id="200" w:name="_Toc496454157"/>
      <w:bookmarkStart w:id="201" w:name="_Toc496454583"/>
      <w:bookmarkStart w:id="202" w:name="_Toc496451189"/>
      <w:bookmarkStart w:id="203" w:name="_Toc496451341"/>
      <w:bookmarkStart w:id="204" w:name="_Toc496451462"/>
      <w:bookmarkStart w:id="205" w:name="_Toc496451593"/>
      <w:bookmarkStart w:id="206" w:name="_Toc496451729"/>
      <w:bookmarkStart w:id="207" w:name="_Toc496452414"/>
      <w:bookmarkStart w:id="208" w:name="_Toc496453546"/>
      <w:bookmarkStart w:id="209" w:name="_Toc496453682"/>
      <w:bookmarkStart w:id="210" w:name="_Toc496453806"/>
      <w:bookmarkStart w:id="211" w:name="_Toc496453927"/>
      <w:bookmarkStart w:id="212" w:name="_Toc496454158"/>
      <w:bookmarkStart w:id="213" w:name="_Toc496454584"/>
      <w:bookmarkStart w:id="214" w:name="_Toc496451190"/>
      <w:bookmarkStart w:id="215" w:name="_Toc496451342"/>
      <w:bookmarkStart w:id="216" w:name="_Toc496451463"/>
      <w:bookmarkStart w:id="217" w:name="_Toc496451594"/>
      <w:bookmarkStart w:id="218" w:name="_Toc496451730"/>
      <w:bookmarkStart w:id="219" w:name="_Toc496452415"/>
      <w:bookmarkStart w:id="220" w:name="_Toc496453547"/>
      <w:bookmarkStart w:id="221" w:name="_Toc496453683"/>
      <w:bookmarkStart w:id="222" w:name="_Toc496453807"/>
      <w:bookmarkStart w:id="223" w:name="_Toc496453928"/>
      <w:bookmarkStart w:id="224" w:name="_Toc496454159"/>
      <w:bookmarkStart w:id="225" w:name="_Toc496454585"/>
      <w:bookmarkStart w:id="226" w:name="_Toc496451191"/>
      <w:bookmarkStart w:id="227" w:name="_Toc496451343"/>
      <w:bookmarkStart w:id="228" w:name="_Toc496451464"/>
      <w:bookmarkStart w:id="229" w:name="_Toc496451595"/>
      <w:bookmarkStart w:id="230" w:name="_Toc496451731"/>
      <w:bookmarkStart w:id="231" w:name="_Toc496452416"/>
      <w:bookmarkStart w:id="232" w:name="_Toc496453548"/>
      <w:bookmarkStart w:id="233" w:name="_Toc496453684"/>
      <w:bookmarkStart w:id="234" w:name="_Toc496453808"/>
      <w:bookmarkStart w:id="235" w:name="_Toc496453929"/>
      <w:bookmarkStart w:id="236" w:name="_Toc496454160"/>
      <w:bookmarkStart w:id="237" w:name="_Toc496454586"/>
      <w:bookmarkStart w:id="238" w:name="_Toc496451192"/>
      <w:bookmarkStart w:id="239" w:name="_Toc496451344"/>
      <w:bookmarkStart w:id="240" w:name="_Toc496451465"/>
      <w:bookmarkStart w:id="241" w:name="_Toc496451596"/>
      <w:bookmarkStart w:id="242" w:name="_Toc496451732"/>
      <w:bookmarkStart w:id="243" w:name="_Toc496452417"/>
      <w:bookmarkStart w:id="244" w:name="_Toc496453549"/>
      <w:bookmarkStart w:id="245" w:name="_Toc496453685"/>
      <w:bookmarkStart w:id="246" w:name="_Toc496453809"/>
      <w:bookmarkStart w:id="247" w:name="_Toc496453930"/>
      <w:bookmarkStart w:id="248" w:name="_Toc496454161"/>
      <w:bookmarkStart w:id="249" w:name="_Toc496454587"/>
      <w:bookmarkStart w:id="250" w:name="_Toc496454588"/>
      <w:bookmarkStart w:id="251" w:name="_Toc508892831"/>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3E2BD8">
        <w:rPr>
          <w:rFonts w:ascii="Times New Roman" w:eastAsia="Calibri" w:hAnsi="Times New Roman" w:cs="Times New Roman"/>
          <w:b/>
        </w:rPr>
        <w:t>Core Principle 2:  Natural Habitats and Physical Cultural Resources</w:t>
      </w:r>
      <w:bookmarkEnd w:id="250"/>
      <w:bookmarkEnd w:id="251"/>
    </w:p>
    <w:tbl>
      <w:tblPr>
        <w:tblW w:w="9498" w:type="dxa"/>
        <w:tblInd w:w="-34"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9498"/>
      </w:tblGrid>
      <w:tr w:rsidR="00847853" w:rsidRPr="003E2BD8" w14:paraId="66B93ACB" w14:textId="77777777" w:rsidTr="00D316D4">
        <w:tc>
          <w:tcPr>
            <w:tcW w:w="9498" w:type="dxa"/>
            <w:shd w:val="clear" w:color="auto" w:fill="9CC2E5"/>
          </w:tcPr>
          <w:p w14:paraId="025DE224" w14:textId="77777777" w:rsidR="00847853" w:rsidRPr="003E2BD8" w:rsidRDefault="00847853" w:rsidP="00CA0715">
            <w:pPr>
              <w:spacing w:after="0" w:line="240" w:lineRule="auto"/>
              <w:jc w:val="both"/>
              <w:rPr>
                <w:rFonts w:ascii="Times New Roman" w:eastAsia="Calibri" w:hAnsi="Times New Roman" w:cs="Times New Roman"/>
                <w:b/>
                <w:bCs/>
              </w:rPr>
            </w:pPr>
            <w:bookmarkStart w:id="252" w:name="_Toc490948341"/>
            <w:bookmarkStart w:id="253" w:name="_Toc490948556"/>
            <w:bookmarkStart w:id="254" w:name="_Toc490949283"/>
            <w:bookmarkStart w:id="255" w:name="_Toc491028593"/>
            <w:bookmarkStart w:id="256" w:name="_Toc491029062"/>
            <w:bookmarkStart w:id="257" w:name="_Toc491072556"/>
            <w:bookmarkStart w:id="258" w:name="_Toc491072651"/>
            <w:bookmarkStart w:id="259" w:name="_Toc491087129"/>
            <w:bookmarkStart w:id="260" w:name="_Toc491088078"/>
            <w:bookmarkStart w:id="261" w:name="_Toc491088560"/>
            <w:bookmarkStart w:id="262" w:name="_Toc491088656"/>
            <w:bookmarkStart w:id="263" w:name="_Toc491089300"/>
            <w:bookmarkStart w:id="264" w:name="_Toc491092491"/>
            <w:bookmarkStart w:id="265" w:name="_Toc491092796"/>
            <w:bookmarkStart w:id="266" w:name="_Toc491093755"/>
            <w:bookmarkStart w:id="267" w:name="_Toc491095330"/>
            <w:bookmarkStart w:id="268" w:name="_Toc491095425"/>
            <w:bookmarkStart w:id="269" w:name="_Toc495172846"/>
            <w:bookmarkStart w:id="270" w:name="_Toc496436160"/>
            <w:bookmarkStart w:id="271" w:name="_Toc496446686"/>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3E2BD8">
              <w:rPr>
                <w:rFonts w:ascii="Times New Roman" w:eastAsia="Times New Roman" w:hAnsi="Times New Roman" w:cs="Times New Roman"/>
              </w:rPr>
              <w:t>Environmental and social management procedures and processes are designed to avoid, minimize, and mitigate against adverse effects on natural habitats and physical cul</w:t>
            </w:r>
            <w:r w:rsidR="00BC5848" w:rsidRPr="003E2BD8">
              <w:rPr>
                <w:rFonts w:ascii="Times New Roman" w:eastAsia="Times New Roman" w:hAnsi="Times New Roman" w:cs="Times New Roman"/>
              </w:rPr>
              <w:t>tural resources resulting from P</w:t>
            </w:r>
            <w:r w:rsidRPr="003E2BD8">
              <w:rPr>
                <w:rFonts w:ascii="Times New Roman" w:eastAsia="Times New Roman" w:hAnsi="Times New Roman" w:cs="Times New Roman"/>
              </w:rPr>
              <w:t>rogram.</w:t>
            </w:r>
          </w:p>
        </w:tc>
      </w:tr>
      <w:tr w:rsidR="00847853" w:rsidRPr="003E2BD8" w14:paraId="4F75CC34" w14:textId="77777777" w:rsidTr="00D316D4">
        <w:tc>
          <w:tcPr>
            <w:tcW w:w="9498" w:type="dxa"/>
            <w:shd w:val="clear" w:color="auto" w:fill="BDD6EE"/>
          </w:tcPr>
          <w:p w14:paraId="6B117508" w14:textId="77777777" w:rsidR="00847853" w:rsidRPr="003E2BD8" w:rsidRDefault="00847853" w:rsidP="00CA0715">
            <w:pPr>
              <w:tabs>
                <w:tab w:val="left" w:pos="318"/>
              </w:tabs>
              <w:spacing w:after="0" w:line="240" w:lineRule="auto"/>
              <w:ind w:left="34"/>
              <w:jc w:val="both"/>
              <w:rPr>
                <w:rFonts w:ascii="Times New Roman" w:eastAsia="Times New Roman" w:hAnsi="Times New Roman" w:cs="Times New Roman"/>
              </w:rPr>
            </w:pPr>
            <w:r w:rsidRPr="003E2BD8">
              <w:rPr>
                <w:rFonts w:ascii="Times New Roman" w:eastAsia="Times New Roman" w:hAnsi="Times New Roman" w:cs="Times New Roman"/>
              </w:rPr>
              <w:t xml:space="preserve">As relevant, the </w:t>
            </w:r>
            <w:r w:rsidR="00BC5848" w:rsidRPr="003E2BD8">
              <w:rPr>
                <w:rFonts w:ascii="Times New Roman" w:eastAsia="Times New Roman" w:hAnsi="Times New Roman" w:cs="Times New Roman"/>
              </w:rPr>
              <w:t>P</w:t>
            </w:r>
            <w:r w:rsidRPr="003E2BD8">
              <w:rPr>
                <w:rFonts w:ascii="Times New Roman" w:eastAsia="Times New Roman" w:hAnsi="Times New Roman" w:cs="Times New Roman"/>
              </w:rPr>
              <w:t>rogram to be supported:</w:t>
            </w:r>
          </w:p>
          <w:p w14:paraId="17C3AB58" w14:textId="77777777" w:rsidR="00847853" w:rsidRPr="003E2BD8" w:rsidRDefault="00847853" w:rsidP="00CA0715">
            <w:pPr>
              <w:numPr>
                <w:ilvl w:val="0"/>
                <w:numId w:val="20"/>
              </w:numPr>
              <w:tabs>
                <w:tab w:val="left" w:pos="318"/>
                <w:tab w:val="left" w:pos="679"/>
              </w:tabs>
              <w:spacing w:after="0" w:line="240" w:lineRule="auto"/>
              <w:ind w:left="318" w:hanging="284"/>
              <w:jc w:val="both"/>
              <w:rPr>
                <w:rFonts w:ascii="Times New Roman" w:eastAsia="Times New Roman" w:hAnsi="Times New Roman" w:cs="Times New Roman"/>
                <w:lang w:val="x-none" w:eastAsia="x-none"/>
              </w:rPr>
            </w:pPr>
            <w:r w:rsidRPr="003E2BD8">
              <w:rPr>
                <w:rFonts w:ascii="Times New Roman" w:eastAsia="Times New Roman" w:hAnsi="Times New Roman" w:cs="Times New Roman"/>
                <w:lang w:val="x-none" w:eastAsia="x-none"/>
              </w:rPr>
              <w:t>Includes appropriate measures for early identification and screening of potentially important biodiversity and cultural resource areas.</w:t>
            </w:r>
          </w:p>
          <w:p w14:paraId="48911720" w14:textId="77777777" w:rsidR="00847853" w:rsidRPr="003E2BD8" w:rsidRDefault="00847853" w:rsidP="00CA0715">
            <w:pPr>
              <w:numPr>
                <w:ilvl w:val="0"/>
                <w:numId w:val="20"/>
              </w:numPr>
              <w:tabs>
                <w:tab w:val="left" w:pos="318"/>
                <w:tab w:val="left" w:pos="679"/>
              </w:tabs>
              <w:spacing w:after="0" w:line="240" w:lineRule="auto"/>
              <w:ind w:left="318" w:hanging="284"/>
              <w:jc w:val="both"/>
              <w:rPr>
                <w:rFonts w:ascii="Times New Roman" w:eastAsia="Times New Roman" w:hAnsi="Times New Roman" w:cs="Times New Roman"/>
                <w:lang w:val="x-none" w:eastAsia="x-none"/>
              </w:rPr>
            </w:pPr>
            <w:r w:rsidRPr="003E2BD8">
              <w:rPr>
                <w:rFonts w:ascii="Times New Roman" w:eastAsia="Times New Roman" w:hAnsi="Times New Roman" w:cs="Times New Roman"/>
                <w:lang w:val="x-none" w:eastAsia="x-none"/>
              </w:rPr>
              <w:t xml:space="preserve">Supports and promotes the conservation, maintenance, and rehabilitation of natural habitats; avoids the significant conversion or degradation of critical natural habitats, and if avoiding the significant conversion of natural habitats is not technically feasible, includes measures to mitigate or offset impacts or program activities. </w:t>
            </w:r>
          </w:p>
          <w:p w14:paraId="0130FD65" w14:textId="77777777" w:rsidR="00BC5848" w:rsidRPr="003E2BD8" w:rsidRDefault="00847853" w:rsidP="00CA0715">
            <w:pPr>
              <w:numPr>
                <w:ilvl w:val="0"/>
                <w:numId w:val="20"/>
              </w:numPr>
              <w:tabs>
                <w:tab w:val="left" w:pos="318"/>
                <w:tab w:val="left" w:pos="679"/>
              </w:tabs>
              <w:spacing w:after="0" w:line="240" w:lineRule="auto"/>
              <w:ind w:left="318" w:hanging="284"/>
              <w:jc w:val="both"/>
              <w:rPr>
                <w:rFonts w:ascii="Times New Roman" w:eastAsia="Times New Roman" w:hAnsi="Times New Roman" w:cs="Times New Roman"/>
                <w:lang w:val="x-none" w:eastAsia="x-none"/>
              </w:rPr>
            </w:pPr>
            <w:r w:rsidRPr="003E2BD8">
              <w:rPr>
                <w:rFonts w:ascii="Times New Roman" w:eastAsia="Times New Roman" w:hAnsi="Times New Roman" w:cs="Times New Roman"/>
                <w:lang w:val="x-none" w:eastAsia="x-none"/>
              </w:rPr>
              <w:t>Takes into account potential adverse effects on physical cultural property and, as warranted, provides adequate measures to avoid, minimize, or mitigate such effects.</w:t>
            </w:r>
          </w:p>
        </w:tc>
      </w:tr>
      <w:tr w:rsidR="00847853" w:rsidRPr="003E2BD8" w14:paraId="4D37F5C7" w14:textId="77777777" w:rsidTr="00D316D4">
        <w:tc>
          <w:tcPr>
            <w:tcW w:w="9498" w:type="dxa"/>
            <w:shd w:val="clear" w:color="auto" w:fill="auto"/>
          </w:tcPr>
          <w:p w14:paraId="7527CFCA" w14:textId="77777777" w:rsidR="00847853" w:rsidRPr="003E2BD8" w:rsidRDefault="00847853" w:rsidP="00CA0715">
            <w:pPr>
              <w:spacing w:after="0" w:line="240" w:lineRule="auto"/>
              <w:jc w:val="both"/>
              <w:rPr>
                <w:rFonts w:ascii="Times New Roman" w:eastAsia="Calibri" w:hAnsi="Times New Roman" w:cs="Times New Roman"/>
                <w:b/>
                <w:bCs/>
              </w:rPr>
            </w:pPr>
            <w:r w:rsidRPr="003E2BD8">
              <w:rPr>
                <w:rFonts w:ascii="Times New Roman" w:eastAsia="Calibri" w:hAnsi="Times New Roman" w:cs="Times New Roman"/>
                <w:b/>
                <w:bCs/>
              </w:rPr>
              <w:t xml:space="preserve">Applicability:  Limited </w:t>
            </w:r>
          </w:p>
          <w:p w14:paraId="135B6914" w14:textId="77777777" w:rsidR="00847853" w:rsidRPr="003E2BD8" w:rsidRDefault="00847853" w:rsidP="00CA0715">
            <w:pPr>
              <w:numPr>
                <w:ilvl w:val="0"/>
                <w:numId w:val="23"/>
              </w:numPr>
              <w:spacing w:after="0" w:line="240" w:lineRule="auto"/>
              <w:ind w:right="-37"/>
              <w:jc w:val="both"/>
              <w:rPr>
                <w:rFonts w:ascii="Times New Roman" w:eastAsia="Calibri" w:hAnsi="Times New Roman" w:cs="Times New Roman"/>
              </w:rPr>
            </w:pPr>
            <w:r w:rsidRPr="003E2BD8">
              <w:rPr>
                <w:rFonts w:ascii="Times New Roman" w:eastAsia="Calibri" w:hAnsi="Times New Roman" w:cs="Times New Roman"/>
                <w:spacing w:val="2"/>
              </w:rPr>
              <w:t>T</w:t>
            </w:r>
            <w:r w:rsidRPr="003E2BD8">
              <w:rPr>
                <w:rFonts w:ascii="Times New Roman" w:eastAsia="Calibri" w:hAnsi="Times New Roman" w:cs="Times New Roman"/>
              </w:rPr>
              <w:t>he</w:t>
            </w:r>
            <w:r w:rsidRPr="003E2BD8">
              <w:rPr>
                <w:rFonts w:ascii="Times New Roman" w:eastAsia="Calibri" w:hAnsi="Times New Roman" w:cs="Times New Roman"/>
                <w:spacing w:val="1"/>
              </w:rPr>
              <w:t xml:space="preserve"> </w:t>
            </w:r>
            <w:r w:rsidRPr="003E2BD8">
              <w:rPr>
                <w:rFonts w:ascii="Times New Roman" w:eastAsia="Calibri" w:hAnsi="Times New Roman" w:cs="Times New Roman"/>
              </w:rPr>
              <w:t>p</w:t>
            </w:r>
            <w:r w:rsidRPr="003E2BD8">
              <w:rPr>
                <w:rFonts w:ascii="Times New Roman" w:eastAsia="Calibri" w:hAnsi="Times New Roman" w:cs="Times New Roman"/>
                <w:spacing w:val="1"/>
              </w:rPr>
              <w:t>r</w:t>
            </w:r>
            <w:r w:rsidRPr="003E2BD8">
              <w:rPr>
                <w:rFonts w:ascii="Times New Roman" w:eastAsia="Calibri" w:hAnsi="Times New Roman" w:cs="Times New Roman"/>
              </w:rPr>
              <w:t>o</w:t>
            </w:r>
            <w:r w:rsidRPr="003E2BD8">
              <w:rPr>
                <w:rFonts w:ascii="Times New Roman" w:eastAsia="Calibri" w:hAnsi="Times New Roman" w:cs="Times New Roman"/>
                <w:spacing w:val="-2"/>
              </w:rPr>
              <w:t>v</w:t>
            </w:r>
            <w:r w:rsidRPr="003E2BD8">
              <w:rPr>
                <w:rFonts w:ascii="Times New Roman" w:eastAsia="Calibri" w:hAnsi="Times New Roman" w:cs="Times New Roman"/>
                <w:spacing w:val="1"/>
              </w:rPr>
              <w:t>i</w:t>
            </w:r>
            <w:r w:rsidRPr="003E2BD8">
              <w:rPr>
                <w:rFonts w:ascii="Times New Roman" w:eastAsia="Calibri" w:hAnsi="Times New Roman" w:cs="Times New Roman"/>
                <w:spacing w:val="-2"/>
              </w:rPr>
              <w:t>s</w:t>
            </w:r>
            <w:r w:rsidRPr="003E2BD8">
              <w:rPr>
                <w:rFonts w:ascii="Times New Roman" w:eastAsia="Calibri" w:hAnsi="Times New Roman" w:cs="Times New Roman"/>
                <w:spacing w:val="1"/>
              </w:rPr>
              <w:t>i</w:t>
            </w:r>
            <w:r w:rsidRPr="003E2BD8">
              <w:rPr>
                <w:rFonts w:ascii="Times New Roman" w:eastAsia="Calibri" w:hAnsi="Times New Roman" w:cs="Times New Roman"/>
              </w:rPr>
              <w:t>o</w:t>
            </w:r>
            <w:r w:rsidRPr="003E2BD8">
              <w:rPr>
                <w:rFonts w:ascii="Times New Roman" w:eastAsia="Calibri" w:hAnsi="Times New Roman" w:cs="Times New Roman"/>
                <w:spacing w:val="-2"/>
              </w:rPr>
              <w:t>n</w:t>
            </w:r>
            <w:r w:rsidRPr="003E2BD8">
              <w:rPr>
                <w:rFonts w:ascii="Times New Roman" w:eastAsia="Calibri" w:hAnsi="Times New Roman" w:cs="Times New Roman"/>
              </w:rPr>
              <w:t>s</w:t>
            </w:r>
            <w:r w:rsidRPr="003E2BD8">
              <w:rPr>
                <w:rFonts w:ascii="Times New Roman" w:eastAsia="Calibri" w:hAnsi="Times New Roman" w:cs="Times New Roman"/>
                <w:spacing w:val="3"/>
              </w:rPr>
              <w:t xml:space="preserve"> </w:t>
            </w:r>
            <w:r w:rsidRPr="003E2BD8">
              <w:rPr>
                <w:rFonts w:ascii="Times New Roman" w:eastAsia="Calibri" w:hAnsi="Times New Roman" w:cs="Times New Roman"/>
                <w:spacing w:val="1"/>
              </w:rPr>
              <w:t>i</w:t>
            </w:r>
            <w:r w:rsidRPr="003E2BD8">
              <w:rPr>
                <w:rFonts w:ascii="Times New Roman" w:eastAsia="Calibri" w:hAnsi="Times New Roman" w:cs="Times New Roman"/>
              </w:rPr>
              <w:t xml:space="preserve">n </w:t>
            </w:r>
            <w:r w:rsidRPr="003E2BD8">
              <w:rPr>
                <w:rFonts w:ascii="Times New Roman" w:eastAsia="Calibri" w:hAnsi="Times New Roman" w:cs="Times New Roman"/>
                <w:spacing w:val="-1"/>
              </w:rPr>
              <w:t>C</w:t>
            </w:r>
            <w:r w:rsidRPr="003E2BD8">
              <w:rPr>
                <w:rFonts w:ascii="Times New Roman" w:eastAsia="Calibri" w:hAnsi="Times New Roman" w:cs="Times New Roman"/>
              </w:rPr>
              <w:t>o</w:t>
            </w:r>
            <w:r w:rsidRPr="003E2BD8">
              <w:rPr>
                <w:rFonts w:ascii="Times New Roman" w:eastAsia="Calibri" w:hAnsi="Times New Roman" w:cs="Times New Roman"/>
                <w:spacing w:val="1"/>
              </w:rPr>
              <w:t>r</w:t>
            </w:r>
            <w:r w:rsidRPr="003E2BD8">
              <w:rPr>
                <w:rFonts w:ascii="Times New Roman" w:eastAsia="Calibri" w:hAnsi="Times New Roman" w:cs="Times New Roman"/>
              </w:rPr>
              <w:t>e</w:t>
            </w:r>
            <w:r w:rsidRPr="003E2BD8">
              <w:rPr>
                <w:rFonts w:ascii="Times New Roman" w:eastAsia="Calibri" w:hAnsi="Times New Roman" w:cs="Times New Roman"/>
                <w:spacing w:val="1"/>
              </w:rPr>
              <w:t xml:space="preserve"> </w:t>
            </w:r>
            <w:r w:rsidRPr="003E2BD8">
              <w:rPr>
                <w:rFonts w:ascii="Times New Roman" w:eastAsia="Calibri" w:hAnsi="Times New Roman" w:cs="Times New Roman"/>
              </w:rPr>
              <w:t>P</w:t>
            </w:r>
            <w:r w:rsidRPr="003E2BD8">
              <w:rPr>
                <w:rFonts w:ascii="Times New Roman" w:eastAsia="Calibri" w:hAnsi="Times New Roman" w:cs="Times New Roman"/>
                <w:spacing w:val="-2"/>
              </w:rPr>
              <w:t>r</w:t>
            </w:r>
            <w:r w:rsidRPr="003E2BD8">
              <w:rPr>
                <w:rFonts w:ascii="Times New Roman" w:eastAsia="Calibri" w:hAnsi="Times New Roman" w:cs="Times New Roman"/>
                <w:spacing w:val="1"/>
              </w:rPr>
              <w:t>i</w:t>
            </w:r>
            <w:r w:rsidRPr="003E2BD8">
              <w:rPr>
                <w:rFonts w:ascii="Times New Roman" w:eastAsia="Calibri" w:hAnsi="Times New Roman" w:cs="Times New Roman"/>
              </w:rPr>
              <w:t>n</w:t>
            </w:r>
            <w:r w:rsidRPr="003E2BD8">
              <w:rPr>
                <w:rFonts w:ascii="Times New Roman" w:eastAsia="Calibri" w:hAnsi="Times New Roman" w:cs="Times New Roman"/>
                <w:spacing w:val="-2"/>
              </w:rPr>
              <w:t>c</w:t>
            </w:r>
            <w:r w:rsidRPr="003E2BD8">
              <w:rPr>
                <w:rFonts w:ascii="Times New Roman" w:eastAsia="Calibri" w:hAnsi="Times New Roman" w:cs="Times New Roman"/>
                <w:spacing w:val="1"/>
              </w:rPr>
              <w:t>i</w:t>
            </w:r>
            <w:r w:rsidRPr="003E2BD8">
              <w:rPr>
                <w:rFonts w:ascii="Times New Roman" w:eastAsia="Calibri" w:hAnsi="Times New Roman" w:cs="Times New Roman"/>
              </w:rPr>
              <w:t>p</w:t>
            </w:r>
            <w:r w:rsidRPr="003E2BD8">
              <w:rPr>
                <w:rFonts w:ascii="Times New Roman" w:eastAsia="Calibri" w:hAnsi="Times New Roman" w:cs="Times New Roman"/>
                <w:spacing w:val="-1"/>
              </w:rPr>
              <w:t>l</w:t>
            </w:r>
            <w:r w:rsidRPr="003E2BD8">
              <w:rPr>
                <w:rFonts w:ascii="Times New Roman" w:eastAsia="Calibri" w:hAnsi="Times New Roman" w:cs="Times New Roman"/>
              </w:rPr>
              <w:t>e</w:t>
            </w:r>
            <w:r w:rsidRPr="003E2BD8">
              <w:rPr>
                <w:rFonts w:ascii="Times New Roman" w:eastAsia="Calibri" w:hAnsi="Times New Roman" w:cs="Times New Roman"/>
                <w:spacing w:val="3"/>
              </w:rPr>
              <w:t xml:space="preserve"> </w:t>
            </w:r>
            <w:r w:rsidRPr="003E2BD8">
              <w:rPr>
                <w:rFonts w:ascii="Times New Roman" w:eastAsia="Calibri" w:hAnsi="Times New Roman" w:cs="Times New Roman"/>
              </w:rPr>
              <w:t>2</w:t>
            </w:r>
            <w:r w:rsidRPr="003E2BD8">
              <w:rPr>
                <w:rFonts w:ascii="Times New Roman" w:eastAsia="Calibri" w:hAnsi="Times New Roman" w:cs="Times New Roman"/>
                <w:spacing w:val="3"/>
              </w:rPr>
              <w:t xml:space="preserve"> </w:t>
            </w:r>
            <w:r w:rsidRPr="003E2BD8">
              <w:rPr>
                <w:rFonts w:ascii="Times New Roman" w:eastAsia="Calibri" w:hAnsi="Times New Roman" w:cs="Times New Roman"/>
                <w:spacing w:val="-2"/>
              </w:rPr>
              <w:t>a</w:t>
            </w:r>
            <w:r w:rsidRPr="003E2BD8">
              <w:rPr>
                <w:rFonts w:ascii="Times New Roman" w:eastAsia="Calibri" w:hAnsi="Times New Roman" w:cs="Times New Roman"/>
                <w:spacing w:val="1"/>
              </w:rPr>
              <w:t>r</w:t>
            </w:r>
            <w:r w:rsidRPr="003E2BD8">
              <w:rPr>
                <w:rFonts w:ascii="Times New Roman" w:eastAsia="Calibri" w:hAnsi="Times New Roman" w:cs="Times New Roman"/>
              </w:rPr>
              <w:t>e</w:t>
            </w:r>
            <w:r w:rsidRPr="003E2BD8">
              <w:rPr>
                <w:rFonts w:ascii="Times New Roman" w:eastAsia="Calibri" w:hAnsi="Times New Roman" w:cs="Times New Roman"/>
                <w:spacing w:val="1"/>
              </w:rPr>
              <w:t xml:space="preserve"> </w:t>
            </w:r>
            <w:r w:rsidRPr="003E2BD8">
              <w:rPr>
                <w:rFonts w:ascii="Times New Roman" w:eastAsia="Calibri" w:hAnsi="Times New Roman" w:cs="Times New Roman"/>
              </w:rPr>
              <w:t>con</w:t>
            </w:r>
            <w:r w:rsidRPr="003E2BD8">
              <w:rPr>
                <w:rFonts w:ascii="Times New Roman" w:eastAsia="Calibri" w:hAnsi="Times New Roman" w:cs="Times New Roman"/>
                <w:spacing w:val="-2"/>
              </w:rPr>
              <w:t>s</w:t>
            </w:r>
            <w:r w:rsidRPr="003E2BD8">
              <w:rPr>
                <w:rFonts w:ascii="Times New Roman" w:eastAsia="Calibri" w:hAnsi="Times New Roman" w:cs="Times New Roman"/>
                <w:spacing w:val="1"/>
              </w:rPr>
              <w:t>i</w:t>
            </w:r>
            <w:r w:rsidRPr="003E2BD8">
              <w:rPr>
                <w:rFonts w:ascii="Times New Roman" w:eastAsia="Calibri" w:hAnsi="Times New Roman" w:cs="Times New Roman"/>
              </w:rPr>
              <w:t>d</w:t>
            </w:r>
            <w:r w:rsidRPr="003E2BD8">
              <w:rPr>
                <w:rFonts w:ascii="Times New Roman" w:eastAsia="Calibri" w:hAnsi="Times New Roman" w:cs="Times New Roman"/>
                <w:spacing w:val="-2"/>
              </w:rPr>
              <w:t>e</w:t>
            </w:r>
            <w:r w:rsidRPr="003E2BD8">
              <w:rPr>
                <w:rFonts w:ascii="Times New Roman" w:eastAsia="Calibri" w:hAnsi="Times New Roman" w:cs="Times New Roman"/>
                <w:spacing w:val="1"/>
              </w:rPr>
              <w:t>r</w:t>
            </w:r>
            <w:r w:rsidRPr="003E2BD8">
              <w:rPr>
                <w:rFonts w:ascii="Times New Roman" w:eastAsia="Calibri" w:hAnsi="Times New Roman" w:cs="Times New Roman"/>
              </w:rPr>
              <w:t>ed</w:t>
            </w:r>
            <w:r w:rsidRPr="003E2BD8">
              <w:rPr>
                <w:rFonts w:ascii="Times New Roman" w:eastAsia="Calibri" w:hAnsi="Times New Roman" w:cs="Times New Roman"/>
                <w:spacing w:val="1"/>
              </w:rPr>
              <w:t xml:space="preserve"> </w:t>
            </w:r>
            <w:r w:rsidRPr="003E2BD8">
              <w:rPr>
                <w:rFonts w:ascii="Times New Roman" w:eastAsia="Calibri" w:hAnsi="Times New Roman" w:cs="Times New Roman"/>
                <w:spacing w:val="-2"/>
              </w:rPr>
              <w:t>a</w:t>
            </w:r>
            <w:r w:rsidRPr="003E2BD8">
              <w:rPr>
                <w:rFonts w:ascii="Times New Roman" w:eastAsia="Calibri" w:hAnsi="Times New Roman" w:cs="Times New Roman"/>
              </w:rPr>
              <w:t>s</w:t>
            </w:r>
            <w:r w:rsidRPr="003E2BD8">
              <w:rPr>
                <w:rFonts w:ascii="Times New Roman" w:eastAsia="Calibri" w:hAnsi="Times New Roman" w:cs="Times New Roman"/>
                <w:spacing w:val="3"/>
              </w:rPr>
              <w:t xml:space="preserve"> </w:t>
            </w:r>
            <w:r w:rsidRPr="003E2BD8">
              <w:rPr>
                <w:rFonts w:ascii="Times New Roman" w:eastAsia="Calibri" w:hAnsi="Times New Roman" w:cs="Times New Roman"/>
              </w:rPr>
              <w:t>pa</w:t>
            </w:r>
            <w:r w:rsidRPr="003E2BD8">
              <w:rPr>
                <w:rFonts w:ascii="Times New Roman" w:eastAsia="Calibri" w:hAnsi="Times New Roman" w:cs="Times New Roman"/>
                <w:spacing w:val="-1"/>
              </w:rPr>
              <w:t>r</w:t>
            </w:r>
            <w:r w:rsidRPr="003E2BD8">
              <w:rPr>
                <w:rFonts w:ascii="Times New Roman" w:eastAsia="Calibri" w:hAnsi="Times New Roman" w:cs="Times New Roman"/>
              </w:rPr>
              <w:t>t</w:t>
            </w:r>
            <w:r w:rsidRPr="003E2BD8">
              <w:rPr>
                <w:rFonts w:ascii="Times New Roman" w:eastAsia="Calibri" w:hAnsi="Times New Roman" w:cs="Times New Roman"/>
                <w:spacing w:val="3"/>
              </w:rPr>
              <w:t xml:space="preserve"> </w:t>
            </w:r>
            <w:r w:rsidRPr="003E2BD8">
              <w:rPr>
                <w:rFonts w:ascii="Times New Roman" w:eastAsia="Calibri" w:hAnsi="Times New Roman" w:cs="Times New Roman"/>
                <w:spacing w:val="-2"/>
              </w:rPr>
              <w:t>o</w:t>
            </w:r>
            <w:r w:rsidRPr="003E2BD8">
              <w:rPr>
                <w:rFonts w:ascii="Times New Roman" w:eastAsia="Calibri" w:hAnsi="Times New Roman" w:cs="Times New Roman"/>
              </w:rPr>
              <w:t>f</w:t>
            </w:r>
            <w:r w:rsidRPr="003E2BD8">
              <w:rPr>
                <w:rFonts w:ascii="Times New Roman" w:eastAsia="Calibri" w:hAnsi="Times New Roman" w:cs="Times New Roman"/>
                <w:spacing w:val="3"/>
              </w:rPr>
              <w:t xml:space="preserve"> </w:t>
            </w:r>
            <w:r w:rsidRPr="003E2BD8">
              <w:rPr>
                <w:rFonts w:ascii="Times New Roman" w:eastAsia="Calibri" w:hAnsi="Times New Roman" w:cs="Times New Roman"/>
                <w:spacing w:val="-1"/>
              </w:rPr>
              <w:t>t</w:t>
            </w:r>
            <w:r w:rsidRPr="003E2BD8">
              <w:rPr>
                <w:rFonts w:ascii="Times New Roman" w:eastAsia="Calibri" w:hAnsi="Times New Roman" w:cs="Times New Roman"/>
              </w:rPr>
              <w:t>he</w:t>
            </w:r>
            <w:r w:rsidRPr="003E2BD8">
              <w:rPr>
                <w:rFonts w:ascii="Times New Roman" w:eastAsia="Calibri" w:hAnsi="Times New Roman" w:cs="Times New Roman"/>
                <w:spacing w:val="3"/>
              </w:rPr>
              <w:t xml:space="preserve"> </w:t>
            </w:r>
            <w:r w:rsidRPr="003E2BD8">
              <w:rPr>
                <w:rFonts w:ascii="Times New Roman" w:eastAsia="Calibri" w:hAnsi="Times New Roman" w:cs="Times New Roman"/>
              </w:rPr>
              <w:t>environmental and social management assessment</w:t>
            </w:r>
            <w:r w:rsidRPr="003E2BD8">
              <w:rPr>
                <w:rFonts w:ascii="Times New Roman" w:eastAsia="Calibri" w:hAnsi="Times New Roman" w:cs="Times New Roman"/>
                <w:spacing w:val="1"/>
              </w:rPr>
              <w:t xml:space="preserve"> </w:t>
            </w:r>
            <w:r w:rsidRPr="003E2BD8">
              <w:rPr>
                <w:rFonts w:ascii="Times New Roman" w:eastAsia="Calibri" w:hAnsi="Times New Roman" w:cs="Times New Roman"/>
              </w:rPr>
              <w:t>p</w:t>
            </w:r>
            <w:r w:rsidRPr="003E2BD8">
              <w:rPr>
                <w:rFonts w:ascii="Times New Roman" w:eastAsia="Calibri" w:hAnsi="Times New Roman" w:cs="Times New Roman"/>
                <w:spacing w:val="1"/>
              </w:rPr>
              <w:t>r</w:t>
            </w:r>
            <w:r w:rsidRPr="003E2BD8">
              <w:rPr>
                <w:rFonts w:ascii="Times New Roman" w:eastAsia="Calibri" w:hAnsi="Times New Roman" w:cs="Times New Roman"/>
              </w:rPr>
              <w:t>oce</w:t>
            </w:r>
            <w:r w:rsidRPr="003E2BD8">
              <w:rPr>
                <w:rFonts w:ascii="Times New Roman" w:eastAsia="Calibri" w:hAnsi="Times New Roman" w:cs="Times New Roman"/>
                <w:spacing w:val="-2"/>
              </w:rPr>
              <w:t>s</w:t>
            </w:r>
            <w:r w:rsidRPr="003E2BD8">
              <w:rPr>
                <w:rFonts w:ascii="Times New Roman" w:eastAsia="Calibri" w:hAnsi="Times New Roman" w:cs="Times New Roman"/>
              </w:rPr>
              <w:t>s</w:t>
            </w:r>
            <w:r w:rsidRPr="003E2BD8">
              <w:rPr>
                <w:rFonts w:ascii="Times New Roman" w:eastAsia="Calibri" w:hAnsi="Times New Roman" w:cs="Times New Roman"/>
                <w:spacing w:val="3"/>
              </w:rPr>
              <w:t xml:space="preserve"> </w:t>
            </w:r>
            <w:r w:rsidRPr="003E2BD8">
              <w:rPr>
                <w:rFonts w:ascii="Times New Roman" w:eastAsia="Calibri" w:hAnsi="Times New Roman" w:cs="Times New Roman"/>
              </w:rPr>
              <w:t>an</w:t>
            </w:r>
            <w:r w:rsidRPr="003E2BD8">
              <w:rPr>
                <w:rFonts w:ascii="Times New Roman" w:eastAsia="Calibri" w:hAnsi="Times New Roman" w:cs="Times New Roman"/>
                <w:spacing w:val="-2"/>
              </w:rPr>
              <w:t>a</w:t>
            </w:r>
            <w:r w:rsidRPr="003E2BD8">
              <w:rPr>
                <w:rFonts w:ascii="Times New Roman" w:eastAsia="Calibri" w:hAnsi="Times New Roman" w:cs="Times New Roman"/>
                <w:spacing w:val="1"/>
              </w:rPr>
              <w:t>l</w:t>
            </w:r>
            <w:r w:rsidRPr="003E2BD8">
              <w:rPr>
                <w:rFonts w:ascii="Times New Roman" w:eastAsia="Calibri" w:hAnsi="Times New Roman" w:cs="Times New Roman"/>
                <w:spacing w:val="-2"/>
              </w:rPr>
              <w:t>yz</w:t>
            </w:r>
            <w:r w:rsidRPr="003E2BD8">
              <w:rPr>
                <w:rFonts w:ascii="Times New Roman" w:eastAsia="Calibri" w:hAnsi="Times New Roman" w:cs="Times New Roman"/>
              </w:rPr>
              <w:t>ed</w:t>
            </w:r>
            <w:r w:rsidRPr="003E2BD8">
              <w:rPr>
                <w:rFonts w:ascii="Times New Roman" w:eastAsia="Calibri" w:hAnsi="Times New Roman" w:cs="Times New Roman"/>
                <w:spacing w:val="3"/>
              </w:rPr>
              <w:t xml:space="preserve"> </w:t>
            </w:r>
            <w:r w:rsidRPr="003E2BD8">
              <w:rPr>
                <w:rFonts w:ascii="Times New Roman" w:eastAsia="Calibri" w:hAnsi="Times New Roman" w:cs="Times New Roman"/>
              </w:rPr>
              <w:t>under</w:t>
            </w:r>
            <w:r w:rsidRPr="003E2BD8">
              <w:rPr>
                <w:rFonts w:ascii="Times New Roman" w:eastAsia="Calibri" w:hAnsi="Times New Roman" w:cs="Times New Roman"/>
                <w:spacing w:val="4"/>
              </w:rPr>
              <w:t xml:space="preserve"> </w:t>
            </w:r>
            <w:r w:rsidRPr="003E2BD8">
              <w:rPr>
                <w:rFonts w:ascii="Times New Roman" w:eastAsia="Calibri" w:hAnsi="Times New Roman" w:cs="Times New Roman"/>
                <w:spacing w:val="-1"/>
              </w:rPr>
              <w:t>C</w:t>
            </w:r>
            <w:r w:rsidRPr="003E2BD8">
              <w:rPr>
                <w:rFonts w:ascii="Times New Roman" w:eastAsia="Calibri" w:hAnsi="Times New Roman" w:cs="Times New Roman"/>
                <w:spacing w:val="-2"/>
              </w:rPr>
              <w:t>or</w:t>
            </w:r>
            <w:r w:rsidRPr="003E2BD8">
              <w:rPr>
                <w:rFonts w:ascii="Times New Roman" w:eastAsia="Calibri" w:hAnsi="Times New Roman" w:cs="Times New Roman"/>
              </w:rPr>
              <w:t>e Pr</w:t>
            </w:r>
            <w:r w:rsidRPr="003E2BD8">
              <w:rPr>
                <w:rFonts w:ascii="Times New Roman" w:eastAsia="Calibri" w:hAnsi="Times New Roman" w:cs="Times New Roman"/>
                <w:spacing w:val="1"/>
              </w:rPr>
              <w:t>i</w:t>
            </w:r>
            <w:r w:rsidRPr="003E2BD8">
              <w:rPr>
                <w:rFonts w:ascii="Times New Roman" w:eastAsia="Calibri" w:hAnsi="Times New Roman" w:cs="Times New Roman"/>
              </w:rPr>
              <w:t>n</w:t>
            </w:r>
            <w:r w:rsidRPr="003E2BD8">
              <w:rPr>
                <w:rFonts w:ascii="Times New Roman" w:eastAsia="Calibri" w:hAnsi="Times New Roman" w:cs="Times New Roman"/>
                <w:spacing w:val="-2"/>
              </w:rPr>
              <w:t>c</w:t>
            </w:r>
            <w:r w:rsidRPr="003E2BD8">
              <w:rPr>
                <w:rFonts w:ascii="Times New Roman" w:eastAsia="Calibri" w:hAnsi="Times New Roman" w:cs="Times New Roman"/>
                <w:spacing w:val="1"/>
              </w:rPr>
              <w:t>i</w:t>
            </w:r>
            <w:r w:rsidRPr="003E2BD8">
              <w:rPr>
                <w:rFonts w:ascii="Times New Roman" w:eastAsia="Calibri" w:hAnsi="Times New Roman" w:cs="Times New Roman"/>
                <w:spacing w:val="-2"/>
              </w:rPr>
              <w:t>p</w:t>
            </w:r>
            <w:r w:rsidRPr="003E2BD8">
              <w:rPr>
                <w:rFonts w:ascii="Times New Roman" w:eastAsia="Calibri" w:hAnsi="Times New Roman" w:cs="Times New Roman"/>
                <w:spacing w:val="1"/>
              </w:rPr>
              <w:t>l</w:t>
            </w:r>
            <w:r w:rsidRPr="003E2BD8">
              <w:rPr>
                <w:rFonts w:ascii="Times New Roman" w:eastAsia="Calibri" w:hAnsi="Times New Roman" w:cs="Times New Roman"/>
              </w:rPr>
              <w:t>e</w:t>
            </w:r>
            <w:r w:rsidRPr="003E2BD8">
              <w:rPr>
                <w:rFonts w:ascii="Times New Roman" w:eastAsia="Calibri" w:hAnsi="Times New Roman" w:cs="Times New Roman"/>
                <w:spacing w:val="46"/>
              </w:rPr>
              <w:t xml:space="preserve"> </w:t>
            </w:r>
            <w:r w:rsidRPr="003E2BD8">
              <w:rPr>
                <w:rFonts w:ascii="Times New Roman" w:eastAsia="Calibri" w:hAnsi="Times New Roman" w:cs="Times New Roman"/>
                <w:spacing w:val="1"/>
              </w:rPr>
              <w:t>1</w:t>
            </w:r>
            <w:r w:rsidRPr="003E2BD8">
              <w:rPr>
                <w:rFonts w:ascii="Times New Roman" w:eastAsia="Calibri" w:hAnsi="Times New Roman" w:cs="Times New Roman"/>
              </w:rPr>
              <w:t>.</w:t>
            </w:r>
            <w:r w:rsidRPr="003E2BD8">
              <w:rPr>
                <w:rFonts w:ascii="Times New Roman" w:eastAsia="Calibri" w:hAnsi="Times New Roman" w:cs="Times New Roman"/>
                <w:spacing w:val="43"/>
              </w:rPr>
              <w:t xml:space="preserve"> </w:t>
            </w:r>
            <w:r w:rsidRPr="003E2BD8">
              <w:rPr>
                <w:rFonts w:ascii="Times New Roman" w:eastAsia="Calibri" w:hAnsi="Times New Roman" w:cs="Times New Roman"/>
              </w:rPr>
              <w:t>The</w:t>
            </w:r>
            <w:r w:rsidRPr="003E2BD8">
              <w:rPr>
                <w:rFonts w:ascii="Times New Roman" w:eastAsia="Calibri" w:hAnsi="Times New Roman" w:cs="Times New Roman"/>
                <w:spacing w:val="45"/>
              </w:rPr>
              <w:t xml:space="preserve"> </w:t>
            </w:r>
            <w:r w:rsidRPr="003E2BD8">
              <w:rPr>
                <w:rFonts w:ascii="Times New Roman" w:eastAsia="Calibri" w:hAnsi="Times New Roman" w:cs="Times New Roman"/>
                <w:spacing w:val="-3"/>
              </w:rPr>
              <w:t>P</w:t>
            </w:r>
            <w:r w:rsidRPr="003E2BD8">
              <w:rPr>
                <w:rFonts w:ascii="Times New Roman" w:eastAsia="Calibri" w:hAnsi="Times New Roman" w:cs="Times New Roman"/>
                <w:spacing w:val="1"/>
              </w:rPr>
              <w:t>r</w:t>
            </w:r>
            <w:r w:rsidRPr="003E2BD8">
              <w:rPr>
                <w:rFonts w:ascii="Times New Roman" w:eastAsia="Calibri" w:hAnsi="Times New Roman" w:cs="Times New Roman"/>
              </w:rPr>
              <w:t>o</w:t>
            </w:r>
            <w:r w:rsidRPr="003E2BD8">
              <w:rPr>
                <w:rFonts w:ascii="Times New Roman" w:eastAsia="Calibri" w:hAnsi="Times New Roman" w:cs="Times New Roman"/>
                <w:spacing w:val="-2"/>
              </w:rPr>
              <w:t>g</w:t>
            </w:r>
            <w:r w:rsidRPr="003E2BD8">
              <w:rPr>
                <w:rFonts w:ascii="Times New Roman" w:eastAsia="Calibri" w:hAnsi="Times New Roman" w:cs="Times New Roman"/>
                <w:spacing w:val="1"/>
              </w:rPr>
              <w:t>r</w:t>
            </w:r>
            <w:r w:rsidRPr="003E2BD8">
              <w:rPr>
                <w:rFonts w:ascii="Times New Roman" w:eastAsia="Calibri" w:hAnsi="Times New Roman" w:cs="Times New Roman"/>
              </w:rPr>
              <w:t>am</w:t>
            </w:r>
            <w:r w:rsidRPr="003E2BD8">
              <w:rPr>
                <w:rFonts w:ascii="Times New Roman" w:eastAsia="Calibri" w:hAnsi="Times New Roman" w:cs="Times New Roman"/>
                <w:spacing w:val="46"/>
              </w:rPr>
              <w:t xml:space="preserve"> </w:t>
            </w:r>
            <w:r w:rsidRPr="003E2BD8">
              <w:rPr>
                <w:rFonts w:ascii="Times New Roman" w:eastAsia="Calibri" w:hAnsi="Times New Roman" w:cs="Times New Roman"/>
                <w:spacing w:val="-1"/>
              </w:rPr>
              <w:t>w</w:t>
            </w:r>
            <w:r w:rsidRPr="003E2BD8">
              <w:rPr>
                <w:rFonts w:ascii="Times New Roman" w:eastAsia="Calibri" w:hAnsi="Times New Roman" w:cs="Times New Roman"/>
                <w:spacing w:val="1"/>
              </w:rPr>
              <w:t>il</w:t>
            </w:r>
            <w:r w:rsidRPr="003E2BD8">
              <w:rPr>
                <w:rFonts w:ascii="Times New Roman" w:eastAsia="Calibri" w:hAnsi="Times New Roman" w:cs="Times New Roman"/>
              </w:rPr>
              <w:t>l</w:t>
            </w:r>
            <w:r w:rsidRPr="003E2BD8">
              <w:rPr>
                <w:rFonts w:ascii="Times New Roman" w:eastAsia="Calibri" w:hAnsi="Times New Roman" w:cs="Times New Roman"/>
                <w:spacing w:val="44"/>
              </w:rPr>
              <w:t xml:space="preserve"> </w:t>
            </w:r>
            <w:r w:rsidRPr="003E2BD8">
              <w:rPr>
                <w:rFonts w:ascii="Times New Roman" w:eastAsia="Calibri" w:hAnsi="Times New Roman" w:cs="Times New Roman"/>
              </w:rPr>
              <w:t>not</w:t>
            </w:r>
            <w:r w:rsidRPr="003E2BD8">
              <w:rPr>
                <w:rFonts w:ascii="Times New Roman" w:eastAsia="Calibri" w:hAnsi="Times New Roman" w:cs="Times New Roman"/>
                <w:spacing w:val="44"/>
              </w:rPr>
              <w:t xml:space="preserve"> </w:t>
            </w:r>
            <w:r w:rsidRPr="003E2BD8">
              <w:rPr>
                <w:rFonts w:ascii="Times New Roman" w:eastAsia="Calibri" w:hAnsi="Times New Roman" w:cs="Times New Roman"/>
              </w:rPr>
              <w:t>sup</w:t>
            </w:r>
            <w:r w:rsidRPr="003E2BD8">
              <w:rPr>
                <w:rFonts w:ascii="Times New Roman" w:eastAsia="Calibri" w:hAnsi="Times New Roman" w:cs="Times New Roman"/>
                <w:spacing w:val="-2"/>
              </w:rPr>
              <w:t>p</w:t>
            </w:r>
            <w:r w:rsidRPr="003E2BD8">
              <w:rPr>
                <w:rFonts w:ascii="Times New Roman" w:eastAsia="Calibri" w:hAnsi="Times New Roman" w:cs="Times New Roman"/>
              </w:rPr>
              <w:t>o</w:t>
            </w:r>
            <w:r w:rsidRPr="003E2BD8">
              <w:rPr>
                <w:rFonts w:ascii="Times New Roman" w:eastAsia="Calibri" w:hAnsi="Times New Roman" w:cs="Times New Roman"/>
                <w:spacing w:val="-2"/>
              </w:rPr>
              <w:t>r</w:t>
            </w:r>
            <w:r w:rsidRPr="003E2BD8">
              <w:rPr>
                <w:rFonts w:ascii="Times New Roman" w:eastAsia="Calibri" w:hAnsi="Times New Roman" w:cs="Times New Roman"/>
              </w:rPr>
              <w:t>t</w:t>
            </w:r>
            <w:r w:rsidRPr="003E2BD8">
              <w:rPr>
                <w:rFonts w:ascii="Times New Roman" w:eastAsia="Calibri" w:hAnsi="Times New Roman" w:cs="Times New Roman"/>
                <w:spacing w:val="47"/>
              </w:rPr>
              <w:t xml:space="preserve"> </w:t>
            </w:r>
            <w:r w:rsidRPr="003E2BD8">
              <w:rPr>
                <w:rFonts w:ascii="Times New Roman" w:eastAsia="Calibri" w:hAnsi="Times New Roman" w:cs="Times New Roman"/>
                <w:spacing w:val="1"/>
              </w:rPr>
              <w:t>i</w:t>
            </w:r>
            <w:r w:rsidRPr="003E2BD8">
              <w:rPr>
                <w:rFonts w:ascii="Times New Roman" w:eastAsia="Calibri" w:hAnsi="Times New Roman" w:cs="Times New Roman"/>
              </w:rPr>
              <w:t>n</w:t>
            </w:r>
            <w:r w:rsidRPr="003E2BD8">
              <w:rPr>
                <w:rFonts w:ascii="Times New Roman" w:eastAsia="Calibri" w:hAnsi="Times New Roman" w:cs="Times New Roman"/>
                <w:spacing w:val="-2"/>
              </w:rPr>
              <w:t>v</w:t>
            </w:r>
            <w:r w:rsidRPr="003E2BD8">
              <w:rPr>
                <w:rFonts w:ascii="Times New Roman" w:eastAsia="Calibri" w:hAnsi="Times New Roman" w:cs="Times New Roman"/>
              </w:rPr>
              <w:t>e</w:t>
            </w:r>
            <w:r w:rsidRPr="003E2BD8">
              <w:rPr>
                <w:rFonts w:ascii="Times New Roman" w:eastAsia="Calibri" w:hAnsi="Times New Roman" w:cs="Times New Roman"/>
                <w:spacing w:val="-2"/>
              </w:rPr>
              <w:t>s</w:t>
            </w:r>
            <w:r w:rsidRPr="003E2BD8">
              <w:rPr>
                <w:rFonts w:ascii="Times New Roman" w:eastAsia="Calibri" w:hAnsi="Times New Roman" w:cs="Times New Roman"/>
                <w:spacing w:val="1"/>
              </w:rPr>
              <w:t>t</w:t>
            </w:r>
            <w:r w:rsidRPr="003E2BD8">
              <w:rPr>
                <w:rFonts w:ascii="Times New Roman" w:eastAsia="Calibri" w:hAnsi="Times New Roman" w:cs="Times New Roman"/>
                <w:spacing w:val="-1"/>
              </w:rPr>
              <w:t>m</w:t>
            </w:r>
            <w:r w:rsidRPr="003E2BD8">
              <w:rPr>
                <w:rFonts w:ascii="Times New Roman" w:eastAsia="Calibri" w:hAnsi="Times New Roman" w:cs="Times New Roman"/>
              </w:rPr>
              <w:t>en</w:t>
            </w:r>
            <w:r w:rsidRPr="003E2BD8">
              <w:rPr>
                <w:rFonts w:ascii="Times New Roman" w:eastAsia="Calibri" w:hAnsi="Times New Roman" w:cs="Times New Roman"/>
                <w:spacing w:val="1"/>
              </w:rPr>
              <w:t>t</w:t>
            </w:r>
            <w:r w:rsidRPr="003E2BD8">
              <w:rPr>
                <w:rFonts w:ascii="Times New Roman" w:eastAsia="Calibri" w:hAnsi="Times New Roman" w:cs="Times New Roman"/>
              </w:rPr>
              <w:t>s</w:t>
            </w:r>
            <w:r w:rsidRPr="003E2BD8">
              <w:rPr>
                <w:rFonts w:ascii="Times New Roman" w:eastAsia="Calibri" w:hAnsi="Times New Roman" w:cs="Times New Roman"/>
                <w:spacing w:val="45"/>
              </w:rPr>
              <w:t xml:space="preserve"> </w:t>
            </w:r>
            <w:r w:rsidRPr="003E2BD8">
              <w:rPr>
                <w:rFonts w:ascii="Times New Roman" w:eastAsia="Calibri" w:hAnsi="Times New Roman" w:cs="Times New Roman"/>
                <w:spacing w:val="1"/>
              </w:rPr>
              <w:t>t</w:t>
            </w:r>
            <w:r w:rsidRPr="003E2BD8">
              <w:rPr>
                <w:rFonts w:ascii="Times New Roman" w:eastAsia="Calibri" w:hAnsi="Times New Roman" w:cs="Times New Roman"/>
              </w:rPr>
              <w:t>h</w:t>
            </w:r>
            <w:r w:rsidRPr="003E2BD8">
              <w:rPr>
                <w:rFonts w:ascii="Times New Roman" w:eastAsia="Calibri" w:hAnsi="Times New Roman" w:cs="Times New Roman"/>
                <w:spacing w:val="-2"/>
              </w:rPr>
              <w:t>a</w:t>
            </w:r>
            <w:r w:rsidRPr="003E2BD8">
              <w:rPr>
                <w:rFonts w:ascii="Times New Roman" w:eastAsia="Calibri" w:hAnsi="Times New Roman" w:cs="Times New Roman"/>
              </w:rPr>
              <w:t>t</w:t>
            </w:r>
            <w:r w:rsidRPr="003E2BD8">
              <w:rPr>
                <w:rFonts w:ascii="Times New Roman" w:eastAsia="Calibri" w:hAnsi="Times New Roman" w:cs="Times New Roman"/>
                <w:spacing w:val="47"/>
              </w:rPr>
              <w:t xml:space="preserve"> </w:t>
            </w:r>
            <w:r w:rsidRPr="003E2BD8">
              <w:rPr>
                <w:rFonts w:ascii="Times New Roman" w:eastAsia="Calibri" w:hAnsi="Times New Roman" w:cs="Times New Roman"/>
                <w:spacing w:val="-1"/>
              </w:rPr>
              <w:t>w</w:t>
            </w:r>
            <w:r w:rsidRPr="003E2BD8">
              <w:rPr>
                <w:rFonts w:ascii="Times New Roman" w:eastAsia="Calibri" w:hAnsi="Times New Roman" w:cs="Times New Roman"/>
              </w:rPr>
              <w:t>o</w:t>
            </w:r>
            <w:r w:rsidRPr="003E2BD8">
              <w:rPr>
                <w:rFonts w:ascii="Times New Roman" w:eastAsia="Calibri" w:hAnsi="Times New Roman" w:cs="Times New Roman"/>
                <w:spacing w:val="-2"/>
              </w:rPr>
              <w:t>u</w:t>
            </w:r>
            <w:r w:rsidRPr="003E2BD8">
              <w:rPr>
                <w:rFonts w:ascii="Times New Roman" w:eastAsia="Calibri" w:hAnsi="Times New Roman" w:cs="Times New Roman"/>
                <w:spacing w:val="1"/>
              </w:rPr>
              <w:t>l</w:t>
            </w:r>
            <w:r w:rsidRPr="003E2BD8">
              <w:rPr>
                <w:rFonts w:ascii="Times New Roman" w:eastAsia="Calibri" w:hAnsi="Times New Roman" w:cs="Times New Roman"/>
              </w:rPr>
              <w:t>d</w:t>
            </w:r>
            <w:r w:rsidRPr="003E2BD8">
              <w:rPr>
                <w:rFonts w:ascii="Times New Roman" w:eastAsia="Calibri" w:hAnsi="Times New Roman" w:cs="Times New Roman"/>
                <w:spacing w:val="46"/>
              </w:rPr>
              <w:t xml:space="preserve"> </w:t>
            </w:r>
            <w:r w:rsidRPr="003E2BD8">
              <w:rPr>
                <w:rFonts w:ascii="Times New Roman" w:eastAsia="Calibri" w:hAnsi="Times New Roman" w:cs="Times New Roman"/>
                <w:spacing w:val="-2"/>
              </w:rPr>
              <w:t>e</w:t>
            </w:r>
            <w:r w:rsidRPr="003E2BD8">
              <w:rPr>
                <w:rFonts w:ascii="Times New Roman" w:eastAsia="Calibri" w:hAnsi="Times New Roman" w:cs="Times New Roman"/>
                <w:spacing w:val="1"/>
              </w:rPr>
              <w:t>i</w:t>
            </w:r>
            <w:r w:rsidRPr="003E2BD8">
              <w:rPr>
                <w:rFonts w:ascii="Times New Roman" w:eastAsia="Calibri" w:hAnsi="Times New Roman" w:cs="Times New Roman"/>
                <w:spacing w:val="-1"/>
              </w:rPr>
              <w:t>t</w:t>
            </w:r>
            <w:r w:rsidRPr="003E2BD8">
              <w:rPr>
                <w:rFonts w:ascii="Times New Roman" w:eastAsia="Calibri" w:hAnsi="Times New Roman" w:cs="Times New Roman"/>
              </w:rPr>
              <w:t>her</w:t>
            </w:r>
            <w:r w:rsidRPr="003E2BD8">
              <w:rPr>
                <w:rFonts w:ascii="Times New Roman" w:eastAsia="Calibri" w:hAnsi="Times New Roman" w:cs="Times New Roman"/>
                <w:spacing w:val="44"/>
              </w:rPr>
              <w:t xml:space="preserve"> </w:t>
            </w:r>
            <w:r w:rsidRPr="003E2BD8">
              <w:rPr>
                <w:rFonts w:ascii="Times New Roman" w:eastAsia="Calibri" w:hAnsi="Times New Roman" w:cs="Times New Roman"/>
                <w:spacing w:val="1"/>
              </w:rPr>
              <w:t>affect</w:t>
            </w:r>
            <w:r w:rsidRPr="003E2BD8">
              <w:rPr>
                <w:rFonts w:ascii="Times New Roman" w:eastAsia="Calibri" w:hAnsi="Times New Roman" w:cs="Times New Roman"/>
                <w:spacing w:val="45"/>
              </w:rPr>
              <w:t xml:space="preserve"> </w:t>
            </w:r>
            <w:r w:rsidRPr="003E2BD8">
              <w:rPr>
                <w:rFonts w:ascii="Times New Roman" w:eastAsia="Calibri" w:hAnsi="Times New Roman" w:cs="Times New Roman"/>
              </w:rPr>
              <w:t>or</w:t>
            </w:r>
            <w:r w:rsidRPr="003E2BD8">
              <w:rPr>
                <w:rFonts w:ascii="Times New Roman" w:eastAsia="Calibri" w:hAnsi="Times New Roman" w:cs="Times New Roman"/>
                <w:spacing w:val="46"/>
              </w:rPr>
              <w:t xml:space="preserve"> </w:t>
            </w:r>
            <w:r w:rsidRPr="003E2BD8">
              <w:rPr>
                <w:rFonts w:ascii="Times New Roman" w:eastAsia="Calibri" w:hAnsi="Times New Roman" w:cs="Times New Roman"/>
                <w:spacing w:val="-2"/>
              </w:rPr>
              <w:t>c</w:t>
            </w:r>
            <w:r w:rsidRPr="003E2BD8">
              <w:rPr>
                <w:rFonts w:ascii="Times New Roman" w:eastAsia="Calibri" w:hAnsi="Times New Roman" w:cs="Times New Roman"/>
              </w:rPr>
              <w:t>on</w:t>
            </w:r>
            <w:r w:rsidRPr="003E2BD8">
              <w:rPr>
                <w:rFonts w:ascii="Times New Roman" w:eastAsia="Calibri" w:hAnsi="Times New Roman" w:cs="Times New Roman"/>
                <w:spacing w:val="-2"/>
              </w:rPr>
              <w:t>v</w:t>
            </w:r>
            <w:r w:rsidRPr="003E2BD8">
              <w:rPr>
                <w:rFonts w:ascii="Times New Roman" w:eastAsia="Calibri" w:hAnsi="Times New Roman" w:cs="Times New Roman"/>
              </w:rPr>
              <w:t>e</w:t>
            </w:r>
            <w:r w:rsidRPr="003E2BD8">
              <w:rPr>
                <w:rFonts w:ascii="Times New Roman" w:eastAsia="Calibri" w:hAnsi="Times New Roman" w:cs="Times New Roman"/>
                <w:spacing w:val="1"/>
              </w:rPr>
              <w:t>r</w:t>
            </w:r>
            <w:r w:rsidRPr="003E2BD8">
              <w:rPr>
                <w:rFonts w:ascii="Times New Roman" w:eastAsia="Calibri" w:hAnsi="Times New Roman" w:cs="Times New Roman"/>
              </w:rPr>
              <w:t>t</w:t>
            </w:r>
            <w:r w:rsidRPr="003E2BD8">
              <w:rPr>
                <w:rFonts w:ascii="Times New Roman" w:eastAsia="Calibri" w:hAnsi="Times New Roman" w:cs="Times New Roman"/>
                <w:spacing w:val="44"/>
              </w:rPr>
              <w:t xml:space="preserve"> </w:t>
            </w:r>
            <w:r w:rsidRPr="003E2BD8">
              <w:rPr>
                <w:rFonts w:ascii="Times New Roman" w:eastAsia="Calibri" w:hAnsi="Times New Roman" w:cs="Times New Roman"/>
              </w:rPr>
              <w:t>c</w:t>
            </w:r>
            <w:r w:rsidRPr="003E2BD8">
              <w:rPr>
                <w:rFonts w:ascii="Times New Roman" w:eastAsia="Calibri" w:hAnsi="Times New Roman" w:cs="Times New Roman"/>
                <w:spacing w:val="-1"/>
              </w:rPr>
              <w:t>r</w:t>
            </w:r>
            <w:r w:rsidRPr="003E2BD8">
              <w:rPr>
                <w:rFonts w:ascii="Times New Roman" w:eastAsia="Calibri" w:hAnsi="Times New Roman" w:cs="Times New Roman"/>
                <w:spacing w:val="1"/>
              </w:rPr>
              <w:t>i</w:t>
            </w:r>
            <w:r w:rsidRPr="003E2BD8">
              <w:rPr>
                <w:rFonts w:ascii="Times New Roman" w:eastAsia="Calibri" w:hAnsi="Times New Roman" w:cs="Times New Roman"/>
                <w:spacing w:val="-1"/>
              </w:rPr>
              <w:t>t</w:t>
            </w:r>
            <w:r w:rsidRPr="003E2BD8">
              <w:rPr>
                <w:rFonts w:ascii="Times New Roman" w:eastAsia="Calibri" w:hAnsi="Times New Roman" w:cs="Times New Roman"/>
                <w:spacing w:val="1"/>
              </w:rPr>
              <w:t>i</w:t>
            </w:r>
            <w:r w:rsidRPr="003E2BD8">
              <w:rPr>
                <w:rFonts w:ascii="Times New Roman" w:eastAsia="Calibri" w:hAnsi="Times New Roman" w:cs="Times New Roman"/>
                <w:spacing w:val="-2"/>
              </w:rPr>
              <w:t>ca</w:t>
            </w:r>
            <w:r w:rsidRPr="003E2BD8">
              <w:rPr>
                <w:rFonts w:ascii="Times New Roman" w:eastAsia="Calibri" w:hAnsi="Times New Roman" w:cs="Times New Roman"/>
              </w:rPr>
              <w:t>l na</w:t>
            </w:r>
            <w:r w:rsidRPr="003E2BD8">
              <w:rPr>
                <w:rFonts w:ascii="Times New Roman" w:eastAsia="Calibri" w:hAnsi="Times New Roman" w:cs="Times New Roman"/>
                <w:spacing w:val="1"/>
              </w:rPr>
              <w:t>t</w:t>
            </w:r>
            <w:r w:rsidRPr="003E2BD8">
              <w:rPr>
                <w:rFonts w:ascii="Times New Roman" w:eastAsia="Calibri" w:hAnsi="Times New Roman" w:cs="Times New Roman"/>
                <w:spacing w:val="-2"/>
              </w:rPr>
              <w:t>u</w:t>
            </w:r>
            <w:r w:rsidRPr="003E2BD8">
              <w:rPr>
                <w:rFonts w:ascii="Times New Roman" w:eastAsia="Calibri" w:hAnsi="Times New Roman" w:cs="Times New Roman"/>
                <w:spacing w:val="1"/>
              </w:rPr>
              <w:t>r</w:t>
            </w:r>
            <w:r w:rsidRPr="003E2BD8">
              <w:rPr>
                <w:rFonts w:ascii="Times New Roman" w:eastAsia="Calibri" w:hAnsi="Times New Roman" w:cs="Times New Roman"/>
              </w:rPr>
              <w:t>al</w:t>
            </w:r>
            <w:r w:rsidRPr="003E2BD8">
              <w:rPr>
                <w:rFonts w:ascii="Times New Roman" w:eastAsia="Calibri" w:hAnsi="Times New Roman" w:cs="Times New Roman"/>
                <w:spacing w:val="3"/>
              </w:rPr>
              <w:t xml:space="preserve"> </w:t>
            </w:r>
            <w:r w:rsidRPr="003E2BD8">
              <w:rPr>
                <w:rFonts w:ascii="Times New Roman" w:eastAsia="Calibri" w:hAnsi="Times New Roman" w:cs="Times New Roman"/>
                <w:spacing w:val="-2"/>
              </w:rPr>
              <w:t>h</w:t>
            </w:r>
            <w:r w:rsidRPr="003E2BD8">
              <w:rPr>
                <w:rFonts w:ascii="Times New Roman" w:eastAsia="Calibri" w:hAnsi="Times New Roman" w:cs="Times New Roman"/>
              </w:rPr>
              <w:t>ab</w:t>
            </w:r>
            <w:r w:rsidRPr="003E2BD8">
              <w:rPr>
                <w:rFonts w:ascii="Times New Roman" w:eastAsia="Calibri" w:hAnsi="Times New Roman" w:cs="Times New Roman"/>
                <w:spacing w:val="-1"/>
              </w:rPr>
              <w:t>i</w:t>
            </w:r>
            <w:r w:rsidRPr="003E2BD8">
              <w:rPr>
                <w:rFonts w:ascii="Times New Roman" w:eastAsia="Calibri" w:hAnsi="Times New Roman" w:cs="Times New Roman"/>
                <w:spacing w:val="1"/>
              </w:rPr>
              <w:t>t</w:t>
            </w:r>
            <w:r w:rsidRPr="003E2BD8">
              <w:rPr>
                <w:rFonts w:ascii="Times New Roman" w:eastAsia="Calibri" w:hAnsi="Times New Roman" w:cs="Times New Roman"/>
                <w:spacing w:val="-2"/>
              </w:rPr>
              <w:t>a</w:t>
            </w:r>
            <w:r w:rsidRPr="003E2BD8">
              <w:rPr>
                <w:rFonts w:ascii="Times New Roman" w:eastAsia="Calibri" w:hAnsi="Times New Roman" w:cs="Times New Roman"/>
                <w:spacing w:val="1"/>
              </w:rPr>
              <w:t>t</w:t>
            </w:r>
            <w:r w:rsidRPr="003E2BD8">
              <w:rPr>
                <w:rFonts w:ascii="Times New Roman" w:eastAsia="Calibri" w:hAnsi="Times New Roman" w:cs="Times New Roman"/>
              </w:rPr>
              <w:t>s</w:t>
            </w:r>
            <w:r w:rsidRPr="003E2BD8">
              <w:rPr>
                <w:rFonts w:ascii="Times New Roman" w:eastAsia="Calibri" w:hAnsi="Times New Roman" w:cs="Times New Roman"/>
                <w:spacing w:val="4"/>
              </w:rPr>
              <w:t xml:space="preserve"> </w:t>
            </w:r>
            <w:r w:rsidRPr="003E2BD8">
              <w:rPr>
                <w:rFonts w:ascii="Times New Roman" w:eastAsia="Calibri" w:hAnsi="Times New Roman" w:cs="Times New Roman"/>
              </w:rPr>
              <w:t>and</w:t>
            </w:r>
            <w:r w:rsidRPr="003E2BD8">
              <w:rPr>
                <w:rFonts w:ascii="Times New Roman" w:eastAsia="Calibri" w:hAnsi="Times New Roman" w:cs="Times New Roman"/>
                <w:spacing w:val="2"/>
              </w:rPr>
              <w:t xml:space="preserve"> </w:t>
            </w:r>
            <w:r w:rsidRPr="003E2BD8">
              <w:rPr>
                <w:rFonts w:ascii="Times New Roman" w:eastAsia="Calibri" w:hAnsi="Times New Roman" w:cs="Times New Roman"/>
                <w:spacing w:val="-1"/>
              </w:rPr>
              <w:t>wi</w:t>
            </w:r>
            <w:r w:rsidRPr="003E2BD8">
              <w:rPr>
                <w:rFonts w:ascii="Times New Roman" w:eastAsia="Calibri" w:hAnsi="Times New Roman" w:cs="Times New Roman"/>
                <w:spacing w:val="1"/>
              </w:rPr>
              <w:t>l</w:t>
            </w:r>
            <w:r w:rsidRPr="003E2BD8">
              <w:rPr>
                <w:rFonts w:ascii="Times New Roman" w:eastAsia="Calibri" w:hAnsi="Times New Roman" w:cs="Times New Roman"/>
              </w:rPr>
              <w:t>l</w:t>
            </w:r>
            <w:r w:rsidRPr="003E2BD8">
              <w:rPr>
                <w:rFonts w:ascii="Times New Roman" w:eastAsia="Calibri" w:hAnsi="Times New Roman" w:cs="Times New Roman"/>
                <w:spacing w:val="3"/>
              </w:rPr>
              <w:t xml:space="preserve"> </w:t>
            </w:r>
            <w:r w:rsidRPr="003E2BD8">
              <w:rPr>
                <w:rFonts w:ascii="Times New Roman" w:eastAsia="Calibri" w:hAnsi="Times New Roman" w:cs="Times New Roman"/>
                <w:spacing w:val="-2"/>
              </w:rPr>
              <w:t>av</w:t>
            </w:r>
            <w:r w:rsidRPr="003E2BD8">
              <w:rPr>
                <w:rFonts w:ascii="Times New Roman" w:eastAsia="Calibri" w:hAnsi="Times New Roman" w:cs="Times New Roman"/>
              </w:rPr>
              <w:t>o</w:t>
            </w:r>
            <w:r w:rsidRPr="003E2BD8">
              <w:rPr>
                <w:rFonts w:ascii="Times New Roman" w:eastAsia="Calibri" w:hAnsi="Times New Roman" w:cs="Times New Roman"/>
                <w:spacing w:val="1"/>
              </w:rPr>
              <w:t>i</w:t>
            </w:r>
            <w:r w:rsidRPr="003E2BD8">
              <w:rPr>
                <w:rFonts w:ascii="Times New Roman" w:eastAsia="Calibri" w:hAnsi="Times New Roman" w:cs="Times New Roman"/>
              </w:rPr>
              <w:t>d</w:t>
            </w:r>
            <w:r w:rsidRPr="003E2BD8">
              <w:rPr>
                <w:rFonts w:ascii="Times New Roman" w:eastAsia="Calibri" w:hAnsi="Times New Roman" w:cs="Times New Roman"/>
                <w:spacing w:val="2"/>
              </w:rPr>
              <w:t xml:space="preserve"> </w:t>
            </w:r>
            <w:r w:rsidRPr="003E2BD8">
              <w:rPr>
                <w:rFonts w:ascii="Times New Roman" w:eastAsia="Calibri" w:hAnsi="Times New Roman" w:cs="Times New Roman"/>
              </w:rPr>
              <w:t>con</w:t>
            </w:r>
            <w:r w:rsidRPr="003E2BD8">
              <w:rPr>
                <w:rFonts w:ascii="Times New Roman" w:eastAsia="Calibri" w:hAnsi="Times New Roman" w:cs="Times New Roman"/>
                <w:spacing w:val="-2"/>
              </w:rPr>
              <w:t>v</w:t>
            </w:r>
            <w:r w:rsidRPr="003E2BD8">
              <w:rPr>
                <w:rFonts w:ascii="Times New Roman" w:eastAsia="Calibri" w:hAnsi="Times New Roman" w:cs="Times New Roman"/>
              </w:rPr>
              <w:t>e</w:t>
            </w:r>
            <w:r w:rsidRPr="003E2BD8">
              <w:rPr>
                <w:rFonts w:ascii="Times New Roman" w:eastAsia="Calibri" w:hAnsi="Times New Roman" w:cs="Times New Roman"/>
                <w:spacing w:val="1"/>
              </w:rPr>
              <w:t>r</w:t>
            </w:r>
            <w:r w:rsidRPr="003E2BD8">
              <w:rPr>
                <w:rFonts w:ascii="Times New Roman" w:eastAsia="Calibri" w:hAnsi="Times New Roman" w:cs="Times New Roman"/>
              </w:rPr>
              <w:t>s</w:t>
            </w:r>
            <w:r w:rsidRPr="003E2BD8">
              <w:rPr>
                <w:rFonts w:ascii="Times New Roman" w:eastAsia="Calibri" w:hAnsi="Times New Roman" w:cs="Times New Roman"/>
                <w:spacing w:val="1"/>
              </w:rPr>
              <w:t>i</w:t>
            </w:r>
            <w:r w:rsidRPr="003E2BD8">
              <w:rPr>
                <w:rFonts w:ascii="Times New Roman" w:eastAsia="Calibri" w:hAnsi="Times New Roman" w:cs="Times New Roman"/>
              </w:rPr>
              <w:t>on</w:t>
            </w:r>
            <w:r w:rsidRPr="003E2BD8">
              <w:rPr>
                <w:rFonts w:ascii="Times New Roman" w:eastAsia="Calibri" w:hAnsi="Times New Roman" w:cs="Times New Roman"/>
                <w:spacing w:val="2"/>
              </w:rPr>
              <w:t xml:space="preserve"> </w:t>
            </w:r>
            <w:r w:rsidRPr="003E2BD8">
              <w:rPr>
                <w:rFonts w:ascii="Times New Roman" w:eastAsia="Calibri" w:hAnsi="Times New Roman" w:cs="Times New Roman"/>
                <w:spacing w:val="-2"/>
              </w:rPr>
              <w:t>o</w:t>
            </w:r>
            <w:r w:rsidRPr="003E2BD8">
              <w:rPr>
                <w:rFonts w:ascii="Times New Roman" w:eastAsia="Calibri" w:hAnsi="Times New Roman" w:cs="Times New Roman"/>
              </w:rPr>
              <w:t>f</w:t>
            </w:r>
            <w:r w:rsidRPr="003E2BD8">
              <w:rPr>
                <w:rFonts w:ascii="Times New Roman" w:eastAsia="Calibri" w:hAnsi="Times New Roman" w:cs="Times New Roman"/>
                <w:spacing w:val="2"/>
              </w:rPr>
              <w:t xml:space="preserve"> </w:t>
            </w:r>
            <w:r w:rsidRPr="003E2BD8">
              <w:rPr>
                <w:rFonts w:ascii="Times New Roman" w:eastAsia="Calibri" w:hAnsi="Times New Roman" w:cs="Times New Roman"/>
              </w:rPr>
              <w:t>na</w:t>
            </w:r>
            <w:r w:rsidRPr="003E2BD8">
              <w:rPr>
                <w:rFonts w:ascii="Times New Roman" w:eastAsia="Calibri" w:hAnsi="Times New Roman" w:cs="Times New Roman"/>
                <w:spacing w:val="1"/>
              </w:rPr>
              <w:t>t</w:t>
            </w:r>
            <w:r w:rsidRPr="003E2BD8">
              <w:rPr>
                <w:rFonts w:ascii="Times New Roman" w:eastAsia="Calibri" w:hAnsi="Times New Roman" w:cs="Times New Roman"/>
                <w:spacing w:val="-2"/>
              </w:rPr>
              <w:t>u</w:t>
            </w:r>
            <w:r w:rsidRPr="003E2BD8">
              <w:rPr>
                <w:rFonts w:ascii="Times New Roman" w:eastAsia="Calibri" w:hAnsi="Times New Roman" w:cs="Times New Roman"/>
                <w:spacing w:val="1"/>
              </w:rPr>
              <w:t>r</w:t>
            </w:r>
            <w:r w:rsidRPr="003E2BD8">
              <w:rPr>
                <w:rFonts w:ascii="Times New Roman" w:eastAsia="Calibri" w:hAnsi="Times New Roman" w:cs="Times New Roman"/>
                <w:spacing w:val="-2"/>
              </w:rPr>
              <w:t>a</w:t>
            </w:r>
            <w:r w:rsidRPr="003E2BD8">
              <w:rPr>
                <w:rFonts w:ascii="Times New Roman" w:eastAsia="Calibri" w:hAnsi="Times New Roman" w:cs="Times New Roman"/>
              </w:rPr>
              <w:t>l hab</w:t>
            </w:r>
            <w:r w:rsidRPr="003E2BD8">
              <w:rPr>
                <w:rFonts w:ascii="Times New Roman" w:eastAsia="Calibri" w:hAnsi="Times New Roman" w:cs="Times New Roman"/>
                <w:spacing w:val="1"/>
              </w:rPr>
              <w:t>i</w:t>
            </w:r>
            <w:r w:rsidRPr="003E2BD8">
              <w:rPr>
                <w:rFonts w:ascii="Times New Roman" w:eastAsia="Calibri" w:hAnsi="Times New Roman" w:cs="Times New Roman"/>
                <w:spacing w:val="-1"/>
              </w:rPr>
              <w:t>t</w:t>
            </w:r>
            <w:r w:rsidRPr="003E2BD8">
              <w:rPr>
                <w:rFonts w:ascii="Times New Roman" w:eastAsia="Calibri" w:hAnsi="Times New Roman" w:cs="Times New Roman"/>
              </w:rPr>
              <w:t>a</w:t>
            </w:r>
            <w:r w:rsidRPr="003E2BD8">
              <w:rPr>
                <w:rFonts w:ascii="Times New Roman" w:eastAsia="Calibri" w:hAnsi="Times New Roman" w:cs="Times New Roman"/>
                <w:spacing w:val="6"/>
              </w:rPr>
              <w:t>t</w:t>
            </w:r>
            <w:r w:rsidRPr="003E2BD8">
              <w:rPr>
                <w:rFonts w:ascii="Times New Roman" w:eastAsia="Calibri" w:hAnsi="Times New Roman" w:cs="Times New Roman"/>
              </w:rPr>
              <w:t xml:space="preserve">. </w:t>
            </w:r>
          </w:p>
          <w:p w14:paraId="34DADEEF" w14:textId="77777777" w:rsidR="00847853" w:rsidRPr="003E2BD8" w:rsidRDefault="00847853" w:rsidP="00CA0715">
            <w:pPr>
              <w:numPr>
                <w:ilvl w:val="0"/>
                <w:numId w:val="23"/>
              </w:numPr>
              <w:spacing w:after="0" w:line="240" w:lineRule="auto"/>
              <w:jc w:val="both"/>
              <w:rPr>
                <w:rFonts w:ascii="Times New Roman" w:eastAsia="Times New Roman" w:hAnsi="Times New Roman" w:cs="Times New Roman"/>
                <w:b/>
                <w:bCs/>
                <w:lang w:val="x-none" w:eastAsia="x-none"/>
              </w:rPr>
            </w:pPr>
            <w:r w:rsidRPr="003E2BD8">
              <w:rPr>
                <w:rFonts w:ascii="Times New Roman" w:eastAsia="Times New Roman" w:hAnsi="Times New Roman" w:cs="Times New Roman"/>
                <w:bCs/>
                <w:lang w:val="x-none" w:eastAsia="x-none"/>
              </w:rPr>
              <w:t xml:space="preserve">Activities funded through the </w:t>
            </w:r>
            <w:r w:rsidR="00EB70A0" w:rsidRPr="003E2BD8">
              <w:rPr>
                <w:rFonts w:ascii="Times New Roman" w:eastAsia="Times New Roman" w:hAnsi="Times New Roman" w:cs="Times New Roman"/>
                <w:bCs/>
                <w:lang w:eastAsia="x-none"/>
              </w:rPr>
              <w:t xml:space="preserve">Program </w:t>
            </w:r>
            <w:r w:rsidRPr="003E2BD8">
              <w:rPr>
                <w:rFonts w:ascii="Times New Roman" w:eastAsia="Times New Roman" w:hAnsi="Times New Roman" w:cs="Times New Roman"/>
                <w:bCs/>
                <w:lang w:val="x-none" w:eastAsia="x-none"/>
              </w:rPr>
              <w:t xml:space="preserve">will </w:t>
            </w:r>
            <w:r w:rsidRPr="003E2BD8">
              <w:rPr>
                <w:rFonts w:ascii="Times New Roman" w:eastAsia="Times New Roman" w:hAnsi="Times New Roman" w:cs="Times New Roman"/>
                <w:bCs/>
                <w:lang w:eastAsia="x-none"/>
              </w:rPr>
              <w:t xml:space="preserve">not </w:t>
            </w:r>
            <w:r w:rsidRPr="003E2BD8">
              <w:rPr>
                <w:rFonts w:ascii="Times New Roman" w:eastAsia="Times New Roman" w:hAnsi="Times New Roman" w:cs="Times New Roman"/>
                <w:bCs/>
                <w:lang w:val="x-none" w:eastAsia="x-none"/>
              </w:rPr>
              <w:t xml:space="preserve">generate </w:t>
            </w:r>
            <w:r w:rsidRPr="003E2BD8">
              <w:rPr>
                <w:rFonts w:ascii="Times New Roman" w:eastAsia="Calibri" w:hAnsi="Times New Roman" w:cs="Times New Roman"/>
              </w:rPr>
              <w:t xml:space="preserve">adverse </w:t>
            </w:r>
            <w:r w:rsidRPr="003E2BD8">
              <w:rPr>
                <w:rFonts w:ascii="Times New Roman" w:eastAsia="Times New Roman" w:hAnsi="Times New Roman" w:cs="Times New Roman"/>
                <w:bCs/>
                <w:lang w:val="x-none" w:eastAsia="x-none"/>
              </w:rPr>
              <w:t xml:space="preserve"> impact on natural habitats and physical and cultural resources since civil works </w:t>
            </w:r>
            <w:r w:rsidRPr="003E2BD8">
              <w:rPr>
                <w:rFonts w:ascii="Times New Roman" w:eastAsia="Times New Roman" w:hAnsi="Times New Roman" w:cs="Times New Roman"/>
                <w:bCs/>
                <w:lang w:eastAsia="x-none"/>
              </w:rPr>
              <w:t xml:space="preserve">will only be situated </w:t>
            </w:r>
            <w:r w:rsidR="00EB70A0" w:rsidRPr="003E2BD8">
              <w:rPr>
                <w:rFonts w:ascii="Times New Roman" w:eastAsia="Times New Roman" w:hAnsi="Times New Roman" w:cs="Times New Roman"/>
                <w:bCs/>
                <w:lang w:val="x-none" w:eastAsia="x-none"/>
              </w:rPr>
              <w:t xml:space="preserve">built up areas and within existing right-of-way and premises. </w:t>
            </w:r>
            <w:r w:rsidRPr="003E2BD8">
              <w:rPr>
                <w:rFonts w:ascii="Times New Roman" w:eastAsia="Times New Roman" w:hAnsi="Times New Roman" w:cs="Times New Roman"/>
                <w:bCs/>
                <w:lang w:val="x-none" w:eastAsia="x-none"/>
              </w:rPr>
              <w:t xml:space="preserve"> </w:t>
            </w:r>
          </w:p>
          <w:p w14:paraId="4BA75948" w14:textId="77777777" w:rsidR="00847853" w:rsidRPr="003E2BD8" w:rsidRDefault="00847853" w:rsidP="00CA0715">
            <w:pPr>
              <w:numPr>
                <w:ilvl w:val="0"/>
                <w:numId w:val="23"/>
              </w:numPr>
              <w:spacing w:after="0" w:line="240" w:lineRule="auto"/>
              <w:jc w:val="both"/>
              <w:rPr>
                <w:rFonts w:ascii="Times New Roman" w:eastAsia="Times New Roman" w:hAnsi="Times New Roman" w:cs="Times New Roman"/>
                <w:b/>
                <w:bCs/>
                <w:lang w:val="x-none" w:eastAsia="x-none"/>
              </w:rPr>
            </w:pPr>
            <w:r w:rsidRPr="003E2BD8">
              <w:rPr>
                <w:rFonts w:ascii="Times New Roman" w:eastAsia="Times New Roman" w:hAnsi="Times New Roman" w:cs="Times New Roman"/>
                <w:bCs/>
                <w:lang w:eastAsia="x-none"/>
              </w:rPr>
              <w:t>Expected</w:t>
            </w:r>
            <w:r w:rsidRPr="003E2BD8">
              <w:rPr>
                <w:rFonts w:ascii="Times New Roman" w:eastAsia="Times New Roman" w:hAnsi="Times New Roman" w:cs="Times New Roman"/>
                <w:bCs/>
                <w:lang w:val="x-none" w:eastAsia="x-none"/>
              </w:rPr>
              <w:t xml:space="preserve"> to have a smaller physical footprint</w:t>
            </w:r>
            <w:r w:rsidR="00EB70A0" w:rsidRPr="003E2BD8">
              <w:rPr>
                <w:rFonts w:ascii="Times New Roman" w:eastAsia="Times New Roman" w:hAnsi="Times New Roman" w:cs="Times New Roman"/>
                <w:bCs/>
                <w:lang w:eastAsia="x-none"/>
              </w:rPr>
              <w:t xml:space="preserve"> as scale of subprojects is small to medium due to financing constraints</w:t>
            </w:r>
            <w:r w:rsidRPr="003E2BD8">
              <w:rPr>
                <w:rFonts w:ascii="Times New Roman" w:eastAsia="Times New Roman" w:hAnsi="Times New Roman" w:cs="Times New Roman"/>
                <w:bCs/>
                <w:lang w:val="x-none" w:eastAsia="x-none"/>
              </w:rPr>
              <w:t xml:space="preserve">. </w:t>
            </w:r>
          </w:p>
          <w:p w14:paraId="6E18EC8E" w14:textId="77777777" w:rsidR="00847853" w:rsidRPr="003E2BD8" w:rsidRDefault="00847853" w:rsidP="00CA0715">
            <w:pPr>
              <w:numPr>
                <w:ilvl w:val="0"/>
                <w:numId w:val="23"/>
              </w:numPr>
              <w:spacing w:after="0" w:line="240" w:lineRule="auto"/>
              <w:jc w:val="both"/>
              <w:rPr>
                <w:rFonts w:ascii="Times New Roman" w:eastAsia="Times New Roman" w:hAnsi="Times New Roman" w:cs="Times New Roman"/>
                <w:b/>
                <w:bCs/>
                <w:lang w:val="x-none" w:eastAsia="x-none"/>
              </w:rPr>
            </w:pPr>
            <w:r w:rsidRPr="003E2BD8">
              <w:rPr>
                <w:rFonts w:ascii="Times New Roman" w:eastAsia="Times New Roman" w:hAnsi="Times New Roman" w:cs="Times New Roman"/>
                <w:bCs/>
                <w:lang w:val="x-none" w:eastAsia="x-none"/>
              </w:rPr>
              <w:t xml:space="preserve">Construction </w:t>
            </w:r>
            <w:r w:rsidR="00EB70A0" w:rsidRPr="003E2BD8">
              <w:rPr>
                <w:rFonts w:ascii="Times New Roman" w:eastAsia="Times New Roman" w:hAnsi="Times New Roman" w:cs="Times New Roman"/>
                <w:bCs/>
                <w:lang w:eastAsia="x-none"/>
              </w:rPr>
              <w:t xml:space="preserve">and operation </w:t>
            </w:r>
            <w:r w:rsidRPr="003E2BD8">
              <w:rPr>
                <w:rFonts w:ascii="Times New Roman" w:eastAsia="Times New Roman" w:hAnsi="Times New Roman" w:cs="Times New Roman"/>
                <w:bCs/>
                <w:lang w:val="x-none" w:eastAsia="x-none"/>
              </w:rPr>
              <w:t xml:space="preserve">of </w:t>
            </w:r>
            <w:r w:rsidR="00EB70A0" w:rsidRPr="003E2BD8">
              <w:rPr>
                <w:rFonts w:ascii="Times New Roman" w:eastAsia="Times New Roman" w:hAnsi="Times New Roman" w:cs="Times New Roman"/>
                <w:bCs/>
                <w:lang w:eastAsia="x-none"/>
              </w:rPr>
              <w:t xml:space="preserve">a few </w:t>
            </w:r>
            <w:r w:rsidRPr="003E2BD8">
              <w:rPr>
                <w:rFonts w:ascii="Times New Roman" w:eastAsia="Times New Roman" w:hAnsi="Times New Roman" w:cs="Times New Roman"/>
                <w:bCs/>
                <w:lang w:val="x-none" w:eastAsia="x-none"/>
              </w:rPr>
              <w:t xml:space="preserve">infrastructures such as </w:t>
            </w:r>
            <w:r w:rsidR="00EB70A0" w:rsidRPr="003E2BD8">
              <w:rPr>
                <w:rFonts w:ascii="Times New Roman" w:eastAsia="Times New Roman" w:hAnsi="Times New Roman" w:cs="Times New Roman"/>
                <w:bCs/>
                <w:lang w:eastAsia="x-none"/>
              </w:rPr>
              <w:t>abattoir</w:t>
            </w:r>
            <w:r w:rsidRPr="003E2BD8">
              <w:rPr>
                <w:rFonts w:ascii="Times New Roman" w:eastAsia="Times New Roman" w:hAnsi="Times New Roman" w:cs="Times New Roman"/>
                <w:bCs/>
                <w:lang w:val="x-none" w:eastAsia="x-none"/>
              </w:rPr>
              <w:t xml:space="preserve"> could pose some risk to natural habitats if not sited appropriately.</w:t>
            </w:r>
          </w:p>
        </w:tc>
      </w:tr>
      <w:tr w:rsidR="00847853" w:rsidRPr="003E2BD8" w14:paraId="47C1CA7E" w14:textId="77777777" w:rsidTr="00D316D4">
        <w:tc>
          <w:tcPr>
            <w:tcW w:w="9498" w:type="dxa"/>
            <w:shd w:val="clear" w:color="auto" w:fill="auto"/>
          </w:tcPr>
          <w:p w14:paraId="76DCA63C" w14:textId="77777777" w:rsidR="00847853" w:rsidRPr="003E2BD8" w:rsidRDefault="00847853" w:rsidP="00CA0715">
            <w:pPr>
              <w:spacing w:after="0" w:line="240" w:lineRule="auto"/>
              <w:jc w:val="both"/>
              <w:rPr>
                <w:rFonts w:ascii="Times New Roman" w:eastAsia="Calibri" w:hAnsi="Times New Roman" w:cs="Times New Roman"/>
                <w:b/>
                <w:bCs/>
              </w:rPr>
            </w:pPr>
            <w:r w:rsidRPr="003E2BD8">
              <w:rPr>
                <w:rFonts w:ascii="Times New Roman" w:eastAsia="Calibri" w:hAnsi="Times New Roman" w:cs="Times New Roman"/>
                <w:b/>
                <w:bCs/>
              </w:rPr>
              <w:t>System Strengthen/Summary of Findings</w:t>
            </w:r>
          </w:p>
          <w:p w14:paraId="09E24EED" w14:textId="77777777" w:rsidR="00847853" w:rsidRPr="003E2BD8" w:rsidRDefault="00847853" w:rsidP="00CA0715">
            <w:pPr>
              <w:numPr>
                <w:ilvl w:val="0"/>
                <w:numId w:val="18"/>
              </w:numPr>
              <w:spacing w:after="0" w:line="240" w:lineRule="auto"/>
              <w:jc w:val="both"/>
              <w:rPr>
                <w:rFonts w:ascii="Times New Roman" w:eastAsia="Times New Roman" w:hAnsi="Times New Roman" w:cs="Times New Roman"/>
                <w:b/>
                <w:bCs/>
                <w:lang w:val="x-none" w:eastAsia="x-none"/>
              </w:rPr>
            </w:pPr>
            <w:r w:rsidRPr="003E2BD8">
              <w:rPr>
                <w:rFonts w:ascii="Times New Roman" w:eastAsia="Times New Roman" w:hAnsi="Times New Roman" w:cs="Times New Roman"/>
                <w:bCs/>
                <w:lang w:val="x-none" w:eastAsia="x-none"/>
              </w:rPr>
              <w:t>National proclamation and EIA procedural guidelines are consistent with the principle of environmental protection</w:t>
            </w:r>
            <w:r w:rsidR="00EB70A0" w:rsidRPr="003E2BD8">
              <w:rPr>
                <w:rFonts w:ascii="Times New Roman" w:eastAsia="Times New Roman" w:hAnsi="Times New Roman" w:cs="Times New Roman"/>
                <w:bCs/>
                <w:lang w:eastAsia="x-none"/>
              </w:rPr>
              <w:t>.</w:t>
            </w:r>
          </w:p>
          <w:p w14:paraId="49FA88C7" w14:textId="77777777" w:rsidR="00847853" w:rsidRPr="003E2BD8" w:rsidRDefault="00847853" w:rsidP="00CA0715">
            <w:pPr>
              <w:numPr>
                <w:ilvl w:val="0"/>
                <w:numId w:val="18"/>
              </w:numPr>
              <w:spacing w:after="0" w:line="240" w:lineRule="auto"/>
              <w:jc w:val="both"/>
              <w:rPr>
                <w:rFonts w:ascii="Times New Roman" w:eastAsia="Times New Roman" w:hAnsi="Times New Roman" w:cs="Times New Roman"/>
                <w:b/>
                <w:bCs/>
                <w:lang w:val="x-none" w:eastAsia="x-none"/>
              </w:rPr>
            </w:pPr>
            <w:r w:rsidRPr="003E2BD8">
              <w:rPr>
                <w:rFonts w:ascii="Times New Roman" w:eastAsia="Times New Roman" w:hAnsi="Times New Roman" w:cs="Times New Roman"/>
                <w:bCs/>
                <w:lang w:val="x-none" w:eastAsia="x-none"/>
              </w:rPr>
              <w:t>Screening criteria fo</w:t>
            </w:r>
            <w:r w:rsidR="00EB70A0" w:rsidRPr="003E2BD8">
              <w:rPr>
                <w:rFonts w:ascii="Times New Roman" w:eastAsia="Times New Roman" w:hAnsi="Times New Roman" w:cs="Times New Roman"/>
                <w:bCs/>
                <w:lang w:val="x-none" w:eastAsia="x-none"/>
              </w:rPr>
              <w:t>r projects in national parks,</w:t>
            </w:r>
            <w:r w:rsidRPr="003E2BD8">
              <w:rPr>
                <w:rFonts w:ascii="Times New Roman" w:eastAsia="Times New Roman" w:hAnsi="Times New Roman" w:cs="Times New Roman"/>
                <w:bCs/>
                <w:lang w:val="x-none" w:eastAsia="x-none"/>
              </w:rPr>
              <w:t xml:space="preserve"> areas containing endangered flora and fauna </w:t>
            </w:r>
            <w:r w:rsidR="00EB70A0" w:rsidRPr="003E2BD8">
              <w:rPr>
                <w:rFonts w:ascii="Times New Roman" w:eastAsia="Times New Roman" w:hAnsi="Times New Roman" w:cs="Times New Roman"/>
                <w:bCs/>
                <w:lang w:eastAsia="x-none"/>
              </w:rPr>
              <w:t xml:space="preserve">and cultural resources </w:t>
            </w:r>
            <w:r w:rsidRPr="003E2BD8">
              <w:rPr>
                <w:rFonts w:ascii="Times New Roman" w:eastAsia="Times New Roman" w:hAnsi="Times New Roman" w:cs="Times New Roman"/>
                <w:bCs/>
                <w:lang w:val="x-none" w:eastAsia="x-none"/>
              </w:rPr>
              <w:t>are established</w:t>
            </w:r>
            <w:r w:rsidR="00EB70A0" w:rsidRPr="003E2BD8">
              <w:rPr>
                <w:rFonts w:ascii="Times New Roman" w:eastAsia="Times New Roman" w:hAnsi="Times New Roman" w:cs="Times New Roman"/>
                <w:bCs/>
                <w:lang w:eastAsia="x-none"/>
              </w:rPr>
              <w:t xml:space="preserve"> under Schedule 3 of LI 1652</w:t>
            </w:r>
            <w:r w:rsidRPr="003E2BD8">
              <w:rPr>
                <w:rFonts w:ascii="Times New Roman" w:eastAsia="Times New Roman" w:hAnsi="Times New Roman" w:cs="Times New Roman"/>
                <w:bCs/>
                <w:lang w:val="x-none" w:eastAsia="x-none"/>
              </w:rPr>
              <w:t>.</w:t>
            </w:r>
          </w:p>
          <w:p w14:paraId="2B5E1A5A" w14:textId="77777777" w:rsidR="00847853" w:rsidRPr="003E2BD8" w:rsidRDefault="00847853" w:rsidP="00CA0715">
            <w:pPr>
              <w:numPr>
                <w:ilvl w:val="0"/>
                <w:numId w:val="18"/>
              </w:numPr>
              <w:spacing w:after="0" w:line="240" w:lineRule="auto"/>
              <w:ind w:right="65"/>
              <w:contextualSpacing/>
              <w:jc w:val="both"/>
              <w:rPr>
                <w:rFonts w:ascii="Times New Roman" w:eastAsia="Times New Roman" w:hAnsi="Times New Roman" w:cs="Times New Roman"/>
                <w:lang w:val="x-none" w:eastAsia="x-none"/>
              </w:rPr>
            </w:pPr>
            <w:r w:rsidRPr="003E2BD8">
              <w:rPr>
                <w:rFonts w:ascii="Times New Roman" w:eastAsia="Times New Roman" w:hAnsi="Times New Roman" w:cs="Times New Roman"/>
                <w:lang w:val="x-none" w:eastAsia="x-none"/>
              </w:rPr>
              <w:t>The existing legislation for EIA process considers</w:t>
            </w:r>
            <w:r w:rsidR="00EB70A0" w:rsidRPr="003E2BD8">
              <w:rPr>
                <w:rFonts w:ascii="Times New Roman" w:eastAsia="Times New Roman" w:hAnsi="Times New Roman" w:cs="Times New Roman"/>
                <w:lang w:eastAsia="x-none"/>
              </w:rPr>
              <w:t xml:space="preserve"> impacts on natural habitats and</w:t>
            </w:r>
            <w:r w:rsidRPr="003E2BD8">
              <w:rPr>
                <w:rFonts w:ascii="Times New Roman" w:eastAsia="Times New Roman" w:hAnsi="Times New Roman" w:cs="Times New Roman"/>
                <w:lang w:val="x-none" w:eastAsia="x-none"/>
              </w:rPr>
              <w:t xml:space="preserve"> physical cultural resources</w:t>
            </w:r>
            <w:r w:rsidR="00EB70A0" w:rsidRPr="003E2BD8">
              <w:rPr>
                <w:rFonts w:ascii="Times New Roman" w:eastAsia="Times New Roman" w:hAnsi="Times New Roman" w:cs="Times New Roman"/>
                <w:lang w:eastAsia="x-none"/>
              </w:rPr>
              <w:t xml:space="preserve"> as mentioned in Schedule 3 of LI 1652.</w:t>
            </w:r>
          </w:p>
          <w:p w14:paraId="5425C34A" w14:textId="77777777" w:rsidR="00847853" w:rsidRPr="003E2BD8" w:rsidRDefault="00EB70A0" w:rsidP="00CA0715">
            <w:pPr>
              <w:numPr>
                <w:ilvl w:val="0"/>
                <w:numId w:val="18"/>
              </w:numPr>
              <w:spacing w:after="0" w:line="240" w:lineRule="auto"/>
              <w:ind w:right="65"/>
              <w:contextualSpacing/>
              <w:jc w:val="both"/>
              <w:rPr>
                <w:rFonts w:ascii="Times New Roman" w:eastAsia="Times New Roman" w:hAnsi="Times New Roman" w:cs="Times New Roman"/>
                <w:lang w:val="x-none" w:eastAsia="x-none"/>
              </w:rPr>
            </w:pPr>
            <w:r w:rsidRPr="003E2BD8">
              <w:rPr>
                <w:rFonts w:ascii="Times New Roman" w:eastAsia="Times New Roman" w:hAnsi="Times New Roman" w:cs="Times New Roman"/>
                <w:lang w:eastAsia="x-none"/>
              </w:rPr>
              <w:t>Program will exclude subprojects that have adverse impacts on natural habitats and physical cultural resources</w:t>
            </w:r>
            <w:r w:rsidR="00847853" w:rsidRPr="003E2BD8">
              <w:rPr>
                <w:rFonts w:ascii="Times New Roman" w:eastAsia="Times New Roman" w:hAnsi="Times New Roman" w:cs="Times New Roman"/>
                <w:lang w:val="x-none" w:eastAsia="x-none"/>
              </w:rPr>
              <w:t>.</w:t>
            </w:r>
          </w:p>
        </w:tc>
      </w:tr>
      <w:tr w:rsidR="00847853" w:rsidRPr="003E2BD8" w14:paraId="26803698" w14:textId="77777777" w:rsidTr="00D316D4">
        <w:tc>
          <w:tcPr>
            <w:tcW w:w="9498" w:type="dxa"/>
            <w:shd w:val="clear" w:color="auto" w:fill="auto"/>
          </w:tcPr>
          <w:p w14:paraId="70823117" w14:textId="77777777" w:rsidR="00847853" w:rsidRPr="003E2BD8" w:rsidRDefault="00847853" w:rsidP="00CA0715">
            <w:pPr>
              <w:spacing w:after="0" w:line="240" w:lineRule="auto"/>
              <w:jc w:val="both"/>
              <w:rPr>
                <w:rFonts w:ascii="Times New Roman" w:eastAsia="Calibri" w:hAnsi="Times New Roman" w:cs="Times New Roman"/>
                <w:b/>
              </w:rPr>
            </w:pPr>
            <w:r w:rsidRPr="003E2BD8">
              <w:rPr>
                <w:rFonts w:ascii="Times New Roman" w:eastAsia="Calibri" w:hAnsi="Times New Roman" w:cs="Times New Roman"/>
                <w:b/>
              </w:rPr>
              <w:t>Gaps</w:t>
            </w:r>
          </w:p>
          <w:p w14:paraId="4DA24015" w14:textId="77777777" w:rsidR="00847853" w:rsidRPr="003E2BD8" w:rsidRDefault="00EB70A0" w:rsidP="00CA0715">
            <w:pPr>
              <w:numPr>
                <w:ilvl w:val="0"/>
                <w:numId w:val="19"/>
              </w:numPr>
              <w:spacing w:after="0" w:line="240" w:lineRule="auto"/>
              <w:jc w:val="both"/>
              <w:rPr>
                <w:rFonts w:ascii="Times New Roman" w:eastAsia="Times New Roman" w:hAnsi="Times New Roman" w:cs="Times New Roman"/>
                <w:lang w:val="x-none" w:eastAsia="x-none"/>
              </w:rPr>
            </w:pPr>
            <w:r w:rsidRPr="003E2BD8">
              <w:rPr>
                <w:rFonts w:ascii="Times New Roman" w:eastAsia="Times New Roman" w:hAnsi="Times New Roman" w:cs="Times New Roman"/>
                <w:lang w:eastAsia="x-none"/>
              </w:rPr>
              <w:t xml:space="preserve">Weak enforcement of civil contracts </w:t>
            </w:r>
            <w:r w:rsidRPr="003E2BD8">
              <w:rPr>
                <w:rFonts w:ascii="Times New Roman" w:eastAsia="Times New Roman" w:hAnsi="Times New Roman" w:cs="Times New Roman"/>
                <w:lang w:val="x-none" w:eastAsia="x-none"/>
              </w:rPr>
              <w:t>and lax monitoring during construction.</w:t>
            </w:r>
            <w:r w:rsidR="00847853" w:rsidRPr="003E2BD8">
              <w:rPr>
                <w:rFonts w:ascii="Times New Roman" w:eastAsia="Times New Roman" w:hAnsi="Times New Roman" w:cs="Times New Roman"/>
                <w:lang w:val="x-none" w:eastAsia="x-none"/>
              </w:rPr>
              <w:t xml:space="preserve"> </w:t>
            </w:r>
          </w:p>
          <w:p w14:paraId="648141DD" w14:textId="77777777" w:rsidR="00847853" w:rsidRPr="003E2BD8" w:rsidRDefault="00EB70A0" w:rsidP="00CA0715">
            <w:pPr>
              <w:numPr>
                <w:ilvl w:val="0"/>
                <w:numId w:val="19"/>
              </w:numPr>
              <w:spacing w:after="0" w:line="240" w:lineRule="auto"/>
              <w:jc w:val="both"/>
              <w:rPr>
                <w:rFonts w:ascii="Times New Roman" w:eastAsia="Times New Roman" w:hAnsi="Times New Roman" w:cs="Times New Roman"/>
                <w:lang w:val="x-none" w:eastAsia="x-none"/>
              </w:rPr>
            </w:pPr>
            <w:r w:rsidRPr="003E2BD8">
              <w:rPr>
                <w:rFonts w:ascii="Times New Roman" w:eastAsia="Times New Roman" w:hAnsi="Times New Roman" w:cs="Times New Roman"/>
                <w:lang w:eastAsia="x-none"/>
              </w:rPr>
              <w:t>Weak</w:t>
            </w:r>
            <w:r w:rsidR="00847853" w:rsidRPr="003E2BD8">
              <w:rPr>
                <w:rFonts w:ascii="Times New Roman" w:eastAsia="Times New Roman" w:hAnsi="Times New Roman" w:cs="Times New Roman"/>
                <w:lang w:val="x-none" w:eastAsia="x-none"/>
              </w:rPr>
              <w:t xml:space="preserve"> capacity to assess the potential impacts on the natural habitats and physical cultural resources.</w:t>
            </w:r>
          </w:p>
          <w:p w14:paraId="4DC8AC20" w14:textId="77777777" w:rsidR="00847853" w:rsidRPr="003E2BD8" w:rsidRDefault="00847853" w:rsidP="00CA0715">
            <w:pPr>
              <w:numPr>
                <w:ilvl w:val="0"/>
                <w:numId w:val="19"/>
              </w:numPr>
              <w:spacing w:after="0" w:line="240" w:lineRule="auto"/>
              <w:jc w:val="both"/>
              <w:rPr>
                <w:rFonts w:ascii="Times New Roman" w:eastAsia="Times New Roman" w:hAnsi="Times New Roman" w:cs="Times New Roman"/>
                <w:b/>
                <w:bCs/>
                <w:lang w:val="x-none" w:eastAsia="x-none"/>
              </w:rPr>
            </w:pPr>
            <w:r w:rsidRPr="003E2BD8">
              <w:rPr>
                <w:rFonts w:ascii="Times New Roman" w:eastAsia="Calibri" w:hAnsi="Times New Roman" w:cs="Times New Roman"/>
              </w:rPr>
              <w:t>During excavation works, known or unknown physical cultural resources like antiquities, relics of cultural and religious valued resources might not be properly identified and be affected.</w:t>
            </w:r>
            <w:r w:rsidRPr="003E2BD8" w:rsidDel="00983FF3">
              <w:rPr>
                <w:rFonts w:ascii="Times New Roman" w:eastAsia="Calibri" w:hAnsi="Times New Roman" w:cs="Times New Roman"/>
              </w:rPr>
              <w:t xml:space="preserve"> </w:t>
            </w:r>
          </w:p>
        </w:tc>
      </w:tr>
      <w:tr w:rsidR="00847853" w:rsidRPr="003E2BD8" w14:paraId="31C55C27" w14:textId="77777777" w:rsidTr="00D316D4">
        <w:tc>
          <w:tcPr>
            <w:tcW w:w="9498" w:type="dxa"/>
            <w:shd w:val="clear" w:color="auto" w:fill="auto"/>
          </w:tcPr>
          <w:p w14:paraId="1FBB3F6F" w14:textId="77777777" w:rsidR="00847853" w:rsidRPr="003E2BD8" w:rsidRDefault="00847853" w:rsidP="00CA0715">
            <w:pPr>
              <w:spacing w:after="0" w:line="240" w:lineRule="auto"/>
              <w:jc w:val="both"/>
              <w:rPr>
                <w:rFonts w:ascii="Times New Roman" w:eastAsia="Calibri" w:hAnsi="Times New Roman" w:cs="Times New Roman"/>
                <w:b/>
                <w:bCs/>
              </w:rPr>
            </w:pPr>
            <w:r w:rsidRPr="003E2BD8">
              <w:rPr>
                <w:rFonts w:ascii="Times New Roman" w:eastAsia="Calibri" w:hAnsi="Times New Roman" w:cs="Times New Roman"/>
                <w:b/>
                <w:bCs/>
              </w:rPr>
              <w:t>Opportunities/Actions</w:t>
            </w:r>
          </w:p>
          <w:p w14:paraId="6D7D5379" w14:textId="77777777" w:rsidR="00847853" w:rsidRPr="003E2BD8" w:rsidRDefault="00EB70A0" w:rsidP="00CA0715">
            <w:pPr>
              <w:numPr>
                <w:ilvl w:val="0"/>
                <w:numId w:val="30"/>
              </w:numPr>
              <w:spacing w:after="0" w:line="240" w:lineRule="auto"/>
              <w:jc w:val="both"/>
              <w:rPr>
                <w:rFonts w:ascii="Times New Roman" w:eastAsia="Times New Roman" w:hAnsi="Times New Roman" w:cs="Times New Roman"/>
                <w:b/>
                <w:bCs/>
                <w:lang w:val="x-none" w:eastAsia="x-none"/>
              </w:rPr>
            </w:pPr>
            <w:r w:rsidRPr="003E2BD8">
              <w:rPr>
                <w:rFonts w:ascii="Times New Roman" w:eastAsia="Calibri" w:hAnsi="Times New Roman" w:cs="Times New Roman"/>
              </w:rPr>
              <w:t>Enforce exclusion list in the Program.</w:t>
            </w:r>
            <w:r w:rsidR="00847853" w:rsidRPr="003E2BD8">
              <w:rPr>
                <w:rFonts w:ascii="Times New Roman" w:eastAsia="Calibri" w:hAnsi="Times New Roman" w:cs="Times New Roman"/>
              </w:rPr>
              <w:t xml:space="preserve"> </w:t>
            </w:r>
          </w:p>
          <w:p w14:paraId="7BF8341A" w14:textId="77777777" w:rsidR="00847853" w:rsidRPr="003E2BD8" w:rsidRDefault="00847853" w:rsidP="00CA0715">
            <w:pPr>
              <w:numPr>
                <w:ilvl w:val="0"/>
                <w:numId w:val="30"/>
              </w:numPr>
              <w:spacing w:after="0" w:line="240" w:lineRule="auto"/>
              <w:jc w:val="both"/>
              <w:rPr>
                <w:rFonts w:ascii="Times New Roman" w:eastAsia="Times New Roman" w:hAnsi="Times New Roman" w:cs="Times New Roman"/>
                <w:b/>
                <w:bCs/>
                <w:lang w:val="x-none" w:eastAsia="x-none"/>
              </w:rPr>
            </w:pPr>
            <w:r w:rsidRPr="003E2BD8">
              <w:rPr>
                <w:rFonts w:ascii="Times New Roman" w:eastAsia="Calibri" w:hAnsi="Times New Roman" w:cs="Times New Roman"/>
              </w:rPr>
              <w:t>Allocate sufficient budget</w:t>
            </w:r>
            <w:r w:rsidR="00916308" w:rsidRPr="003E2BD8">
              <w:rPr>
                <w:rFonts w:ascii="Times New Roman" w:eastAsia="Calibri" w:hAnsi="Times New Roman" w:cs="Times New Roman"/>
              </w:rPr>
              <w:t xml:space="preserve"> and resources</w:t>
            </w:r>
            <w:r w:rsidRPr="003E2BD8">
              <w:rPr>
                <w:rFonts w:ascii="Times New Roman" w:eastAsia="Calibri" w:hAnsi="Times New Roman" w:cs="Times New Roman"/>
              </w:rPr>
              <w:t xml:space="preserve"> for the identification and management of natural habitats and PCRs</w:t>
            </w:r>
            <w:r w:rsidR="00916308" w:rsidRPr="003E2BD8">
              <w:rPr>
                <w:rFonts w:ascii="Times New Roman" w:eastAsia="Calibri" w:hAnsi="Times New Roman" w:cs="Times New Roman"/>
              </w:rPr>
              <w:t>.</w:t>
            </w:r>
          </w:p>
          <w:p w14:paraId="7BF3C00E" w14:textId="77777777" w:rsidR="00847853" w:rsidRPr="003E2BD8" w:rsidRDefault="00847853" w:rsidP="00CA0715">
            <w:pPr>
              <w:numPr>
                <w:ilvl w:val="0"/>
                <w:numId w:val="30"/>
              </w:numPr>
              <w:spacing w:after="0" w:line="240" w:lineRule="auto"/>
              <w:jc w:val="both"/>
              <w:rPr>
                <w:rFonts w:ascii="Times New Roman" w:eastAsia="Times New Roman" w:hAnsi="Times New Roman" w:cs="Times New Roman"/>
                <w:b/>
                <w:bCs/>
                <w:lang w:val="x-none" w:eastAsia="x-none"/>
              </w:rPr>
            </w:pPr>
            <w:r w:rsidRPr="003E2BD8">
              <w:rPr>
                <w:rFonts w:ascii="Times New Roman" w:eastAsia="Calibri" w:hAnsi="Times New Roman" w:cs="Times New Roman"/>
              </w:rPr>
              <w:t>Improve the level of awareness on safeguarding threatened habitats and PCRs</w:t>
            </w:r>
          </w:p>
          <w:p w14:paraId="511BC79B" w14:textId="77777777" w:rsidR="00847853" w:rsidRPr="003E2BD8" w:rsidRDefault="00847853" w:rsidP="00CA0715">
            <w:pPr>
              <w:numPr>
                <w:ilvl w:val="0"/>
                <w:numId w:val="30"/>
              </w:numPr>
              <w:spacing w:after="0" w:line="240" w:lineRule="auto"/>
              <w:jc w:val="both"/>
              <w:rPr>
                <w:rFonts w:ascii="Times New Roman" w:eastAsia="Times New Roman" w:hAnsi="Times New Roman" w:cs="Times New Roman"/>
                <w:b/>
                <w:bCs/>
                <w:lang w:val="x-none" w:eastAsia="x-none"/>
              </w:rPr>
            </w:pPr>
            <w:r w:rsidRPr="003E2BD8">
              <w:rPr>
                <w:rFonts w:ascii="Times New Roman" w:eastAsia="Times New Roman" w:hAnsi="Times New Roman" w:cs="Times New Roman"/>
                <w:lang w:val="x-none" w:eastAsia="x-none"/>
              </w:rPr>
              <w:t>Strengthen the screening procedures to include a check list to assess whether a subproject has the potential for disturbing</w:t>
            </w:r>
            <w:r w:rsidRPr="003E2BD8">
              <w:rPr>
                <w:rFonts w:ascii="Times New Roman" w:eastAsia="Times New Roman" w:hAnsi="Times New Roman" w:cs="Times New Roman"/>
                <w:lang w:eastAsia="x-none"/>
              </w:rPr>
              <w:t xml:space="preserve"> and affecting </w:t>
            </w:r>
            <w:r w:rsidRPr="003E2BD8">
              <w:rPr>
                <w:rFonts w:ascii="Times New Roman" w:eastAsia="Times New Roman" w:hAnsi="Times New Roman" w:cs="Times New Roman"/>
                <w:lang w:val="x-none" w:eastAsia="x-none"/>
              </w:rPr>
              <w:t>a k</w:t>
            </w:r>
            <w:r w:rsidR="00916308" w:rsidRPr="003E2BD8">
              <w:rPr>
                <w:rFonts w:ascii="Times New Roman" w:eastAsia="Times New Roman" w:hAnsi="Times New Roman" w:cs="Times New Roman"/>
                <w:lang w:val="x-none" w:eastAsia="x-none"/>
              </w:rPr>
              <w:t>nown cultural or religious site.</w:t>
            </w:r>
          </w:p>
        </w:tc>
      </w:tr>
      <w:tr w:rsidR="00847853" w:rsidRPr="003E2BD8" w14:paraId="64347CFB" w14:textId="77777777" w:rsidTr="00D316D4">
        <w:tc>
          <w:tcPr>
            <w:tcW w:w="9498" w:type="dxa"/>
            <w:shd w:val="clear" w:color="auto" w:fill="auto"/>
          </w:tcPr>
          <w:p w14:paraId="7B6D0BA5" w14:textId="77777777" w:rsidR="00847853" w:rsidRPr="003E2BD8" w:rsidRDefault="00847853" w:rsidP="00CA0715">
            <w:pPr>
              <w:spacing w:after="0" w:line="240" w:lineRule="auto"/>
              <w:jc w:val="both"/>
              <w:rPr>
                <w:rFonts w:ascii="Times New Roman" w:eastAsia="Calibri" w:hAnsi="Times New Roman" w:cs="Times New Roman"/>
                <w:b/>
                <w:bCs/>
              </w:rPr>
            </w:pPr>
            <w:r w:rsidRPr="003E2BD8">
              <w:rPr>
                <w:rFonts w:ascii="Times New Roman" w:eastAsia="Calibri" w:hAnsi="Times New Roman" w:cs="Times New Roman"/>
                <w:b/>
                <w:bCs/>
              </w:rPr>
              <w:t>Risks:</w:t>
            </w:r>
          </w:p>
          <w:p w14:paraId="2164C416" w14:textId="77777777" w:rsidR="00847853" w:rsidRPr="003E2BD8" w:rsidRDefault="00916308" w:rsidP="00CA0715">
            <w:pPr>
              <w:numPr>
                <w:ilvl w:val="0"/>
                <w:numId w:val="24"/>
              </w:numPr>
              <w:spacing w:after="0" w:line="240" w:lineRule="auto"/>
              <w:jc w:val="both"/>
              <w:rPr>
                <w:rFonts w:ascii="Times New Roman" w:eastAsia="Times New Roman" w:hAnsi="Times New Roman" w:cs="Times New Roman"/>
                <w:b/>
                <w:bCs/>
                <w:lang w:val="x-none" w:eastAsia="x-none"/>
              </w:rPr>
            </w:pPr>
            <w:r w:rsidRPr="003E2BD8">
              <w:rPr>
                <w:rFonts w:ascii="Times New Roman" w:eastAsia="Times New Roman" w:hAnsi="Times New Roman" w:cs="Times New Roman"/>
                <w:bCs/>
                <w:lang w:eastAsia="x-none"/>
              </w:rPr>
              <w:t>Inability to screen subprojects and impacts on natural habitats and PCRs.</w:t>
            </w:r>
          </w:p>
          <w:p w14:paraId="31C33F4F" w14:textId="77777777" w:rsidR="00847853" w:rsidRPr="003E2BD8" w:rsidRDefault="00916308" w:rsidP="00CA0715">
            <w:pPr>
              <w:numPr>
                <w:ilvl w:val="0"/>
                <w:numId w:val="24"/>
              </w:numPr>
              <w:autoSpaceDE w:val="0"/>
              <w:autoSpaceDN w:val="0"/>
              <w:adjustRightInd w:val="0"/>
              <w:spacing w:after="0" w:line="240" w:lineRule="auto"/>
              <w:jc w:val="both"/>
              <w:rPr>
                <w:rFonts w:ascii="Times New Roman" w:eastAsia="Symbol" w:hAnsi="Times New Roman" w:cs="Times New Roman"/>
              </w:rPr>
            </w:pPr>
            <w:r w:rsidRPr="003E2BD8">
              <w:rPr>
                <w:rFonts w:ascii="Times New Roman" w:eastAsia="Symbol" w:hAnsi="Times New Roman" w:cs="Times New Roman"/>
              </w:rPr>
              <w:t>Specific measures to manage impacts on PCRs and natural habitats are not included in the subproject cost.</w:t>
            </w:r>
          </w:p>
          <w:p w14:paraId="2A607FD5" w14:textId="77777777" w:rsidR="00847853" w:rsidRPr="003E2BD8" w:rsidRDefault="00916308" w:rsidP="00CA0715">
            <w:pPr>
              <w:numPr>
                <w:ilvl w:val="0"/>
                <w:numId w:val="24"/>
              </w:numPr>
              <w:spacing w:after="0" w:line="240" w:lineRule="auto"/>
              <w:ind w:right="-37"/>
              <w:jc w:val="both"/>
              <w:rPr>
                <w:rFonts w:ascii="Times New Roman" w:eastAsia="Symbol" w:hAnsi="Times New Roman" w:cs="Times New Roman"/>
              </w:rPr>
            </w:pPr>
            <w:r w:rsidRPr="003E2BD8">
              <w:rPr>
                <w:rFonts w:ascii="Times New Roman" w:eastAsia="Calibri" w:hAnsi="Times New Roman" w:cs="Times New Roman"/>
              </w:rPr>
              <w:t>Lack of commitment and resources to implement E &amp; S actions as part of the Program Action Plan</w:t>
            </w:r>
            <w:r w:rsidR="00847853" w:rsidRPr="003E2BD8">
              <w:rPr>
                <w:rFonts w:ascii="Times New Roman" w:eastAsia="Calibri" w:hAnsi="Times New Roman" w:cs="Times New Roman"/>
              </w:rPr>
              <w:t>.</w:t>
            </w:r>
          </w:p>
          <w:p w14:paraId="5314E8D1" w14:textId="77777777" w:rsidR="00847853" w:rsidRPr="003E2BD8" w:rsidRDefault="00847853" w:rsidP="00CA0715">
            <w:pPr>
              <w:numPr>
                <w:ilvl w:val="0"/>
                <w:numId w:val="24"/>
              </w:numPr>
              <w:spacing w:after="0" w:line="240" w:lineRule="auto"/>
              <w:jc w:val="both"/>
              <w:rPr>
                <w:rFonts w:ascii="Times New Roman" w:eastAsia="Times New Roman" w:hAnsi="Times New Roman" w:cs="Times New Roman"/>
                <w:b/>
                <w:bCs/>
                <w:lang w:val="x-none" w:eastAsia="x-none"/>
              </w:rPr>
            </w:pPr>
            <w:r w:rsidRPr="003E2BD8">
              <w:rPr>
                <w:rFonts w:ascii="Times New Roman" w:eastAsia="Calibri" w:hAnsi="Times New Roman" w:cs="Times New Roman"/>
                <w:b/>
              </w:rPr>
              <w:t>Risk level: Moderate</w:t>
            </w:r>
          </w:p>
        </w:tc>
      </w:tr>
    </w:tbl>
    <w:p w14:paraId="4CAB87F8" w14:textId="77777777" w:rsidR="00916308" w:rsidRPr="003E2BD8" w:rsidRDefault="00916308" w:rsidP="00CA0715">
      <w:pPr>
        <w:pStyle w:val="NormalTNR0bef0aft"/>
        <w:rPr>
          <w:rFonts w:eastAsia="Calibri"/>
        </w:rPr>
      </w:pPr>
      <w:bookmarkStart w:id="272" w:name="_Toc496454589"/>
    </w:p>
    <w:p w14:paraId="6B8C0650" w14:textId="77777777" w:rsidR="00847853" w:rsidRPr="003E2BD8" w:rsidRDefault="00847853" w:rsidP="00CA0715">
      <w:pPr>
        <w:spacing w:after="0" w:line="360" w:lineRule="auto"/>
        <w:jc w:val="both"/>
        <w:outlineLvl w:val="2"/>
        <w:rPr>
          <w:rFonts w:ascii="Times New Roman" w:eastAsia="Calibri" w:hAnsi="Times New Roman" w:cs="Times New Roman"/>
        </w:rPr>
      </w:pPr>
      <w:bookmarkStart w:id="273" w:name="_Toc508892832"/>
      <w:r w:rsidRPr="003E2BD8">
        <w:rPr>
          <w:rFonts w:ascii="Times New Roman" w:eastAsia="Calibri" w:hAnsi="Times New Roman" w:cs="Times New Roman"/>
          <w:b/>
          <w:lang w:eastAsia="x-none"/>
        </w:rPr>
        <w:t>Core Principle 3:  Public and Worker Safety</w:t>
      </w:r>
      <w:bookmarkEnd w:id="272"/>
      <w:bookmarkEnd w:id="273"/>
    </w:p>
    <w:tbl>
      <w:tblPr>
        <w:tblW w:w="5163" w:type="pct"/>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793"/>
      </w:tblGrid>
      <w:tr w:rsidR="00847853" w:rsidRPr="003E2BD8" w14:paraId="7382282C" w14:textId="77777777" w:rsidTr="00D316D4">
        <w:tc>
          <w:tcPr>
            <w:tcW w:w="5000" w:type="pct"/>
            <w:shd w:val="clear" w:color="auto" w:fill="9CC2E5"/>
          </w:tcPr>
          <w:p w14:paraId="75DB275E" w14:textId="77777777" w:rsidR="00847853" w:rsidRPr="003E2BD8" w:rsidRDefault="00847853" w:rsidP="00CA0715">
            <w:pPr>
              <w:spacing w:after="0" w:line="240" w:lineRule="auto"/>
              <w:jc w:val="both"/>
              <w:rPr>
                <w:rFonts w:ascii="Times New Roman" w:eastAsia="Times New Roman" w:hAnsi="Times New Roman" w:cs="Times New Roman"/>
                <w:color w:val="000000"/>
              </w:rPr>
            </w:pPr>
            <w:r w:rsidRPr="003E2BD8">
              <w:rPr>
                <w:rFonts w:ascii="Times New Roman" w:eastAsia="Times New Roman" w:hAnsi="Times New Roman" w:cs="Times New Roman"/>
                <w:color w:val="000000"/>
              </w:rPr>
              <w:t>Environmental and social management procedures and processes are designed to protect public and worker safety against the potential risks associated with (a) construction and/or operations of facilities or other operational practices developed or promoted under the program; (b) exposure to toxic chemicals, hazardous wastes, and otherwise dangerous materials; and (c) reconstruction or rehabilitation of infrastructure located in areas prone to natural hazards.</w:t>
            </w:r>
          </w:p>
        </w:tc>
      </w:tr>
      <w:tr w:rsidR="00847853" w:rsidRPr="003E2BD8" w14:paraId="5CAEED6F" w14:textId="77777777" w:rsidTr="00D316D4">
        <w:tc>
          <w:tcPr>
            <w:tcW w:w="5000" w:type="pct"/>
            <w:shd w:val="clear" w:color="auto" w:fill="BDD6EE"/>
          </w:tcPr>
          <w:p w14:paraId="634C16E5" w14:textId="77777777" w:rsidR="00847853" w:rsidRPr="003E2BD8" w:rsidRDefault="00847853" w:rsidP="00CA0715">
            <w:pPr>
              <w:numPr>
                <w:ilvl w:val="0"/>
                <w:numId w:val="14"/>
              </w:numPr>
              <w:tabs>
                <w:tab w:val="left" w:pos="284"/>
              </w:tabs>
              <w:spacing w:after="0" w:line="240" w:lineRule="auto"/>
              <w:jc w:val="both"/>
              <w:rPr>
                <w:rFonts w:ascii="Times New Roman" w:eastAsia="Times New Roman" w:hAnsi="Times New Roman" w:cs="Times New Roman"/>
                <w:lang w:val="x-none" w:eastAsia="x-none"/>
              </w:rPr>
            </w:pPr>
            <w:r w:rsidRPr="003E2BD8">
              <w:rPr>
                <w:rFonts w:ascii="Times New Roman" w:eastAsia="Times New Roman" w:hAnsi="Times New Roman" w:cs="Times New Roman"/>
                <w:lang w:val="x-none" w:eastAsia="x-none"/>
              </w:rPr>
              <w:t>Promotes community, individual, and worker safety through the safe design, construction, operation, and maintenance of physical infrastructure, or in carrying out activities that may be dependent on such infrastructure with safety measures, inspections, or remedial works incorporated as needed.</w:t>
            </w:r>
          </w:p>
          <w:p w14:paraId="79173338" w14:textId="77777777" w:rsidR="00847853" w:rsidRPr="003E2BD8" w:rsidRDefault="00847853" w:rsidP="00CA0715">
            <w:pPr>
              <w:numPr>
                <w:ilvl w:val="0"/>
                <w:numId w:val="14"/>
              </w:numPr>
              <w:tabs>
                <w:tab w:val="left" w:pos="284"/>
              </w:tabs>
              <w:spacing w:after="0" w:line="240" w:lineRule="auto"/>
              <w:jc w:val="both"/>
              <w:rPr>
                <w:rFonts w:ascii="Times New Roman" w:eastAsia="Times New Roman" w:hAnsi="Times New Roman" w:cs="Times New Roman"/>
                <w:lang w:val="x-none" w:eastAsia="x-none"/>
              </w:rPr>
            </w:pPr>
            <w:r w:rsidRPr="003E2BD8">
              <w:rPr>
                <w:rFonts w:ascii="Times New Roman" w:eastAsia="Times New Roman" w:hAnsi="Times New Roman" w:cs="Times New Roman"/>
                <w:lang w:val="x-none" w:eastAsia="x-none"/>
              </w:rPr>
              <w:t xml:space="preserve">Promotes use of recognized good practice in the production, management, storage, transport, and disposal of hazardous materials generated through program construction or operations; and promotes use of integrated pest management practices to manage or reduce pests or disease vectors; and provides training for workers involved in the production, procurement, storage, transport, use, and disposal of hazardous chemicals in accordance with international guidelines and conventions. </w:t>
            </w:r>
          </w:p>
          <w:p w14:paraId="0A14D7FE" w14:textId="77777777" w:rsidR="00847853" w:rsidRPr="003E2BD8" w:rsidRDefault="00847853" w:rsidP="00CA0715">
            <w:pPr>
              <w:numPr>
                <w:ilvl w:val="0"/>
                <w:numId w:val="14"/>
              </w:numPr>
              <w:tabs>
                <w:tab w:val="left" w:pos="284"/>
                <w:tab w:val="left" w:pos="661"/>
              </w:tabs>
              <w:spacing w:after="0" w:line="240" w:lineRule="auto"/>
              <w:jc w:val="both"/>
              <w:rPr>
                <w:rFonts w:ascii="Times New Roman" w:eastAsia="Times New Roman" w:hAnsi="Times New Roman" w:cs="Times New Roman"/>
                <w:bCs/>
                <w:lang w:val="x-none" w:eastAsia="x-none"/>
              </w:rPr>
            </w:pPr>
            <w:r w:rsidRPr="003E2BD8">
              <w:rPr>
                <w:rFonts w:ascii="Times New Roman" w:eastAsia="Times New Roman" w:hAnsi="Times New Roman" w:cs="Times New Roman"/>
                <w:lang w:val="x-none" w:eastAsia="x-none"/>
              </w:rPr>
              <w:t xml:space="preserve"> Includes measures to avoid, minimize, or mitigate community, individual, and worker risks when program activities are located within areas prone to natural hazards such as floods, hurricanes, earthquakes, or other severe weather or climate events.</w:t>
            </w:r>
          </w:p>
        </w:tc>
      </w:tr>
      <w:tr w:rsidR="00847853" w:rsidRPr="003E2BD8" w14:paraId="71DC4DC5" w14:textId="77777777" w:rsidTr="00D316D4">
        <w:tc>
          <w:tcPr>
            <w:tcW w:w="5000" w:type="pct"/>
            <w:shd w:val="clear" w:color="auto" w:fill="FFFFFF"/>
          </w:tcPr>
          <w:p w14:paraId="3DD7A413" w14:textId="77777777" w:rsidR="00847853" w:rsidRPr="003E2BD8" w:rsidRDefault="00847853" w:rsidP="00CA0715">
            <w:pPr>
              <w:spacing w:after="0" w:line="240" w:lineRule="auto"/>
              <w:jc w:val="both"/>
              <w:rPr>
                <w:rFonts w:ascii="Times New Roman" w:eastAsia="Calibri" w:hAnsi="Times New Roman" w:cs="Times New Roman"/>
                <w:b/>
                <w:bCs/>
              </w:rPr>
            </w:pPr>
            <w:r w:rsidRPr="003E2BD8">
              <w:rPr>
                <w:rFonts w:ascii="Times New Roman" w:eastAsia="Calibri" w:hAnsi="Times New Roman" w:cs="Times New Roman"/>
                <w:b/>
                <w:bCs/>
              </w:rPr>
              <w:t xml:space="preserve">Applicability: Fully applicable  </w:t>
            </w:r>
          </w:p>
          <w:p w14:paraId="14BE4432" w14:textId="77777777" w:rsidR="00847853" w:rsidRPr="003E2BD8" w:rsidRDefault="00847853" w:rsidP="00CA0715">
            <w:pPr>
              <w:numPr>
                <w:ilvl w:val="0"/>
                <w:numId w:val="17"/>
              </w:numPr>
              <w:spacing w:after="0" w:line="240" w:lineRule="auto"/>
              <w:jc w:val="both"/>
              <w:rPr>
                <w:rFonts w:ascii="Times New Roman" w:eastAsia="Times New Roman" w:hAnsi="Times New Roman" w:cs="Times New Roman"/>
                <w:b/>
                <w:bCs/>
                <w:lang w:val="x-none" w:eastAsia="x-none"/>
              </w:rPr>
            </w:pPr>
            <w:r w:rsidRPr="003E2BD8">
              <w:rPr>
                <w:rFonts w:ascii="Times New Roman" w:eastAsia="Calibri" w:hAnsi="Times New Roman" w:cs="Times New Roman"/>
              </w:rPr>
              <w:t xml:space="preserve">The provisions in Core Principle # 3 are considered as part of the ESIA process analyzed under Core Principle # 1. </w:t>
            </w:r>
          </w:p>
          <w:p w14:paraId="624AFD17" w14:textId="43336B0A" w:rsidR="00847853" w:rsidRPr="003E2BD8" w:rsidRDefault="00847853" w:rsidP="00CA0715">
            <w:pPr>
              <w:numPr>
                <w:ilvl w:val="0"/>
                <w:numId w:val="17"/>
              </w:numPr>
              <w:spacing w:after="0" w:line="240" w:lineRule="auto"/>
              <w:jc w:val="both"/>
              <w:rPr>
                <w:rFonts w:ascii="Times New Roman" w:eastAsia="Times New Roman" w:hAnsi="Times New Roman" w:cs="Times New Roman"/>
                <w:b/>
                <w:bCs/>
                <w:lang w:val="x-none" w:eastAsia="x-none"/>
              </w:rPr>
            </w:pPr>
            <w:r w:rsidRPr="003E2BD8">
              <w:rPr>
                <w:rFonts w:ascii="Times New Roman" w:eastAsia="Times New Roman" w:hAnsi="Times New Roman" w:cs="Times New Roman"/>
                <w:bCs/>
                <w:lang w:val="x-none" w:eastAsia="x-none"/>
              </w:rPr>
              <w:t xml:space="preserve">Rehabilitation, construction and operation of various </w:t>
            </w:r>
            <w:r w:rsidR="002340D3" w:rsidRPr="003E2BD8">
              <w:rPr>
                <w:rFonts w:ascii="Times New Roman" w:eastAsia="Times New Roman" w:hAnsi="Times New Roman" w:cs="Times New Roman"/>
                <w:bCs/>
                <w:lang w:eastAsia="x-none"/>
              </w:rPr>
              <w:t>MMA</w:t>
            </w:r>
            <w:r w:rsidRPr="003E2BD8">
              <w:rPr>
                <w:rFonts w:ascii="Times New Roman" w:eastAsia="Times New Roman" w:hAnsi="Times New Roman" w:cs="Times New Roman"/>
                <w:bCs/>
                <w:lang w:val="x-none" w:eastAsia="x-none"/>
              </w:rPr>
              <w:t xml:space="preserve"> infrastructures expose the general public, as well as construction workers to risks such as dust, air pollution, noise, water pollution, solid waste and toxic or hazardous materials at sites during civil works</w:t>
            </w:r>
            <w:r w:rsidRPr="003E2BD8">
              <w:rPr>
                <w:rFonts w:ascii="Times New Roman" w:eastAsia="Times New Roman" w:hAnsi="Times New Roman" w:cs="Times New Roman"/>
                <w:bCs/>
                <w:lang w:eastAsia="x-none"/>
              </w:rPr>
              <w:t>, which directly or indirectly resulted in occupational safety impacts</w:t>
            </w:r>
            <w:r w:rsidRPr="003E2BD8">
              <w:rPr>
                <w:rFonts w:ascii="Times New Roman" w:eastAsia="Times New Roman" w:hAnsi="Times New Roman" w:cs="Times New Roman"/>
                <w:bCs/>
                <w:lang w:val="x-none" w:eastAsia="x-none"/>
              </w:rPr>
              <w:t>.</w:t>
            </w:r>
            <w:r w:rsidRPr="003E2BD8">
              <w:rPr>
                <w:rFonts w:ascii="Times New Roman" w:eastAsia="Times New Roman" w:hAnsi="Times New Roman" w:cs="Times New Roman"/>
                <w:bCs/>
                <w:lang w:eastAsia="x-none"/>
              </w:rPr>
              <w:t xml:space="preserve"> Therefore,</w:t>
            </w:r>
            <w:r w:rsidRPr="003E2BD8">
              <w:rPr>
                <w:rFonts w:ascii="Times New Roman" w:eastAsia="Times New Roman" w:hAnsi="Times New Roman" w:cs="Times New Roman"/>
                <w:bCs/>
                <w:lang w:val="x-none" w:eastAsia="x-none"/>
              </w:rPr>
              <w:t xml:space="preserve"> </w:t>
            </w:r>
            <w:r w:rsidRPr="003E2BD8">
              <w:rPr>
                <w:rFonts w:ascii="Times New Roman" w:eastAsia="Calibri" w:hAnsi="Times New Roman" w:cs="Times New Roman"/>
                <w:bCs/>
              </w:rPr>
              <w:t>Core Principle 3</w:t>
            </w:r>
            <w:r w:rsidRPr="003E2BD8">
              <w:rPr>
                <w:rFonts w:ascii="Times New Roman" w:eastAsia="Calibri" w:hAnsi="Times New Roman" w:cs="Times New Roman"/>
                <w:bCs/>
                <w:i/>
              </w:rPr>
              <w:t xml:space="preserve"> is fully applicable </w:t>
            </w:r>
            <w:r w:rsidRPr="003E2BD8">
              <w:rPr>
                <w:rFonts w:ascii="Times New Roman" w:eastAsia="Calibri" w:hAnsi="Times New Roman" w:cs="Times New Roman"/>
                <w:bCs/>
              </w:rPr>
              <w:t>to the Program</w:t>
            </w:r>
            <w:r w:rsidRPr="003E2BD8">
              <w:rPr>
                <w:rFonts w:ascii="Times New Roman" w:eastAsia="Calibri" w:hAnsi="Times New Roman" w:cs="Times New Roman"/>
              </w:rPr>
              <w:t>.</w:t>
            </w:r>
          </w:p>
        </w:tc>
      </w:tr>
      <w:tr w:rsidR="00847853" w:rsidRPr="003E2BD8" w14:paraId="78639F54" w14:textId="77777777" w:rsidTr="00D316D4">
        <w:tc>
          <w:tcPr>
            <w:tcW w:w="5000" w:type="pct"/>
            <w:shd w:val="clear" w:color="auto" w:fill="FFFFFF"/>
          </w:tcPr>
          <w:p w14:paraId="2BA0666B" w14:textId="77777777" w:rsidR="00847853" w:rsidRPr="003E2BD8" w:rsidRDefault="00847853" w:rsidP="00CA0715">
            <w:pPr>
              <w:spacing w:after="0" w:line="240" w:lineRule="auto"/>
              <w:jc w:val="both"/>
              <w:rPr>
                <w:rFonts w:ascii="Times New Roman" w:eastAsia="Calibri" w:hAnsi="Times New Roman" w:cs="Times New Roman"/>
                <w:b/>
                <w:bCs/>
              </w:rPr>
            </w:pPr>
            <w:r w:rsidRPr="003E2BD8">
              <w:rPr>
                <w:rFonts w:ascii="Times New Roman" w:eastAsia="Calibri" w:hAnsi="Times New Roman" w:cs="Times New Roman"/>
                <w:b/>
                <w:bCs/>
              </w:rPr>
              <w:t>System Strengthen/Summary of Findings:</w:t>
            </w:r>
          </w:p>
          <w:p w14:paraId="4385E76B" w14:textId="77777777" w:rsidR="00847853" w:rsidRPr="003E2BD8" w:rsidRDefault="00847853" w:rsidP="00CA0715">
            <w:pPr>
              <w:numPr>
                <w:ilvl w:val="0"/>
                <w:numId w:val="18"/>
              </w:numPr>
              <w:spacing w:after="0" w:line="240" w:lineRule="auto"/>
              <w:jc w:val="both"/>
              <w:rPr>
                <w:rFonts w:ascii="Times New Roman" w:eastAsia="Times New Roman" w:hAnsi="Times New Roman" w:cs="Times New Roman"/>
                <w:b/>
                <w:bCs/>
                <w:lang w:val="x-none" w:eastAsia="x-none"/>
              </w:rPr>
            </w:pPr>
            <w:r w:rsidRPr="003E2BD8">
              <w:rPr>
                <w:rFonts w:ascii="Times New Roman" w:eastAsia="Times New Roman" w:hAnsi="Times New Roman" w:cs="Times New Roman"/>
                <w:bCs/>
                <w:lang w:val="x-none" w:eastAsia="x-none"/>
              </w:rPr>
              <w:t xml:space="preserve">There are national robust proclamations and guidelines addressing public and worker safety in </w:t>
            </w:r>
            <w:r w:rsidR="007F371F" w:rsidRPr="003E2BD8">
              <w:rPr>
                <w:rFonts w:ascii="Times New Roman" w:eastAsia="Times New Roman" w:hAnsi="Times New Roman" w:cs="Times New Roman"/>
                <w:bCs/>
                <w:lang w:eastAsia="x-none"/>
              </w:rPr>
              <w:t>the country</w:t>
            </w:r>
            <w:r w:rsidRPr="003E2BD8">
              <w:rPr>
                <w:rFonts w:ascii="Times New Roman" w:eastAsia="Times New Roman" w:hAnsi="Times New Roman" w:cs="Times New Roman"/>
                <w:bCs/>
                <w:lang w:eastAsia="x-none"/>
              </w:rPr>
              <w:t>.</w:t>
            </w:r>
            <w:r w:rsidRPr="003E2BD8">
              <w:rPr>
                <w:rFonts w:ascii="Times New Roman" w:eastAsia="Times New Roman" w:hAnsi="Times New Roman" w:cs="Times New Roman"/>
                <w:bCs/>
                <w:lang w:val="x-none" w:eastAsia="x-none"/>
              </w:rPr>
              <w:t>These cover a range of important aspects including environmental pollution control; labor laws; occupational health safety policies; and standards for workplace environmental emissions and discharges</w:t>
            </w:r>
            <w:r w:rsidR="007F371F" w:rsidRPr="003E2BD8">
              <w:rPr>
                <w:rFonts w:ascii="Times New Roman" w:eastAsia="Times New Roman" w:hAnsi="Times New Roman" w:cs="Times New Roman"/>
                <w:bCs/>
                <w:lang w:eastAsia="x-none"/>
              </w:rPr>
              <w:t>.</w:t>
            </w:r>
          </w:p>
          <w:p w14:paraId="030BD7D4" w14:textId="269E34E1" w:rsidR="00847853" w:rsidRPr="003E2BD8" w:rsidRDefault="007F371F" w:rsidP="00CA0715">
            <w:pPr>
              <w:numPr>
                <w:ilvl w:val="0"/>
                <w:numId w:val="18"/>
              </w:numPr>
              <w:autoSpaceDE w:val="0"/>
              <w:autoSpaceDN w:val="0"/>
              <w:adjustRightInd w:val="0"/>
              <w:spacing w:after="0" w:line="240" w:lineRule="auto"/>
              <w:jc w:val="both"/>
              <w:rPr>
                <w:rFonts w:ascii="Times New Roman" w:eastAsia="MS Mincho" w:hAnsi="Times New Roman" w:cs="Times New Roman"/>
                <w:color w:val="000000"/>
              </w:rPr>
            </w:pPr>
            <w:r w:rsidRPr="003E2BD8">
              <w:rPr>
                <w:rFonts w:ascii="Times New Roman" w:eastAsia="MS Mincho" w:hAnsi="Times New Roman" w:cs="Times New Roman"/>
                <w:color w:val="000000"/>
              </w:rPr>
              <w:t>Standard MMA</w:t>
            </w:r>
            <w:r w:rsidR="00847853" w:rsidRPr="003E2BD8">
              <w:rPr>
                <w:rFonts w:ascii="Times New Roman" w:eastAsia="MS Mincho" w:hAnsi="Times New Roman" w:cs="Times New Roman"/>
                <w:color w:val="000000"/>
              </w:rPr>
              <w:t xml:space="preserve"> contract conditions for contractors include provisions for public and worker safety</w:t>
            </w:r>
            <w:r w:rsidRPr="003E2BD8">
              <w:rPr>
                <w:rFonts w:ascii="Times New Roman" w:eastAsia="MS Mincho" w:hAnsi="Times New Roman" w:cs="Times New Roman"/>
                <w:color w:val="000000"/>
              </w:rPr>
              <w:t>, good housekeeping at the construction site and site restoration</w:t>
            </w:r>
            <w:r w:rsidR="00847853" w:rsidRPr="003E2BD8">
              <w:rPr>
                <w:rFonts w:ascii="Times New Roman" w:eastAsia="MS Mincho" w:hAnsi="Times New Roman" w:cs="Times New Roman"/>
                <w:color w:val="000000"/>
              </w:rPr>
              <w:t>.</w:t>
            </w:r>
          </w:p>
        </w:tc>
      </w:tr>
      <w:tr w:rsidR="00847853" w:rsidRPr="003E2BD8" w14:paraId="58A4CE65" w14:textId="77777777" w:rsidTr="00D316D4">
        <w:tc>
          <w:tcPr>
            <w:tcW w:w="5000" w:type="pct"/>
            <w:shd w:val="clear" w:color="auto" w:fill="FFFFFF"/>
          </w:tcPr>
          <w:p w14:paraId="20E44604" w14:textId="77777777" w:rsidR="00847853" w:rsidRPr="003E2BD8" w:rsidRDefault="00847853" w:rsidP="00CA0715">
            <w:pPr>
              <w:spacing w:after="0" w:line="240" w:lineRule="auto"/>
              <w:jc w:val="both"/>
              <w:rPr>
                <w:rFonts w:ascii="Times New Roman" w:eastAsia="Calibri" w:hAnsi="Times New Roman" w:cs="Times New Roman"/>
                <w:b/>
              </w:rPr>
            </w:pPr>
            <w:r w:rsidRPr="003E2BD8">
              <w:rPr>
                <w:rFonts w:ascii="Times New Roman" w:eastAsia="Calibri" w:hAnsi="Times New Roman" w:cs="Times New Roman"/>
                <w:b/>
              </w:rPr>
              <w:t>Gaps</w:t>
            </w:r>
          </w:p>
          <w:p w14:paraId="705ED29B" w14:textId="77777777" w:rsidR="00847853" w:rsidRPr="003E2BD8" w:rsidRDefault="007F371F" w:rsidP="00CA0715">
            <w:pPr>
              <w:numPr>
                <w:ilvl w:val="0"/>
                <w:numId w:val="19"/>
              </w:numPr>
              <w:spacing w:after="0" w:line="240" w:lineRule="auto"/>
              <w:jc w:val="both"/>
              <w:rPr>
                <w:rFonts w:ascii="Times New Roman" w:eastAsia="Times New Roman" w:hAnsi="Times New Roman" w:cs="Times New Roman"/>
                <w:b/>
                <w:bCs/>
                <w:lang w:val="x-none" w:eastAsia="x-none"/>
              </w:rPr>
            </w:pPr>
            <w:r w:rsidRPr="003E2BD8">
              <w:rPr>
                <w:rFonts w:ascii="Times New Roman" w:eastAsia="Times New Roman" w:hAnsi="Times New Roman" w:cs="Times New Roman"/>
                <w:bCs/>
                <w:lang w:eastAsia="x-none"/>
              </w:rPr>
              <w:t xml:space="preserve">Standard government contracts and bid documents do not provide a cost breakdown of measures to manage health and safety of communities and workers. Cost is lump sum. </w:t>
            </w:r>
          </w:p>
          <w:p w14:paraId="00C26545" w14:textId="77777777" w:rsidR="00847853" w:rsidRPr="003E2BD8" w:rsidRDefault="000418A6" w:rsidP="00CA0715">
            <w:pPr>
              <w:numPr>
                <w:ilvl w:val="0"/>
                <w:numId w:val="19"/>
              </w:numPr>
              <w:spacing w:after="0" w:line="240" w:lineRule="auto"/>
              <w:jc w:val="both"/>
              <w:rPr>
                <w:rFonts w:ascii="Times New Roman" w:eastAsia="Times New Roman" w:hAnsi="Times New Roman" w:cs="Times New Roman"/>
                <w:b/>
                <w:bCs/>
                <w:lang w:val="x-none" w:eastAsia="x-none"/>
              </w:rPr>
            </w:pPr>
            <w:r w:rsidRPr="003E2BD8">
              <w:rPr>
                <w:rFonts w:ascii="Times New Roman" w:eastAsia="Times New Roman" w:hAnsi="Times New Roman" w:cs="Times New Roman"/>
                <w:bCs/>
                <w:lang w:eastAsia="x-none"/>
              </w:rPr>
              <w:t xml:space="preserve">Inconsistent and weak implementation of </w:t>
            </w:r>
            <w:r w:rsidR="00847853" w:rsidRPr="003E2BD8">
              <w:rPr>
                <w:rFonts w:ascii="Times New Roman" w:eastAsia="Times New Roman" w:hAnsi="Times New Roman" w:cs="Times New Roman"/>
                <w:bCs/>
                <w:lang w:val="x-none" w:eastAsia="x-none"/>
              </w:rPr>
              <w:t xml:space="preserve">labor laws </w:t>
            </w:r>
            <w:r w:rsidRPr="003E2BD8">
              <w:rPr>
                <w:rFonts w:ascii="Times New Roman" w:eastAsia="Times New Roman" w:hAnsi="Times New Roman" w:cs="Times New Roman"/>
                <w:bCs/>
                <w:lang w:eastAsia="x-none"/>
              </w:rPr>
              <w:t xml:space="preserve">and health and safety standards. </w:t>
            </w:r>
            <w:r w:rsidR="00847853" w:rsidRPr="003E2BD8">
              <w:rPr>
                <w:rFonts w:ascii="Times New Roman" w:eastAsia="Times New Roman" w:hAnsi="Times New Roman" w:cs="Times New Roman"/>
                <w:bCs/>
                <w:lang w:val="x-none" w:eastAsia="x-none"/>
              </w:rPr>
              <w:t xml:space="preserve"> </w:t>
            </w:r>
          </w:p>
          <w:p w14:paraId="3CB3BD57" w14:textId="77777777" w:rsidR="00847853" w:rsidRPr="003E2BD8" w:rsidRDefault="00847853" w:rsidP="00CA0715">
            <w:pPr>
              <w:numPr>
                <w:ilvl w:val="0"/>
                <w:numId w:val="19"/>
              </w:numPr>
              <w:spacing w:after="0" w:line="240" w:lineRule="auto"/>
              <w:ind w:right="174"/>
              <w:jc w:val="both"/>
              <w:rPr>
                <w:rFonts w:ascii="Times New Roman" w:eastAsia="Calibri" w:hAnsi="Times New Roman" w:cs="Times New Roman"/>
              </w:rPr>
            </w:pPr>
            <w:r w:rsidRPr="003E2BD8">
              <w:rPr>
                <w:rFonts w:ascii="Times New Roman" w:eastAsia="Calibri" w:hAnsi="Times New Roman" w:cs="Times New Roman"/>
              </w:rPr>
              <w:t xml:space="preserve">Weak or no supervision on safety management </w:t>
            </w:r>
          </w:p>
          <w:p w14:paraId="56739210" w14:textId="77777777" w:rsidR="00847853" w:rsidRPr="003E2BD8" w:rsidRDefault="00847853" w:rsidP="00CA0715">
            <w:pPr>
              <w:numPr>
                <w:ilvl w:val="0"/>
                <w:numId w:val="19"/>
              </w:numPr>
              <w:spacing w:after="0" w:line="240" w:lineRule="auto"/>
              <w:ind w:right="174"/>
              <w:jc w:val="both"/>
              <w:rPr>
                <w:rFonts w:ascii="Times New Roman" w:eastAsia="Calibri" w:hAnsi="Times New Roman" w:cs="Times New Roman"/>
              </w:rPr>
            </w:pPr>
            <w:r w:rsidRPr="003E2BD8">
              <w:rPr>
                <w:rFonts w:ascii="Times New Roman" w:eastAsia="Calibri" w:hAnsi="Times New Roman" w:cs="Times New Roman"/>
              </w:rPr>
              <w:t xml:space="preserve">Limited capacity with technical person, safety materials provision, budget to conduct regular supervision on the compliance of national and international safety standards. </w:t>
            </w:r>
          </w:p>
          <w:p w14:paraId="2AB764DA" w14:textId="77777777" w:rsidR="00847853" w:rsidRPr="003E2BD8" w:rsidRDefault="00847853" w:rsidP="00CA0715">
            <w:pPr>
              <w:numPr>
                <w:ilvl w:val="0"/>
                <w:numId w:val="19"/>
              </w:numPr>
              <w:tabs>
                <w:tab w:val="left" w:pos="360"/>
              </w:tabs>
              <w:spacing w:after="0" w:line="240" w:lineRule="auto"/>
              <w:jc w:val="both"/>
              <w:rPr>
                <w:rFonts w:ascii="Times New Roman" w:eastAsia="Symbol" w:hAnsi="Times New Roman" w:cs="Times New Roman"/>
              </w:rPr>
            </w:pPr>
            <w:r w:rsidRPr="003E2BD8">
              <w:rPr>
                <w:rFonts w:ascii="Times New Roman" w:eastAsia="Calibri" w:hAnsi="Times New Roman" w:cs="Times New Roman"/>
              </w:rPr>
              <w:t xml:space="preserve">Lack of awareness on public health and safety issues, particularly in relation to exposure to electrical and chemical hazards and workplace safety aspects in hazard prone areas </w:t>
            </w:r>
          </w:p>
        </w:tc>
      </w:tr>
      <w:tr w:rsidR="00847853" w:rsidRPr="003E2BD8" w14:paraId="0EB6FA4F" w14:textId="77777777" w:rsidTr="00D316D4">
        <w:tc>
          <w:tcPr>
            <w:tcW w:w="5000" w:type="pct"/>
            <w:shd w:val="clear" w:color="auto" w:fill="FFFFFF"/>
          </w:tcPr>
          <w:p w14:paraId="458ED24E" w14:textId="77777777" w:rsidR="00847853" w:rsidRPr="003E2BD8" w:rsidRDefault="00847853" w:rsidP="00CA0715">
            <w:pPr>
              <w:spacing w:after="0" w:line="240" w:lineRule="auto"/>
              <w:jc w:val="both"/>
              <w:rPr>
                <w:rFonts w:ascii="Times New Roman" w:eastAsia="Calibri" w:hAnsi="Times New Roman" w:cs="Times New Roman"/>
                <w:b/>
                <w:bCs/>
              </w:rPr>
            </w:pPr>
            <w:r w:rsidRPr="003E2BD8">
              <w:rPr>
                <w:rFonts w:ascii="Times New Roman" w:eastAsia="Calibri" w:hAnsi="Times New Roman" w:cs="Times New Roman"/>
                <w:b/>
                <w:bCs/>
              </w:rPr>
              <w:t>Opportunities/Actions</w:t>
            </w:r>
          </w:p>
          <w:p w14:paraId="1326DD78" w14:textId="1E5F51D7" w:rsidR="00847853" w:rsidRPr="003E2BD8" w:rsidRDefault="00847853" w:rsidP="00CA0715">
            <w:pPr>
              <w:numPr>
                <w:ilvl w:val="0"/>
                <w:numId w:val="19"/>
              </w:numPr>
              <w:tabs>
                <w:tab w:val="left" w:pos="342"/>
              </w:tabs>
              <w:spacing w:after="0" w:line="240" w:lineRule="auto"/>
              <w:jc w:val="both"/>
              <w:rPr>
                <w:rFonts w:ascii="Times New Roman" w:eastAsia="Times New Roman" w:hAnsi="Times New Roman" w:cs="Times New Roman"/>
                <w:lang w:val="x-none" w:eastAsia="x-none"/>
              </w:rPr>
            </w:pPr>
            <w:r w:rsidRPr="003E2BD8">
              <w:rPr>
                <w:rFonts w:ascii="Times New Roman" w:eastAsia="Times New Roman" w:hAnsi="Times New Roman" w:cs="Times New Roman"/>
                <w:lang w:eastAsia="x-none"/>
              </w:rPr>
              <w:t>Improve awareness and</w:t>
            </w:r>
            <w:r w:rsidRPr="003E2BD8">
              <w:rPr>
                <w:rFonts w:ascii="Times New Roman" w:eastAsia="Times New Roman" w:hAnsi="Times New Roman" w:cs="Times New Roman"/>
                <w:lang w:val="x-none" w:eastAsia="x-none"/>
              </w:rPr>
              <w:t xml:space="preserve"> implementation capacity </w:t>
            </w:r>
            <w:r w:rsidR="005924C5" w:rsidRPr="003E2BD8">
              <w:rPr>
                <w:rFonts w:ascii="Times New Roman" w:eastAsia="Times New Roman" w:hAnsi="Times New Roman" w:cs="Times New Roman"/>
                <w:lang w:eastAsia="x-none"/>
              </w:rPr>
              <w:t>of MMAs and contractors on health and safety through trainings and orientations</w:t>
            </w:r>
            <w:r w:rsidRPr="003E2BD8">
              <w:rPr>
                <w:rFonts w:ascii="Times New Roman" w:eastAsia="Times New Roman" w:hAnsi="Times New Roman" w:cs="Times New Roman"/>
                <w:lang w:val="x-none" w:eastAsia="x-none"/>
              </w:rPr>
              <w:t>.</w:t>
            </w:r>
          </w:p>
          <w:p w14:paraId="550B03FB" w14:textId="77777777" w:rsidR="005924C5" w:rsidRPr="003E2BD8" w:rsidRDefault="00847853" w:rsidP="00CA0715">
            <w:pPr>
              <w:numPr>
                <w:ilvl w:val="0"/>
                <w:numId w:val="19"/>
              </w:numPr>
              <w:autoSpaceDE w:val="0"/>
              <w:autoSpaceDN w:val="0"/>
              <w:adjustRightInd w:val="0"/>
              <w:spacing w:after="0" w:line="240" w:lineRule="auto"/>
              <w:jc w:val="both"/>
              <w:rPr>
                <w:rFonts w:ascii="Times New Roman" w:eastAsia="Calibri" w:hAnsi="Times New Roman" w:cs="Times New Roman"/>
              </w:rPr>
            </w:pPr>
            <w:r w:rsidRPr="003E2BD8">
              <w:rPr>
                <w:rFonts w:ascii="Times New Roman" w:eastAsia="Calibri" w:hAnsi="Times New Roman" w:cs="Times New Roman"/>
              </w:rPr>
              <w:t xml:space="preserve">Update the </w:t>
            </w:r>
            <w:r w:rsidR="005924C5" w:rsidRPr="003E2BD8">
              <w:rPr>
                <w:rFonts w:ascii="Times New Roman" w:eastAsia="Calibri" w:hAnsi="Times New Roman" w:cs="Times New Roman"/>
              </w:rPr>
              <w:t>standard bid documents and contracts to spell out specific health and safety measures, including, where required, preparation and implementation of Contractor ESMP.</w:t>
            </w:r>
          </w:p>
          <w:p w14:paraId="22A4A7A6" w14:textId="77777777" w:rsidR="00847853" w:rsidRPr="003E2BD8" w:rsidRDefault="005924C5" w:rsidP="00CA0715">
            <w:pPr>
              <w:numPr>
                <w:ilvl w:val="0"/>
                <w:numId w:val="19"/>
              </w:numPr>
              <w:autoSpaceDE w:val="0"/>
              <w:autoSpaceDN w:val="0"/>
              <w:adjustRightInd w:val="0"/>
              <w:spacing w:after="0" w:line="240" w:lineRule="auto"/>
              <w:jc w:val="both"/>
              <w:rPr>
                <w:rFonts w:ascii="Times New Roman" w:eastAsia="Calibri" w:hAnsi="Times New Roman" w:cs="Times New Roman"/>
              </w:rPr>
            </w:pPr>
            <w:r w:rsidRPr="003E2BD8">
              <w:rPr>
                <w:rFonts w:ascii="Times New Roman" w:eastAsia="Calibri" w:hAnsi="Times New Roman" w:cs="Times New Roman"/>
              </w:rPr>
              <w:t>Require contractors to prioritize recruitment of local labor.</w:t>
            </w:r>
            <w:r w:rsidR="00847853" w:rsidRPr="003E2BD8">
              <w:rPr>
                <w:rFonts w:ascii="Times New Roman" w:eastAsia="Calibri" w:hAnsi="Times New Roman" w:cs="Times New Roman"/>
              </w:rPr>
              <w:t xml:space="preserve"> </w:t>
            </w:r>
          </w:p>
          <w:p w14:paraId="21C061A0" w14:textId="77777777" w:rsidR="005924C5" w:rsidRPr="003E2BD8" w:rsidRDefault="005924C5" w:rsidP="00CA0715">
            <w:pPr>
              <w:numPr>
                <w:ilvl w:val="0"/>
                <w:numId w:val="19"/>
              </w:numPr>
              <w:autoSpaceDE w:val="0"/>
              <w:autoSpaceDN w:val="0"/>
              <w:adjustRightInd w:val="0"/>
              <w:spacing w:after="0" w:line="240" w:lineRule="auto"/>
              <w:jc w:val="both"/>
              <w:rPr>
                <w:rFonts w:ascii="Times New Roman" w:eastAsia="Calibri" w:hAnsi="Times New Roman" w:cs="Times New Roman"/>
              </w:rPr>
            </w:pPr>
            <w:r w:rsidRPr="003E2BD8">
              <w:rPr>
                <w:rFonts w:ascii="Times New Roman" w:eastAsia="Calibri" w:hAnsi="Times New Roman" w:cs="Times New Roman"/>
              </w:rPr>
              <w:t>Include proper worker’s conduct in their contract.</w:t>
            </w:r>
          </w:p>
          <w:p w14:paraId="6C6DF430" w14:textId="77777777" w:rsidR="00847853" w:rsidRPr="003E2BD8" w:rsidRDefault="005924C5" w:rsidP="00CA0715">
            <w:pPr>
              <w:numPr>
                <w:ilvl w:val="0"/>
                <w:numId w:val="19"/>
              </w:numPr>
              <w:spacing w:after="0" w:line="240" w:lineRule="auto"/>
              <w:jc w:val="both"/>
              <w:rPr>
                <w:rFonts w:ascii="Times New Roman" w:eastAsia="Times New Roman" w:hAnsi="Times New Roman" w:cs="Times New Roman"/>
                <w:lang w:val="x-none" w:eastAsia="x-none"/>
              </w:rPr>
            </w:pPr>
            <w:r w:rsidRPr="003E2BD8">
              <w:rPr>
                <w:rFonts w:ascii="Times New Roman" w:eastAsia="Times New Roman" w:hAnsi="Times New Roman" w:cs="Times New Roman"/>
                <w:lang w:eastAsia="x-none"/>
              </w:rPr>
              <w:t>Enforce health and safety provisions in the contract.</w:t>
            </w:r>
            <w:r w:rsidR="00847853" w:rsidRPr="003E2BD8">
              <w:rPr>
                <w:rFonts w:ascii="Times New Roman" w:eastAsia="Times New Roman" w:hAnsi="Times New Roman" w:cs="Times New Roman"/>
                <w:lang w:val="x-none" w:eastAsia="x-none"/>
              </w:rPr>
              <w:t xml:space="preserve">  </w:t>
            </w:r>
          </w:p>
          <w:p w14:paraId="513DD710" w14:textId="635C3780" w:rsidR="00847853" w:rsidRPr="003E2BD8" w:rsidRDefault="00847853" w:rsidP="00CA0715">
            <w:pPr>
              <w:numPr>
                <w:ilvl w:val="0"/>
                <w:numId w:val="19"/>
              </w:numPr>
              <w:spacing w:after="0" w:line="240" w:lineRule="auto"/>
              <w:jc w:val="both"/>
              <w:rPr>
                <w:rFonts w:ascii="Times New Roman" w:eastAsia="Times New Roman" w:hAnsi="Times New Roman" w:cs="Times New Roman"/>
                <w:lang w:val="x-none" w:eastAsia="x-none"/>
              </w:rPr>
            </w:pPr>
            <w:r w:rsidRPr="003E2BD8">
              <w:rPr>
                <w:rFonts w:ascii="Times New Roman" w:eastAsia="Times New Roman" w:hAnsi="Times New Roman" w:cs="Times New Roman"/>
                <w:bCs/>
                <w:lang w:eastAsia="x-none"/>
              </w:rPr>
              <w:t>Inclusion</w:t>
            </w:r>
            <w:r w:rsidRPr="003E2BD8">
              <w:rPr>
                <w:rFonts w:ascii="Times New Roman" w:eastAsia="Times New Roman" w:hAnsi="Times New Roman" w:cs="Times New Roman"/>
                <w:bCs/>
                <w:lang w:val="x-none" w:eastAsia="x-none"/>
              </w:rPr>
              <w:t xml:space="preserve"> of appropriate requirements in civil works contracts</w:t>
            </w:r>
            <w:r w:rsidRPr="003E2BD8">
              <w:rPr>
                <w:rFonts w:ascii="Times New Roman" w:eastAsia="Times New Roman" w:hAnsi="Times New Roman" w:cs="Times New Roman"/>
                <w:bCs/>
                <w:lang w:eastAsia="x-none"/>
              </w:rPr>
              <w:t xml:space="preserve"> and preparation of the required instruments like Waste Management Plan</w:t>
            </w:r>
            <w:r w:rsidRPr="003E2BD8">
              <w:rPr>
                <w:rFonts w:ascii="Times New Roman" w:eastAsia="Times New Roman" w:hAnsi="Times New Roman" w:cs="Times New Roman"/>
                <w:bCs/>
                <w:lang w:val="x-none" w:eastAsia="x-none"/>
              </w:rPr>
              <w:t xml:space="preserve">. </w:t>
            </w:r>
          </w:p>
          <w:p w14:paraId="4C7063F1" w14:textId="77777777" w:rsidR="00847853" w:rsidRPr="003E2BD8" w:rsidDel="00357C41" w:rsidRDefault="00847853" w:rsidP="00CA0715">
            <w:pPr>
              <w:numPr>
                <w:ilvl w:val="0"/>
                <w:numId w:val="19"/>
              </w:numPr>
              <w:spacing w:after="0" w:line="240" w:lineRule="auto"/>
              <w:jc w:val="both"/>
              <w:rPr>
                <w:rFonts w:ascii="Times New Roman" w:eastAsia="MS Mincho" w:hAnsi="Times New Roman" w:cs="Times New Roman"/>
                <w:color w:val="000000"/>
              </w:rPr>
            </w:pPr>
            <w:r w:rsidRPr="003E2BD8">
              <w:rPr>
                <w:rFonts w:ascii="Times New Roman" w:eastAsia="Times New Roman" w:hAnsi="Times New Roman" w:cs="Times New Roman"/>
                <w:lang w:val="x-none" w:eastAsia="x-none"/>
              </w:rPr>
              <w:t>Develop sound procedures for (i) construction site management, (ii) post construction site rehabilitation, and (iii) disposal of wastes and waste management.</w:t>
            </w:r>
            <w:r w:rsidRPr="003E2BD8">
              <w:rPr>
                <w:rFonts w:ascii="Times New Roman" w:eastAsia="MS Mincho" w:hAnsi="Times New Roman" w:cs="Times New Roman"/>
                <w:color w:val="000000"/>
              </w:rPr>
              <w:t xml:space="preserve"> </w:t>
            </w:r>
          </w:p>
        </w:tc>
      </w:tr>
      <w:tr w:rsidR="00847853" w:rsidRPr="003E2BD8" w14:paraId="573EFE62" w14:textId="77777777" w:rsidTr="00D316D4">
        <w:tc>
          <w:tcPr>
            <w:tcW w:w="5000" w:type="pct"/>
            <w:shd w:val="clear" w:color="auto" w:fill="FFFFFF"/>
          </w:tcPr>
          <w:p w14:paraId="1CAD4F71" w14:textId="77777777" w:rsidR="00847853" w:rsidRPr="003E2BD8" w:rsidRDefault="00847853" w:rsidP="00CA0715">
            <w:pPr>
              <w:spacing w:after="0" w:line="240" w:lineRule="auto"/>
              <w:jc w:val="both"/>
              <w:rPr>
                <w:rFonts w:ascii="Times New Roman" w:eastAsia="Calibri" w:hAnsi="Times New Roman" w:cs="Times New Roman"/>
                <w:b/>
                <w:bCs/>
              </w:rPr>
            </w:pPr>
            <w:r w:rsidRPr="003E2BD8">
              <w:rPr>
                <w:rFonts w:ascii="Times New Roman" w:eastAsia="Calibri" w:hAnsi="Times New Roman" w:cs="Times New Roman"/>
                <w:b/>
                <w:bCs/>
              </w:rPr>
              <w:t>Risks:</w:t>
            </w:r>
          </w:p>
          <w:p w14:paraId="3FCD5201" w14:textId="77777777" w:rsidR="005924C5" w:rsidRPr="003E2BD8" w:rsidRDefault="005924C5" w:rsidP="00CA0715">
            <w:pPr>
              <w:numPr>
                <w:ilvl w:val="0"/>
                <w:numId w:val="20"/>
              </w:numPr>
              <w:tabs>
                <w:tab w:val="left" w:pos="360"/>
              </w:tabs>
              <w:spacing w:after="0" w:line="240" w:lineRule="auto"/>
              <w:jc w:val="both"/>
              <w:rPr>
                <w:rFonts w:ascii="Times New Roman" w:eastAsia="Calibri" w:hAnsi="Times New Roman" w:cs="Times New Roman"/>
              </w:rPr>
            </w:pPr>
            <w:r w:rsidRPr="003E2BD8">
              <w:rPr>
                <w:rFonts w:ascii="Times New Roman" w:eastAsia="Calibri" w:hAnsi="Times New Roman" w:cs="Times New Roman"/>
              </w:rPr>
              <w:t>Lack of enforcement of contract resulting to non-compliance and accidents and fatalities at the construction site.</w:t>
            </w:r>
          </w:p>
          <w:p w14:paraId="42CFD3CB" w14:textId="77777777" w:rsidR="00847853" w:rsidRPr="003E2BD8" w:rsidRDefault="005924C5" w:rsidP="00CA0715">
            <w:pPr>
              <w:numPr>
                <w:ilvl w:val="0"/>
                <w:numId w:val="20"/>
              </w:numPr>
              <w:tabs>
                <w:tab w:val="left" w:pos="360"/>
              </w:tabs>
              <w:spacing w:after="0" w:line="240" w:lineRule="auto"/>
              <w:jc w:val="both"/>
              <w:rPr>
                <w:rFonts w:ascii="Times New Roman" w:eastAsia="Calibri" w:hAnsi="Times New Roman" w:cs="Times New Roman"/>
              </w:rPr>
            </w:pPr>
            <w:r w:rsidRPr="003E2BD8">
              <w:rPr>
                <w:rFonts w:ascii="Times New Roman" w:eastAsia="Calibri" w:hAnsi="Times New Roman" w:cs="Times New Roman"/>
              </w:rPr>
              <w:t xml:space="preserve">No penalty for erring contractors; </w:t>
            </w:r>
          </w:p>
          <w:p w14:paraId="39FCEE02" w14:textId="77777777" w:rsidR="00847853" w:rsidRPr="003E2BD8" w:rsidRDefault="00847853" w:rsidP="00CA0715">
            <w:pPr>
              <w:numPr>
                <w:ilvl w:val="0"/>
                <w:numId w:val="20"/>
              </w:numPr>
              <w:spacing w:after="0" w:line="240" w:lineRule="auto"/>
              <w:jc w:val="both"/>
              <w:rPr>
                <w:rFonts w:ascii="Times New Roman" w:eastAsia="Times New Roman" w:hAnsi="Times New Roman" w:cs="Times New Roman"/>
                <w:b/>
                <w:bCs/>
                <w:lang w:val="x-none" w:eastAsia="x-none"/>
              </w:rPr>
            </w:pPr>
            <w:r w:rsidRPr="003E2BD8">
              <w:rPr>
                <w:rFonts w:ascii="Times New Roman" w:eastAsia="Times New Roman" w:hAnsi="Times New Roman" w:cs="Times New Roman"/>
                <w:bCs/>
                <w:lang w:val="x-none" w:eastAsia="x-none"/>
              </w:rPr>
              <w:t>Inability to ensure public and worker safety</w:t>
            </w:r>
            <w:r w:rsidRPr="003E2BD8">
              <w:rPr>
                <w:rFonts w:ascii="Times New Roman" w:eastAsia="Times New Roman" w:hAnsi="Times New Roman" w:cs="Times New Roman"/>
                <w:bCs/>
                <w:lang w:eastAsia="x-none"/>
              </w:rPr>
              <w:t xml:space="preserve"> that may</w:t>
            </w:r>
            <w:r w:rsidRPr="003E2BD8">
              <w:rPr>
                <w:rFonts w:ascii="Times New Roman" w:eastAsia="Times New Roman" w:hAnsi="Times New Roman" w:cs="Times New Roman"/>
                <w:bCs/>
                <w:lang w:val="x-none" w:eastAsia="x-none"/>
              </w:rPr>
              <w:t xml:space="preserve"> result in </w:t>
            </w:r>
            <w:r w:rsidRPr="003E2BD8">
              <w:rPr>
                <w:rFonts w:ascii="Times New Roman" w:eastAsia="Calibri" w:hAnsi="Times New Roman" w:cs="Times New Roman"/>
              </w:rPr>
              <w:t>physical injuries, other un</w:t>
            </w:r>
            <w:r w:rsidRPr="003E2BD8">
              <w:rPr>
                <w:rFonts w:ascii="Times New Roman" w:eastAsia="Times New Roman" w:hAnsi="Times New Roman" w:cs="Times New Roman"/>
                <w:bCs/>
                <w:lang w:val="x-none" w:eastAsia="x-none"/>
              </w:rPr>
              <w:t xml:space="preserve">avoidable accidents and fatalities leading to loss of productive days and </w:t>
            </w:r>
            <w:r w:rsidRPr="003E2BD8">
              <w:rPr>
                <w:rFonts w:ascii="Times New Roman" w:eastAsia="Calibri" w:hAnsi="Times New Roman" w:cs="Times New Roman"/>
              </w:rPr>
              <w:t>loss of life to the workers and public at and around the construction sites.</w:t>
            </w:r>
          </w:p>
          <w:p w14:paraId="3743A5B5" w14:textId="49D35E20" w:rsidR="00847853" w:rsidRPr="003E2BD8" w:rsidRDefault="005924C5" w:rsidP="00CA0715">
            <w:pPr>
              <w:numPr>
                <w:ilvl w:val="0"/>
                <w:numId w:val="32"/>
              </w:numPr>
              <w:tabs>
                <w:tab w:val="left" w:pos="284"/>
              </w:tabs>
              <w:spacing w:after="0" w:line="240" w:lineRule="auto"/>
              <w:ind w:left="284" w:hanging="284"/>
              <w:jc w:val="both"/>
              <w:rPr>
                <w:rFonts w:ascii="Times New Roman" w:eastAsia="Calibri" w:hAnsi="Times New Roman" w:cs="Times New Roman"/>
                <w:spacing w:val="2"/>
              </w:rPr>
            </w:pPr>
            <w:r w:rsidRPr="003E2BD8">
              <w:rPr>
                <w:rFonts w:ascii="Times New Roman" w:eastAsia="Calibri" w:hAnsi="Times New Roman" w:cs="Times New Roman"/>
                <w:spacing w:val="2"/>
              </w:rPr>
              <w:t>Non-reporting of project-related accidents and fatalities and inaction on MMA and contractor.</w:t>
            </w:r>
          </w:p>
          <w:p w14:paraId="3938E892" w14:textId="77777777" w:rsidR="00847853" w:rsidRPr="003E2BD8" w:rsidRDefault="00847853" w:rsidP="00CA0715">
            <w:pPr>
              <w:numPr>
                <w:ilvl w:val="0"/>
                <w:numId w:val="20"/>
              </w:numPr>
              <w:tabs>
                <w:tab w:val="left" w:pos="284"/>
              </w:tabs>
              <w:spacing w:after="0" w:line="240" w:lineRule="auto"/>
              <w:ind w:left="284" w:hanging="284"/>
              <w:jc w:val="both"/>
              <w:rPr>
                <w:rFonts w:ascii="Times New Roman" w:eastAsia="Times New Roman" w:hAnsi="Times New Roman" w:cs="Times New Roman"/>
                <w:b/>
                <w:bCs/>
                <w:lang w:val="x-none" w:eastAsia="x-none"/>
              </w:rPr>
            </w:pPr>
            <w:r w:rsidRPr="003E2BD8">
              <w:rPr>
                <w:rFonts w:ascii="Times New Roman" w:eastAsia="Calibri" w:hAnsi="Times New Roman" w:cs="Times New Roman"/>
                <w:b/>
              </w:rPr>
              <w:t>Risk Level</w:t>
            </w:r>
            <w:r w:rsidRPr="003E2BD8">
              <w:rPr>
                <w:rFonts w:ascii="Times New Roman" w:eastAsia="Calibri" w:hAnsi="Times New Roman" w:cs="Times New Roman"/>
              </w:rPr>
              <w:t xml:space="preserve"> – </w:t>
            </w:r>
            <w:r w:rsidRPr="003E2BD8">
              <w:rPr>
                <w:rFonts w:ascii="Times New Roman" w:eastAsia="Calibri" w:hAnsi="Times New Roman" w:cs="Times New Roman"/>
                <w:b/>
              </w:rPr>
              <w:t>Moderate</w:t>
            </w:r>
          </w:p>
        </w:tc>
      </w:tr>
    </w:tbl>
    <w:p w14:paraId="26B1CB2C" w14:textId="77777777" w:rsidR="00847853" w:rsidRPr="003E2BD8" w:rsidRDefault="00847853" w:rsidP="00CA0715">
      <w:pPr>
        <w:spacing w:after="0" w:line="240" w:lineRule="auto"/>
        <w:jc w:val="both"/>
        <w:rPr>
          <w:rFonts w:ascii="Times New Roman" w:eastAsia="Calibri" w:hAnsi="Times New Roman" w:cs="Times New Roman"/>
        </w:rPr>
      </w:pPr>
    </w:p>
    <w:p w14:paraId="0DCC1B19" w14:textId="77777777" w:rsidR="00847853" w:rsidRPr="003E2BD8" w:rsidRDefault="00847853" w:rsidP="00CA0715">
      <w:pPr>
        <w:spacing w:after="0" w:line="360" w:lineRule="auto"/>
        <w:jc w:val="both"/>
        <w:outlineLvl w:val="2"/>
        <w:rPr>
          <w:rFonts w:ascii="Times New Roman" w:eastAsia="Calibri" w:hAnsi="Times New Roman" w:cs="Times New Roman"/>
        </w:rPr>
      </w:pPr>
      <w:bookmarkStart w:id="274" w:name="_Toc496454590"/>
      <w:bookmarkStart w:id="275" w:name="_Toc508892833"/>
      <w:r w:rsidRPr="003E2BD8">
        <w:rPr>
          <w:rFonts w:ascii="Times New Roman" w:eastAsia="Calibri" w:hAnsi="Times New Roman" w:cs="Times New Roman"/>
          <w:b/>
          <w:lang w:eastAsia="x-none"/>
        </w:rPr>
        <w:t>Core Principle 4:  Land Acquisition</w:t>
      </w:r>
      <w:bookmarkEnd w:id="274"/>
      <w:bookmarkEnd w:id="275"/>
    </w:p>
    <w:tbl>
      <w:tblPr>
        <w:tblW w:w="5016" w:type="pct"/>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shd w:val="clear" w:color="auto" w:fill="FFFFFF"/>
        <w:tblLook w:val="04A0" w:firstRow="1" w:lastRow="0" w:firstColumn="1" w:lastColumn="0" w:noHBand="0" w:noVBand="1"/>
      </w:tblPr>
      <w:tblGrid>
        <w:gridCol w:w="9514"/>
      </w:tblGrid>
      <w:tr w:rsidR="00847853" w:rsidRPr="003E2BD8" w14:paraId="0BDBB541" w14:textId="77777777" w:rsidTr="00D316D4">
        <w:tc>
          <w:tcPr>
            <w:tcW w:w="5000" w:type="pct"/>
            <w:shd w:val="clear" w:color="auto" w:fill="9CC2E5"/>
          </w:tcPr>
          <w:p w14:paraId="6A3845D4" w14:textId="77777777" w:rsidR="00847853" w:rsidRPr="003E2BD8" w:rsidRDefault="00847853" w:rsidP="00CA0715">
            <w:pPr>
              <w:spacing w:after="0" w:line="240" w:lineRule="auto"/>
              <w:jc w:val="both"/>
              <w:rPr>
                <w:rFonts w:ascii="Times New Roman" w:eastAsia="Times New Roman" w:hAnsi="Times New Roman" w:cs="Times New Roman"/>
              </w:rPr>
            </w:pPr>
            <w:r w:rsidRPr="003E2BD8">
              <w:rPr>
                <w:rFonts w:ascii="Times New Roman" w:eastAsia="Times New Roman" w:hAnsi="Times New Roman" w:cs="Times New Roman"/>
              </w:rPr>
              <w:t xml:space="preserve">Land acquisition and loss of access to natural resources are managed in a way that avoids or minimizes displacement, and affected people are assisted in improving, or at least restoring, their livelihoods, and living standards. </w:t>
            </w:r>
          </w:p>
        </w:tc>
      </w:tr>
      <w:tr w:rsidR="00847853" w:rsidRPr="003E2BD8" w14:paraId="51C62FC1" w14:textId="77777777" w:rsidTr="00D316D4">
        <w:tc>
          <w:tcPr>
            <w:tcW w:w="5000" w:type="pct"/>
            <w:shd w:val="clear" w:color="auto" w:fill="BDD6EE"/>
          </w:tcPr>
          <w:p w14:paraId="06C52CEC" w14:textId="77777777" w:rsidR="00847853" w:rsidRPr="003E2BD8" w:rsidRDefault="00847853" w:rsidP="00CA0715">
            <w:pPr>
              <w:spacing w:after="0" w:line="240" w:lineRule="auto"/>
              <w:jc w:val="both"/>
              <w:rPr>
                <w:rFonts w:ascii="Times New Roman" w:eastAsia="Times New Roman" w:hAnsi="Times New Roman" w:cs="Times New Roman"/>
              </w:rPr>
            </w:pPr>
            <w:r w:rsidRPr="003E2BD8">
              <w:rPr>
                <w:rFonts w:ascii="Times New Roman" w:eastAsia="Times New Roman" w:hAnsi="Times New Roman" w:cs="Times New Roman"/>
              </w:rPr>
              <w:t>As relevant, the program to be supported:</w:t>
            </w:r>
          </w:p>
          <w:p w14:paraId="555916F3" w14:textId="77777777" w:rsidR="00847853" w:rsidRPr="003E2BD8" w:rsidRDefault="00847853" w:rsidP="00CA0715">
            <w:pPr>
              <w:numPr>
                <w:ilvl w:val="0"/>
                <w:numId w:val="15"/>
              </w:numPr>
              <w:tabs>
                <w:tab w:val="left" w:pos="284"/>
              </w:tabs>
              <w:spacing w:after="0" w:line="240" w:lineRule="auto"/>
              <w:ind w:left="284"/>
              <w:jc w:val="both"/>
              <w:rPr>
                <w:rFonts w:ascii="Times New Roman" w:eastAsia="Times New Roman" w:hAnsi="Times New Roman" w:cs="Times New Roman"/>
                <w:lang w:val="x-none" w:eastAsia="x-none"/>
              </w:rPr>
            </w:pPr>
            <w:r w:rsidRPr="003E2BD8">
              <w:rPr>
                <w:rFonts w:ascii="Times New Roman" w:eastAsia="Times New Roman" w:hAnsi="Times New Roman" w:cs="Times New Roman"/>
                <w:lang w:val="x-none" w:eastAsia="x-none"/>
              </w:rPr>
              <w:t xml:space="preserve">Avoids or minimizes land acquisition and related adverse impacts; </w:t>
            </w:r>
          </w:p>
          <w:p w14:paraId="55D2517A" w14:textId="77777777" w:rsidR="00847853" w:rsidRPr="003E2BD8" w:rsidRDefault="00847853" w:rsidP="00CA0715">
            <w:pPr>
              <w:numPr>
                <w:ilvl w:val="0"/>
                <w:numId w:val="15"/>
              </w:numPr>
              <w:tabs>
                <w:tab w:val="left" w:pos="284"/>
              </w:tabs>
              <w:spacing w:after="0" w:line="240" w:lineRule="auto"/>
              <w:ind w:left="284"/>
              <w:jc w:val="both"/>
              <w:rPr>
                <w:rFonts w:ascii="Times New Roman" w:eastAsia="Times New Roman" w:hAnsi="Times New Roman" w:cs="Times New Roman"/>
                <w:lang w:val="x-none" w:eastAsia="x-none"/>
              </w:rPr>
            </w:pPr>
            <w:r w:rsidRPr="003E2BD8">
              <w:rPr>
                <w:rFonts w:ascii="Times New Roman" w:eastAsia="Times New Roman" w:hAnsi="Times New Roman" w:cs="Times New Roman"/>
                <w:lang w:val="x-none" w:eastAsia="x-none"/>
              </w:rPr>
              <w:t xml:space="preserve">Identifies and addresses economic and social impacts caused by land acquisition or loss of access to natural resources, including those affecting people who may lack full legal rights to assets or resources they use or occupy; </w:t>
            </w:r>
          </w:p>
          <w:p w14:paraId="008C9010" w14:textId="77777777" w:rsidR="00847853" w:rsidRPr="003E2BD8" w:rsidRDefault="00847853" w:rsidP="00CA0715">
            <w:pPr>
              <w:numPr>
                <w:ilvl w:val="0"/>
                <w:numId w:val="15"/>
              </w:numPr>
              <w:tabs>
                <w:tab w:val="left" w:pos="284"/>
              </w:tabs>
              <w:spacing w:after="0" w:line="240" w:lineRule="auto"/>
              <w:ind w:left="284"/>
              <w:jc w:val="both"/>
              <w:rPr>
                <w:rFonts w:ascii="Times New Roman" w:eastAsia="Times New Roman" w:hAnsi="Times New Roman" w:cs="Times New Roman"/>
                <w:lang w:val="x-none" w:eastAsia="x-none"/>
              </w:rPr>
            </w:pPr>
            <w:r w:rsidRPr="003E2BD8">
              <w:rPr>
                <w:rFonts w:ascii="Times New Roman" w:eastAsia="Times New Roman" w:hAnsi="Times New Roman" w:cs="Times New Roman"/>
                <w:lang w:val="x-none" w:eastAsia="x-none"/>
              </w:rPr>
              <w:t xml:space="preserve">Provides compensation sufficient to purchase replacement assets of equivalent value and to meet any necessary transitional expenses, paid prior to taking of land or restricting access; </w:t>
            </w:r>
          </w:p>
          <w:p w14:paraId="2B7F6804" w14:textId="77777777" w:rsidR="00847853" w:rsidRPr="003E2BD8" w:rsidRDefault="00847853" w:rsidP="00CA0715">
            <w:pPr>
              <w:numPr>
                <w:ilvl w:val="0"/>
                <w:numId w:val="15"/>
              </w:numPr>
              <w:tabs>
                <w:tab w:val="left" w:pos="284"/>
              </w:tabs>
              <w:spacing w:after="0" w:line="240" w:lineRule="auto"/>
              <w:ind w:left="284"/>
              <w:jc w:val="both"/>
              <w:rPr>
                <w:rFonts w:ascii="Times New Roman" w:eastAsia="Times New Roman" w:hAnsi="Times New Roman" w:cs="Times New Roman"/>
                <w:lang w:val="x-none" w:eastAsia="x-none"/>
              </w:rPr>
            </w:pPr>
            <w:r w:rsidRPr="003E2BD8">
              <w:rPr>
                <w:rFonts w:ascii="Times New Roman" w:eastAsia="Times New Roman" w:hAnsi="Times New Roman" w:cs="Times New Roman"/>
                <w:lang w:val="x-none" w:eastAsia="x-none"/>
              </w:rPr>
              <w:t>Provides supplemental livelihood improvement or restoration measures if taking of land causes loss of income-generating opportunity  (e.g., loss of crop production or employment); and</w:t>
            </w:r>
            <w:r w:rsidRPr="003E2BD8">
              <w:rPr>
                <w:rFonts w:ascii="Times New Roman" w:eastAsia="Times New Roman" w:hAnsi="Times New Roman" w:cs="Times New Roman"/>
                <w:lang w:eastAsia="x-none"/>
              </w:rPr>
              <w:t xml:space="preserve"> </w:t>
            </w:r>
            <w:r w:rsidRPr="003E2BD8">
              <w:rPr>
                <w:rFonts w:ascii="Times New Roman" w:eastAsia="Times New Roman" w:hAnsi="Times New Roman" w:cs="Times New Roman"/>
                <w:lang w:val="x-none" w:eastAsia="x-none"/>
              </w:rPr>
              <w:t>Restores or replaces public infrastructure and community services that may be adversely affected.</w:t>
            </w:r>
          </w:p>
        </w:tc>
      </w:tr>
      <w:tr w:rsidR="00847853" w:rsidRPr="003E2BD8" w14:paraId="42433748" w14:textId="77777777" w:rsidTr="00D316D4">
        <w:tc>
          <w:tcPr>
            <w:tcW w:w="5000" w:type="pct"/>
            <w:shd w:val="clear" w:color="auto" w:fill="FFFFFF"/>
          </w:tcPr>
          <w:p w14:paraId="3B22DD56" w14:textId="77777777" w:rsidR="00847853" w:rsidRPr="003E2BD8" w:rsidRDefault="00847853" w:rsidP="00CA0715">
            <w:pPr>
              <w:spacing w:after="0" w:line="240" w:lineRule="auto"/>
              <w:jc w:val="both"/>
              <w:rPr>
                <w:rFonts w:ascii="Times New Roman" w:eastAsia="Calibri" w:hAnsi="Times New Roman" w:cs="Times New Roman"/>
                <w:b/>
                <w:bCs/>
              </w:rPr>
            </w:pPr>
            <w:r w:rsidRPr="003E2BD8">
              <w:rPr>
                <w:rFonts w:ascii="Times New Roman" w:eastAsia="Calibri" w:hAnsi="Times New Roman" w:cs="Times New Roman"/>
                <w:b/>
                <w:bCs/>
              </w:rPr>
              <w:t>Applicability:  Fully applicable</w:t>
            </w:r>
          </w:p>
          <w:p w14:paraId="439202B6" w14:textId="77777777" w:rsidR="00847853" w:rsidRPr="003E2BD8" w:rsidRDefault="00181948" w:rsidP="00CA0715">
            <w:pPr>
              <w:numPr>
                <w:ilvl w:val="0"/>
                <w:numId w:val="15"/>
              </w:numPr>
              <w:tabs>
                <w:tab w:val="left" w:pos="426"/>
              </w:tabs>
              <w:spacing w:after="0" w:line="240" w:lineRule="auto"/>
              <w:jc w:val="both"/>
              <w:rPr>
                <w:rFonts w:ascii="Times New Roman" w:eastAsia="Times New Roman" w:hAnsi="Times New Roman" w:cs="Times New Roman"/>
                <w:lang w:val="x-none" w:eastAsia="x-none"/>
              </w:rPr>
            </w:pPr>
            <w:r w:rsidRPr="003E2BD8">
              <w:rPr>
                <w:rFonts w:ascii="Times New Roman" w:eastAsia="Times New Roman" w:hAnsi="Times New Roman" w:cs="Times New Roman"/>
                <w:lang w:eastAsia="x-none"/>
              </w:rPr>
              <w:t xml:space="preserve">Program involves </w:t>
            </w:r>
            <w:r w:rsidRPr="003E2BD8">
              <w:rPr>
                <w:rFonts w:ascii="Times New Roman" w:eastAsia="Times New Roman" w:hAnsi="Times New Roman" w:cs="Times New Roman"/>
                <w:lang w:val="x-none" w:eastAsia="x-none"/>
              </w:rPr>
              <w:t xml:space="preserve">physical works, </w:t>
            </w:r>
            <w:r w:rsidRPr="003E2BD8">
              <w:rPr>
                <w:rFonts w:ascii="Times New Roman" w:eastAsia="Times New Roman" w:hAnsi="Times New Roman" w:cs="Times New Roman"/>
                <w:lang w:eastAsia="x-none"/>
              </w:rPr>
              <w:t xml:space="preserve">although mostly confined </w:t>
            </w:r>
            <w:r w:rsidR="00847853" w:rsidRPr="003E2BD8">
              <w:rPr>
                <w:rFonts w:ascii="Times New Roman" w:eastAsia="Times New Roman" w:hAnsi="Times New Roman" w:cs="Times New Roman"/>
                <w:lang w:val="x-none" w:eastAsia="x-none"/>
              </w:rPr>
              <w:t xml:space="preserve">to existing right of way and </w:t>
            </w:r>
            <w:r w:rsidRPr="003E2BD8">
              <w:rPr>
                <w:rFonts w:ascii="Times New Roman" w:eastAsia="Times New Roman" w:hAnsi="Times New Roman" w:cs="Times New Roman"/>
                <w:lang w:eastAsia="x-none"/>
              </w:rPr>
              <w:t xml:space="preserve">government-owned premises. </w:t>
            </w:r>
            <w:r w:rsidR="00847853" w:rsidRPr="003E2BD8">
              <w:rPr>
                <w:rFonts w:ascii="Times New Roman" w:eastAsia="Times New Roman" w:hAnsi="Times New Roman" w:cs="Times New Roman"/>
                <w:lang w:val="x-none" w:eastAsia="x-none"/>
              </w:rPr>
              <w:t xml:space="preserve">However limited, the risk of land acquisition and displacement of people cannot be ruled out in some cases. </w:t>
            </w:r>
            <w:r w:rsidRPr="003E2BD8">
              <w:rPr>
                <w:rFonts w:ascii="Times New Roman" w:eastAsia="Times New Roman" w:hAnsi="Times New Roman" w:cs="Times New Roman"/>
                <w:lang w:eastAsia="x-none"/>
              </w:rPr>
              <w:t xml:space="preserve">Temporary economic displacement of vendors, hawkers, etc. is highly likely. </w:t>
            </w:r>
            <w:r w:rsidR="00847853" w:rsidRPr="003E2BD8">
              <w:rPr>
                <w:rFonts w:ascii="Times New Roman" w:eastAsia="Times New Roman" w:hAnsi="Times New Roman" w:cs="Times New Roman"/>
                <w:lang w:val="x-none" w:eastAsia="x-none"/>
              </w:rPr>
              <w:t xml:space="preserve">The loss of access to natural resources </w:t>
            </w:r>
            <w:r w:rsidRPr="003E2BD8">
              <w:rPr>
                <w:rFonts w:ascii="Times New Roman" w:eastAsia="Times New Roman" w:hAnsi="Times New Roman" w:cs="Times New Roman"/>
                <w:lang w:eastAsia="x-none"/>
              </w:rPr>
              <w:t xml:space="preserve">is highly unlikely </w:t>
            </w:r>
            <w:r w:rsidR="00847853" w:rsidRPr="003E2BD8">
              <w:rPr>
                <w:rFonts w:ascii="Times New Roman" w:eastAsia="Times New Roman" w:hAnsi="Times New Roman" w:cs="Times New Roman"/>
                <w:lang w:val="x-none" w:eastAsia="x-none"/>
              </w:rPr>
              <w:t>since the program will mainly focus urban</w:t>
            </w:r>
            <w:r w:rsidRPr="003E2BD8">
              <w:rPr>
                <w:rFonts w:ascii="Times New Roman" w:eastAsia="Times New Roman" w:hAnsi="Times New Roman" w:cs="Times New Roman"/>
                <w:lang w:eastAsia="x-none"/>
              </w:rPr>
              <w:t>/built up</w:t>
            </w:r>
            <w:r w:rsidR="00847853" w:rsidRPr="003E2BD8">
              <w:rPr>
                <w:rFonts w:ascii="Times New Roman" w:eastAsia="Times New Roman" w:hAnsi="Times New Roman" w:cs="Times New Roman"/>
                <w:lang w:val="x-none" w:eastAsia="x-none"/>
              </w:rPr>
              <w:t xml:space="preserve"> areas. </w:t>
            </w:r>
          </w:p>
          <w:p w14:paraId="537ECB1F" w14:textId="4CCED43B" w:rsidR="00847853" w:rsidRPr="003E2BD8" w:rsidRDefault="00847853" w:rsidP="00CA0715">
            <w:pPr>
              <w:numPr>
                <w:ilvl w:val="0"/>
                <w:numId w:val="15"/>
              </w:numPr>
              <w:tabs>
                <w:tab w:val="left" w:pos="284"/>
              </w:tabs>
              <w:spacing w:after="0" w:line="240" w:lineRule="auto"/>
              <w:jc w:val="both"/>
              <w:rPr>
                <w:rFonts w:ascii="Times New Roman" w:eastAsia="Times New Roman" w:hAnsi="Times New Roman" w:cs="Times New Roman"/>
                <w:b/>
                <w:bCs/>
                <w:lang w:val="x-none" w:eastAsia="x-none"/>
              </w:rPr>
            </w:pPr>
            <w:r w:rsidRPr="003E2BD8">
              <w:rPr>
                <w:rFonts w:ascii="Times New Roman" w:eastAsia="Times New Roman" w:hAnsi="Times New Roman" w:cs="Times New Roman"/>
                <w:lang w:eastAsia="x-none"/>
              </w:rPr>
              <w:t xml:space="preserve"> </w:t>
            </w:r>
            <w:r w:rsidRPr="003E2BD8">
              <w:rPr>
                <w:rFonts w:ascii="Times New Roman" w:eastAsia="Times New Roman" w:hAnsi="Times New Roman" w:cs="Times New Roman"/>
                <w:lang w:val="x-none" w:eastAsia="x-none"/>
              </w:rPr>
              <w:t>However, it is important to note that the risk of land acquisition and displacement is likely to be slightly higher</w:t>
            </w:r>
            <w:r w:rsidR="00181948" w:rsidRPr="003E2BD8">
              <w:rPr>
                <w:rFonts w:ascii="Times New Roman" w:eastAsia="Times New Roman" w:hAnsi="Times New Roman" w:cs="Times New Roman"/>
                <w:lang w:val="x-none" w:eastAsia="x-none"/>
              </w:rPr>
              <w:t xml:space="preserve"> </w:t>
            </w:r>
            <w:r w:rsidRPr="003E2BD8">
              <w:rPr>
                <w:rFonts w:ascii="Times New Roman" w:eastAsia="Times New Roman" w:hAnsi="Times New Roman" w:cs="Times New Roman"/>
                <w:lang w:val="x-none" w:eastAsia="x-none"/>
              </w:rPr>
              <w:t xml:space="preserve">in </w:t>
            </w:r>
            <w:r w:rsidR="00181948" w:rsidRPr="003E2BD8">
              <w:rPr>
                <w:rFonts w:ascii="Times New Roman" w:eastAsia="Times New Roman" w:hAnsi="Times New Roman" w:cs="Times New Roman"/>
                <w:lang w:eastAsia="x-none"/>
              </w:rPr>
              <w:t>some densely populated MMAs</w:t>
            </w:r>
            <w:r w:rsidRPr="003E2BD8">
              <w:rPr>
                <w:rFonts w:ascii="Times New Roman" w:eastAsia="Times New Roman" w:hAnsi="Times New Roman" w:cs="Times New Roman"/>
                <w:lang w:val="x-none" w:eastAsia="x-none"/>
              </w:rPr>
              <w:t xml:space="preserve">. </w:t>
            </w:r>
          </w:p>
        </w:tc>
      </w:tr>
      <w:tr w:rsidR="00847853" w:rsidRPr="003E2BD8" w14:paraId="6ABF132C" w14:textId="77777777" w:rsidTr="00D316D4">
        <w:tc>
          <w:tcPr>
            <w:tcW w:w="5000" w:type="pct"/>
            <w:shd w:val="clear" w:color="auto" w:fill="FFFFFF"/>
          </w:tcPr>
          <w:p w14:paraId="27ACA8E3" w14:textId="77777777" w:rsidR="00847853" w:rsidRPr="003E2BD8" w:rsidRDefault="00847853" w:rsidP="00CA0715">
            <w:pPr>
              <w:spacing w:after="0" w:line="240" w:lineRule="auto"/>
              <w:jc w:val="both"/>
              <w:rPr>
                <w:rFonts w:ascii="Times New Roman" w:eastAsia="Calibri" w:hAnsi="Times New Roman" w:cs="Times New Roman"/>
                <w:b/>
                <w:bCs/>
              </w:rPr>
            </w:pPr>
            <w:r w:rsidRPr="003E2BD8">
              <w:rPr>
                <w:rFonts w:ascii="Times New Roman" w:eastAsia="Calibri" w:hAnsi="Times New Roman" w:cs="Times New Roman"/>
                <w:b/>
                <w:bCs/>
              </w:rPr>
              <w:t>System Strength/Summary of Findings:</w:t>
            </w:r>
          </w:p>
          <w:p w14:paraId="25D7DD3D" w14:textId="77777777" w:rsidR="00181948" w:rsidRPr="003E2BD8" w:rsidRDefault="00181948" w:rsidP="00CA0715">
            <w:pPr>
              <w:numPr>
                <w:ilvl w:val="0"/>
                <w:numId w:val="15"/>
              </w:numPr>
              <w:tabs>
                <w:tab w:val="left" w:pos="426"/>
              </w:tabs>
              <w:spacing w:after="0" w:line="240" w:lineRule="auto"/>
              <w:jc w:val="both"/>
              <w:rPr>
                <w:rFonts w:ascii="Times New Roman" w:eastAsia="Times New Roman" w:hAnsi="Times New Roman" w:cs="Times New Roman"/>
                <w:lang w:val="x-none" w:eastAsia="x-none"/>
              </w:rPr>
            </w:pPr>
            <w:r w:rsidRPr="003E2BD8">
              <w:rPr>
                <w:rFonts w:ascii="Times New Roman" w:eastAsia="Times New Roman" w:hAnsi="Times New Roman" w:cs="Times New Roman"/>
                <w:lang w:eastAsia="x-none"/>
              </w:rPr>
              <w:t>A legal title holder is entitled to fair compensation of his/her land based on existing law.</w:t>
            </w:r>
          </w:p>
          <w:p w14:paraId="654F3FA7" w14:textId="671330D6" w:rsidR="00847853" w:rsidRPr="003E2BD8" w:rsidRDefault="00847853" w:rsidP="00CA0715">
            <w:pPr>
              <w:numPr>
                <w:ilvl w:val="0"/>
                <w:numId w:val="15"/>
              </w:numPr>
              <w:tabs>
                <w:tab w:val="left" w:pos="426"/>
              </w:tabs>
              <w:spacing w:after="0" w:line="240" w:lineRule="auto"/>
              <w:jc w:val="both"/>
              <w:rPr>
                <w:rFonts w:ascii="Times New Roman" w:eastAsia="Times New Roman" w:hAnsi="Times New Roman" w:cs="Times New Roman"/>
                <w:lang w:val="x-none" w:eastAsia="x-none"/>
              </w:rPr>
            </w:pPr>
            <w:r w:rsidRPr="003E2BD8">
              <w:rPr>
                <w:rFonts w:ascii="Times New Roman" w:eastAsia="Times New Roman" w:hAnsi="Times New Roman" w:cs="Times New Roman"/>
                <w:lang w:val="x-none" w:eastAsia="x-none"/>
              </w:rPr>
              <w:t xml:space="preserve">The amount of compensation for property is  determined </w:t>
            </w:r>
            <w:r w:rsidR="00181948" w:rsidRPr="003E2BD8">
              <w:rPr>
                <w:rFonts w:ascii="Times New Roman" w:eastAsia="Times New Roman" w:hAnsi="Times New Roman" w:cs="Times New Roman"/>
                <w:lang w:eastAsia="x-none"/>
              </w:rPr>
              <w:t xml:space="preserve">by a mandated agency, the Land Valuation </w:t>
            </w:r>
            <w:r w:rsidR="00B27E78" w:rsidRPr="003E2BD8">
              <w:rPr>
                <w:rFonts w:ascii="Times New Roman" w:eastAsia="Times New Roman" w:hAnsi="Times New Roman" w:cs="Times New Roman"/>
                <w:lang w:eastAsia="x-none"/>
              </w:rPr>
              <w:t>Division.</w:t>
            </w:r>
            <w:r w:rsidR="00181948" w:rsidRPr="003E2BD8">
              <w:rPr>
                <w:rFonts w:ascii="Times New Roman" w:eastAsia="Times New Roman" w:hAnsi="Times New Roman" w:cs="Times New Roman"/>
                <w:lang w:eastAsia="x-none"/>
              </w:rPr>
              <w:t xml:space="preserve"> </w:t>
            </w:r>
          </w:p>
          <w:p w14:paraId="2C49E959" w14:textId="77777777" w:rsidR="00181948" w:rsidRPr="003E2BD8" w:rsidRDefault="00181948" w:rsidP="00CA0715">
            <w:pPr>
              <w:numPr>
                <w:ilvl w:val="0"/>
                <w:numId w:val="15"/>
              </w:numPr>
              <w:tabs>
                <w:tab w:val="left" w:pos="426"/>
              </w:tabs>
              <w:spacing w:after="0" w:line="240" w:lineRule="auto"/>
              <w:jc w:val="both"/>
              <w:rPr>
                <w:rFonts w:ascii="Times New Roman" w:eastAsia="Times New Roman" w:hAnsi="Times New Roman" w:cs="Times New Roman"/>
                <w:lang w:val="x-none" w:eastAsia="x-none"/>
              </w:rPr>
            </w:pPr>
            <w:r w:rsidRPr="003E2BD8">
              <w:rPr>
                <w:rFonts w:ascii="Times New Roman" w:eastAsia="Times New Roman" w:hAnsi="Times New Roman" w:cs="Times New Roman"/>
                <w:lang w:eastAsia="x-none"/>
              </w:rPr>
              <w:t>Program will exclude subprojects that involve large land acquisition and resettlement.</w:t>
            </w:r>
          </w:p>
          <w:p w14:paraId="2A89C297" w14:textId="77777777" w:rsidR="00181948" w:rsidRPr="003E2BD8" w:rsidRDefault="00181948" w:rsidP="00CA0715">
            <w:pPr>
              <w:numPr>
                <w:ilvl w:val="0"/>
                <w:numId w:val="15"/>
              </w:numPr>
              <w:tabs>
                <w:tab w:val="left" w:pos="426"/>
              </w:tabs>
              <w:spacing w:after="0" w:line="240" w:lineRule="auto"/>
              <w:jc w:val="both"/>
              <w:rPr>
                <w:rFonts w:ascii="Times New Roman" w:eastAsia="Times New Roman" w:hAnsi="Times New Roman" w:cs="Times New Roman"/>
                <w:lang w:val="x-none" w:eastAsia="x-none"/>
              </w:rPr>
            </w:pPr>
            <w:r w:rsidRPr="003E2BD8">
              <w:rPr>
                <w:rFonts w:ascii="Times New Roman" w:eastAsia="Times New Roman" w:hAnsi="Times New Roman" w:cs="Times New Roman"/>
                <w:lang w:eastAsia="x-none"/>
              </w:rPr>
              <w:t>MMAs/MMDAs prioritize subprojects that will not require or will minimize land acquisition and resettlement.</w:t>
            </w:r>
          </w:p>
          <w:p w14:paraId="01FAEABC" w14:textId="77777777" w:rsidR="00847853" w:rsidRPr="003E2BD8" w:rsidRDefault="00181948" w:rsidP="00CA0715">
            <w:pPr>
              <w:numPr>
                <w:ilvl w:val="0"/>
                <w:numId w:val="18"/>
              </w:numPr>
              <w:tabs>
                <w:tab w:val="left" w:pos="426"/>
              </w:tabs>
              <w:spacing w:after="0" w:line="240" w:lineRule="auto"/>
              <w:jc w:val="both"/>
              <w:rPr>
                <w:rFonts w:ascii="Times New Roman" w:eastAsia="Times New Roman" w:hAnsi="Times New Roman" w:cs="Times New Roman"/>
                <w:b/>
                <w:bCs/>
                <w:lang w:val="x-none" w:eastAsia="x-none"/>
              </w:rPr>
            </w:pPr>
            <w:r w:rsidRPr="003E2BD8">
              <w:rPr>
                <w:rFonts w:ascii="Times New Roman" w:eastAsia="Times New Roman" w:hAnsi="Times New Roman" w:cs="Times New Roman"/>
                <w:lang w:eastAsia="x-none"/>
              </w:rPr>
              <w:t>A Resettlement Policy Framework exists under the LGCSP that can be adopted by the Program with some enhancement based on experience and lessons learned of LGCSP.</w:t>
            </w:r>
            <w:r w:rsidR="00847853" w:rsidRPr="003E2BD8">
              <w:rPr>
                <w:rFonts w:ascii="Times New Roman" w:eastAsia="Times New Roman" w:hAnsi="Times New Roman" w:cs="Times New Roman"/>
                <w:bCs/>
                <w:lang w:eastAsia="x-none"/>
              </w:rPr>
              <w:t xml:space="preserve"> </w:t>
            </w:r>
          </w:p>
          <w:p w14:paraId="7CBCF08C" w14:textId="77777777" w:rsidR="00130B48" w:rsidRPr="003E2BD8" w:rsidRDefault="00847853" w:rsidP="00CA0715">
            <w:pPr>
              <w:numPr>
                <w:ilvl w:val="0"/>
                <w:numId w:val="18"/>
              </w:numPr>
              <w:spacing w:after="0" w:line="240" w:lineRule="auto"/>
              <w:jc w:val="both"/>
              <w:rPr>
                <w:rFonts w:ascii="Times New Roman" w:eastAsia="Times New Roman" w:hAnsi="Times New Roman" w:cs="Times New Roman"/>
                <w:b/>
                <w:bCs/>
                <w:lang w:val="x-none" w:eastAsia="x-none"/>
              </w:rPr>
            </w:pPr>
            <w:r w:rsidRPr="003E2BD8">
              <w:rPr>
                <w:rFonts w:ascii="Times New Roman" w:eastAsia="Times New Roman" w:hAnsi="Times New Roman" w:cs="Times New Roman"/>
                <w:bCs/>
                <w:lang w:val="x-none" w:eastAsia="x-none"/>
              </w:rPr>
              <w:t>Consultations with PAPs are conducted systematically</w:t>
            </w:r>
            <w:r w:rsidR="003963AF" w:rsidRPr="003E2BD8">
              <w:rPr>
                <w:rFonts w:ascii="Times New Roman" w:eastAsia="Times New Roman" w:hAnsi="Times New Roman" w:cs="Times New Roman"/>
                <w:bCs/>
                <w:lang w:eastAsia="x-none"/>
              </w:rPr>
              <w:t xml:space="preserve"> by MMAs</w:t>
            </w:r>
            <w:r w:rsidRPr="003E2BD8">
              <w:rPr>
                <w:rFonts w:ascii="Times New Roman" w:eastAsia="Times New Roman" w:hAnsi="Times New Roman" w:cs="Times New Roman"/>
                <w:bCs/>
                <w:lang w:eastAsia="x-none"/>
              </w:rPr>
              <w:t xml:space="preserve">. </w:t>
            </w:r>
          </w:p>
          <w:p w14:paraId="120BD38A" w14:textId="66457D12" w:rsidR="00847853" w:rsidRPr="003E2BD8" w:rsidRDefault="00130B48" w:rsidP="00CA0715">
            <w:pPr>
              <w:numPr>
                <w:ilvl w:val="0"/>
                <w:numId w:val="18"/>
              </w:numPr>
              <w:spacing w:after="0" w:line="240" w:lineRule="auto"/>
              <w:jc w:val="both"/>
              <w:rPr>
                <w:rFonts w:ascii="Times New Roman" w:eastAsia="Times New Roman" w:hAnsi="Times New Roman" w:cs="Times New Roman"/>
                <w:b/>
                <w:bCs/>
                <w:lang w:val="x-none" w:eastAsia="x-none"/>
              </w:rPr>
            </w:pPr>
            <w:r w:rsidRPr="003E2BD8">
              <w:rPr>
                <w:rFonts w:ascii="Times New Roman" w:eastAsia="Times New Roman" w:hAnsi="Times New Roman" w:cs="Times New Roman"/>
                <w:bCs/>
                <w:lang w:eastAsia="x-none"/>
              </w:rPr>
              <w:t>Beneficia</w:t>
            </w:r>
            <w:r w:rsidR="0021086C">
              <w:rPr>
                <w:rFonts w:ascii="Times New Roman" w:eastAsia="Times New Roman" w:hAnsi="Times New Roman" w:cs="Times New Roman"/>
                <w:bCs/>
                <w:lang w:eastAsia="x-none"/>
              </w:rPr>
              <w:t>ry-</w:t>
            </w:r>
            <w:r w:rsidRPr="003E2BD8">
              <w:rPr>
                <w:rFonts w:ascii="Times New Roman" w:eastAsia="Times New Roman" w:hAnsi="Times New Roman" w:cs="Times New Roman"/>
                <w:bCs/>
                <w:lang w:eastAsia="x-none"/>
              </w:rPr>
              <w:t>communities</w:t>
            </w:r>
            <w:r w:rsidR="0021086C">
              <w:rPr>
                <w:rFonts w:ascii="Times New Roman" w:eastAsia="Times New Roman" w:hAnsi="Times New Roman" w:cs="Times New Roman"/>
                <w:bCs/>
                <w:lang w:eastAsia="x-none"/>
              </w:rPr>
              <w:t>’</w:t>
            </w:r>
            <w:r w:rsidRPr="003E2BD8">
              <w:rPr>
                <w:rFonts w:ascii="Times New Roman" w:eastAsia="Times New Roman" w:hAnsi="Times New Roman" w:cs="Times New Roman"/>
                <w:bCs/>
                <w:lang w:eastAsia="x-none"/>
              </w:rPr>
              <w:t xml:space="preserve"> willingness to donate small parcels of land to support development projects</w:t>
            </w:r>
            <w:r w:rsidR="00847853" w:rsidRPr="003E2BD8">
              <w:rPr>
                <w:rFonts w:ascii="Times New Roman" w:eastAsia="Times New Roman" w:hAnsi="Times New Roman" w:cs="Times New Roman"/>
                <w:bCs/>
                <w:lang w:val="x-none" w:eastAsia="x-none"/>
              </w:rPr>
              <w:t xml:space="preserve"> </w:t>
            </w:r>
          </w:p>
        </w:tc>
      </w:tr>
      <w:tr w:rsidR="00847853" w:rsidRPr="00790606" w14:paraId="32A822A4" w14:textId="77777777" w:rsidTr="00D316D4">
        <w:tc>
          <w:tcPr>
            <w:tcW w:w="5000" w:type="pct"/>
            <w:shd w:val="clear" w:color="auto" w:fill="FFFFFF"/>
          </w:tcPr>
          <w:p w14:paraId="3F4F7F1D" w14:textId="77777777" w:rsidR="00847853" w:rsidRPr="00C3416F" w:rsidRDefault="00847853" w:rsidP="00CA0715">
            <w:pPr>
              <w:spacing w:after="0" w:line="240" w:lineRule="auto"/>
              <w:jc w:val="both"/>
              <w:rPr>
                <w:rFonts w:ascii="Times New Roman" w:eastAsia="Calibri" w:hAnsi="Times New Roman" w:cs="Times New Roman"/>
                <w:b/>
                <w:bCs/>
              </w:rPr>
            </w:pPr>
            <w:r w:rsidRPr="00C3416F">
              <w:rPr>
                <w:rFonts w:ascii="Times New Roman" w:eastAsia="Calibri" w:hAnsi="Times New Roman" w:cs="Times New Roman"/>
                <w:b/>
                <w:bCs/>
              </w:rPr>
              <w:t>Gaps:</w:t>
            </w:r>
          </w:p>
          <w:p w14:paraId="67CC463D" w14:textId="271CE455" w:rsidR="003963AF" w:rsidRPr="00C3416F" w:rsidRDefault="003963AF" w:rsidP="00CA0715">
            <w:pPr>
              <w:numPr>
                <w:ilvl w:val="0"/>
                <w:numId w:val="25"/>
              </w:numPr>
              <w:spacing w:after="0" w:line="240" w:lineRule="auto"/>
              <w:jc w:val="both"/>
              <w:rPr>
                <w:rFonts w:ascii="Times New Roman" w:eastAsia="Calibri" w:hAnsi="Times New Roman" w:cs="Times New Roman"/>
                <w:bCs/>
              </w:rPr>
            </w:pPr>
            <w:r w:rsidRPr="00C3416F">
              <w:rPr>
                <w:rFonts w:ascii="Times New Roman" w:eastAsia="Calibri" w:hAnsi="Times New Roman" w:cs="Times New Roman"/>
                <w:bCs/>
              </w:rPr>
              <w:t xml:space="preserve">Existing law does not recognize squatters and those who have no titles </w:t>
            </w:r>
            <w:r w:rsidR="00130B48" w:rsidRPr="00C3416F">
              <w:rPr>
                <w:rFonts w:ascii="Times New Roman" w:eastAsia="Calibri" w:hAnsi="Times New Roman" w:cs="Times New Roman"/>
                <w:bCs/>
              </w:rPr>
              <w:t xml:space="preserve"> and customary recognized rights </w:t>
            </w:r>
            <w:r w:rsidRPr="00C3416F">
              <w:rPr>
                <w:rFonts w:ascii="Times New Roman" w:eastAsia="Calibri" w:hAnsi="Times New Roman" w:cs="Times New Roman"/>
                <w:bCs/>
              </w:rPr>
              <w:t>to the land.</w:t>
            </w:r>
          </w:p>
          <w:p w14:paraId="22AF6FAC" w14:textId="12DC1AFF" w:rsidR="00847853" w:rsidRPr="00C3416F" w:rsidRDefault="003963AF" w:rsidP="00CA0715">
            <w:pPr>
              <w:numPr>
                <w:ilvl w:val="0"/>
                <w:numId w:val="25"/>
              </w:numPr>
              <w:spacing w:after="0" w:line="240" w:lineRule="auto"/>
              <w:jc w:val="both"/>
              <w:rPr>
                <w:rFonts w:ascii="Times New Roman" w:eastAsia="Calibri" w:hAnsi="Times New Roman" w:cs="Times New Roman"/>
                <w:bCs/>
              </w:rPr>
            </w:pPr>
            <w:r w:rsidRPr="00C3416F">
              <w:rPr>
                <w:rFonts w:ascii="Times New Roman" w:eastAsia="Calibri" w:hAnsi="Times New Roman" w:cs="Times New Roman"/>
                <w:bCs/>
              </w:rPr>
              <w:t xml:space="preserve">Lack of institutional clarity </w:t>
            </w:r>
            <w:r w:rsidR="00130B48" w:rsidRPr="00C3416F">
              <w:rPr>
                <w:rFonts w:ascii="Times New Roman" w:eastAsia="Calibri" w:hAnsi="Times New Roman" w:cs="Times New Roman"/>
                <w:bCs/>
              </w:rPr>
              <w:t xml:space="preserve">where there is physical  displacement requiring </w:t>
            </w:r>
            <w:r w:rsidRPr="00C3416F">
              <w:rPr>
                <w:rFonts w:ascii="Times New Roman" w:eastAsia="Calibri" w:hAnsi="Times New Roman" w:cs="Times New Roman"/>
                <w:bCs/>
              </w:rPr>
              <w:t xml:space="preserve"> resettlement planning, including livelihood restoration. </w:t>
            </w:r>
          </w:p>
          <w:p w14:paraId="3F5BE756" w14:textId="57608D84" w:rsidR="003963AF" w:rsidRPr="00C3416F" w:rsidRDefault="003963AF" w:rsidP="00CA0715">
            <w:pPr>
              <w:numPr>
                <w:ilvl w:val="0"/>
                <w:numId w:val="25"/>
              </w:numPr>
              <w:spacing w:after="0" w:line="240" w:lineRule="auto"/>
              <w:jc w:val="both"/>
              <w:rPr>
                <w:rFonts w:ascii="Times New Roman" w:eastAsia="Calibri" w:hAnsi="Times New Roman" w:cs="Times New Roman"/>
                <w:bCs/>
              </w:rPr>
            </w:pPr>
            <w:r w:rsidRPr="00C3416F">
              <w:rPr>
                <w:rFonts w:ascii="Times New Roman" w:eastAsia="Calibri" w:hAnsi="Times New Roman" w:cs="Times New Roman"/>
                <w:bCs/>
              </w:rPr>
              <w:t>Limited capacity of MMAs to prepare acceptable ARAPs.</w:t>
            </w:r>
          </w:p>
          <w:p w14:paraId="43C69D84" w14:textId="77777777" w:rsidR="003963AF" w:rsidRPr="00C3416F" w:rsidRDefault="003963AF" w:rsidP="00CA0715">
            <w:pPr>
              <w:numPr>
                <w:ilvl w:val="0"/>
                <w:numId w:val="25"/>
              </w:numPr>
              <w:spacing w:after="0" w:line="240" w:lineRule="auto"/>
              <w:jc w:val="both"/>
              <w:rPr>
                <w:rFonts w:ascii="Times New Roman" w:eastAsia="Calibri" w:hAnsi="Times New Roman" w:cs="Times New Roman"/>
                <w:bCs/>
              </w:rPr>
            </w:pPr>
            <w:r w:rsidRPr="00C3416F">
              <w:rPr>
                <w:rFonts w:ascii="Times New Roman" w:eastAsia="Calibri" w:hAnsi="Times New Roman" w:cs="Times New Roman"/>
                <w:bCs/>
              </w:rPr>
              <w:t>Dearth of expertise to prepare ARAPs.</w:t>
            </w:r>
          </w:p>
          <w:p w14:paraId="3595B189" w14:textId="21045AFE" w:rsidR="00847853" w:rsidRPr="00C3416F" w:rsidRDefault="003963AF" w:rsidP="00CA0715">
            <w:pPr>
              <w:numPr>
                <w:ilvl w:val="0"/>
                <w:numId w:val="25"/>
              </w:numPr>
              <w:spacing w:after="0" w:line="240" w:lineRule="auto"/>
              <w:jc w:val="both"/>
              <w:rPr>
                <w:rFonts w:ascii="Times New Roman" w:eastAsia="Times New Roman" w:hAnsi="Times New Roman" w:cs="Times New Roman"/>
                <w:b/>
                <w:bCs/>
                <w:lang w:val="x-none" w:eastAsia="x-none"/>
              </w:rPr>
            </w:pPr>
            <w:r w:rsidRPr="00C3416F">
              <w:rPr>
                <w:rFonts w:ascii="Times New Roman" w:eastAsia="Calibri" w:hAnsi="Times New Roman" w:cs="Times New Roman"/>
                <w:bCs/>
              </w:rPr>
              <w:t xml:space="preserve">Land Valuation </w:t>
            </w:r>
            <w:r w:rsidR="00B27E78" w:rsidRPr="00C3416F">
              <w:rPr>
                <w:rFonts w:ascii="Times New Roman" w:eastAsia="Calibri" w:hAnsi="Times New Roman" w:cs="Times New Roman"/>
                <w:bCs/>
              </w:rPr>
              <w:t xml:space="preserve">Division </w:t>
            </w:r>
            <w:r w:rsidRPr="00C3416F">
              <w:rPr>
                <w:rFonts w:ascii="Times New Roman" w:eastAsia="Calibri" w:hAnsi="Times New Roman" w:cs="Times New Roman"/>
                <w:bCs/>
              </w:rPr>
              <w:t xml:space="preserve">is not engaged by MMA in </w:t>
            </w:r>
            <w:r w:rsidR="00130B48" w:rsidRPr="00C3416F">
              <w:rPr>
                <w:rFonts w:ascii="Times New Roman" w:eastAsia="Calibri" w:hAnsi="Times New Roman" w:cs="Times New Roman"/>
                <w:bCs/>
              </w:rPr>
              <w:t xml:space="preserve">the </w:t>
            </w:r>
            <w:r w:rsidRPr="00C3416F">
              <w:rPr>
                <w:rFonts w:ascii="Times New Roman" w:eastAsia="Calibri" w:hAnsi="Times New Roman" w:cs="Times New Roman"/>
                <w:bCs/>
              </w:rPr>
              <w:t>preparation of ARAPs under LGCSP.</w:t>
            </w:r>
            <w:r w:rsidR="00130B48" w:rsidRPr="00C3416F">
              <w:rPr>
                <w:rFonts w:ascii="Times New Roman" w:eastAsia="Calibri" w:hAnsi="Times New Roman" w:cs="Times New Roman"/>
                <w:bCs/>
              </w:rPr>
              <w:t xml:space="preserve"> ARAPs are mainly out sourced to external consultants</w:t>
            </w:r>
          </w:p>
          <w:p w14:paraId="4AC8B3C7" w14:textId="77777777" w:rsidR="003963AF" w:rsidRPr="00C3416F" w:rsidRDefault="003963AF" w:rsidP="00CA0715">
            <w:pPr>
              <w:numPr>
                <w:ilvl w:val="0"/>
                <w:numId w:val="25"/>
              </w:numPr>
              <w:spacing w:after="0" w:line="240" w:lineRule="auto"/>
              <w:jc w:val="both"/>
              <w:rPr>
                <w:rFonts w:ascii="Times New Roman" w:eastAsia="Times New Roman" w:hAnsi="Times New Roman" w:cs="Times New Roman"/>
                <w:b/>
                <w:bCs/>
                <w:lang w:val="x-none" w:eastAsia="x-none"/>
              </w:rPr>
            </w:pPr>
            <w:r w:rsidRPr="00C3416F">
              <w:rPr>
                <w:rFonts w:ascii="Times New Roman" w:eastAsia="Calibri" w:hAnsi="Times New Roman" w:cs="Times New Roman"/>
                <w:bCs/>
              </w:rPr>
              <w:t>In some cases, physical works have started without fully implementing the ARAPs.</w:t>
            </w:r>
          </w:p>
          <w:p w14:paraId="10A5BF6C" w14:textId="00D1E4AF" w:rsidR="00847853" w:rsidRPr="00C3416F" w:rsidRDefault="00847853" w:rsidP="00CA0715">
            <w:pPr>
              <w:numPr>
                <w:ilvl w:val="0"/>
                <w:numId w:val="25"/>
              </w:numPr>
              <w:spacing w:after="0" w:line="240" w:lineRule="auto"/>
              <w:jc w:val="both"/>
              <w:rPr>
                <w:rFonts w:ascii="Times New Roman" w:eastAsia="Times New Roman" w:hAnsi="Times New Roman" w:cs="Times New Roman"/>
                <w:b/>
                <w:bCs/>
                <w:lang w:val="x-none" w:eastAsia="x-none"/>
              </w:rPr>
            </w:pPr>
            <w:r w:rsidRPr="00C3416F">
              <w:rPr>
                <w:rFonts w:ascii="Times New Roman" w:eastAsia="Times New Roman" w:hAnsi="Times New Roman" w:cs="Times New Roman"/>
                <w:bCs/>
                <w:lang w:val="x-none" w:eastAsia="x-none"/>
              </w:rPr>
              <w:t xml:space="preserve">Compensation is focused on </w:t>
            </w:r>
            <w:r w:rsidR="00733488" w:rsidRPr="00C3416F">
              <w:rPr>
                <w:rFonts w:ascii="Times New Roman" w:eastAsia="Times New Roman" w:hAnsi="Times New Roman" w:cs="Times New Roman"/>
                <w:bCs/>
                <w:lang w:eastAsia="x-none"/>
              </w:rPr>
              <w:t xml:space="preserve">cash payments for </w:t>
            </w:r>
            <w:r w:rsidRPr="00C3416F">
              <w:rPr>
                <w:rFonts w:ascii="Times New Roman" w:eastAsia="Times New Roman" w:hAnsi="Times New Roman" w:cs="Times New Roman"/>
                <w:bCs/>
                <w:lang w:val="x-none" w:eastAsia="x-none"/>
              </w:rPr>
              <w:t>replacement of land and assets, not restoration of livelihoods. The legal framework does not explicitly state that livelihoods should be restored to previous levels or</w:t>
            </w:r>
            <w:r w:rsidRPr="00C3416F">
              <w:rPr>
                <w:rFonts w:ascii="Times New Roman" w:eastAsia="Times New Roman" w:hAnsi="Times New Roman" w:cs="Times New Roman"/>
                <w:bCs/>
                <w:lang w:eastAsia="x-none"/>
              </w:rPr>
              <w:t xml:space="preserve"> better</w:t>
            </w:r>
            <w:r w:rsidRPr="00C3416F">
              <w:rPr>
                <w:rFonts w:ascii="Times New Roman" w:eastAsia="Times New Roman" w:hAnsi="Times New Roman" w:cs="Times New Roman"/>
                <w:bCs/>
                <w:lang w:val="x-none" w:eastAsia="x-none"/>
              </w:rPr>
              <w:t xml:space="preserve">. </w:t>
            </w:r>
          </w:p>
          <w:p w14:paraId="41AD5BD0" w14:textId="5CC29C41" w:rsidR="00847853" w:rsidRPr="00C3416F" w:rsidRDefault="0021086C" w:rsidP="00CA0715">
            <w:pPr>
              <w:numPr>
                <w:ilvl w:val="0"/>
                <w:numId w:val="25"/>
              </w:numPr>
              <w:autoSpaceDE w:val="0"/>
              <w:autoSpaceDN w:val="0"/>
              <w:adjustRightInd w:val="0"/>
              <w:spacing w:after="0" w:line="240" w:lineRule="auto"/>
              <w:jc w:val="both"/>
              <w:rPr>
                <w:rFonts w:ascii="Times New Roman" w:eastAsia="MS Mincho" w:hAnsi="Times New Roman" w:cs="Times New Roman"/>
                <w:color w:val="000000"/>
              </w:rPr>
            </w:pPr>
            <w:r>
              <w:rPr>
                <w:rFonts w:ascii="Times New Roman" w:eastAsia="Times New Roman" w:hAnsi="Times New Roman" w:cs="Times New Roman"/>
                <w:lang w:eastAsia="x-none"/>
              </w:rPr>
              <w:t>I</w:t>
            </w:r>
            <w:r w:rsidR="00733488" w:rsidRPr="00C3416F">
              <w:rPr>
                <w:rFonts w:ascii="Times New Roman" w:eastAsia="Times New Roman" w:hAnsi="Times New Roman" w:cs="Times New Roman"/>
                <w:lang w:eastAsia="x-none"/>
              </w:rPr>
              <w:t>nadequate</w:t>
            </w:r>
            <w:r w:rsidR="00847853" w:rsidRPr="00C3416F">
              <w:rPr>
                <w:rFonts w:ascii="Times New Roman" w:eastAsia="Times New Roman" w:hAnsi="Times New Roman" w:cs="Times New Roman"/>
                <w:lang w:eastAsia="x-none"/>
              </w:rPr>
              <w:t xml:space="preserve">technical capacity of the </w:t>
            </w:r>
            <w:r w:rsidR="003963AF" w:rsidRPr="00C3416F">
              <w:rPr>
                <w:rFonts w:ascii="Times New Roman" w:eastAsia="Times New Roman" w:hAnsi="Times New Roman" w:cs="Times New Roman"/>
                <w:lang w:eastAsia="x-none"/>
              </w:rPr>
              <w:t>P</w:t>
            </w:r>
            <w:r w:rsidR="00847853" w:rsidRPr="00C3416F">
              <w:rPr>
                <w:rFonts w:ascii="Times New Roman" w:eastAsia="Times New Roman" w:hAnsi="Times New Roman" w:cs="Times New Roman"/>
                <w:lang w:eastAsia="x-none"/>
              </w:rPr>
              <w:t xml:space="preserve">rogram staff on the </w:t>
            </w:r>
            <w:r w:rsidR="00130B48" w:rsidRPr="00C3416F">
              <w:rPr>
                <w:rFonts w:ascii="Times New Roman" w:eastAsia="Times New Roman" w:hAnsi="Times New Roman" w:cs="Times New Roman"/>
                <w:lang w:eastAsia="x-none"/>
              </w:rPr>
              <w:t xml:space="preserve">preparation and </w:t>
            </w:r>
            <w:r w:rsidR="00847853" w:rsidRPr="00C3416F">
              <w:rPr>
                <w:rFonts w:ascii="Times New Roman" w:eastAsia="Times New Roman" w:hAnsi="Times New Roman" w:cs="Times New Roman"/>
                <w:lang w:eastAsia="x-none"/>
              </w:rPr>
              <w:t>impl</w:t>
            </w:r>
            <w:r w:rsidR="00130B48" w:rsidRPr="00C3416F">
              <w:rPr>
                <w:rFonts w:ascii="Times New Roman" w:eastAsia="Times New Roman" w:hAnsi="Times New Roman" w:cs="Times New Roman"/>
                <w:lang w:eastAsia="x-none"/>
              </w:rPr>
              <w:t>ementation</w:t>
            </w:r>
            <w:r w:rsidR="00847853" w:rsidRPr="00C3416F">
              <w:rPr>
                <w:rFonts w:ascii="Times New Roman" w:eastAsia="Times New Roman" w:hAnsi="Times New Roman" w:cs="Times New Roman"/>
                <w:lang w:eastAsia="x-none"/>
              </w:rPr>
              <w:t xml:space="preserve"> of RAP</w:t>
            </w:r>
            <w:r w:rsidR="00733488" w:rsidRPr="00C3416F">
              <w:rPr>
                <w:rFonts w:ascii="Times New Roman" w:eastAsia="Times New Roman" w:hAnsi="Times New Roman" w:cs="Times New Roman"/>
                <w:lang w:eastAsia="x-none"/>
              </w:rPr>
              <w:t>s/ARAPs</w:t>
            </w:r>
            <w:r w:rsidR="00847853" w:rsidRPr="00C3416F">
              <w:rPr>
                <w:rFonts w:ascii="Times New Roman" w:eastAsia="Times New Roman" w:hAnsi="Times New Roman" w:cs="Times New Roman"/>
                <w:lang w:eastAsia="x-none"/>
              </w:rPr>
              <w:t xml:space="preserve"> and other social management instruments</w:t>
            </w:r>
            <w:r w:rsidR="00130B48" w:rsidRPr="00C3416F">
              <w:rPr>
                <w:rFonts w:ascii="Times New Roman" w:eastAsia="Times New Roman" w:hAnsi="Times New Roman" w:cs="Times New Roman"/>
                <w:lang w:eastAsia="x-none"/>
              </w:rPr>
              <w:t xml:space="preserve"> such as livelihood restoration plans and GRMs</w:t>
            </w:r>
            <w:r w:rsidR="00847853" w:rsidRPr="00C3416F">
              <w:rPr>
                <w:rFonts w:ascii="Times New Roman" w:eastAsia="MS Mincho" w:hAnsi="Times New Roman" w:cs="Times New Roman"/>
                <w:color w:val="000000"/>
              </w:rPr>
              <w:t xml:space="preserve">. </w:t>
            </w:r>
          </w:p>
        </w:tc>
      </w:tr>
      <w:tr w:rsidR="00847853" w:rsidRPr="00790606" w14:paraId="56E601B1" w14:textId="77777777" w:rsidTr="00D316D4">
        <w:tc>
          <w:tcPr>
            <w:tcW w:w="5000" w:type="pct"/>
            <w:shd w:val="clear" w:color="auto" w:fill="FFFFFF"/>
          </w:tcPr>
          <w:p w14:paraId="7745AC84" w14:textId="77777777" w:rsidR="00847853" w:rsidRPr="00C3416F" w:rsidRDefault="00847853" w:rsidP="00CA0715">
            <w:pPr>
              <w:spacing w:after="0" w:line="240" w:lineRule="auto"/>
              <w:jc w:val="both"/>
              <w:rPr>
                <w:rFonts w:ascii="Times New Roman" w:eastAsia="Calibri" w:hAnsi="Times New Roman" w:cs="Times New Roman"/>
                <w:b/>
                <w:bCs/>
              </w:rPr>
            </w:pPr>
            <w:r w:rsidRPr="00C3416F">
              <w:rPr>
                <w:rFonts w:ascii="Times New Roman" w:eastAsia="Calibri" w:hAnsi="Times New Roman" w:cs="Times New Roman"/>
                <w:b/>
                <w:bCs/>
              </w:rPr>
              <w:t>Opportunities/Actions</w:t>
            </w:r>
          </w:p>
          <w:p w14:paraId="46F833F9" w14:textId="67833189" w:rsidR="00847853" w:rsidRPr="00C3416F" w:rsidRDefault="00847853" w:rsidP="00CA0715">
            <w:pPr>
              <w:numPr>
                <w:ilvl w:val="0"/>
                <w:numId w:val="25"/>
              </w:numPr>
              <w:spacing w:after="0" w:line="240" w:lineRule="auto"/>
              <w:jc w:val="both"/>
              <w:rPr>
                <w:rFonts w:ascii="Times New Roman" w:eastAsia="Calibri" w:hAnsi="Times New Roman" w:cs="Times New Roman"/>
                <w:bCs/>
              </w:rPr>
            </w:pPr>
            <w:r w:rsidRPr="00C3416F">
              <w:rPr>
                <w:rFonts w:ascii="Times New Roman" w:eastAsia="Calibri" w:hAnsi="Times New Roman" w:cs="Times New Roman"/>
                <w:bCs/>
              </w:rPr>
              <w:t xml:space="preserve">The </w:t>
            </w:r>
            <w:r w:rsidR="003963AF" w:rsidRPr="00C3416F">
              <w:rPr>
                <w:rFonts w:ascii="Times New Roman" w:eastAsia="Calibri" w:hAnsi="Times New Roman" w:cs="Times New Roman"/>
                <w:bCs/>
              </w:rPr>
              <w:t>capacity and staffing of MLGRD – PP</w:t>
            </w:r>
            <w:r w:rsidR="00975839">
              <w:rPr>
                <w:rFonts w:ascii="Times New Roman" w:eastAsia="Calibri" w:hAnsi="Times New Roman" w:cs="Times New Roman"/>
                <w:bCs/>
              </w:rPr>
              <w:t>B</w:t>
            </w:r>
            <w:r w:rsidR="003963AF" w:rsidRPr="00C3416F">
              <w:rPr>
                <w:rFonts w:ascii="Times New Roman" w:eastAsia="Calibri" w:hAnsi="Times New Roman" w:cs="Times New Roman"/>
                <w:bCs/>
              </w:rPr>
              <w:t>ME</w:t>
            </w:r>
            <w:r w:rsidR="00975839">
              <w:rPr>
                <w:rFonts w:ascii="Times New Roman" w:eastAsia="Calibri" w:hAnsi="Times New Roman" w:cs="Times New Roman"/>
                <w:bCs/>
              </w:rPr>
              <w:t>D</w:t>
            </w:r>
            <w:r w:rsidR="003963AF" w:rsidRPr="00C3416F">
              <w:rPr>
                <w:rFonts w:ascii="Times New Roman" w:eastAsia="Calibri" w:hAnsi="Times New Roman" w:cs="Times New Roman"/>
                <w:bCs/>
              </w:rPr>
              <w:t xml:space="preserve"> need to be improved. A Social Development Specialist will need to be hired prior to Program effectiveness</w:t>
            </w:r>
            <w:r w:rsidR="00733488" w:rsidRPr="00C3416F">
              <w:rPr>
                <w:rFonts w:ascii="Times New Roman" w:eastAsia="Calibri" w:hAnsi="Times New Roman" w:cs="Times New Roman"/>
                <w:bCs/>
              </w:rPr>
              <w:t xml:space="preserve"> to augment the existing capacity</w:t>
            </w:r>
            <w:r w:rsidR="003963AF" w:rsidRPr="00C3416F">
              <w:rPr>
                <w:rFonts w:ascii="Times New Roman" w:eastAsia="Calibri" w:hAnsi="Times New Roman" w:cs="Times New Roman"/>
                <w:bCs/>
              </w:rPr>
              <w:t>.</w:t>
            </w:r>
          </w:p>
          <w:p w14:paraId="3AEEA037" w14:textId="62E7BA05" w:rsidR="00847853" w:rsidRPr="00C3416F" w:rsidRDefault="00847853" w:rsidP="00CA0715">
            <w:pPr>
              <w:numPr>
                <w:ilvl w:val="1"/>
                <w:numId w:val="25"/>
              </w:numPr>
              <w:spacing w:after="0" w:line="240" w:lineRule="auto"/>
              <w:ind w:left="426" w:hanging="426"/>
              <w:jc w:val="both"/>
              <w:rPr>
                <w:rFonts w:ascii="Times New Roman" w:eastAsia="Calibri" w:hAnsi="Times New Roman" w:cs="Times New Roman"/>
                <w:bCs/>
              </w:rPr>
            </w:pPr>
            <w:r w:rsidRPr="00C3416F">
              <w:rPr>
                <w:rFonts w:ascii="Times New Roman" w:eastAsia="Times New Roman" w:hAnsi="Times New Roman" w:cs="Times New Roman"/>
                <w:lang w:eastAsia="x-none"/>
              </w:rPr>
              <w:t>Awareness of the leadership, experts and larger community should be raised specially</w:t>
            </w:r>
            <w:r w:rsidR="003963AF" w:rsidRPr="00C3416F">
              <w:rPr>
                <w:rFonts w:ascii="Times New Roman" w:eastAsia="Times New Roman" w:hAnsi="Times New Roman" w:cs="Times New Roman"/>
                <w:lang w:eastAsia="x-none"/>
              </w:rPr>
              <w:t xml:space="preserve"> with the newly-participating MMAs</w:t>
            </w:r>
            <w:r w:rsidRPr="00C3416F">
              <w:rPr>
                <w:rFonts w:ascii="Times New Roman" w:eastAsia="Times New Roman" w:hAnsi="Times New Roman" w:cs="Times New Roman"/>
                <w:lang w:eastAsia="x-none"/>
              </w:rPr>
              <w:t xml:space="preserve">; </w:t>
            </w:r>
          </w:p>
          <w:p w14:paraId="6F851FC4" w14:textId="354D8CF0" w:rsidR="00847853" w:rsidRPr="00C3416F" w:rsidRDefault="00847853" w:rsidP="00CA0715">
            <w:pPr>
              <w:numPr>
                <w:ilvl w:val="1"/>
                <w:numId w:val="25"/>
              </w:numPr>
              <w:spacing w:after="0" w:line="240" w:lineRule="auto"/>
              <w:ind w:left="426" w:hanging="426"/>
              <w:jc w:val="both"/>
              <w:rPr>
                <w:rFonts w:ascii="Times New Roman" w:eastAsia="Calibri" w:hAnsi="Times New Roman" w:cs="Times New Roman"/>
                <w:bCs/>
              </w:rPr>
            </w:pPr>
            <w:r w:rsidRPr="00C3416F">
              <w:rPr>
                <w:rFonts w:ascii="Times New Roman" w:eastAsia="Times New Roman" w:hAnsi="Times New Roman" w:cs="Times New Roman"/>
                <w:lang w:eastAsia="x-none"/>
              </w:rPr>
              <w:t xml:space="preserve">The available </w:t>
            </w:r>
            <w:r w:rsidR="003963AF" w:rsidRPr="00C3416F">
              <w:rPr>
                <w:rFonts w:ascii="Times New Roman" w:eastAsia="Times New Roman" w:hAnsi="Times New Roman" w:cs="Times New Roman"/>
                <w:lang w:eastAsia="x-none"/>
              </w:rPr>
              <w:t>RPF for LGCSP needs</w:t>
            </w:r>
            <w:r w:rsidRPr="00C3416F">
              <w:rPr>
                <w:rFonts w:ascii="Times New Roman" w:eastAsia="Times New Roman" w:hAnsi="Times New Roman" w:cs="Times New Roman"/>
                <w:lang w:eastAsia="x-none"/>
              </w:rPr>
              <w:t xml:space="preserve"> to be updated, </w:t>
            </w:r>
            <w:r w:rsidR="00733488" w:rsidRPr="00C3416F">
              <w:rPr>
                <w:rFonts w:ascii="Times New Roman" w:eastAsia="Times New Roman" w:hAnsi="Times New Roman" w:cs="Times New Roman"/>
                <w:lang w:eastAsia="x-none"/>
              </w:rPr>
              <w:t xml:space="preserve">consulted </w:t>
            </w:r>
            <w:r w:rsidRPr="00C3416F">
              <w:rPr>
                <w:rFonts w:ascii="Times New Roman" w:eastAsia="Times New Roman" w:hAnsi="Times New Roman" w:cs="Times New Roman"/>
                <w:lang w:eastAsia="x-none"/>
              </w:rPr>
              <w:t xml:space="preserve">and </w:t>
            </w:r>
            <w:r w:rsidR="00733488" w:rsidRPr="00C3416F">
              <w:rPr>
                <w:rFonts w:ascii="Times New Roman" w:eastAsia="Times New Roman" w:hAnsi="Times New Roman" w:cs="Times New Roman"/>
                <w:lang w:eastAsia="x-none"/>
              </w:rPr>
              <w:t>disclosed</w:t>
            </w:r>
            <w:r w:rsidR="003963AF" w:rsidRPr="00C3416F">
              <w:rPr>
                <w:rFonts w:ascii="Times New Roman" w:eastAsia="Times New Roman" w:hAnsi="Times New Roman" w:cs="Times New Roman"/>
                <w:lang w:eastAsia="x-none"/>
              </w:rPr>
              <w:t xml:space="preserve"> prior to Program effectiveness</w:t>
            </w:r>
            <w:r w:rsidRPr="00C3416F">
              <w:rPr>
                <w:rFonts w:ascii="Times New Roman" w:eastAsia="Times New Roman" w:hAnsi="Times New Roman" w:cs="Times New Roman"/>
                <w:lang w:eastAsia="x-none"/>
              </w:rPr>
              <w:t xml:space="preserve">. </w:t>
            </w:r>
          </w:p>
          <w:p w14:paraId="61208E79" w14:textId="6ED84A39" w:rsidR="00847853" w:rsidRPr="00C3416F" w:rsidRDefault="003963AF" w:rsidP="00CA0715">
            <w:pPr>
              <w:numPr>
                <w:ilvl w:val="0"/>
                <w:numId w:val="25"/>
              </w:numPr>
              <w:spacing w:after="0" w:line="240" w:lineRule="auto"/>
              <w:jc w:val="both"/>
              <w:rPr>
                <w:rFonts w:ascii="Times New Roman" w:eastAsia="Calibri" w:hAnsi="Times New Roman" w:cs="Times New Roman"/>
                <w:bCs/>
              </w:rPr>
            </w:pPr>
            <w:r w:rsidRPr="00C3416F">
              <w:rPr>
                <w:rFonts w:ascii="Times New Roman" w:eastAsia="Calibri" w:hAnsi="Times New Roman" w:cs="Times New Roman"/>
                <w:bCs/>
              </w:rPr>
              <w:t xml:space="preserve">Relevant trainings to MMAs and Resettlement consultants </w:t>
            </w:r>
            <w:r w:rsidR="00847853" w:rsidRPr="00C3416F">
              <w:rPr>
                <w:rFonts w:ascii="Times New Roman" w:eastAsia="Calibri" w:hAnsi="Times New Roman" w:cs="Times New Roman"/>
                <w:bCs/>
              </w:rPr>
              <w:t xml:space="preserve">based on </w:t>
            </w:r>
            <w:r w:rsidRPr="00C3416F">
              <w:rPr>
                <w:rFonts w:ascii="Times New Roman" w:eastAsia="Calibri" w:hAnsi="Times New Roman" w:cs="Times New Roman"/>
                <w:bCs/>
              </w:rPr>
              <w:t xml:space="preserve">RPF </w:t>
            </w:r>
            <w:r w:rsidR="00847853" w:rsidRPr="00C3416F">
              <w:rPr>
                <w:rFonts w:ascii="Times New Roman" w:eastAsia="Calibri" w:hAnsi="Times New Roman" w:cs="Times New Roman"/>
                <w:bCs/>
              </w:rPr>
              <w:t>need to</w:t>
            </w:r>
            <w:r w:rsidRPr="00C3416F">
              <w:rPr>
                <w:rFonts w:ascii="Times New Roman" w:eastAsia="Calibri" w:hAnsi="Times New Roman" w:cs="Times New Roman"/>
                <w:bCs/>
              </w:rPr>
              <w:t xml:space="preserve"> be provided regularly.</w:t>
            </w:r>
          </w:p>
          <w:p w14:paraId="3906A3EE" w14:textId="48B0F430" w:rsidR="00847853" w:rsidRPr="00C3416F" w:rsidRDefault="00847853" w:rsidP="00CA0715">
            <w:pPr>
              <w:numPr>
                <w:ilvl w:val="0"/>
                <w:numId w:val="25"/>
              </w:numPr>
              <w:spacing w:after="0" w:line="240" w:lineRule="auto"/>
              <w:jc w:val="both"/>
              <w:rPr>
                <w:rFonts w:ascii="Times New Roman" w:eastAsia="Calibri" w:hAnsi="Times New Roman" w:cs="Times New Roman"/>
                <w:bCs/>
              </w:rPr>
            </w:pPr>
            <w:r w:rsidRPr="00C3416F">
              <w:rPr>
                <w:rFonts w:ascii="Times New Roman" w:eastAsia="Calibri" w:hAnsi="Times New Roman" w:cs="Times New Roman"/>
                <w:bCs/>
              </w:rPr>
              <w:t xml:space="preserve">Establishment of appropriate and transparent mechanisms for consultation and documentation in </w:t>
            </w:r>
            <w:r w:rsidR="003963AF" w:rsidRPr="00C3416F">
              <w:rPr>
                <w:rFonts w:ascii="Times New Roman" w:eastAsia="Calibri" w:hAnsi="Times New Roman" w:cs="Times New Roman"/>
                <w:bCs/>
              </w:rPr>
              <w:t xml:space="preserve">MMA. </w:t>
            </w:r>
            <w:r w:rsidR="00733488" w:rsidRPr="00C3416F">
              <w:rPr>
                <w:rFonts w:ascii="Times New Roman" w:eastAsia="Calibri" w:hAnsi="Times New Roman" w:cs="Times New Roman"/>
                <w:bCs/>
              </w:rPr>
              <w:t xml:space="preserve"> The Social Accountability Unit could be resourced to lead on this.</w:t>
            </w:r>
          </w:p>
          <w:p w14:paraId="4ECBB17C" w14:textId="77777777" w:rsidR="003963AF" w:rsidRPr="00C3416F" w:rsidRDefault="003963AF" w:rsidP="00CA0715">
            <w:pPr>
              <w:numPr>
                <w:ilvl w:val="0"/>
                <w:numId w:val="25"/>
              </w:numPr>
              <w:spacing w:after="0" w:line="240" w:lineRule="auto"/>
              <w:jc w:val="both"/>
              <w:rPr>
                <w:rFonts w:ascii="Times New Roman" w:eastAsia="Calibri" w:hAnsi="Times New Roman" w:cs="Times New Roman"/>
                <w:bCs/>
              </w:rPr>
            </w:pPr>
            <w:r w:rsidRPr="00C3416F">
              <w:rPr>
                <w:rFonts w:ascii="Times New Roman" w:eastAsia="Calibri" w:hAnsi="Times New Roman" w:cs="Times New Roman"/>
                <w:bCs/>
              </w:rPr>
              <w:t xml:space="preserve">Conduct an assessment/full study to fully understand the institutional arrangements for resettlement in the country and to recommend measures to address institutional deficiencies. </w:t>
            </w:r>
          </w:p>
          <w:p w14:paraId="7764BB95" w14:textId="14DBED39" w:rsidR="00847853" w:rsidRPr="00C3416F" w:rsidRDefault="00847853" w:rsidP="00CA0715">
            <w:pPr>
              <w:numPr>
                <w:ilvl w:val="0"/>
                <w:numId w:val="25"/>
              </w:numPr>
              <w:spacing w:after="0" w:line="240" w:lineRule="auto"/>
              <w:jc w:val="both"/>
              <w:rPr>
                <w:rFonts w:ascii="Times New Roman" w:eastAsia="Calibri" w:hAnsi="Times New Roman" w:cs="Times New Roman"/>
                <w:bCs/>
              </w:rPr>
            </w:pPr>
            <w:r w:rsidRPr="00C3416F">
              <w:rPr>
                <w:rFonts w:ascii="Times New Roman" w:eastAsia="Calibri" w:hAnsi="Times New Roman" w:cs="Times New Roman"/>
                <w:bCs/>
              </w:rPr>
              <w:t>The existing procedure</w:t>
            </w:r>
            <w:r w:rsidR="00733488" w:rsidRPr="00C3416F">
              <w:rPr>
                <w:rFonts w:ascii="Times New Roman" w:eastAsia="Calibri" w:hAnsi="Times New Roman" w:cs="Times New Roman"/>
                <w:bCs/>
              </w:rPr>
              <w:t>s for resettlement</w:t>
            </w:r>
            <w:r w:rsidRPr="00C3416F">
              <w:rPr>
                <w:rFonts w:ascii="Times New Roman" w:eastAsia="Calibri" w:hAnsi="Times New Roman" w:cs="Times New Roman"/>
                <w:bCs/>
              </w:rPr>
              <w:t xml:space="preserve"> needs to be strengthened to include restoration of livelihoods of project affected people. This could be done by coordinating with other schemes of the government at the city level, which focuses on income restoration.</w:t>
            </w:r>
          </w:p>
          <w:p w14:paraId="2C0707D7" w14:textId="77777777" w:rsidR="00847853" w:rsidRPr="00C3416F" w:rsidRDefault="00847853" w:rsidP="00CA0715">
            <w:pPr>
              <w:numPr>
                <w:ilvl w:val="0"/>
                <w:numId w:val="25"/>
              </w:numPr>
              <w:autoSpaceDE w:val="0"/>
              <w:autoSpaceDN w:val="0"/>
              <w:adjustRightInd w:val="0"/>
              <w:spacing w:after="0" w:line="240" w:lineRule="auto"/>
              <w:jc w:val="both"/>
              <w:rPr>
                <w:rFonts w:ascii="Times New Roman" w:eastAsia="Calibri" w:hAnsi="Times New Roman" w:cs="Times New Roman"/>
                <w:bCs/>
              </w:rPr>
            </w:pPr>
            <w:r w:rsidRPr="00C3416F">
              <w:rPr>
                <w:rFonts w:ascii="Times New Roman" w:eastAsia="Calibri" w:hAnsi="Times New Roman" w:cs="Times New Roman"/>
              </w:rPr>
              <w:t>Strengthening capacities to enforce implementation of RAP and other Instruments</w:t>
            </w:r>
            <w:r w:rsidRPr="00C3416F">
              <w:rPr>
                <w:rFonts w:ascii="Times New Roman" w:eastAsia="Calibri" w:hAnsi="Times New Roman" w:cs="Times New Roman"/>
                <w:bCs/>
              </w:rPr>
              <w:t xml:space="preserve"> </w:t>
            </w:r>
          </w:p>
          <w:p w14:paraId="6E7D45A7" w14:textId="1AA701F7" w:rsidR="00733488" w:rsidRPr="00C3416F" w:rsidRDefault="00733488" w:rsidP="00CA0715">
            <w:pPr>
              <w:numPr>
                <w:ilvl w:val="0"/>
                <w:numId w:val="25"/>
              </w:numPr>
              <w:autoSpaceDE w:val="0"/>
              <w:autoSpaceDN w:val="0"/>
              <w:adjustRightInd w:val="0"/>
              <w:spacing w:after="0" w:line="240" w:lineRule="auto"/>
              <w:jc w:val="both"/>
              <w:rPr>
                <w:rFonts w:ascii="Times New Roman" w:eastAsia="Calibri" w:hAnsi="Times New Roman" w:cs="Times New Roman"/>
                <w:bCs/>
              </w:rPr>
            </w:pPr>
            <w:r w:rsidRPr="00C3416F">
              <w:rPr>
                <w:rFonts w:ascii="Times New Roman" w:eastAsia="Calibri" w:hAnsi="Times New Roman" w:cs="Times New Roman"/>
                <w:bCs/>
              </w:rPr>
              <w:t>Develop a template to facilitate screening and due diligence documentation of land donations</w:t>
            </w:r>
          </w:p>
        </w:tc>
      </w:tr>
      <w:tr w:rsidR="00847853" w:rsidRPr="00790606" w14:paraId="527BCFBC" w14:textId="77777777" w:rsidTr="00D316D4">
        <w:tc>
          <w:tcPr>
            <w:tcW w:w="5000" w:type="pct"/>
            <w:shd w:val="clear" w:color="auto" w:fill="FFFFFF"/>
          </w:tcPr>
          <w:p w14:paraId="50DBBE0A" w14:textId="77777777" w:rsidR="00847853" w:rsidRPr="00C3416F" w:rsidRDefault="00847853" w:rsidP="00CA0715">
            <w:pPr>
              <w:spacing w:after="0" w:line="240" w:lineRule="auto"/>
              <w:jc w:val="both"/>
              <w:rPr>
                <w:rFonts w:ascii="Times New Roman" w:eastAsia="Calibri" w:hAnsi="Times New Roman" w:cs="Times New Roman"/>
                <w:b/>
                <w:bCs/>
              </w:rPr>
            </w:pPr>
            <w:r w:rsidRPr="00C3416F">
              <w:rPr>
                <w:rFonts w:ascii="Times New Roman" w:eastAsia="Calibri" w:hAnsi="Times New Roman" w:cs="Times New Roman"/>
                <w:b/>
                <w:bCs/>
              </w:rPr>
              <w:t>Risks:</w:t>
            </w:r>
          </w:p>
          <w:p w14:paraId="19165E33" w14:textId="77777777" w:rsidR="00847853" w:rsidRPr="00C3416F" w:rsidRDefault="00847853" w:rsidP="00CA0715">
            <w:pPr>
              <w:numPr>
                <w:ilvl w:val="0"/>
                <w:numId w:val="20"/>
              </w:numPr>
              <w:spacing w:after="0" w:line="240" w:lineRule="auto"/>
              <w:jc w:val="both"/>
              <w:rPr>
                <w:rFonts w:ascii="Times New Roman" w:eastAsia="Times New Roman" w:hAnsi="Times New Roman" w:cs="Times New Roman"/>
                <w:b/>
                <w:bCs/>
                <w:lang w:val="x-none" w:eastAsia="x-none"/>
              </w:rPr>
            </w:pPr>
            <w:r w:rsidRPr="00C3416F">
              <w:rPr>
                <w:rFonts w:ascii="Times New Roman" w:eastAsia="Times New Roman" w:hAnsi="Times New Roman" w:cs="Times New Roman"/>
                <w:bCs/>
                <w:lang w:val="x-none" w:eastAsia="x-none"/>
              </w:rPr>
              <w:t>Inability to rehabilitate and adequately compensate affected people while acquiring land for the construction works will adversely affect livelihoods and living standards of displaced people.</w:t>
            </w:r>
          </w:p>
          <w:p w14:paraId="0A2898D5" w14:textId="105A9F53" w:rsidR="00847853" w:rsidRPr="00C3416F" w:rsidRDefault="00847853" w:rsidP="00CA0715">
            <w:pPr>
              <w:numPr>
                <w:ilvl w:val="0"/>
                <w:numId w:val="20"/>
              </w:numPr>
              <w:tabs>
                <w:tab w:val="left" w:pos="360"/>
              </w:tabs>
              <w:spacing w:after="0" w:line="240" w:lineRule="auto"/>
              <w:jc w:val="both"/>
              <w:rPr>
                <w:rFonts w:ascii="Times New Roman" w:eastAsia="Times New Roman" w:hAnsi="Times New Roman" w:cs="Times New Roman"/>
                <w:b/>
                <w:bCs/>
                <w:lang w:val="x-none" w:eastAsia="x-none"/>
              </w:rPr>
            </w:pPr>
            <w:r w:rsidRPr="00C3416F">
              <w:rPr>
                <w:rFonts w:ascii="Times New Roman" w:eastAsia="Times New Roman" w:hAnsi="Times New Roman" w:cs="Times New Roman"/>
                <w:bCs/>
                <w:lang w:val="x-none" w:eastAsia="x-none"/>
              </w:rPr>
              <w:t xml:space="preserve">However, given the limited scope of investment activities at </w:t>
            </w:r>
            <w:r w:rsidR="00F45592" w:rsidRPr="00C3416F">
              <w:rPr>
                <w:rFonts w:ascii="Times New Roman" w:eastAsia="Times New Roman" w:hAnsi="Times New Roman" w:cs="Times New Roman"/>
                <w:bCs/>
                <w:lang w:eastAsia="x-none"/>
              </w:rPr>
              <w:t xml:space="preserve">the MMA </w:t>
            </w:r>
            <w:r w:rsidRPr="00C3416F">
              <w:rPr>
                <w:rFonts w:ascii="Times New Roman" w:eastAsia="Times New Roman" w:hAnsi="Times New Roman" w:cs="Times New Roman"/>
                <w:bCs/>
                <w:lang w:val="x-none" w:eastAsia="x-none"/>
              </w:rPr>
              <w:t>level</w:t>
            </w:r>
            <w:r w:rsidRPr="00C3416F">
              <w:rPr>
                <w:rFonts w:ascii="Times New Roman" w:eastAsia="Times New Roman" w:hAnsi="Times New Roman" w:cs="Times New Roman"/>
                <w:bCs/>
                <w:lang w:eastAsia="x-none"/>
              </w:rPr>
              <w:t xml:space="preserve"> and </w:t>
            </w:r>
            <w:r w:rsidRPr="00C3416F">
              <w:rPr>
                <w:rFonts w:ascii="Times New Roman" w:eastAsia="Times New Roman" w:hAnsi="Times New Roman" w:cs="Times New Roman"/>
                <w:lang w:eastAsia="x-none"/>
              </w:rPr>
              <w:t>the proper management of anticipa</w:t>
            </w:r>
            <w:r w:rsidR="00F45592" w:rsidRPr="00C3416F">
              <w:rPr>
                <w:rFonts w:ascii="Times New Roman" w:eastAsia="Times New Roman" w:hAnsi="Times New Roman" w:cs="Times New Roman"/>
                <w:lang w:eastAsia="x-none"/>
              </w:rPr>
              <w:t>ted impacts of land acquisition</w:t>
            </w:r>
            <w:r w:rsidRPr="00C3416F">
              <w:rPr>
                <w:rFonts w:ascii="Times New Roman" w:eastAsia="Times New Roman" w:hAnsi="Times New Roman" w:cs="Times New Roman"/>
                <w:lang w:eastAsia="x-none"/>
              </w:rPr>
              <w:t xml:space="preserve"> </w:t>
            </w:r>
            <w:r w:rsidR="005B65BA" w:rsidRPr="00C3416F">
              <w:rPr>
                <w:rFonts w:ascii="Times New Roman" w:eastAsia="Times New Roman" w:hAnsi="Times New Roman" w:cs="Times New Roman"/>
                <w:lang w:eastAsia="x-none"/>
              </w:rPr>
              <w:t xml:space="preserve">and resettlement through the RPF, </w:t>
            </w:r>
            <w:r w:rsidRPr="00C3416F">
              <w:rPr>
                <w:rFonts w:ascii="Times New Roman" w:eastAsia="Times New Roman" w:hAnsi="Times New Roman" w:cs="Times New Roman"/>
                <w:b/>
                <w:bCs/>
                <w:lang w:val="x-none" w:eastAsia="x-none"/>
              </w:rPr>
              <w:t>these risks are deemed to be moderate</w:t>
            </w:r>
            <w:r w:rsidRPr="00C3416F">
              <w:rPr>
                <w:rFonts w:ascii="Times New Roman" w:eastAsia="Times New Roman" w:hAnsi="Times New Roman" w:cs="Times New Roman"/>
                <w:b/>
                <w:bCs/>
                <w:lang w:eastAsia="x-none"/>
              </w:rPr>
              <w:t xml:space="preserve"> to substantial</w:t>
            </w:r>
            <w:r w:rsidRPr="00C3416F">
              <w:rPr>
                <w:rFonts w:ascii="Times New Roman" w:eastAsia="Times New Roman" w:hAnsi="Times New Roman" w:cs="Times New Roman"/>
                <w:bCs/>
                <w:lang w:val="x-none" w:eastAsia="x-none"/>
              </w:rPr>
              <w:t xml:space="preserve">.  </w:t>
            </w:r>
          </w:p>
        </w:tc>
      </w:tr>
    </w:tbl>
    <w:p w14:paraId="72DD4D83" w14:textId="77777777" w:rsidR="00847853" w:rsidRPr="00C3416F" w:rsidRDefault="00847853" w:rsidP="00CA0715">
      <w:pPr>
        <w:spacing w:after="0" w:line="240" w:lineRule="auto"/>
        <w:jc w:val="both"/>
        <w:rPr>
          <w:rFonts w:ascii="Times New Roman" w:eastAsia="Calibri" w:hAnsi="Times New Roman" w:cs="Times New Roman"/>
        </w:rPr>
      </w:pPr>
    </w:p>
    <w:p w14:paraId="2EF3A236" w14:textId="77777777" w:rsidR="00847853" w:rsidRPr="00C3416F" w:rsidRDefault="00847853" w:rsidP="00CA0715">
      <w:pPr>
        <w:spacing w:after="0" w:line="360" w:lineRule="auto"/>
        <w:jc w:val="both"/>
        <w:outlineLvl w:val="2"/>
        <w:rPr>
          <w:rFonts w:ascii="Times New Roman" w:eastAsia="Calibri" w:hAnsi="Times New Roman" w:cs="Times New Roman"/>
        </w:rPr>
      </w:pPr>
      <w:bookmarkStart w:id="276" w:name="_Toc496454591"/>
      <w:bookmarkStart w:id="277" w:name="_Toc508892834"/>
      <w:r w:rsidRPr="00C3416F">
        <w:rPr>
          <w:rFonts w:ascii="Times New Roman" w:eastAsia="Calibri" w:hAnsi="Times New Roman" w:cs="Times New Roman"/>
          <w:b/>
          <w:bCs/>
        </w:rPr>
        <w:t>Core</w:t>
      </w:r>
      <w:r w:rsidRPr="00C3416F">
        <w:rPr>
          <w:rFonts w:ascii="Times New Roman" w:eastAsia="Calibri" w:hAnsi="Times New Roman" w:cs="Times New Roman"/>
          <w:b/>
          <w:lang w:eastAsia="x-none"/>
        </w:rPr>
        <w:t xml:space="preserve"> Principle 5:  Indigenous Peoples and Vulnerable Groups</w:t>
      </w:r>
      <w:bookmarkEnd w:id="276"/>
      <w:bookmarkEnd w:id="277"/>
    </w:p>
    <w:tbl>
      <w:tblPr>
        <w:tblW w:w="5000" w:type="pct"/>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Look w:val="04A0" w:firstRow="1" w:lastRow="0" w:firstColumn="1" w:lastColumn="0" w:noHBand="0" w:noVBand="1"/>
      </w:tblPr>
      <w:tblGrid>
        <w:gridCol w:w="9484"/>
      </w:tblGrid>
      <w:tr w:rsidR="00847853" w:rsidRPr="00790606" w14:paraId="2616A82E" w14:textId="77777777" w:rsidTr="00D316D4">
        <w:tc>
          <w:tcPr>
            <w:tcW w:w="5000" w:type="pct"/>
            <w:shd w:val="clear" w:color="auto" w:fill="9CC2E5"/>
          </w:tcPr>
          <w:p w14:paraId="53A2C2C3" w14:textId="77777777" w:rsidR="00847853" w:rsidRPr="00C3416F" w:rsidRDefault="00847853" w:rsidP="00CA0715">
            <w:pPr>
              <w:spacing w:after="0" w:line="240" w:lineRule="auto"/>
              <w:jc w:val="both"/>
              <w:rPr>
                <w:rFonts w:ascii="Times New Roman" w:eastAsia="Calibri" w:hAnsi="Times New Roman" w:cs="Times New Roman"/>
                <w:b/>
                <w:bCs/>
              </w:rPr>
            </w:pPr>
            <w:r w:rsidRPr="00C3416F">
              <w:rPr>
                <w:rFonts w:ascii="Times New Roman" w:eastAsia="Times New Roman" w:hAnsi="Times New Roman" w:cs="Times New Roman"/>
              </w:rPr>
              <w:t>Due consideration is given to cultural appropriateness of, and equitable access to, program benefits giving special attention to rights and interests of Indigenous Peoples and to the needs or concerns of vulnerable groups.</w:t>
            </w:r>
          </w:p>
        </w:tc>
      </w:tr>
      <w:tr w:rsidR="00847853" w:rsidRPr="00790606" w14:paraId="4669E4C1" w14:textId="77777777" w:rsidTr="00D316D4">
        <w:tc>
          <w:tcPr>
            <w:tcW w:w="5000" w:type="pct"/>
            <w:shd w:val="clear" w:color="auto" w:fill="BDD6EE"/>
          </w:tcPr>
          <w:p w14:paraId="4E3EB16B" w14:textId="77777777" w:rsidR="00847853" w:rsidRPr="00C3416F" w:rsidRDefault="00847853" w:rsidP="00CA0715">
            <w:pPr>
              <w:spacing w:after="0" w:line="240" w:lineRule="auto"/>
              <w:jc w:val="both"/>
              <w:rPr>
                <w:rFonts w:ascii="Times New Roman" w:eastAsia="Calibri" w:hAnsi="Times New Roman" w:cs="Times New Roman"/>
              </w:rPr>
            </w:pPr>
            <w:r w:rsidRPr="00C3416F">
              <w:rPr>
                <w:rFonts w:ascii="Times New Roman" w:eastAsia="Calibri" w:hAnsi="Times New Roman" w:cs="Times New Roman"/>
              </w:rPr>
              <w:t xml:space="preserve">As relevant, the program to be supported: </w:t>
            </w:r>
          </w:p>
          <w:p w14:paraId="5629455D" w14:textId="77777777" w:rsidR="00847853" w:rsidRPr="00C3416F" w:rsidRDefault="00847853" w:rsidP="00CA0715">
            <w:pPr>
              <w:numPr>
                <w:ilvl w:val="0"/>
                <w:numId w:val="26"/>
              </w:numPr>
              <w:spacing w:after="0" w:line="240" w:lineRule="auto"/>
              <w:ind w:left="426"/>
              <w:contextualSpacing/>
              <w:jc w:val="both"/>
              <w:rPr>
                <w:rFonts w:ascii="Times New Roman" w:eastAsia="Times New Roman" w:hAnsi="Times New Roman" w:cs="Times New Roman"/>
                <w:lang w:val="x-none" w:eastAsia="x-none"/>
              </w:rPr>
            </w:pPr>
            <w:r w:rsidRPr="00C3416F">
              <w:rPr>
                <w:rFonts w:ascii="Times New Roman" w:eastAsia="Times New Roman" w:hAnsi="Times New Roman" w:cs="Times New Roman"/>
                <w:lang w:val="x-none" w:eastAsia="x-none"/>
              </w:rPr>
              <w:t>Requires free, prior, and informed consultations if indigenous peoples are potentially affected (positively or negatively) to determine whether there is broad community support for the program.</w:t>
            </w:r>
          </w:p>
          <w:p w14:paraId="0856E56B" w14:textId="77777777" w:rsidR="00847853" w:rsidRPr="00C3416F" w:rsidRDefault="00847853" w:rsidP="00CA0715">
            <w:pPr>
              <w:numPr>
                <w:ilvl w:val="0"/>
                <w:numId w:val="26"/>
              </w:numPr>
              <w:spacing w:after="0" w:line="240" w:lineRule="auto"/>
              <w:ind w:left="426"/>
              <w:contextualSpacing/>
              <w:jc w:val="both"/>
              <w:rPr>
                <w:rFonts w:ascii="Times New Roman" w:eastAsia="Times New Roman" w:hAnsi="Times New Roman" w:cs="Times New Roman"/>
                <w:lang w:val="x-none" w:eastAsia="x-none"/>
              </w:rPr>
            </w:pPr>
            <w:r w:rsidRPr="00C3416F">
              <w:rPr>
                <w:rFonts w:ascii="Times New Roman" w:eastAsia="Times New Roman" w:hAnsi="Times New Roman" w:cs="Times New Roman"/>
                <w:lang w:val="x-none" w:eastAsia="x-none"/>
              </w:rPr>
              <w:t xml:space="preserve">Ensures that indigenous peoples can participate in devising opportunities to benefit from exploitation of customary resources or indigenous knowledge, the latter (indigenous knowledge) to include the consent of the indigenous peoples. </w:t>
            </w:r>
          </w:p>
          <w:p w14:paraId="08ABEB2D" w14:textId="77777777" w:rsidR="00847853" w:rsidRPr="00C3416F" w:rsidRDefault="00847853" w:rsidP="00CA0715">
            <w:pPr>
              <w:numPr>
                <w:ilvl w:val="0"/>
                <w:numId w:val="16"/>
              </w:numPr>
              <w:shd w:val="clear" w:color="auto" w:fill="BDD6EE"/>
              <w:tabs>
                <w:tab w:val="left" w:pos="409"/>
              </w:tabs>
              <w:spacing w:after="0" w:line="240" w:lineRule="auto"/>
              <w:jc w:val="both"/>
              <w:rPr>
                <w:rFonts w:ascii="Times New Roman" w:eastAsia="Times New Roman" w:hAnsi="Times New Roman" w:cs="Times New Roman"/>
                <w:lang w:val="x-none" w:eastAsia="x-none"/>
              </w:rPr>
            </w:pPr>
            <w:r w:rsidRPr="00C3416F">
              <w:rPr>
                <w:rFonts w:ascii="Times New Roman" w:eastAsia="Times New Roman" w:hAnsi="Times New Roman" w:cs="Times New Roman"/>
              </w:rPr>
              <w:t>Gives attention to groups vulnerable to hardship or disadvantage, including as relevant the poor, the disabled, women and children, the elderly, or vulnerable ethnic groups. If necessary, special measures are taken to promote equitable access to program benefits</w:t>
            </w:r>
          </w:p>
        </w:tc>
      </w:tr>
      <w:tr w:rsidR="00847853" w:rsidRPr="00790606" w14:paraId="50977DA8" w14:textId="77777777" w:rsidTr="00D316D4">
        <w:tc>
          <w:tcPr>
            <w:tcW w:w="5000" w:type="pct"/>
            <w:shd w:val="clear" w:color="auto" w:fill="auto"/>
          </w:tcPr>
          <w:p w14:paraId="67799DEC" w14:textId="77777777" w:rsidR="00847853" w:rsidRPr="00C3416F" w:rsidRDefault="00847853" w:rsidP="00CA0715">
            <w:pPr>
              <w:spacing w:after="0" w:line="240" w:lineRule="auto"/>
              <w:jc w:val="both"/>
              <w:rPr>
                <w:rFonts w:ascii="Times New Roman" w:eastAsia="Calibri" w:hAnsi="Times New Roman" w:cs="Times New Roman"/>
                <w:b/>
                <w:bCs/>
              </w:rPr>
            </w:pPr>
            <w:r w:rsidRPr="00C3416F">
              <w:rPr>
                <w:rFonts w:ascii="Times New Roman" w:eastAsia="Calibri" w:hAnsi="Times New Roman" w:cs="Times New Roman"/>
                <w:b/>
                <w:bCs/>
              </w:rPr>
              <w:t>Applicability</w:t>
            </w:r>
            <w:r w:rsidRPr="00C3416F">
              <w:rPr>
                <w:rFonts w:ascii="Times New Roman" w:eastAsia="Calibri" w:hAnsi="Times New Roman" w:cs="Times New Roman"/>
                <w:bCs/>
              </w:rPr>
              <w:t xml:space="preserve">:  </w:t>
            </w:r>
            <w:r w:rsidR="00AA5B0A" w:rsidRPr="00C3416F">
              <w:rPr>
                <w:rFonts w:ascii="Times New Roman" w:eastAsia="Calibri" w:hAnsi="Times New Roman" w:cs="Times New Roman"/>
                <w:b/>
                <w:bCs/>
              </w:rPr>
              <w:t>Partially Applicable</w:t>
            </w:r>
          </w:p>
          <w:p w14:paraId="3FAC5075" w14:textId="77777777" w:rsidR="00847853" w:rsidRPr="00C3416F" w:rsidRDefault="00AA5B0A" w:rsidP="00CA0715">
            <w:pPr>
              <w:spacing w:after="0" w:line="240" w:lineRule="auto"/>
              <w:jc w:val="both"/>
              <w:rPr>
                <w:rFonts w:ascii="Times New Roman" w:eastAsia="Calibri" w:hAnsi="Times New Roman" w:cs="Times New Roman"/>
                <w:bCs/>
              </w:rPr>
            </w:pPr>
            <w:r w:rsidRPr="00C3416F">
              <w:rPr>
                <w:rFonts w:ascii="Times New Roman" w:eastAsia="Calibri" w:hAnsi="Times New Roman" w:cs="Times New Roman"/>
                <w:bCs/>
              </w:rPr>
              <w:t xml:space="preserve">There are no ethnic minorities/indigenous peoples in Ghana. </w:t>
            </w:r>
            <w:r w:rsidR="00847853" w:rsidRPr="00C3416F">
              <w:rPr>
                <w:rFonts w:ascii="Times New Roman" w:eastAsia="Calibri" w:hAnsi="Times New Roman" w:cs="Times New Roman"/>
                <w:bCs/>
              </w:rPr>
              <w:t>However, there are likely to be marginalized and vulnerable groups including women, children, the elderly and PWD</w:t>
            </w:r>
            <w:r w:rsidRPr="00C3416F">
              <w:rPr>
                <w:rFonts w:ascii="Times New Roman" w:eastAsia="Calibri" w:hAnsi="Times New Roman" w:cs="Times New Roman"/>
                <w:bCs/>
              </w:rPr>
              <w:t xml:space="preserve"> in the Program areas</w:t>
            </w:r>
            <w:r w:rsidR="00847853" w:rsidRPr="00C3416F">
              <w:rPr>
                <w:rFonts w:ascii="Times New Roman" w:eastAsia="Calibri" w:hAnsi="Times New Roman" w:cs="Times New Roman"/>
                <w:bCs/>
              </w:rPr>
              <w:t>.</w:t>
            </w:r>
          </w:p>
        </w:tc>
      </w:tr>
      <w:tr w:rsidR="00847853" w:rsidRPr="00790606" w14:paraId="26C07434" w14:textId="77777777" w:rsidTr="00D316D4">
        <w:tc>
          <w:tcPr>
            <w:tcW w:w="5000" w:type="pct"/>
            <w:shd w:val="clear" w:color="auto" w:fill="auto"/>
          </w:tcPr>
          <w:p w14:paraId="5EBC781C" w14:textId="0C7E5F35" w:rsidR="00847853" w:rsidRPr="00C3416F" w:rsidRDefault="00847853" w:rsidP="00CA0715">
            <w:pPr>
              <w:spacing w:after="0" w:line="240" w:lineRule="auto"/>
              <w:jc w:val="both"/>
              <w:rPr>
                <w:rFonts w:ascii="Times New Roman" w:eastAsia="Calibri" w:hAnsi="Times New Roman" w:cs="Times New Roman"/>
                <w:b/>
                <w:bCs/>
              </w:rPr>
            </w:pPr>
            <w:r w:rsidRPr="00C3416F">
              <w:rPr>
                <w:rFonts w:ascii="Times New Roman" w:eastAsia="Calibri" w:hAnsi="Times New Roman" w:cs="Times New Roman"/>
                <w:b/>
                <w:bCs/>
              </w:rPr>
              <w:t xml:space="preserve">System strength/Summary </w:t>
            </w:r>
            <w:r w:rsidR="007B1264" w:rsidRPr="00C3416F">
              <w:rPr>
                <w:rFonts w:ascii="Times New Roman" w:eastAsia="Calibri" w:hAnsi="Times New Roman" w:cs="Times New Roman"/>
                <w:b/>
                <w:bCs/>
              </w:rPr>
              <w:t>of Findings</w:t>
            </w:r>
            <w:r w:rsidRPr="00C3416F">
              <w:rPr>
                <w:rFonts w:ascii="Times New Roman" w:eastAsia="Calibri" w:hAnsi="Times New Roman" w:cs="Times New Roman"/>
                <w:b/>
                <w:bCs/>
              </w:rPr>
              <w:t>:</w:t>
            </w:r>
          </w:p>
          <w:p w14:paraId="7F58C174" w14:textId="77777777" w:rsidR="00847853" w:rsidRPr="00C3416F" w:rsidRDefault="00847853" w:rsidP="00CA0715">
            <w:pPr>
              <w:numPr>
                <w:ilvl w:val="0"/>
                <w:numId w:val="18"/>
              </w:numPr>
              <w:spacing w:after="0" w:line="240" w:lineRule="auto"/>
              <w:jc w:val="both"/>
              <w:rPr>
                <w:rFonts w:ascii="Times New Roman" w:eastAsia="Times New Roman" w:hAnsi="Times New Roman" w:cs="Times New Roman"/>
                <w:b/>
                <w:bCs/>
                <w:lang w:val="x-none" w:eastAsia="x-none"/>
              </w:rPr>
            </w:pPr>
            <w:r w:rsidRPr="00C3416F">
              <w:rPr>
                <w:rFonts w:ascii="Times New Roman" w:eastAsia="Times New Roman" w:hAnsi="Times New Roman" w:cs="Times New Roman"/>
                <w:bCs/>
                <w:lang w:val="x-none" w:eastAsia="x-none"/>
              </w:rPr>
              <w:t xml:space="preserve">The </w:t>
            </w:r>
            <w:r w:rsidR="00AA5B0A" w:rsidRPr="00C3416F">
              <w:rPr>
                <w:rFonts w:ascii="Times New Roman" w:eastAsia="Times New Roman" w:hAnsi="Times New Roman" w:cs="Times New Roman"/>
                <w:bCs/>
                <w:lang w:eastAsia="x-none"/>
              </w:rPr>
              <w:t xml:space="preserve">Ghana </w:t>
            </w:r>
            <w:r w:rsidR="00AA5B0A" w:rsidRPr="00C3416F">
              <w:rPr>
                <w:rFonts w:ascii="Times New Roman" w:eastAsia="Times New Roman" w:hAnsi="Times New Roman" w:cs="Times New Roman"/>
                <w:bCs/>
                <w:lang w:val="x-none" w:eastAsia="x-none"/>
              </w:rPr>
              <w:t>Constitution, policies and laws recognize vulnerable groups and potential impacts of development interventions on these groups.</w:t>
            </w:r>
          </w:p>
          <w:p w14:paraId="0B0285F1" w14:textId="77777777" w:rsidR="00847853" w:rsidRPr="00C3416F" w:rsidRDefault="00847853" w:rsidP="00CA0715">
            <w:pPr>
              <w:numPr>
                <w:ilvl w:val="0"/>
                <w:numId w:val="18"/>
              </w:numPr>
              <w:spacing w:after="0" w:line="240" w:lineRule="auto"/>
              <w:jc w:val="both"/>
              <w:rPr>
                <w:rFonts w:ascii="Times New Roman" w:eastAsia="Times New Roman" w:hAnsi="Times New Roman" w:cs="Times New Roman"/>
                <w:b/>
                <w:bCs/>
                <w:lang w:val="x-none" w:eastAsia="x-none"/>
              </w:rPr>
            </w:pPr>
            <w:r w:rsidRPr="00C3416F">
              <w:rPr>
                <w:rFonts w:ascii="Times New Roman" w:eastAsia="Times New Roman" w:hAnsi="Times New Roman" w:cs="Times New Roman"/>
                <w:bCs/>
                <w:lang w:val="x-none" w:eastAsia="x-none"/>
              </w:rPr>
              <w:t xml:space="preserve">Devolution of decision making powers to </w:t>
            </w:r>
            <w:r w:rsidR="00AA5B0A" w:rsidRPr="00C3416F">
              <w:rPr>
                <w:rFonts w:ascii="Times New Roman" w:eastAsia="Times New Roman" w:hAnsi="Times New Roman" w:cs="Times New Roman"/>
                <w:bCs/>
                <w:lang w:eastAsia="x-none"/>
              </w:rPr>
              <w:t>local governments</w:t>
            </w:r>
            <w:r w:rsidRPr="00C3416F">
              <w:rPr>
                <w:rFonts w:ascii="Times New Roman" w:eastAsia="Times New Roman" w:hAnsi="Times New Roman" w:cs="Times New Roman"/>
                <w:bCs/>
                <w:lang w:val="x-none" w:eastAsia="x-none"/>
              </w:rPr>
              <w:t xml:space="preserve"> for managing and coordinating the urban services in their area;</w:t>
            </w:r>
          </w:p>
          <w:p w14:paraId="7AD91955" w14:textId="77777777" w:rsidR="00AA5B0A" w:rsidRPr="00C3416F" w:rsidRDefault="00AA5B0A" w:rsidP="00CA0715">
            <w:pPr>
              <w:numPr>
                <w:ilvl w:val="0"/>
                <w:numId w:val="18"/>
              </w:numPr>
              <w:spacing w:after="0" w:line="240" w:lineRule="auto"/>
              <w:jc w:val="both"/>
              <w:rPr>
                <w:rFonts w:ascii="Times New Roman" w:eastAsia="Times New Roman" w:hAnsi="Times New Roman" w:cs="Times New Roman"/>
                <w:bCs/>
                <w:lang w:val="x-none" w:eastAsia="x-none"/>
              </w:rPr>
            </w:pPr>
            <w:r w:rsidRPr="00C3416F">
              <w:rPr>
                <w:rFonts w:ascii="Times New Roman" w:eastAsia="Times New Roman" w:hAnsi="Times New Roman" w:cs="Times New Roman"/>
                <w:bCs/>
                <w:lang w:eastAsia="x-none"/>
              </w:rPr>
              <w:t>S</w:t>
            </w:r>
            <w:r w:rsidR="00847853" w:rsidRPr="00C3416F">
              <w:rPr>
                <w:rFonts w:ascii="Times New Roman" w:eastAsia="Times New Roman" w:hAnsi="Times New Roman" w:cs="Times New Roman"/>
                <w:bCs/>
                <w:lang w:eastAsia="x-none"/>
              </w:rPr>
              <w:t xml:space="preserve">ubprojects benefit women but more effort is needed to ensure sustainable and balanced benefit not only for woman but also other vulnerable groups. </w:t>
            </w:r>
          </w:p>
          <w:p w14:paraId="75ADC737" w14:textId="2D00E9B1" w:rsidR="00847853" w:rsidRPr="00C3416F" w:rsidRDefault="00847853" w:rsidP="00CA0715">
            <w:pPr>
              <w:numPr>
                <w:ilvl w:val="0"/>
                <w:numId w:val="18"/>
              </w:numPr>
              <w:spacing w:after="0" w:line="240" w:lineRule="auto"/>
              <w:jc w:val="both"/>
              <w:rPr>
                <w:rFonts w:ascii="Times New Roman" w:eastAsia="Times New Roman" w:hAnsi="Times New Roman" w:cs="Times New Roman"/>
                <w:b/>
                <w:bCs/>
                <w:lang w:val="x-none" w:eastAsia="x-none"/>
              </w:rPr>
            </w:pPr>
            <w:r w:rsidRPr="00C3416F">
              <w:rPr>
                <w:rFonts w:ascii="Times New Roman" w:eastAsia="Times New Roman" w:hAnsi="Times New Roman" w:cs="Times New Roman"/>
                <w:bCs/>
                <w:lang w:eastAsia="x-none"/>
              </w:rPr>
              <w:t>Multi government layered effort to mainstream interest of underserv</w:t>
            </w:r>
            <w:r w:rsidR="00AA5B0A" w:rsidRPr="00C3416F">
              <w:rPr>
                <w:rFonts w:ascii="Times New Roman" w:eastAsia="Times New Roman" w:hAnsi="Times New Roman" w:cs="Times New Roman"/>
                <w:bCs/>
                <w:lang w:eastAsia="x-none"/>
              </w:rPr>
              <w:t xml:space="preserve">ed </w:t>
            </w:r>
            <w:r w:rsidR="00801DD2" w:rsidRPr="00C3416F">
              <w:rPr>
                <w:rFonts w:ascii="Times New Roman" w:eastAsia="Times New Roman" w:hAnsi="Times New Roman" w:cs="Times New Roman"/>
                <w:bCs/>
                <w:lang w:eastAsia="x-none"/>
              </w:rPr>
              <w:t xml:space="preserve">/ marginalized </w:t>
            </w:r>
            <w:r w:rsidR="00AA5B0A" w:rsidRPr="00C3416F">
              <w:rPr>
                <w:rFonts w:ascii="Times New Roman" w:eastAsia="Times New Roman" w:hAnsi="Times New Roman" w:cs="Times New Roman"/>
                <w:bCs/>
                <w:lang w:eastAsia="x-none"/>
              </w:rPr>
              <w:t>people and vulnerable groups.</w:t>
            </w:r>
            <w:r w:rsidRPr="00C3416F">
              <w:rPr>
                <w:rFonts w:ascii="Times New Roman" w:eastAsia="Times New Roman" w:hAnsi="Times New Roman" w:cs="Times New Roman"/>
                <w:bCs/>
                <w:lang w:eastAsia="x-none"/>
              </w:rPr>
              <w:t xml:space="preserve"> </w:t>
            </w:r>
          </w:p>
        </w:tc>
      </w:tr>
      <w:tr w:rsidR="00847853" w:rsidRPr="00790606" w14:paraId="72808CF2" w14:textId="77777777" w:rsidTr="00D316D4">
        <w:tc>
          <w:tcPr>
            <w:tcW w:w="5000" w:type="pct"/>
            <w:shd w:val="clear" w:color="auto" w:fill="auto"/>
          </w:tcPr>
          <w:p w14:paraId="4036C608" w14:textId="77777777" w:rsidR="00847853" w:rsidRPr="00C3416F" w:rsidRDefault="00847853" w:rsidP="00CA0715">
            <w:pPr>
              <w:spacing w:after="0" w:line="240" w:lineRule="auto"/>
              <w:jc w:val="both"/>
              <w:rPr>
                <w:rFonts w:ascii="Times New Roman" w:eastAsia="Calibri" w:hAnsi="Times New Roman" w:cs="Times New Roman"/>
                <w:b/>
              </w:rPr>
            </w:pPr>
            <w:r w:rsidRPr="00C3416F">
              <w:rPr>
                <w:rFonts w:ascii="Times New Roman" w:eastAsia="Calibri" w:hAnsi="Times New Roman" w:cs="Times New Roman"/>
                <w:b/>
              </w:rPr>
              <w:t>Gaps</w:t>
            </w:r>
          </w:p>
          <w:p w14:paraId="10580444" w14:textId="77777777" w:rsidR="00847853" w:rsidRPr="00C3416F" w:rsidRDefault="00847853" w:rsidP="00CA0715">
            <w:pPr>
              <w:numPr>
                <w:ilvl w:val="0"/>
                <w:numId w:val="33"/>
              </w:numPr>
              <w:spacing w:after="0" w:line="240" w:lineRule="auto"/>
              <w:jc w:val="both"/>
              <w:rPr>
                <w:rFonts w:ascii="Times New Roman" w:eastAsia="Times New Roman" w:hAnsi="Times New Roman" w:cs="Times New Roman"/>
                <w:bCs/>
                <w:lang w:val="x-none" w:eastAsia="x-none"/>
              </w:rPr>
            </w:pPr>
            <w:r w:rsidRPr="00C3416F">
              <w:rPr>
                <w:rFonts w:ascii="Times New Roman" w:eastAsia="Times New Roman" w:hAnsi="Times New Roman" w:cs="Times New Roman"/>
                <w:bCs/>
                <w:lang w:eastAsia="x-none"/>
              </w:rPr>
              <w:t>Benefits of a development program need to be i</w:t>
            </w:r>
            <w:r w:rsidR="00AA5B0A" w:rsidRPr="00C3416F">
              <w:rPr>
                <w:rFonts w:ascii="Times New Roman" w:eastAsia="Times New Roman" w:hAnsi="Times New Roman" w:cs="Times New Roman"/>
                <w:bCs/>
                <w:lang w:eastAsia="x-none"/>
              </w:rPr>
              <w:t xml:space="preserve">nclusive of the </w:t>
            </w:r>
            <w:r w:rsidRPr="00C3416F">
              <w:rPr>
                <w:rFonts w:ascii="Times New Roman" w:eastAsia="Times New Roman" w:hAnsi="Times New Roman" w:cs="Times New Roman"/>
                <w:bCs/>
                <w:lang w:eastAsia="x-none"/>
              </w:rPr>
              <w:t xml:space="preserve">vulnerable including women, the elderly children and PWD in urban areas. </w:t>
            </w:r>
          </w:p>
          <w:p w14:paraId="1BA852A3" w14:textId="4A0E8BB4" w:rsidR="00847853" w:rsidRPr="00C3416F" w:rsidRDefault="00847853" w:rsidP="00CA0715">
            <w:pPr>
              <w:numPr>
                <w:ilvl w:val="0"/>
                <w:numId w:val="33"/>
              </w:numPr>
              <w:spacing w:after="0" w:line="240" w:lineRule="auto"/>
              <w:jc w:val="both"/>
              <w:rPr>
                <w:rFonts w:ascii="Times New Roman" w:eastAsia="Times New Roman" w:hAnsi="Times New Roman" w:cs="Times New Roman"/>
                <w:bCs/>
                <w:lang w:val="x-none" w:eastAsia="x-none"/>
              </w:rPr>
            </w:pPr>
            <w:r w:rsidRPr="00C3416F">
              <w:rPr>
                <w:rFonts w:ascii="Times New Roman" w:eastAsia="Times New Roman" w:hAnsi="Times New Roman" w:cs="Times New Roman"/>
                <w:bCs/>
                <w:lang w:eastAsia="x-none"/>
              </w:rPr>
              <w:t xml:space="preserve">Responsible organs (for instance Labor and Social </w:t>
            </w:r>
            <w:r w:rsidR="00801DD2" w:rsidRPr="00C3416F">
              <w:rPr>
                <w:rFonts w:ascii="Times New Roman" w:eastAsia="Times New Roman" w:hAnsi="Times New Roman" w:cs="Times New Roman"/>
                <w:bCs/>
                <w:lang w:eastAsia="x-none"/>
              </w:rPr>
              <w:t>Welfare</w:t>
            </w:r>
            <w:r w:rsidRPr="00C3416F">
              <w:rPr>
                <w:rFonts w:ascii="Times New Roman" w:eastAsia="Times New Roman" w:hAnsi="Times New Roman" w:cs="Times New Roman"/>
                <w:bCs/>
                <w:lang w:eastAsia="x-none"/>
              </w:rPr>
              <w:t xml:space="preserve">, </w:t>
            </w:r>
            <w:r w:rsidR="00801DD2" w:rsidRPr="00C3416F">
              <w:rPr>
                <w:rFonts w:ascii="Times New Roman" w:eastAsia="Times New Roman" w:hAnsi="Times New Roman" w:cs="Times New Roman"/>
                <w:bCs/>
                <w:lang w:eastAsia="x-none"/>
              </w:rPr>
              <w:t xml:space="preserve">Gender </w:t>
            </w:r>
            <w:r w:rsidRPr="00C3416F">
              <w:rPr>
                <w:rFonts w:ascii="Times New Roman" w:eastAsia="Times New Roman" w:hAnsi="Times New Roman" w:cs="Times New Roman"/>
                <w:bCs/>
                <w:lang w:eastAsia="x-none"/>
              </w:rPr>
              <w:t xml:space="preserve">and Children Affairs) </w:t>
            </w:r>
            <w:r w:rsidR="00AA5B0A" w:rsidRPr="00C3416F">
              <w:rPr>
                <w:rFonts w:ascii="Times New Roman" w:eastAsia="Times New Roman" w:hAnsi="Times New Roman" w:cs="Times New Roman"/>
                <w:bCs/>
                <w:lang w:eastAsia="x-none"/>
              </w:rPr>
              <w:t xml:space="preserve">do not </w:t>
            </w:r>
            <w:r w:rsidRPr="00C3416F">
              <w:rPr>
                <w:rFonts w:ascii="Times New Roman" w:eastAsia="Times New Roman" w:hAnsi="Times New Roman" w:cs="Times New Roman"/>
                <w:bCs/>
                <w:lang w:eastAsia="x-none"/>
              </w:rPr>
              <w:t>p</w:t>
            </w:r>
            <w:r w:rsidR="00AA5B0A" w:rsidRPr="00C3416F">
              <w:rPr>
                <w:rFonts w:ascii="Times New Roman" w:eastAsia="Times New Roman" w:hAnsi="Times New Roman" w:cs="Times New Roman"/>
                <w:bCs/>
                <w:lang w:eastAsia="x-none"/>
              </w:rPr>
              <w:t>articipate</w:t>
            </w:r>
            <w:r w:rsidRPr="00C3416F">
              <w:rPr>
                <w:rFonts w:ascii="Times New Roman" w:eastAsia="Times New Roman" w:hAnsi="Times New Roman" w:cs="Times New Roman"/>
                <w:bCs/>
                <w:lang w:eastAsia="x-none"/>
              </w:rPr>
              <w:t xml:space="preserve"> during the preparation of the development plans of </w:t>
            </w:r>
            <w:r w:rsidR="00AA5B0A" w:rsidRPr="00C3416F">
              <w:rPr>
                <w:rFonts w:ascii="Times New Roman" w:eastAsia="Times New Roman" w:hAnsi="Times New Roman" w:cs="Times New Roman"/>
                <w:bCs/>
                <w:lang w:eastAsia="x-none"/>
              </w:rPr>
              <w:t>MMAs</w:t>
            </w:r>
            <w:r w:rsidRPr="00C3416F">
              <w:rPr>
                <w:rFonts w:ascii="Times New Roman" w:eastAsia="Times New Roman" w:hAnsi="Times New Roman" w:cs="Times New Roman"/>
                <w:bCs/>
                <w:lang w:eastAsia="x-none"/>
              </w:rPr>
              <w:t>.</w:t>
            </w:r>
          </w:p>
          <w:p w14:paraId="2376F7F4" w14:textId="77777777" w:rsidR="00847853" w:rsidRPr="00C3416F" w:rsidRDefault="00847853" w:rsidP="00CA0715">
            <w:pPr>
              <w:numPr>
                <w:ilvl w:val="0"/>
                <w:numId w:val="33"/>
              </w:numPr>
              <w:autoSpaceDE w:val="0"/>
              <w:autoSpaceDN w:val="0"/>
              <w:adjustRightInd w:val="0"/>
              <w:spacing w:after="0" w:line="240" w:lineRule="auto"/>
              <w:jc w:val="both"/>
              <w:rPr>
                <w:rFonts w:ascii="Times New Roman" w:eastAsia="MS Mincho" w:hAnsi="Times New Roman" w:cs="Times New Roman"/>
                <w:color w:val="000000"/>
              </w:rPr>
            </w:pPr>
            <w:r w:rsidRPr="00C3416F">
              <w:rPr>
                <w:rFonts w:ascii="Times New Roman" w:eastAsia="Times New Roman" w:hAnsi="Times New Roman" w:cs="Times New Roman"/>
                <w:lang w:eastAsia="x-none"/>
              </w:rPr>
              <w:t>Lack of awareness among leadership and professionals on the needs of vulnerable groups</w:t>
            </w:r>
            <w:r w:rsidRPr="00C3416F">
              <w:rPr>
                <w:rFonts w:ascii="Times New Roman" w:eastAsia="MS Mincho" w:hAnsi="Times New Roman" w:cs="Times New Roman"/>
                <w:color w:val="000000"/>
              </w:rPr>
              <w:t xml:space="preserve"> </w:t>
            </w:r>
          </w:p>
          <w:p w14:paraId="26132315" w14:textId="77777777" w:rsidR="00847853" w:rsidRPr="00C3416F" w:rsidRDefault="00847853" w:rsidP="00CA0715">
            <w:pPr>
              <w:numPr>
                <w:ilvl w:val="0"/>
                <w:numId w:val="33"/>
              </w:numPr>
              <w:autoSpaceDE w:val="0"/>
              <w:autoSpaceDN w:val="0"/>
              <w:adjustRightInd w:val="0"/>
              <w:spacing w:after="0" w:line="240" w:lineRule="auto"/>
              <w:jc w:val="both"/>
              <w:rPr>
                <w:rFonts w:ascii="Times New Roman" w:eastAsia="MS Mincho" w:hAnsi="Times New Roman" w:cs="Times New Roman"/>
                <w:color w:val="000000"/>
              </w:rPr>
            </w:pPr>
            <w:r w:rsidRPr="00C3416F">
              <w:rPr>
                <w:rFonts w:ascii="Times New Roman" w:eastAsia="Times New Roman" w:hAnsi="Times New Roman" w:cs="Times New Roman"/>
                <w:lang w:eastAsia="x-none"/>
              </w:rPr>
              <w:t xml:space="preserve">Limited </w:t>
            </w:r>
            <w:r w:rsidRPr="00C3416F">
              <w:rPr>
                <w:rFonts w:ascii="Times New Roman" w:eastAsia="Times New Roman" w:hAnsi="Times New Roman" w:cs="Times New Roman"/>
                <w:lang w:val="x-none" w:eastAsia="x-none"/>
              </w:rPr>
              <w:t xml:space="preserve">capacity of </w:t>
            </w:r>
            <w:r w:rsidRPr="00C3416F">
              <w:rPr>
                <w:rFonts w:ascii="Times New Roman" w:eastAsia="Times New Roman" w:hAnsi="Times New Roman" w:cs="Times New Roman"/>
                <w:lang w:eastAsia="x-none"/>
              </w:rPr>
              <w:t>the program implementers to</w:t>
            </w:r>
            <w:r w:rsidRPr="00C3416F">
              <w:rPr>
                <w:rFonts w:ascii="Times New Roman" w:eastAsia="Times New Roman" w:hAnsi="Times New Roman" w:cs="Times New Roman"/>
                <w:lang w:val="x-none" w:eastAsia="x-none"/>
              </w:rPr>
              <w:t xml:space="preserve"> benefit vulnerable groups </w:t>
            </w:r>
            <w:r w:rsidRPr="00C3416F">
              <w:rPr>
                <w:rFonts w:ascii="Times New Roman" w:eastAsia="Times New Roman" w:hAnsi="Times New Roman" w:cs="Times New Roman"/>
                <w:lang w:eastAsia="x-none"/>
              </w:rPr>
              <w:t>from</w:t>
            </w:r>
            <w:r w:rsidRPr="00C3416F">
              <w:rPr>
                <w:rFonts w:ascii="Times New Roman" w:eastAsia="Times New Roman" w:hAnsi="Times New Roman" w:cs="Times New Roman"/>
                <w:lang w:val="x-none" w:eastAsia="x-none"/>
              </w:rPr>
              <w:t xml:space="preserve"> urban sector project </w:t>
            </w:r>
            <w:r w:rsidRPr="00C3416F">
              <w:rPr>
                <w:rFonts w:ascii="Times New Roman" w:eastAsia="Times New Roman" w:hAnsi="Times New Roman" w:cs="Times New Roman"/>
                <w:lang w:eastAsia="x-none"/>
              </w:rPr>
              <w:t>in an inclusive manner</w:t>
            </w:r>
          </w:p>
          <w:p w14:paraId="7F67107B" w14:textId="77777777" w:rsidR="00847853" w:rsidRPr="00C3416F" w:rsidRDefault="00847853" w:rsidP="00CA0715">
            <w:pPr>
              <w:numPr>
                <w:ilvl w:val="0"/>
                <w:numId w:val="33"/>
              </w:numPr>
              <w:autoSpaceDE w:val="0"/>
              <w:autoSpaceDN w:val="0"/>
              <w:adjustRightInd w:val="0"/>
              <w:spacing w:after="0" w:line="240" w:lineRule="auto"/>
              <w:jc w:val="both"/>
              <w:rPr>
                <w:rFonts w:ascii="Times New Roman" w:eastAsia="MS Mincho" w:hAnsi="Times New Roman" w:cs="Times New Roman"/>
                <w:color w:val="000000"/>
              </w:rPr>
            </w:pPr>
            <w:r w:rsidRPr="00C3416F">
              <w:rPr>
                <w:rFonts w:ascii="Times New Roman" w:eastAsia="Times New Roman" w:hAnsi="Times New Roman" w:cs="Times New Roman"/>
                <w:lang w:eastAsia="x-none"/>
              </w:rPr>
              <w:t>Lack of clear guidance and procedures to manage inclusion of vulnerable groups</w:t>
            </w:r>
            <w:r w:rsidR="00AA5B0A" w:rsidRPr="00C3416F">
              <w:rPr>
                <w:rFonts w:ascii="Times New Roman" w:eastAsia="MS Mincho" w:hAnsi="Times New Roman" w:cs="Times New Roman"/>
                <w:color w:val="000000"/>
              </w:rPr>
              <w:t>.</w:t>
            </w:r>
          </w:p>
          <w:p w14:paraId="4735B57E" w14:textId="66C2809A" w:rsidR="00801DD2" w:rsidRPr="00C3416F" w:rsidDel="00312310" w:rsidRDefault="00801DD2" w:rsidP="00CA0715">
            <w:pPr>
              <w:numPr>
                <w:ilvl w:val="0"/>
                <w:numId w:val="33"/>
              </w:numPr>
              <w:autoSpaceDE w:val="0"/>
              <w:autoSpaceDN w:val="0"/>
              <w:adjustRightInd w:val="0"/>
              <w:spacing w:after="0" w:line="240" w:lineRule="auto"/>
              <w:jc w:val="both"/>
              <w:rPr>
                <w:rFonts w:ascii="Times New Roman" w:eastAsia="MS Mincho" w:hAnsi="Times New Roman" w:cs="Times New Roman"/>
                <w:color w:val="000000"/>
              </w:rPr>
            </w:pPr>
            <w:r w:rsidRPr="00C3416F">
              <w:rPr>
                <w:rFonts w:ascii="Times New Roman" w:eastAsia="Times New Roman" w:hAnsi="Times New Roman" w:cs="Times New Roman"/>
                <w:lang w:eastAsia="x-none"/>
              </w:rPr>
              <w:t>Lack of gender mainstream strategies to facilitate inclu</w:t>
            </w:r>
            <w:r w:rsidR="00130B48" w:rsidRPr="00C3416F">
              <w:rPr>
                <w:rFonts w:ascii="Times New Roman" w:eastAsia="Times New Roman" w:hAnsi="Times New Roman" w:cs="Times New Roman"/>
                <w:lang w:eastAsia="x-none"/>
              </w:rPr>
              <w:t>sion of gender equity in Programs</w:t>
            </w:r>
          </w:p>
        </w:tc>
      </w:tr>
      <w:tr w:rsidR="00847853" w:rsidRPr="00790606" w14:paraId="6EB12AF5" w14:textId="77777777" w:rsidTr="00D316D4">
        <w:tc>
          <w:tcPr>
            <w:tcW w:w="5000" w:type="pct"/>
            <w:shd w:val="clear" w:color="auto" w:fill="auto"/>
          </w:tcPr>
          <w:p w14:paraId="48AC0884" w14:textId="77777777" w:rsidR="00847853" w:rsidRPr="00C3416F" w:rsidRDefault="00847853" w:rsidP="00CA0715">
            <w:pPr>
              <w:spacing w:after="0" w:line="240" w:lineRule="auto"/>
              <w:jc w:val="both"/>
              <w:rPr>
                <w:rFonts w:ascii="Times New Roman" w:eastAsia="Calibri" w:hAnsi="Times New Roman" w:cs="Times New Roman"/>
                <w:b/>
                <w:bCs/>
              </w:rPr>
            </w:pPr>
            <w:r w:rsidRPr="00C3416F">
              <w:rPr>
                <w:rFonts w:ascii="Times New Roman" w:eastAsia="Calibri" w:hAnsi="Times New Roman" w:cs="Times New Roman"/>
                <w:b/>
                <w:bCs/>
              </w:rPr>
              <w:t>Opportunities/Actions</w:t>
            </w:r>
          </w:p>
          <w:p w14:paraId="0ACF7950" w14:textId="0E477D0F" w:rsidR="00847853" w:rsidRPr="00C3416F" w:rsidRDefault="00847853" w:rsidP="00CA0715">
            <w:pPr>
              <w:numPr>
                <w:ilvl w:val="0"/>
                <w:numId w:val="19"/>
              </w:numPr>
              <w:spacing w:after="0" w:line="240" w:lineRule="auto"/>
              <w:jc w:val="both"/>
              <w:rPr>
                <w:rFonts w:ascii="Times New Roman" w:eastAsia="Times New Roman" w:hAnsi="Times New Roman" w:cs="Times New Roman"/>
                <w:lang w:val="x-none" w:eastAsia="x-none"/>
              </w:rPr>
            </w:pPr>
            <w:r w:rsidRPr="00C3416F">
              <w:rPr>
                <w:rFonts w:ascii="Times New Roman" w:eastAsia="Times New Roman" w:hAnsi="Times New Roman" w:cs="Times New Roman"/>
                <w:lang w:val="x-none" w:eastAsia="x-none"/>
              </w:rPr>
              <w:t xml:space="preserve">Improve capacity </w:t>
            </w:r>
            <w:r w:rsidR="00AA5B0A" w:rsidRPr="00C3416F">
              <w:rPr>
                <w:rFonts w:ascii="Times New Roman" w:eastAsia="Times New Roman" w:hAnsi="Times New Roman" w:cs="Times New Roman"/>
                <w:lang w:eastAsia="x-none"/>
              </w:rPr>
              <w:t>of MMA in the</w:t>
            </w:r>
            <w:r w:rsidRPr="00C3416F">
              <w:rPr>
                <w:rFonts w:ascii="Times New Roman" w:eastAsia="Times New Roman" w:hAnsi="Times New Roman" w:cs="Times New Roman"/>
                <w:lang w:val="x-none" w:eastAsia="x-none"/>
              </w:rPr>
              <w:t xml:space="preserve"> identification of vulnerable groups</w:t>
            </w:r>
            <w:r w:rsidR="00AA5B0A" w:rsidRPr="00C3416F">
              <w:rPr>
                <w:rFonts w:ascii="Times New Roman" w:eastAsia="Times New Roman" w:hAnsi="Times New Roman" w:cs="Times New Roman"/>
                <w:lang w:eastAsia="x-none"/>
              </w:rPr>
              <w:t xml:space="preserve"> and to consider their concerns in the design and implementation of activities under the Program</w:t>
            </w:r>
            <w:r w:rsidRPr="00C3416F">
              <w:rPr>
                <w:rFonts w:ascii="Times New Roman" w:eastAsia="Times New Roman" w:hAnsi="Times New Roman" w:cs="Times New Roman"/>
                <w:lang w:eastAsia="x-none"/>
              </w:rPr>
              <w:t>;</w:t>
            </w:r>
            <w:r w:rsidRPr="00C3416F">
              <w:rPr>
                <w:rFonts w:ascii="Times New Roman" w:eastAsia="Times New Roman" w:hAnsi="Times New Roman" w:cs="Times New Roman"/>
                <w:lang w:val="x-none" w:eastAsia="x-none"/>
              </w:rPr>
              <w:t xml:space="preserve"> </w:t>
            </w:r>
          </w:p>
          <w:p w14:paraId="546D9EDE" w14:textId="77777777" w:rsidR="00847853" w:rsidRPr="00C3416F" w:rsidRDefault="00847853" w:rsidP="00CA0715">
            <w:pPr>
              <w:numPr>
                <w:ilvl w:val="0"/>
                <w:numId w:val="19"/>
              </w:numPr>
              <w:spacing w:after="0" w:line="240" w:lineRule="auto"/>
              <w:jc w:val="both"/>
              <w:rPr>
                <w:rFonts w:ascii="Times New Roman" w:eastAsia="Times New Roman" w:hAnsi="Times New Roman" w:cs="Times New Roman"/>
                <w:lang w:val="x-none" w:eastAsia="x-none"/>
              </w:rPr>
            </w:pPr>
            <w:r w:rsidRPr="00C3416F">
              <w:rPr>
                <w:rFonts w:ascii="Times New Roman" w:eastAsia="Times New Roman" w:hAnsi="Times New Roman" w:cs="Times New Roman"/>
                <w:lang w:eastAsia="x-none"/>
              </w:rPr>
              <w:t>Build awareness of leadership and professionals on the needs of vulnerable and marginalized groups;</w:t>
            </w:r>
          </w:p>
          <w:p w14:paraId="0C749C51" w14:textId="33D979E0" w:rsidR="00847853" w:rsidRPr="00C3416F" w:rsidRDefault="00847853" w:rsidP="00CA0715">
            <w:pPr>
              <w:numPr>
                <w:ilvl w:val="0"/>
                <w:numId w:val="19"/>
              </w:numPr>
              <w:spacing w:after="0" w:line="240" w:lineRule="auto"/>
              <w:jc w:val="both"/>
              <w:rPr>
                <w:rFonts w:ascii="Times New Roman" w:eastAsia="Times New Roman" w:hAnsi="Times New Roman" w:cs="Times New Roman"/>
                <w:lang w:val="x-none" w:eastAsia="x-none"/>
              </w:rPr>
            </w:pPr>
            <w:r w:rsidRPr="00C3416F">
              <w:rPr>
                <w:rFonts w:ascii="Times New Roman" w:eastAsia="Times New Roman" w:hAnsi="Times New Roman" w:cs="Times New Roman"/>
                <w:lang w:eastAsia="x-none"/>
              </w:rPr>
              <w:t>Mainstream the interest of vulnerable groups</w:t>
            </w:r>
            <w:r w:rsidR="00130B48" w:rsidRPr="00C3416F">
              <w:rPr>
                <w:rFonts w:ascii="Times New Roman" w:eastAsia="Times New Roman" w:hAnsi="Times New Roman" w:cs="Times New Roman"/>
                <w:lang w:eastAsia="x-none"/>
              </w:rPr>
              <w:t xml:space="preserve"> and gender considerations</w:t>
            </w:r>
            <w:r w:rsidRPr="00C3416F">
              <w:rPr>
                <w:rFonts w:ascii="Times New Roman" w:eastAsia="Times New Roman" w:hAnsi="Times New Roman" w:cs="Times New Roman"/>
                <w:lang w:eastAsia="x-none"/>
              </w:rPr>
              <w:t xml:space="preserve"> in the preparation of long-term and short term development plans. </w:t>
            </w:r>
          </w:p>
          <w:p w14:paraId="709D97F4" w14:textId="77777777" w:rsidR="00847853" w:rsidRPr="00C3416F" w:rsidRDefault="00847853" w:rsidP="00CA0715">
            <w:pPr>
              <w:numPr>
                <w:ilvl w:val="0"/>
                <w:numId w:val="19"/>
              </w:numPr>
              <w:spacing w:after="0" w:line="240" w:lineRule="auto"/>
              <w:jc w:val="both"/>
              <w:rPr>
                <w:rFonts w:ascii="Times New Roman" w:eastAsia="Times New Roman" w:hAnsi="Times New Roman" w:cs="Times New Roman"/>
                <w:lang w:val="x-none" w:eastAsia="x-none"/>
              </w:rPr>
            </w:pPr>
            <w:r w:rsidRPr="00C3416F">
              <w:rPr>
                <w:rFonts w:ascii="Times New Roman" w:eastAsia="Times New Roman" w:hAnsi="Times New Roman" w:cs="Times New Roman"/>
                <w:lang w:val="x-none" w:eastAsia="x-none"/>
              </w:rPr>
              <w:t xml:space="preserve">Improve training and capacity building of vulnerable groups through extensive consultation so that the benefit of urban sector project could </w:t>
            </w:r>
            <w:r w:rsidRPr="00C3416F">
              <w:rPr>
                <w:rFonts w:ascii="Times New Roman" w:eastAsia="Times New Roman" w:hAnsi="Times New Roman" w:cs="Times New Roman"/>
                <w:lang w:eastAsia="x-none"/>
              </w:rPr>
              <w:t>be inclusive of them;</w:t>
            </w:r>
          </w:p>
          <w:p w14:paraId="68DB653F" w14:textId="2B1262B7" w:rsidR="00847853" w:rsidRPr="00C3416F" w:rsidRDefault="00847853" w:rsidP="00CA0715">
            <w:pPr>
              <w:numPr>
                <w:ilvl w:val="0"/>
                <w:numId w:val="19"/>
              </w:numPr>
              <w:spacing w:after="0" w:line="240" w:lineRule="auto"/>
              <w:jc w:val="both"/>
              <w:rPr>
                <w:rFonts w:ascii="Times New Roman" w:eastAsia="Times New Roman" w:hAnsi="Times New Roman" w:cs="Times New Roman"/>
                <w:lang w:val="x-none" w:eastAsia="x-none"/>
              </w:rPr>
            </w:pPr>
            <w:r w:rsidRPr="00C3416F">
              <w:rPr>
                <w:rFonts w:ascii="Times New Roman" w:eastAsia="Times New Roman" w:hAnsi="Times New Roman" w:cs="Times New Roman"/>
                <w:lang w:eastAsia="x-none"/>
              </w:rPr>
              <w:t xml:space="preserve">Make the organs responsible for the development and protection of Women, children, elderly and PWD as well as identified </w:t>
            </w:r>
            <w:r w:rsidR="00130B48" w:rsidRPr="00C3416F">
              <w:rPr>
                <w:rFonts w:ascii="Times New Roman" w:eastAsia="Times New Roman" w:hAnsi="Times New Roman" w:cs="Times New Roman"/>
                <w:lang w:eastAsia="x-none"/>
              </w:rPr>
              <w:t xml:space="preserve">marginalized </w:t>
            </w:r>
            <w:r w:rsidRPr="00C3416F">
              <w:rPr>
                <w:rFonts w:ascii="Times New Roman" w:eastAsia="Times New Roman" w:hAnsi="Times New Roman" w:cs="Times New Roman"/>
                <w:lang w:eastAsia="x-none"/>
              </w:rPr>
              <w:t>group</w:t>
            </w:r>
            <w:r w:rsidR="00130B48" w:rsidRPr="00C3416F">
              <w:rPr>
                <w:rFonts w:ascii="Times New Roman" w:eastAsia="Times New Roman" w:hAnsi="Times New Roman" w:cs="Times New Roman"/>
                <w:lang w:eastAsia="x-none"/>
              </w:rPr>
              <w:t>s</w:t>
            </w:r>
            <w:r w:rsidRPr="00C3416F">
              <w:rPr>
                <w:rFonts w:ascii="Times New Roman" w:eastAsia="Times New Roman" w:hAnsi="Times New Roman" w:cs="Times New Roman"/>
                <w:lang w:eastAsia="x-none"/>
              </w:rPr>
              <w:t xml:space="preserve"> as an integral part of the urban development planning process</w:t>
            </w:r>
          </w:p>
          <w:p w14:paraId="43C81A99" w14:textId="77777777" w:rsidR="00847853" w:rsidRPr="00C3416F" w:rsidRDefault="00847853" w:rsidP="00CA0715">
            <w:pPr>
              <w:numPr>
                <w:ilvl w:val="0"/>
                <w:numId w:val="19"/>
              </w:numPr>
              <w:spacing w:after="0" w:line="240" w:lineRule="auto"/>
              <w:jc w:val="both"/>
              <w:rPr>
                <w:rFonts w:ascii="Times New Roman" w:eastAsia="Times New Roman" w:hAnsi="Times New Roman" w:cs="Times New Roman"/>
                <w:lang w:val="x-none" w:eastAsia="x-none"/>
              </w:rPr>
            </w:pPr>
            <w:r w:rsidRPr="00C3416F">
              <w:rPr>
                <w:rFonts w:ascii="Times New Roman" w:eastAsia="Times New Roman" w:hAnsi="Times New Roman" w:cs="Times New Roman"/>
              </w:rPr>
              <w:t>Assign Social Development and Gender focal persons and train them to follow up planning, implementation, and monitoring of Gender equality and social inclusion issues.</w:t>
            </w:r>
          </w:p>
        </w:tc>
      </w:tr>
      <w:tr w:rsidR="00847853" w:rsidRPr="00790606" w14:paraId="3FA2AF8B" w14:textId="77777777" w:rsidTr="00D316D4">
        <w:tc>
          <w:tcPr>
            <w:tcW w:w="5000" w:type="pct"/>
            <w:shd w:val="clear" w:color="auto" w:fill="auto"/>
          </w:tcPr>
          <w:p w14:paraId="1DC9EEDE" w14:textId="77777777" w:rsidR="00847853" w:rsidRPr="00C3416F" w:rsidRDefault="00847853" w:rsidP="00CA0715">
            <w:pPr>
              <w:spacing w:after="0" w:line="240" w:lineRule="auto"/>
              <w:jc w:val="both"/>
              <w:rPr>
                <w:rFonts w:ascii="Times New Roman" w:eastAsia="Calibri" w:hAnsi="Times New Roman" w:cs="Times New Roman"/>
                <w:b/>
                <w:bCs/>
              </w:rPr>
            </w:pPr>
            <w:r w:rsidRPr="00C3416F">
              <w:rPr>
                <w:rFonts w:ascii="Times New Roman" w:eastAsia="Calibri" w:hAnsi="Times New Roman" w:cs="Times New Roman"/>
                <w:b/>
                <w:bCs/>
              </w:rPr>
              <w:t>Risks:</w:t>
            </w:r>
          </w:p>
          <w:p w14:paraId="66DD89D8" w14:textId="36BD6C91" w:rsidR="00847853" w:rsidRPr="00C3416F" w:rsidRDefault="00847853" w:rsidP="00CA0715">
            <w:pPr>
              <w:numPr>
                <w:ilvl w:val="0"/>
                <w:numId w:val="20"/>
              </w:numPr>
              <w:spacing w:after="0" w:line="240" w:lineRule="auto"/>
              <w:jc w:val="both"/>
              <w:rPr>
                <w:rFonts w:ascii="Times New Roman" w:eastAsia="Times New Roman" w:hAnsi="Times New Roman" w:cs="Times New Roman"/>
                <w:b/>
                <w:bCs/>
                <w:lang w:val="x-none" w:eastAsia="x-none"/>
              </w:rPr>
            </w:pPr>
            <w:r w:rsidRPr="00C3416F">
              <w:rPr>
                <w:rFonts w:ascii="Times New Roman" w:eastAsia="Times New Roman" w:hAnsi="Times New Roman" w:cs="Times New Roman"/>
                <w:bCs/>
                <w:lang w:val="x-none" w:eastAsia="x-none"/>
              </w:rPr>
              <w:t>Inability to improve inclusion of</w:t>
            </w:r>
            <w:r w:rsidRPr="00C3416F">
              <w:rPr>
                <w:rFonts w:ascii="Times New Roman" w:eastAsia="Times New Roman" w:hAnsi="Times New Roman" w:cs="Times New Roman"/>
                <w:bCs/>
                <w:lang w:eastAsia="x-none"/>
              </w:rPr>
              <w:t xml:space="preserve"> marginalized and</w:t>
            </w:r>
            <w:r w:rsidRPr="00C3416F">
              <w:rPr>
                <w:rFonts w:ascii="Times New Roman" w:eastAsia="Times New Roman" w:hAnsi="Times New Roman" w:cs="Times New Roman"/>
                <w:bCs/>
                <w:lang w:val="x-none" w:eastAsia="x-none"/>
              </w:rPr>
              <w:t xml:space="preserve"> vulnerable groups in delivery of urban services will adversely affect vulnerable populations especially women and children</w:t>
            </w:r>
            <w:r w:rsidR="00130B48" w:rsidRPr="00C3416F">
              <w:rPr>
                <w:rFonts w:ascii="Times New Roman" w:eastAsia="Times New Roman" w:hAnsi="Times New Roman" w:cs="Times New Roman"/>
                <w:bCs/>
                <w:lang w:eastAsia="x-none"/>
              </w:rPr>
              <w:t xml:space="preserve"> and people living with disabilities.</w:t>
            </w:r>
            <w:r w:rsidRPr="00C3416F">
              <w:rPr>
                <w:rFonts w:ascii="Times New Roman" w:eastAsia="Times New Roman" w:hAnsi="Times New Roman" w:cs="Times New Roman"/>
                <w:bCs/>
                <w:lang w:val="x-none" w:eastAsia="x-none"/>
              </w:rPr>
              <w:t xml:space="preserve">.  </w:t>
            </w:r>
          </w:p>
          <w:p w14:paraId="5BFE2372" w14:textId="77777777" w:rsidR="00847853" w:rsidRPr="00C3416F" w:rsidRDefault="00847853" w:rsidP="00CA0715">
            <w:pPr>
              <w:numPr>
                <w:ilvl w:val="0"/>
                <w:numId w:val="20"/>
              </w:numPr>
              <w:spacing w:after="0" w:line="240" w:lineRule="auto"/>
              <w:jc w:val="both"/>
              <w:rPr>
                <w:rFonts w:ascii="Times New Roman" w:eastAsia="Calibri" w:hAnsi="Times New Roman" w:cs="Times New Roman"/>
                <w:b/>
                <w:bCs/>
              </w:rPr>
            </w:pPr>
            <w:r w:rsidRPr="00C3416F">
              <w:rPr>
                <w:rFonts w:ascii="Times New Roman" w:eastAsia="Times New Roman" w:hAnsi="Times New Roman" w:cs="Times New Roman"/>
                <w:bCs/>
                <w:lang w:val="x-none" w:eastAsia="x-none"/>
              </w:rPr>
              <w:t xml:space="preserve">However, given the design that considers inclusive development of Capital Investment Plan (CIP) considering concerns of vulnerable groups, as well as </w:t>
            </w:r>
            <w:r w:rsidR="00E35830" w:rsidRPr="00C3416F">
              <w:rPr>
                <w:rFonts w:ascii="Times New Roman" w:eastAsia="Times New Roman" w:hAnsi="Times New Roman" w:cs="Times New Roman"/>
                <w:bCs/>
                <w:lang w:eastAsia="x-none"/>
              </w:rPr>
              <w:t>absence of ethnic minorities in the country</w:t>
            </w:r>
            <w:r w:rsidRPr="00C3416F">
              <w:rPr>
                <w:rFonts w:ascii="Times New Roman" w:eastAsia="Times New Roman" w:hAnsi="Times New Roman" w:cs="Times New Roman"/>
                <w:bCs/>
                <w:lang w:eastAsia="x-none"/>
              </w:rPr>
              <w:t xml:space="preserve">, the </w:t>
            </w:r>
            <w:r w:rsidRPr="00C3416F">
              <w:rPr>
                <w:rFonts w:ascii="Times New Roman" w:eastAsia="Times New Roman" w:hAnsi="Times New Roman" w:cs="Times New Roman"/>
                <w:b/>
                <w:bCs/>
                <w:lang w:eastAsia="x-none"/>
              </w:rPr>
              <w:t>Risk</w:t>
            </w:r>
            <w:r w:rsidRPr="00C3416F">
              <w:rPr>
                <w:rFonts w:ascii="Times New Roman" w:eastAsia="Times New Roman" w:hAnsi="Times New Roman" w:cs="Times New Roman"/>
                <w:b/>
                <w:bCs/>
                <w:lang w:val="x-none" w:eastAsia="x-none"/>
              </w:rPr>
              <w:t xml:space="preserve"> </w:t>
            </w:r>
            <w:r w:rsidRPr="00C3416F">
              <w:rPr>
                <w:rFonts w:ascii="Times New Roman" w:eastAsia="Times New Roman" w:hAnsi="Times New Roman" w:cs="Times New Roman"/>
                <w:b/>
                <w:bCs/>
                <w:lang w:eastAsia="x-none"/>
              </w:rPr>
              <w:t>Level</w:t>
            </w:r>
            <w:r w:rsidRPr="00C3416F">
              <w:rPr>
                <w:rFonts w:ascii="Times New Roman" w:eastAsia="Times New Roman" w:hAnsi="Times New Roman" w:cs="Times New Roman"/>
                <w:b/>
                <w:bCs/>
                <w:lang w:val="x-none" w:eastAsia="x-none"/>
              </w:rPr>
              <w:t xml:space="preserve"> </w:t>
            </w:r>
            <w:r w:rsidR="00E35830" w:rsidRPr="00C3416F">
              <w:rPr>
                <w:rFonts w:ascii="Times New Roman" w:eastAsia="Times New Roman" w:hAnsi="Times New Roman" w:cs="Times New Roman"/>
                <w:b/>
                <w:bCs/>
                <w:lang w:eastAsia="x-none"/>
              </w:rPr>
              <w:t xml:space="preserve">is </w:t>
            </w:r>
            <w:r w:rsidRPr="00C3416F">
              <w:rPr>
                <w:rFonts w:ascii="Times New Roman" w:eastAsia="Times New Roman" w:hAnsi="Times New Roman" w:cs="Times New Roman"/>
                <w:b/>
                <w:bCs/>
                <w:lang w:val="x-none" w:eastAsia="x-none"/>
              </w:rPr>
              <w:t>deemed to</w:t>
            </w:r>
            <w:r w:rsidRPr="00C3416F">
              <w:rPr>
                <w:rFonts w:ascii="Times New Roman" w:eastAsia="Times New Roman" w:hAnsi="Times New Roman" w:cs="Times New Roman"/>
                <w:b/>
                <w:bCs/>
                <w:lang w:eastAsia="x-none"/>
              </w:rPr>
              <w:t xml:space="preserve"> be</w:t>
            </w:r>
            <w:r w:rsidRPr="00C3416F">
              <w:rPr>
                <w:rFonts w:ascii="Times New Roman" w:eastAsia="Times New Roman" w:hAnsi="Times New Roman" w:cs="Times New Roman"/>
                <w:b/>
                <w:bCs/>
                <w:lang w:val="x-none" w:eastAsia="x-none"/>
              </w:rPr>
              <w:t xml:space="preserve"> </w:t>
            </w:r>
            <w:r w:rsidRPr="00C3416F">
              <w:rPr>
                <w:rFonts w:ascii="Times New Roman" w:eastAsia="Times New Roman" w:hAnsi="Times New Roman" w:cs="Times New Roman"/>
                <w:b/>
                <w:bCs/>
                <w:lang w:eastAsia="x-none"/>
              </w:rPr>
              <w:t>Moderate</w:t>
            </w:r>
            <w:r w:rsidRPr="00C3416F">
              <w:rPr>
                <w:rFonts w:ascii="Times New Roman" w:eastAsia="Times New Roman" w:hAnsi="Times New Roman" w:cs="Times New Roman"/>
                <w:bCs/>
                <w:lang w:val="x-none" w:eastAsia="x-none"/>
              </w:rPr>
              <w:t xml:space="preserve">.  </w:t>
            </w:r>
          </w:p>
        </w:tc>
      </w:tr>
    </w:tbl>
    <w:p w14:paraId="5F354D3F" w14:textId="385A2FFA" w:rsidR="00847853" w:rsidRDefault="00847853" w:rsidP="00CA0715">
      <w:pPr>
        <w:spacing w:after="0" w:line="240" w:lineRule="auto"/>
        <w:jc w:val="both"/>
        <w:rPr>
          <w:rFonts w:ascii="Times New Roman" w:eastAsia="Calibri" w:hAnsi="Times New Roman" w:cs="Times New Roman"/>
        </w:rPr>
      </w:pPr>
    </w:p>
    <w:p w14:paraId="76EF61DC" w14:textId="77777777" w:rsidR="007B1264" w:rsidRPr="00C3416F" w:rsidRDefault="007B1264" w:rsidP="00CA0715">
      <w:pPr>
        <w:spacing w:after="0" w:line="240" w:lineRule="auto"/>
        <w:jc w:val="both"/>
        <w:rPr>
          <w:rFonts w:ascii="Times New Roman" w:eastAsia="Calibri" w:hAnsi="Times New Roman" w:cs="Times New Roman"/>
        </w:rPr>
      </w:pPr>
    </w:p>
    <w:p w14:paraId="1AE15D5B" w14:textId="77777777" w:rsidR="00847853" w:rsidRPr="00C3416F" w:rsidRDefault="00847853" w:rsidP="00CA0715">
      <w:pPr>
        <w:spacing w:after="0" w:line="360" w:lineRule="auto"/>
        <w:jc w:val="both"/>
        <w:outlineLvl w:val="2"/>
        <w:rPr>
          <w:rFonts w:ascii="Times New Roman" w:eastAsia="Calibri" w:hAnsi="Times New Roman" w:cs="Times New Roman"/>
        </w:rPr>
      </w:pPr>
      <w:bookmarkStart w:id="278" w:name="_Toc496454592"/>
      <w:bookmarkStart w:id="279" w:name="_Toc508892835"/>
      <w:r w:rsidRPr="00C3416F">
        <w:rPr>
          <w:rFonts w:ascii="Times New Roman" w:eastAsia="Calibri" w:hAnsi="Times New Roman" w:cs="Times New Roman"/>
          <w:b/>
          <w:lang w:eastAsia="x-none"/>
        </w:rPr>
        <w:t>Core Principle 6: Social Conflict</w:t>
      </w:r>
      <w:bookmarkEnd w:id="278"/>
      <w:bookmarkEnd w:id="279"/>
    </w:p>
    <w:tbl>
      <w:tblPr>
        <w:tblW w:w="5000" w:type="pct"/>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Look w:val="04A0" w:firstRow="1" w:lastRow="0" w:firstColumn="1" w:lastColumn="0" w:noHBand="0" w:noVBand="1"/>
      </w:tblPr>
      <w:tblGrid>
        <w:gridCol w:w="9484"/>
      </w:tblGrid>
      <w:tr w:rsidR="00847853" w:rsidRPr="00790606" w14:paraId="3B8A8285" w14:textId="77777777" w:rsidTr="00D316D4">
        <w:tc>
          <w:tcPr>
            <w:tcW w:w="5000" w:type="pct"/>
            <w:shd w:val="clear" w:color="auto" w:fill="9CC2E5"/>
          </w:tcPr>
          <w:p w14:paraId="52C71C03" w14:textId="77777777" w:rsidR="00847853" w:rsidRPr="00C3416F" w:rsidRDefault="00847853" w:rsidP="00CA0715">
            <w:pPr>
              <w:spacing w:after="0" w:line="240" w:lineRule="auto"/>
              <w:jc w:val="both"/>
              <w:rPr>
                <w:rFonts w:ascii="Times New Roman" w:eastAsia="Calibri" w:hAnsi="Times New Roman" w:cs="Times New Roman"/>
                <w:b/>
                <w:bCs/>
              </w:rPr>
            </w:pPr>
            <w:r w:rsidRPr="00C3416F">
              <w:rPr>
                <w:rFonts w:ascii="Times New Roman" w:eastAsia="Times New Roman" w:hAnsi="Times New Roman" w:cs="Times New Roman"/>
                <w:color w:val="FFFFFF"/>
              </w:rPr>
              <w:t xml:space="preserve"> </w:t>
            </w:r>
            <w:r w:rsidRPr="00C3416F">
              <w:rPr>
                <w:rFonts w:ascii="Times New Roman" w:eastAsia="Times New Roman" w:hAnsi="Times New Roman" w:cs="Times New Roman"/>
              </w:rPr>
              <w:t>Avoid exacerbating social conflict, especially in fragile states, post-conflict areas, or areas subject to territorial disputes.</w:t>
            </w:r>
          </w:p>
        </w:tc>
      </w:tr>
      <w:tr w:rsidR="00847853" w:rsidRPr="00790606" w14:paraId="539C27BF" w14:textId="77777777" w:rsidTr="00D316D4">
        <w:tc>
          <w:tcPr>
            <w:tcW w:w="5000" w:type="pct"/>
            <w:shd w:val="clear" w:color="auto" w:fill="BDD6EE"/>
          </w:tcPr>
          <w:p w14:paraId="4BBE0394" w14:textId="77777777" w:rsidR="00847853" w:rsidRPr="00C3416F" w:rsidRDefault="00847853" w:rsidP="00CA0715">
            <w:pPr>
              <w:spacing w:after="0" w:line="240" w:lineRule="auto"/>
              <w:jc w:val="both"/>
              <w:rPr>
                <w:rFonts w:ascii="Times New Roman" w:eastAsia="Times New Roman" w:hAnsi="Times New Roman" w:cs="Times New Roman"/>
                <w:lang w:val="x-none" w:eastAsia="x-none"/>
              </w:rPr>
            </w:pPr>
            <w:r w:rsidRPr="00C3416F">
              <w:rPr>
                <w:rFonts w:ascii="Times New Roman" w:eastAsia="Times New Roman" w:hAnsi="Times New Roman" w:cs="Times New Roman"/>
              </w:rPr>
              <w:t xml:space="preserve">Considers conflict risks, including distributional equity and cultural sensitivities. </w:t>
            </w:r>
          </w:p>
        </w:tc>
      </w:tr>
      <w:tr w:rsidR="00847853" w:rsidRPr="00790606" w14:paraId="04A04B43" w14:textId="77777777" w:rsidTr="00D316D4">
        <w:tc>
          <w:tcPr>
            <w:tcW w:w="5000" w:type="pct"/>
            <w:shd w:val="clear" w:color="auto" w:fill="auto"/>
          </w:tcPr>
          <w:p w14:paraId="28ADA234" w14:textId="77777777" w:rsidR="00847853" w:rsidRPr="00C3416F" w:rsidRDefault="00847853" w:rsidP="00CA0715">
            <w:pPr>
              <w:spacing w:after="0" w:line="240" w:lineRule="auto"/>
              <w:jc w:val="both"/>
              <w:rPr>
                <w:rFonts w:ascii="Times New Roman" w:eastAsia="Calibri" w:hAnsi="Times New Roman" w:cs="Times New Roman"/>
                <w:b/>
                <w:bCs/>
              </w:rPr>
            </w:pPr>
            <w:r w:rsidRPr="00C3416F">
              <w:rPr>
                <w:rFonts w:ascii="Times New Roman" w:eastAsia="Calibri" w:hAnsi="Times New Roman" w:cs="Times New Roman"/>
                <w:b/>
                <w:bCs/>
              </w:rPr>
              <w:t xml:space="preserve">Applicability:  Not Applicable </w:t>
            </w:r>
          </w:p>
          <w:p w14:paraId="28347A3C" w14:textId="77777777" w:rsidR="00847853" w:rsidRPr="00C3416F" w:rsidRDefault="00FE69D2" w:rsidP="00CA0715">
            <w:pPr>
              <w:numPr>
                <w:ilvl w:val="0"/>
                <w:numId w:val="17"/>
              </w:numPr>
              <w:spacing w:after="0" w:line="240" w:lineRule="auto"/>
              <w:jc w:val="both"/>
              <w:rPr>
                <w:rFonts w:ascii="Times New Roman" w:eastAsia="Times New Roman" w:hAnsi="Times New Roman" w:cs="Times New Roman"/>
                <w:b/>
                <w:bCs/>
                <w:lang w:val="x-none" w:eastAsia="x-none"/>
              </w:rPr>
            </w:pPr>
            <w:r w:rsidRPr="00C3416F">
              <w:rPr>
                <w:rFonts w:ascii="Times New Roman" w:eastAsia="Times New Roman" w:hAnsi="Times New Roman" w:cs="Times New Roman"/>
                <w:bCs/>
                <w:lang w:val="x-none" w:eastAsia="x-none"/>
              </w:rPr>
              <w:t>The proposed P</w:t>
            </w:r>
            <w:r w:rsidR="00847853" w:rsidRPr="00C3416F">
              <w:rPr>
                <w:rFonts w:ascii="Times New Roman" w:eastAsia="Times New Roman" w:hAnsi="Times New Roman" w:cs="Times New Roman"/>
                <w:bCs/>
                <w:lang w:val="x-none" w:eastAsia="x-none"/>
              </w:rPr>
              <w:t xml:space="preserve">rogram will not exacerbate social conflict nor will it operate in a fragile state context, a post-conflict area or in areas subject territorial disputes.  </w:t>
            </w:r>
          </w:p>
          <w:p w14:paraId="0042255F" w14:textId="77777777" w:rsidR="00847853" w:rsidRPr="00C3416F" w:rsidRDefault="00847853" w:rsidP="00CA0715">
            <w:pPr>
              <w:numPr>
                <w:ilvl w:val="0"/>
                <w:numId w:val="17"/>
              </w:numPr>
              <w:spacing w:after="0" w:line="240" w:lineRule="auto"/>
              <w:jc w:val="both"/>
              <w:rPr>
                <w:rFonts w:ascii="Times New Roman" w:eastAsia="Times New Roman" w:hAnsi="Times New Roman" w:cs="Times New Roman"/>
                <w:b/>
                <w:bCs/>
                <w:lang w:val="x-none" w:eastAsia="x-none"/>
              </w:rPr>
            </w:pPr>
            <w:r w:rsidRPr="00C3416F">
              <w:rPr>
                <w:rFonts w:ascii="Times New Roman" w:eastAsia="Times New Roman" w:hAnsi="Times New Roman" w:cs="Times New Roman"/>
                <w:bCs/>
                <w:lang w:val="x-none" w:eastAsia="x-none"/>
              </w:rPr>
              <w:t>The program is designed to yield significant social benefits to all citizens and to improve distributional equity of urban services</w:t>
            </w:r>
            <w:r w:rsidRPr="00C3416F">
              <w:rPr>
                <w:rFonts w:ascii="Times New Roman" w:eastAsia="Times New Roman" w:hAnsi="Times New Roman" w:cs="Times New Roman"/>
                <w:bCs/>
                <w:lang w:eastAsia="x-none"/>
              </w:rPr>
              <w:t>.</w:t>
            </w:r>
          </w:p>
        </w:tc>
      </w:tr>
      <w:tr w:rsidR="00847853" w:rsidRPr="00790606" w14:paraId="4B504AEE" w14:textId="77777777" w:rsidTr="00D316D4">
        <w:tc>
          <w:tcPr>
            <w:tcW w:w="5000" w:type="pct"/>
            <w:shd w:val="clear" w:color="auto" w:fill="auto"/>
          </w:tcPr>
          <w:p w14:paraId="14740117" w14:textId="77777777" w:rsidR="00847853" w:rsidRPr="00C3416F" w:rsidRDefault="00847853" w:rsidP="00CA0715">
            <w:pPr>
              <w:spacing w:after="0" w:line="240" w:lineRule="auto"/>
              <w:jc w:val="both"/>
              <w:rPr>
                <w:rFonts w:ascii="Times New Roman" w:eastAsia="Calibri" w:hAnsi="Times New Roman" w:cs="Times New Roman"/>
                <w:b/>
                <w:bCs/>
              </w:rPr>
            </w:pPr>
            <w:r w:rsidRPr="00C3416F">
              <w:rPr>
                <w:rFonts w:ascii="Times New Roman" w:eastAsia="Calibri" w:hAnsi="Times New Roman" w:cs="Times New Roman"/>
                <w:b/>
                <w:bCs/>
              </w:rPr>
              <w:t>System strengthen/ Findings:</w:t>
            </w:r>
          </w:p>
          <w:p w14:paraId="415A9699" w14:textId="77777777" w:rsidR="00847853" w:rsidRPr="00C3416F" w:rsidRDefault="00847853" w:rsidP="00CA0715">
            <w:pPr>
              <w:numPr>
                <w:ilvl w:val="0"/>
                <w:numId w:val="18"/>
              </w:numPr>
              <w:spacing w:after="0" w:line="240" w:lineRule="auto"/>
              <w:jc w:val="both"/>
              <w:rPr>
                <w:rFonts w:ascii="Times New Roman" w:eastAsia="Calibri" w:hAnsi="Times New Roman" w:cs="Times New Roman"/>
                <w:b/>
                <w:bCs/>
              </w:rPr>
            </w:pPr>
            <w:r w:rsidRPr="00C3416F">
              <w:rPr>
                <w:rFonts w:ascii="Times New Roman" w:eastAsia="Times New Roman" w:hAnsi="Times New Roman" w:cs="Times New Roman"/>
                <w:bCs/>
                <w:lang w:val="x-none" w:eastAsia="x-none"/>
              </w:rPr>
              <w:t xml:space="preserve">Strengths listed with respect distributional equity under Core Principle 5 will apply.  </w:t>
            </w:r>
          </w:p>
        </w:tc>
      </w:tr>
      <w:tr w:rsidR="00847853" w:rsidRPr="00790606" w14:paraId="368B328F" w14:textId="77777777" w:rsidTr="00D316D4">
        <w:tc>
          <w:tcPr>
            <w:tcW w:w="5000" w:type="pct"/>
            <w:shd w:val="clear" w:color="auto" w:fill="auto"/>
          </w:tcPr>
          <w:p w14:paraId="62575870" w14:textId="77777777" w:rsidR="00847853" w:rsidRPr="00C3416F" w:rsidRDefault="00847853" w:rsidP="00CA0715">
            <w:pPr>
              <w:spacing w:after="0" w:line="240" w:lineRule="auto"/>
              <w:jc w:val="both"/>
              <w:rPr>
                <w:rFonts w:ascii="Times New Roman" w:eastAsia="Calibri" w:hAnsi="Times New Roman" w:cs="Times New Roman"/>
                <w:b/>
              </w:rPr>
            </w:pPr>
            <w:r w:rsidRPr="00C3416F">
              <w:rPr>
                <w:rFonts w:ascii="Times New Roman" w:eastAsia="Calibri" w:hAnsi="Times New Roman" w:cs="Times New Roman"/>
                <w:b/>
              </w:rPr>
              <w:t>Gaps:</w:t>
            </w:r>
          </w:p>
          <w:p w14:paraId="4BE8A192" w14:textId="77777777" w:rsidR="00847853" w:rsidRPr="00C3416F" w:rsidRDefault="00847853" w:rsidP="00CA0715">
            <w:pPr>
              <w:numPr>
                <w:ilvl w:val="0"/>
                <w:numId w:val="19"/>
              </w:numPr>
              <w:spacing w:after="0" w:line="240" w:lineRule="auto"/>
              <w:jc w:val="both"/>
              <w:rPr>
                <w:rFonts w:ascii="Times New Roman" w:eastAsia="Times New Roman" w:hAnsi="Times New Roman" w:cs="Times New Roman"/>
                <w:lang w:val="x-none" w:eastAsia="x-none"/>
              </w:rPr>
            </w:pPr>
            <w:r w:rsidRPr="00C3416F">
              <w:rPr>
                <w:rFonts w:ascii="Times New Roman" w:eastAsia="Times New Roman" w:hAnsi="Times New Roman" w:cs="Times New Roman"/>
                <w:lang w:val="x-none" w:eastAsia="x-none"/>
              </w:rPr>
              <w:t xml:space="preserve">Gaps listed with respect to distributional equity under Core Principle 5 will apply.  </w:t>
            </w:r>
          </w:p>
        </w:tc>
      </w:tr>
      <w:tr w:rsidR="00847853" w:rsidRPr="00790606" w14:paraId="5AD5DC99" w14:textId="77777777" w:rsidTr="00D316D4">
        <w:tc>
          <w:tcPr>
            <w:tcW w:w="5000" w:type="pct"/>
            <w:shd w:val="clear" w:color="auto" w:fill="auto"/>
          </w:tcPr>
          <w:p w14:paraId="151F6D98" w14:textId="77777777" w:rsidR="00847853" w:rsidRPr="00C3416F" w:rsidRDefault="00847853" w:rsidP="00CA0715">
            <w:pPr>
              <w:spacing w:after="0" w:line="240" w:lineRule="auto"/>
              <w:jc w:val="both"/>
              <w:rPr>
                <w:rFonts w:ascii="Times New Roman" w:eastAsia="Calibri" w:hAnsi="Times New Roman" w:cs="Times New Roman"/>
                <w:b/>
              </w:rPr>
            </w:pPr>
            <w:r w:rsidRPr="00C3416F">
              <w:rPr>
                <w:rFonts w:ascii="Times New Roman" w:eastAsia="Calibri" w:hAnsi="Times New Roman" w:cs="Times New Roman"/>
                <w:b/>
              </w:rPr>
              <w:t>Opportunities/Actions</w:t>
            </w:r>
          </w:p>
          <w:p w14:paraId="71BC2B4B" w14:textId="77777777" w:rsidR="00847853" w:rsidRPr="00C3416F" w:rsidRDefault="00847853" w:rsidP="00CA0715">
            <w:pPr>
              <w:spacing w:after="0" w:line="240" w:lineRule="auto"/>
              <w:jc w:val="both"/>
              <w:rPr>
                <w:rFonts w:ascii="Times New Roman" w:eastAsia="Calibri" w:hAnsi="Times New Roman" w:cs="Times New Roman"/>
                <w:b/>
              </w:rPr>
            </w:pPr>
            <w:r w:rsidRPr="00C3416F">
              <w:rPr>
                <w:rFonts w:ascii="Times New Roman" w:eastAsia="Times New Roman" w:hAnsi="Times New Roman" w:cs="Times New Roman"/>
                <w:lang w:eastAsia="x-none"/>
              </w:rPr>
              <w:t>Actions</w:t>
            </w:r>
            <w:r w:rsidRPr="00C3416F">
              <w:rPr>
                <w:rFonts w:ascii="Times New Roman" w:eastAsia="Times New Roman" w:hAnsi="Times New Roman" w:cs="Times New Roman"/>
                <w:lang w:val="x-none" w:eastAsia="x-none"/>
              </w:rPr>
              <w:t xml:space="preserve"> listed with respect to distributional equity under Core Principle 5 will apply. </w:t>
            </w:r>
          </w:p>
        </w:tc>
      </w:tr>
      <w:tr w:rsidR="00847853" w:rsidRPr="00790606" w14:paraId="20DC3DD2" w14:textId="77777777" w:rsidTr="00D316D4">
        <w:tc>
          <w:tcPr>
            <w:tcW w:w="5000" w:type="pct"/>
            <w:shd w:val="clear" w:color="auto" w:fill="auto"/>
          </w:tcPr>
          <w:p w14:paraId="597CB944" w14:textId="77777777" w:rsidR="00847853" w:rsidRPr="00C3416F" w:rsidRDefault="00FE69D2" w:rsidP="00CA0715">
            <w:pPr>
              <w:spacing w:after="0" w:line="240" w:lineRule="auto"/>
              <w:jc w:val="both"/>
              <w:rPr>
                <w:rFonts w:ascii="Times New Roman" w:eastAsia="Calibri" w:hAnsi="Times New Roman" w:cs="Times New Roman"/>
                <w:b/>
                <w:bCs/>
              </w:rPr>
            </w:pPr>
            <w:r w:rsidRPr="00C3416F">
              <w:rPr>
                <w:rFonts w:ascii="Times New Roman" w:eastAsia="Calibri" w:hAnsi="Times New Roman" w:cs="Times New Roman"/>
                <w:b/>
                <w:bCs/>
              </w:rPr>
              <w:t>Risks: Minimal</w:t>
            </w:r>
          </w:p>
        </w:tc>
      </w:tr>
    </w:tbl>
    <w:p w14:paraId="0B8B2B28" w14:textId="539CBF24" w:rsidR="00847853" w:rsidRPr="00C3416F" w:rsidRDefault="008300D5" w:rsidP="00C3416F">
      <w:pPr>
        <w:rPr>
          <w:rFonts w:ascii="Times New Roman" w:eastAsia="Calibri" w:hAnsi="Times New Roman" w:cs="Times New Roman"/>
        </w:rPr>
      </w:pPr>
      <w:r w:rsidRPr="00C3416F">
        <w:rPr>
          <w:rFonts w:ascii="Times New Roman" w:eastAsia="Calibri" w:hAnsi="Times New Roman" w:cs="Times New Roman"/>
        </w:rPr>
        <w:br w:type="page"/>
      </w:r>
    </w:p>
    <w:p w14:paraId="750D8C86" w14:textId="13B86451" w:rsidR="00E65846" w:rsidRPr="00E15C04" w:rsidRDefault="00E65846" w:rsidP="006F431D">
      <w:pPr>
        <w:pStyle w:val="Heading2"/>
      </w:pPr>
      <w:bookmarkStart w:id="280" w:name="_Toc508892836"/>
      <w:r w:rsidRPr="00E15C04">
        <w:t>Section V</w:t>
      </w:r>
      <w:r w:rsidR="00106C64" w:rsidRPr="00E15C04">
        <w:t>I</w:t>
      </w:r>
      <w:r w:rsidR="009654C2">
        <w:rPr>
          <w:lang w:val="en-US"/>
        </w:rPr>
        <w:t>I</w:t>
      </w:r>
      <w:r w:rsidRPr="00E15C04">
        <w:t xml:space="preserve">: </w:t>
      </w:r>
      <w:r w:rsidR="006D7B4F" w:rsidRPr="00E15C04">
        <w:t xml:space="preserve">Recommended Measures to Strengthen the Systems and </w:t>
      </w:r>
      <w:r w:rsidRPr="00E15C04">
        <w:t>Inputs to the Program Action Plan</w:t>
      </w:r>
      <w:bookmarkEnd w:id="280"/>
    </w:p>
    <w:p w14:paraId="3821C2C4" w14:textId="77777777" w:rsidR="00E55E00" w:rsidRPr="003E2BD8" w:rsidRDefault="00E55E00" w:rsidP="00CA0715">
      <w:pPr>
        <w:spacing w:before="120" w:after="120" w:line="240" w:lineRule="auto"/>
        <w:jc w:val="both"/>
        <w:rPr>
          <w:rFonts w:ascii="Times New Roman" w:eastAsia="Calibri" w:hAnsi="Times New Roman" w:cs="Times New Roman"/>
        </w:rPr>
      </w:pPr>
      <w:r w:rsidRPr="003E2BD8">
        <w:rPr>
          <w:rFonts w:ascii="Times New Roman" w:eastAsia="Calibri" w:hAnsi="Times New Roman" w:cs="Times New Roman"/>
        </w:rPr>
        <w:t xml:space="preserve">The Implementation of </w:t>
      </w:r>
      <w:r w:rsidR="0011760C" w:rsidRPr="003E2BD8">
        <w:rPr>
          <w:rFonts w:ascii="Times New Roman" w:eastAsia="Calibri" w:hAnsi="Times New Roman" w:cs="Times New Roman"/>
        </w:rPr>
        <w:t xml:space="preserve">LGCSP over the last five years has </w:t>
      </w:r>
      <w:r w:rsidRPr="003E2BD8">
        <w:rPr>
          <w:rFonts w:ascii="Times New Roman" w:eastAsia="Calibri" w:hAnsi="Times New Roman" w:cs="Times New Roman"/>
        </w:rPr>
        <w:t xml:space="preserve">tremendously helped </w:t>
      </w:r>
      <w:r w:rsidR="00553C3C" w:rsidRPr="003E2BD8">
        <w:rPr>
          <w:rFonts w:ascii="Times New Roman" w:eastAsia="Calibri" w:hAnsi="Times New Roman" w:cs="Times New Roman"/>
        </w:rPr>
        <w:t xml:space="preserve">build the capacity of </w:t>
      </w:r>
      <w:r w:rsidR="0011760C" w:rsidRPr="003E2BD8">
        <w:rPr>
          <w:rFonts w:ascii="Times New Roman" w:eastAsia="Calibri" w:hAnsi="Times New Roman" w:cs="Times New Roman"/>
        </w:rPr>
        <w:t>MMAs/MMDAs</w:t>
      </w:r>
      <w:r w:rsidRPr="003E2BD8">
        <w:rPr>
          <w:rFonts w:ascii="Times New Roman" w:eastAsia="Calibri" w:hAnsi="Times New Roman" w:cs="Times New Roman"/>
        </w:rPr>
        <w:t xml:space="preserve"> to provide </w:t>
      </w:r>
      <w:r w:rsidR="00553C3C" w:rsidRPr="003E2BD8">
        <w:rPr>
          <w:rFonts w:ascii="Times New Roman" w:eastAsia="Calibri" w:hAnsi="Times New Roman" w:cs="Times New Roman"/>
        </w:rPr>
        <w:t xml:space="preserve">quality </w:t>
      </w:r>
      <w:r w:rsidRPr="003E2BD8">
        <w:rPr>
          <w:rFonts w:ascii="Times New Roman" w:eastAsia="Calibri" w:hAnsi="Times New Roman" w:cs="Times New Roman"/>
        </w:rPr>
        <w:t>infrastructure and services</w:t>
      </w:r>
      <w:r w:rsidR="0011760C" w:rsidRPr="003E2BD8">
        <w:rPr>
          <w:rFonts w:ascii="Times New Roman" w:eastAsia="Calibri" w:hAnsi="Times New Roman" w:cs="Times New Roman"/>
        </w:rPr>
        <w:t xml:space="preserve"> to their constituency</w:t>
      </w:r>
      <w:r w:rsidR="00553C3C" w:rsidRPr="003E2BD8">
        <w:rPr>
          <w:rFonts w:ascii="Times New Roman" w:eastAsia="Calibri" w:hAnsi="Times New Roman" w:cs="Times New Roman"/>
        </w:rPr>
        <w:t xml:space="preserve"> in a more environmentally and socially friendly manner</w:t>
      </w:r>
      <w:r w:rsidRPr="003E2BD8">
        <w:rPr>
          <w:rFonts w:ascii="Times New Roman" w:eastAsia="Calibri" w:hAnsi="Times New Roman" w:cs="Times New Roman"/>
        </w:rPr>
        <w:t xml:space="preserve">. Building on </w:t>
      </w:r>
      <w:r w:rsidR="0011760C" w:rsidRPr="003E2BD8">
        <w:rPr>
          <w:rFonts w:ascii="Times New Roman" w:eastAsia="Calibri" w:hAnsi="Times New Roman" w:cs="Times New Roman"/>
        </w:rPr>
        <w:t>LGCSP, the GoG</w:t>
      </w:r>
      <w:r w:rsidRPr="003E2BD8">
        <w:rPr>
          <w:rFonts w:ascii="Times New Roman" w:eastAsia="Calibri" w:hAnsi="Times New Roman" w:cs="Times New Roman"/>
        </w:rPr>
        <w:t xml:space="preserve"> and </w:t>
      </w:r>
      <w:r w:rsidR="0011760C" w:rsidRPr="003E2BD8">
        <w:rPr>
          <w:rFonts w:ascii="Times New Roman" w:eastAsia="Calibri" w:hAnsi="Times New Roman" w:cs="Times New Roman"/>
        </w:rPr>
        <w:t xml:space="preserve">the </w:t>
      </w:r>
      <w:r w:rsidRPr="003E2BD8">
        <w:rPr>
          <w:rFonts w:ascii="Times New Roman" w:eastAsia="Calibri" w:hAnsi="Times New Roman" w:cs="Times New Roman"/>
        </w:rPr>
        <w:t xml:space="preserve">World Bank are preparing to launch </w:t>
      </w:r>
      <w:r w:rsidR="0011760C" w:rsidRPr="003E2BD8">
        <w:rPr>
          <w:rFonts w:ascii="Times New Roman" w:eastAsia="Calibri" w:hAnsi="Times New Roman" w:cs="Times New Roman"/>
        </w:rPr>
        <w:t xml:space="preserve">the Program to </w:t>
      </w:r>
      <w:r w:rsidR="00553C3C" w:rsidRPr="003E2BD8">
        <w:rPr>
          <w:rFonts w:ascii="Times New Roman" w:eastAsia="Calibri" w:hAnsi="Times New Roman" w:cs="Times New Roman"/>
        </w:rPr>
        <w:t xml:space="preserve">further </w:t>
      </w:r>
      <w:r w:rsidR="0011760C" w:rsidRPr="003E2BD8">
        <w:rPr>
          <w:rFonts w:ascii="Times New Roman" w:eastAsia="Calibri" w:hAnsi="Times New Roman" w:cs="Times New Roman"/>
        </w:rPr>
        <w:t>strengthen local</w:t>
      </w:r>
      <w:r w:rsidRPr="003E2BD8">
        <w:rPr>
          <w:rFonts w:ascii="Times New Roman" w:eastAsia="Calibri" w:hAnsi="Times New Roman" w:cs="Times New Roman"/>
        </w:rPr>
        <w:t xml:space="preserve"> gover</w:t>
      </w:r>
      <w:r w:rsidR="00553C3C" w:rsidRPr="003E2BD8">
        <w:rPr>
          <w:rFonts w:ascii="Times New Roman" w:eastAsia="Calibri" w:hAnsi="Times New Roman" w:cs="Times New Roman"/>
        </w:rPr>
        <w:t xml:space="preserve">nment’s institutional capacity </w:t>
      </w:r>
      <w:r w:rsidRPr="003E2BD8">
        <w:rPr>
          <w:rFonts w:ascii="Times New Roman" w:eastAsia="Calibri" w:hAnsi="Times New Roman" w:cs="Times New Roman"/>
        </w:rPr>
        <w:t>to pr</w:t>
      </w:r>
      <w:r w:rsidR="0011760C" w:rsidRPr="003E2BD8">
        <w:rPr>
          <w:rFonts w:ascii="Times New Roman" w:eastAsia="Calibri" w:hAnsi="Times New Roman" w:cs="Times New Roman"/>
        </w:rPr>
        <w:t>ovide infrastructure and</w:t>
      </w:r>
      <w:r w:rsidRPr="003E2BD8">
        <w:rPr>
          <w:rFonts w:ascii="Times New Roman" w:eastAsia="Calibri" w:hAnsi="Times New Roman" w:cs="Times New Roman"/>
        </w:rPr>
        <w:t xml:space="preserve"> provision</w:t>
      </w:r>
      <w:r w:rsidR="0011760C" w:rsidRPr="003E2BD8">
        <w:rPr>
          <w:rFonts w:ascii="Times New Roman" w:eastAsia="Calibri" w:hAnsi="Times New Roman" w:cs="Times New Roman"/>
        </w:rPr>
        <w:t xml:space="preserve"> of services</w:t>
      </w:r>
      <w:r w:rsidRPr="003E2BD8">
        <w:rPr>
          <w:rFonts w:ascii="Times New Roman" w:eastAsia="Calibri" w:hAnsi="Times New Roman" w:cs="Times New Roman"/>
        </w:rPr>
        <w:t xml:space="preserve">, promote good governance </w:t>
      </w:r>
      <w:r w:rsidR="00553C3C" w:rsidRPr="003E2BD8">
        <w:rPr>
          <w:rFonts w:ascii="Times New Roman" w:eastAsia="Calibri" w:hAnsi="Times New Roman" w:cs="Times New Roman"/>
        </w:rPr>
        <w:t>and consolidate and scale up the gains generated from LGCSP</w:t>
      </w:r>
      <w:r w:rsidRPr="003E2BD8">
        <w:rPr>
          <w:rFonts w:ascii="Times New Roman" w:eastAsia="Calibri" w:hAnsi="Times New Roman" w:cs="Times New Roman"/>
        </w:rPr>
        <w:t xml:space="preserve">. </w:t>
      </w:r>
    </w:p>
    <w:p w14:paraId="0239B9B7" w14:textId="77777777" w:rsidR="00E55E00" w:rsidRPr="003E2BD8" w:rsidRDefault="00E55E00" w:rsidP="00CA0715">
      <w:pPr>
        <w:spacing w:before="120" w:after="120" w:line="240" w:lineRule="auto"/>
        <w:ind w:right="12"/>
        <w:jc w:val="both"/>
        <w:rPr>
          <w:rFonts w:ascii="Times New Roman" w:eastAsia="Calibri" w:hAnsi="Times New Roman" w:cs="Times New Roman"/>
        </w:rPr>
      </w:pPr>
      <w:r w:rsidRPr="003E2BD8">
        <w:rPr>
          <w:rFonts w:ascii="Times New Roman" w:eastAsia="Calibri" w:hAnsi="Times New Roman" w:cs="Times New Roman"/>
          <w:spacing w:val="2"/>
        </w:rPr>
        <w:t>T</w:t>
      </w:r>
      <w:r w:rsidRPr="003E2BD8">
        <w:rPr>
          <w:rFonts w:ascii="Times New Roman" w:eastAsia="Calibri" w:hAnsi="Times New Roman" w:cs="Times New Roman"/>
        </w:rPr>
        <w:t xml:space="preserve">he </w:t>
      </w:r>
      <w:r w:rsidR="0011760C" w:rsidRPr="003E2BD8">
        <w:rPr>
          <w:rFonts w:ascii="Times New Roman" w:eastAsia="Calibri" w:hAnsi="Times New Roman" w:cs="Times New Roman"/>
        </w:rPr>
        <w:t>analysis of Ghana’s environmental and social systems to manage E &amp; S risks for the Secondary Cities Support Program</w:t>
      </w:r>
      <w:r w:rsidRPr="003E2BD8">
        <w:rPr>
          <w:rFonts w:ascii="Times New Roman" w:eastAsia="Calibri" w:hAnsi="Times New Roman" w:cs="Times New Roman"/>
          <w:spacing w:val="53"/>
        </w:rPr>
        <w:t xml:space="preserve"> </w:t>
      </w:r>
      <w:r w:rsidRPr="003E2BD8">
        <w:rPr>
          <w:rFonts w:ascii="Times New Roman" w:eastAsia="Calibri" w:hAnsi="Times New Roman" w:cs="Times New Roman"/>
        </w:rPr>
        <w:t>p</w:t>
      </w:r>
      <w:r w:rsidRPr="003E2BD8">
        <w:rPr>
          <w:rFonts w:ascii="Times New Roman" w:eastAsia="Calibri" w:hAnsi="Times New Roman" w:cs="Times New Roman"/>
          <w:spacing w:val="-2"/>
        </w:rPr>
        <w:t>r</w:t>
      </w:r>
      <w:r w:rsidRPr="003E2BD8">
        <w:rPr>
          <w:rFonts w:ascii="Times New Roman" w:eastAsia="Calibri" w:hAnsi="Times New Roman" w:cs="Times New Roman"/>
        </w:rPr>
        <w:t>e</w:t>
      </w:r>
      <w:r w:rsidRPr="003E2BD8">
        <w:rPr>
          <w:rFonts w:ascii="Times New Roman" w:eastAsia="Calibri" w:hAnsi="Times New Roman" w:cs="Times New Roman"/>
          <w:spacing w:val="1"/>
        </w:rPr>
        <w:t>s</w:t>
      </w:r>
      <w:r w:rsidRPr="003E2BD8">
        <w:rPr>
          <w:rFonts w:ascii="Times New Roman" w:eastAsia="Calibri" w:hAnsi="Times New Roman" w:cs="Times New Roman"/>
        </w:rPr>
        <w:t>e</w:t>
      </w:r>
      <w:r w:rsidRPr="003E2BD8">
        <w:rPr>
          <w:rFonts w:ascii="Times New Roman" w:eastAsia="Calibri" w:hAnsi="Times New Roman" w:cs="Times New Roman"/>
          <w:spacing w:val="-2"/>
        </w:rPr>
        <w:t>n</w:t>
      </w:r>
      <w:r w:rsidRPr="003E2BD8">
        <w:rPr>
          <w:rFonts w:ascii="Times New Roman" w:eastAsia="Calibri" w:hAnsi="Times New Roman" w:cs="Times New Roman"/>
          <w:spacing w:val="1"/>
        </w:rPr>
        <w:t>t</w:t>
      </w:r>
      <w:r w:rsidRPr="003E2BD8">
        <w:rPr>
          <w:rFonts w:ascii="Times New Roman" w:eastAsia="Calibri" w:hAnsi="Times New Roman" w:cs="Times New Roman"/>
        </w:rPr>
        <w:t>ed</w:t>
      </w:r>
      <w:r w:rsidRPr="003E2BD8">
        <w:rPr>
          <w:rFonts w:ascii="Times New Roman" w:eastAsia="Calibri" w:hAnsi="Times New Roman" w:cs="Times New Roman"/>
          <w:spacing w:val="53"/>
        </w:rPr>
        <w:t xml:space="preserve"> </w:t>
      </w:r>
      <w:r w:rsidRPr="003E2BD8">
        <w:rPr>
          <w:rFonts w:ascii="Times New Roman" w:eastAsia="Calibri" w:hAnsi="Times New Roman" w:cs="Times New Roman"/>
        </w:rPr>
        <w:t>abo</w:t>
      </w:r>
      <w:r w:rsidRPr="003E2BD8">
        <w:rPr>
          <w:rFonts w:ascii="Times New Roman" w:eastAsia="Calibri" w:hAnsi="Times New Roman" w:cs="Times New Roman"/>
          <w:spacing w:val="-2"/>
        </w:rPr>
        <w:t>v</w:t>
      </w:r>
      <w:r w:rsidRPr="003E2BD8">
        <w:rPr>
          <w:rFonts w:ascii="Times New Roman" w:eastAsia="Calibri" w:hAnsi="Times New Roman" w:cs="Times New Roman"/>
        </w:rPr>
        <w:t>e</w:t>
      </w:r>
      <w:r w:rsidRPr="003E2BD8">
        <w:rPr>
          <w:rFonts w:ascii="Times New Roman" w:eastAsia="Calibri" w:hAnsi="Times New Roman" w:cs="Times New Roman"/>
          <w:spacing w:val="53"/>
        </w:rPr>
        <w:t xml:space="preserve"> </w:t>
      </w:r>
      <w:r w:rsidRPr="003E2BD8">
        <w:rPr>
          <w:rFonts w:ascii="Times New Roman" w:eastAsia="Calibri" w:hAnsi="Times New Roman" w:cs="Times New Roman"/>
          <w:spacing w:val="1"/>
        </w:rPr>
        <w:t>i</w:t>
      </w:r>
      <w:r w:rsidRPr="003E2BD8">
        <w:rPr>
          <w:rFonts w:ascii="Times New Roman" w:eastAsia="Calibri" w:hAnsi="Times New Roman" w:cs="Times New Roman"/>
        </w:rPr>
        <w:t>de</w:t>
      </w:r>
      <w:r w:rsidRPr="003E2BD8">
        <w:rPr>
          <w:rFonts w:ascii="Times New Roman" w:eastAsia="Calibri" w:hAnsi="Times New Roman" w:cs="Times New Roman"/>
          <w:spacing w:val="-2"/>
        </w:rPr>
        <w:t>n</w:t>
      </w:r>
      <w:r w:rsidRPr="003E2BD8">
        <w:rPr>
          <w:rFonts w:ascii="Times New Roman" w:eastAsia="Calibri" w:hAnsi="Times New Roman" w:cs="Times New Roman"/>
          <w:spacing w:val="1"/>
        </w:rPr>
        <w:t>t</w:t>
      </w:r>
      <w:r w:rsidRPr="003E2BD8">
        <w:rPr>
          <w:rFonts w:ascii="Times New Roman" w:eastAsia="Calibri" w:hAnsi="Times New Roman" w:cs="Times New Roman"/>
          <w:spacing w:val="-1"/>
        </w:rPr>
        <w:t>i</w:t>
      </w:r>
      <w:r w:rsidRPr="003E2BD8">
        <w:rPr>
          <w:rFonts w:ascii="Times New Roman" w:eastAsia="Calibri" w:hAnsi="Times New Roman" w:cs="Times New Roman"/>
          <w:spacing w:val="1"/>
        </w:rPr>
        <w:t>fi</w:t>
      </w:r>
      <w:r w:rsidRPr="003E2BD8">
        <w:rPr>
          <w:rFonts w:ascii="Times New Roman" w:eastAsia="Calibri" w:hAnsi="Times New Roman" w:cs="Times New Roman"/>
          <w:spacing w:val="-2"/>
        </w:rPr>
        <w:t>e</w:t>
      </w:r>
      <w:r w:rsidRPr="003E2BD8">
        <w:rPr>
          <w:rFonts w:ascii="Times New Roman" w:eastAsia="Calibri" w:hAnsi="Times New Roman" w:cs="Times New Roman"/>
        </w:rPr>
        <w:t xml:space="preserve">d </w:t>
      </w:r>
      <w:r w:rsidRPr="003E2BD8">
        <w:rPr>
          <w:rFonts w:ascii="Times New Roman" w:eastAsia="Calibri" w:hAnsi="Times New Roman" w:cs="Times New Roman"/>
          <w:spacing w:val="1"/>
        </w:rPr>
        <w:t>Strengths</w:t>
      </w:r>
      <w:r w:rsidRPr="003E2BD8">
        <w:rPr>
          <w:rFonts w:ascii="Times New Roman" w:eastAsia="Calibri" w:hAnsi="Times New Roman" w:cs="Times New Roman"/>
        </w:rPr>
        <w:t xml:space="preserve">, </w:t>
      </w:r>
      <w:r w:rsidRPr="003E2BD8">
        <w:rPr>
          <w:rFonts w:ascii="Times New Roman" w:eastAsia="Calibri" w:hAnsi="Times New Roman" w:cs="Times New Roman"/>
          <w:spacing w:val="1"/>
        </w:rPr>
        <w:t>Gaps, Opportunities/Actions,</w:t>
      </w:r>
      <w:r w:rsidRPr="003E2BD8">
        <w:rPr>
          <w:rFonts w:ascii="Times New Roman" w:eastAsia="Calibri" w:hAnsi="Times New Roman" w:cs="Times New Roman"/>
        </w:rPr>
        <w:t xml:space="preserve"> and Risks</w:t>
      </w:r>
      <w:r w:rsidR="0011760C" w:rsidRPr="003E2BD8">
        <w:rPr>
          <w:rFonts w:ascii="Times New Roman" w:eastAsia="Calibri" w:hAnsi="Times New Roman" w:cs="Times New Roman"/>
        </w:rPr>
        <w:t>. B</w:t>
      </w:r>
      <w:r w:rsidRPr="003E2BD8">
        <w:rPr>
          <w:rFonts w:ascii="Times New Roman" w:eastAsia="Calibri" w:hAnsi="Times New Roman" w:cs="Times New Roman"/>
        </w:rPr>
        <w:t xml:space="preserve">ased on the above assessment and findings, this section outlines </w:t>
      </w:r>
      <w:r w:rsidR="00B769A8" w:rsidRPr="003E2BD8">
        <w:rPr>
          <w:rFonts w:ascii="Times New Roman" w:eastAsia="Calibri" w:hAnsi="Times New Roman" w:cs="Times New Roman"/>
        </w:rPr>
        <w:t xml:space="preserve">the </w:t>
      </w:r>
      <w:r w:rsidRPr="003E2BD8">
        <w:rPr>
          <w:rFonts w:ascii="Times New Roman" w:eastAsia="Calibri" w:hAnsi="Times New Roman" w:cs="Times New Roman"/>
        </w:rPr>
        <w:t xml:space="preserve">key recommended actions for improving the </w:t>
      </w:r>
      <w:r w:rsidR="00553C3C" w:rsidRPr="003E2BD8">
        <w:rPr>
          <w:rFonts w:ascii="Times New Roman" w:eastAsia="Calibri" w:hAnsi="Times New Roman" w:cs="Times New Roman"/>
        </w:rPr>
        <w:t xml:space="preserve">Program’s </w:t>
      </w:r>
      <w:r w:rsidRPr="003E2BD8">
        <w:rPr>
          <w:rFonts w:ascii="Times New Roman" w:eastAsia="Calibri" w:hAnsi="Times New Roman" w:cs="Times New Roman"/>
        </w:rPr>
        <w:t>social a</w:t>
      </w:r>
      <w:r w:rsidR="0011760C" w:rsidRPr="003E2BD8">
        <w:rPr>
          <w:rFonts w:ascii="Times New Roman" w:eastAsia="Calibri" w:hAnsi="Times New Roman" w:cs="Times New Roman"/>
        </w:rPr>
        <w:t>nd environmental</w:t>
      </w:r>
      <w:r w:rsidRPr="003E2BD8">
        <w:rPr>
          <w:rFonts w:ascii="Times New Roman" w:eastAsia="Calibri" w:hAnsi="Times New Roman" w:cs="Times New Roman"/>
        </w:rPr>
        <w:t xml:space="preserve"> management </w:t>
      </w:r>
      <w:r w:rsidR="00553C3C" w:rsidRPr="003E2BD8">
        <w:rPr>
          <w:rFonts w:ascii="Times New Roman" w:eastAsia="Calibri" w:hAnsi="Times New Roman" w:cs="Times New Roman"/>
        </w:rPr>
        <w:t>systems, in particular, required to avoid, minimize and mitigate</w:t>
      </w:r>
      <w:r w:rsidRPr="003E2BD8">
        <w:rPr>
          <w:rFonts w:ascii="Times New Roman" w:eastAsia="Calibri" w:hAnsi="Times New Roman" w:cs="Times New Roman"/>
        </w:rPr>
        <w:t xml:space="preserve"> those risks</w:t>
      </w:r>
      <w:r w:rsidR="00B769A8" w:rsidRPr="003E2BD8">
        <w:rPr>
          <w:rFonts w:ascii="Times New Roman" w:eastAsia="Calibri" w:hAnsi="Times New Roman" w:cs="Times New Roman"/>
        </w:rPr>
        <w:t>, and the country systems in general</w:t>
      </w:r>
      <w:r w:rsidRPr="003E2BD8">
        <w:rPr>
          <w:rFonts w:ascii="Times New Roman" w:eastAsia="Calibri" w:hAnsi="Times New Roman" w:cs="Times New Roman"/>
        </w:rPr>
        <w:t xml:space="preserve"> </w:t>
      </w:r>
      <w:r w:rsidR="00553C3C" w:rsidRPr="003E2BD8">
        <w:rPr>
          <w:rFonts w:ascii="Times New Roman" w:eastAsia="Calibri" w:hAnsi="Times New Roman" w:cs="Times New Roman"/>
        </w:rPr>
        <w:t xml:space="preserve">by filling </w:t>
      </w:r>
      <w:r w:rsidR="00B769A8" w:rsidRPr="003E2BD8">
        <w:rPr>
          <w:rFonts w:ascii="Times New Roman" w:eastAsia="Calibri" w:hAnsi="Times New Roman" w:cs="Times New Roman"/>
        </w:rPr>
        <w:t xml:space="preserve">some of </w:t>
      </w:r>
      <w:r w:rsidR="00553C3C" w:rsidRPr="003E2BD8">
        <w:rPr>
          <w:rFonts w:ascii="Times New Roman" w:eastAsia="Calibri" w:hAnsi="Times New Roman" w:cs="Times New Roman"/>
        </w:rPr>
        <w:t xml:space="preserve">the </w:t>
      </w:r>
      <w:r w:rsidRPr="003E2BD8">
        <w:rPr>
          <w:rFonts w:ascii="Times New Roman" w:eastAsia="Calibri" w:hAnsi="Times New Roman" w:cs="Times New Roman"/>
        </w:rPr>
        <w:t>gaps</w:t>
      </w:r>
      <w:r w:rsidR="00B769A8" w:rsidRPr="003E2BD8">
        <w:rPr>
          <w:rFonts w:ascii="Times New Roman" w:eastAsia="Calibri" w:hAnsi="Times New Roman" w:cs="Times New Roman"/>
        </w:rPr>
        <w:t xml:space="preserve"> and </w:t>
      </w:r>
      <w:r w:rsidRPr="003E2BD8">
        <w:rPr>
          <w:rFonts w:ascii="Times New Roman" w:eastAsia="Calibri" w:hAnsi="Times New Roman" w:cs="Times New Roman"/>
        </w:rPr>
        <w:t>challenges</w:t>
      </w:r>
      <w:r w:rsidR="00B769A8" w:rsidRPr="003E2BD8">
        <w:rPr>
          <w:rFonts w:ascii="Times New Roman" w:eastAsia="Calibri" w:hAnsi="Times New Roman" w:cs="Times New Roman"/>
        </w:rPr>
        <w:t xml:space="preserve"> in the system and improving institutional processes, procedures and capacity.</w:t>
      </w:r>
      <w:r w:rsidRPr="003E2BD8">
        <w:rPr>
          <w:rFonts w:ascii="Times New Roman" w:eastAsia="Calibri" w:hAnsi="Times New Roman" w:cs="Times New Roman"/>
        </w:rPr>
        <w:t xml:space="preserve"> These actions for </w:t>
      </w:r>
      <w:r w:rsidR="00B769A8" w:rsidRPr="003E2BD8">
        <w:rPr>
          <w:rFonts w:ascii="Times New Roman" w:eastAsia="Calibri" w:hAnsi="Times New Roman" w:cs="Times New Roman"/>
        </w:rPr>
        <w:t>improving country systems have benefited a lot from the inputs of agencies involved in implementing the Program, regulatory agencies and diverse sets of stakeholders consulted at various stages of the assessment</w:t>
      </w:r>
      <w:r w:rsidRPr="003E2BD8">
        <w:rPr>
          <w:rFonts w:ascii="Times New Roman" w:eastAsia="Calibri" w:hAnsi="Times New Roman" w:cs="Times New Roman"/>
        </w:rPr>
        <w:t>.</w:t>
      </w:r>
    </w:p>
    <w:p w14:paraId="6BC4A671" w14:textId="797DACD1" w:rsidR="00D719D9" w:rsidRPr="003E2BD8" w:rsidRDefault="00E55E00" w:rsidP="00CA0715">
      <w:pPr>
        <w:autoSpaceDE w:val="0"/>
        <w:autoSpaceDN w:val="0"/>
        <w:adjustRightInd w:val="0"/>
        <w:spacing w:before="120" w:after="120" w:line="240" w:lineRule="auto"/>
        <w:jc w:val="both"/>
        <w:rPr>
          <w:rFonts w:ascii="Times New Roman" w:eastAsia="Calibri" w:hAnsi="Times New Roman" w:cs="Times New Roman"/>
          <w:b/>
          <w:lang w:eastAsia="x-none"/>
        </w:rPr>
      </w:pPr>
      <w:r w:rsidRPr="003E2BD8">
        <w:rPr>
          <w:rFonts w:ascii="Times New Roman" w:eastAsia="Calibri" w:hAnsi="Times New Roman" w:cs="Times New Roman"/>
        </w:rPr>
        <w:t xml:space="preserve">The ESSA Program Action Plan presents </w:t>
      </w:r>
      <w:r w:rsidR="00B769A8" w:rsidRPr="003E2BD8">
        <w:rPr>
          <w:rFonts w:ascii="Times New Roman" w:eastAsia="Calibri" w:hAnsi="Times New Roman" w:cs="Times New Roman"/>
        </w:rPr>
        <w:t xml:space="preserve">actions </w:t>
      </w:r>
      <w:r w:rsidRPr="003E2BD8">
        <w:rPr>
          <w:rFonts w:ascii="Times New Roman" w:eastAsia="Calibri" w:hAnsi="Times New Roman" w:cs="Times New Roman"/>
        </w:rPr>
        <w:t>associated with the Core Principles</w:t>
      </w:r>
      <w:r w:rsidR="00B769A8" w:rsidRPr="003E2BD8">
        <w:rPr>
          <w:rFonts w:ascii="Times New Roman" w:eastAsia="Calibri" w:hAnsi="Times New Roman" w:cs="Times New Roman"/>
        </w:rPr>
        <w:t xml:space="preserve"> of a Program for Results financing</w:t>
      </w:r>
      <w:r w:rsidRPr="003E2BD8">
        <w:rPr>
          <w:rFonts w:ascii="Times New Roman" w:eastAsia="Calibri" w:hAnsi="Times New Roman" w:cs="Times New Roman"/>
        </w:rPr>
        <w:t xml:space="preserve">. The main areas for actions are: strengthening of the environmental and social assessment system; institutional capacity enhancement measures, reporting procedures, coordination, and awareness creation and resource allocations. The ESSA Action Plan will be embedded into the Program Action Plan. It is presented here to facilitate planning of action implementation and provision of Bank implementation support. </w:t>
      </w:r>
      <w:r w:rsidRPr="003E2BD8">
        <w:rPr>
          <w:rFonts w:ascii="Times New Roman" w:eastAsia="Calibri" w:hAnsi="Times New Roman" w:cs="Times New Roman"/>
          <w:color w:val="000000"/>
        </w:rPr>
        <w:t xml:space="preserve">The implementation of some of these measures will be enhanced by their integration into the overall Program Action Plan and legally incorporated into the financing agreement of the Program. </w:t>
      </w:r>
      <w:bookmarkStart w:id="281" w:name="_Toc490817800"/>
      <w:bookmarkStart w:id="282" w:name="_Toc496454595"/>
    </w:p>
    <w:bookmarkEnd w:id="281"/>
    <w:bookmarkEnd w:id="282"/>
    <w:p w14:paraId="6A51C248" w14:textId="6D2A8574" w:rsidR="003D4D47" w:rsidRPr="009654C2" w:rsidRDefault="009654C2">
      <w:pPr>
        <w:spacing w:before="120" w:after="120" w:line="360" w:lineRule="auto"/>
        <w:jc w:val="both"/>
        <w:rPr>
          <w:rStyle w:val="Heading21"/>
        </w:rPr>
      </w:pPr>
      <w:r w:rsidRPr="009654C2">
        <w:rPr>
          <w:rStyle w:val="Heading21"/>
        </w:rPr>
        <w:t>7</w:t>
      </w:r>
      <w:r w:rsidR="003D4D47" w:rsidRPr="009654C2">
        <w:rPr>
          <w:rStyle w:val="Heading21"/>
        </w:rPr>
        <w:t xml:space="preserve">.1 Environmental </w:t>
      </w:r>
      <w:r w:rsidR="003D4D47" w:rsidRPr="006B3AE0">
        <w:rPr>
          <w:rStyle w:val="Heading21"/>
        </w:rPr>
        <w:t>an</w:t>
      </w:r>
      <w:r w:rsidR="003D4D47" w:rsidRPr="00690F25">
        <w:rPr>
          <w:rStyle w:val="Heading21"/>
        </w:rPr>
        <w:t>d</w:t>
      </w:r>
      <w:r w:rsidR="003D4D47" w:rsidRPr="00131AC2">
        <w:rPr>
          <w:rStyle w:val="Heading21"/>
        </w:rPr>
        <w:t xml:space="preserve"> Soci</w:t>
      </w:r>
      <w:r w:rsidR="003D4D47" w:rsidRPr="00102193">
        <w:rPr>
          <w:rStyle w:val="Heading21"/>
        </w:rPr>
        <w:t>a</w:t>
      </w:r>
      <w:r w:rsidR="003D4D47" w:rsidRPr="001E5974">
        <w:rPr>
          <w:rStyle w:val="Heading21"/>
        </w:rPr>
        <w:t>l</w:t>
      </w:r>
      <w:r w:rsidR="003D4D47" w:rsidRPr="00932303">
        <w:rPr>
          <w:rStyle w:val="Heading21"/>
        </w:rPr>
        <w:t xml:space="preserve"> </w:t>
      </w:r>
      <w:r w:rsidR="003D4D47" w:rsidRPr="009654C2">
        <w:rPr>
          <w:rStyle w:val="Heading21"/>
        </w:rPr>
        <w:t>Recommendations for the Program Action Plan</w:t>
      </w:r>
    </w:p>
    <w:p w14:paraId="30C74BF1" w14:textId="25C0A39F" w:rsidR="00FA0A5C" w:rsidRPr="003E2BD8" w:rsidRDefault="00E55E00" w:rsidP="00CA0715">
      <w:pPr>
        <w:spacing w:before="120" w:after="120" w:line="240" w:lineRule="auto"/>
        <w:jc w:val="both"/>
        <w:rPr>
          <w:rFonts w:ascii="Times New Roman" w:eastAsia="Calibri" w:hAnsi="Times New Roman" w:cs="Times New Roman"/>
        </w:rPr>
      </w:pPr>
      <w:r w:rsidRPr="003E2BD8">
        <w:rPr>
          <w:rFonts w:ascii="Times New Roman" w:eastAsia="Calibri" w:hAnsi="Times New Roman" w:cs="Times New Roman"/>
        </w:rPr>
        <w:t>To manage potential impacts</w:t>
      </w:r>
      <w:r w:rsidR="00FA0A5C" w:rsidRPr="003E2BD8">
        <w:rPr>
          <w:rFonts w:ascii="Times New Roman" w:eastAsia="Calibri" w:hAnsi="Times New Roman" w:cs="Times New Roman"/>
        </w:rPr>
        <w:t xml:space="preserve"> and </w:t>
      </w:r>
      <w:r w:rsidRPr="003E2BD8">
        <w:rPr>
          <w:rFonts w:ascii="Times New Roman" w:eastAsia="Calibri" w:hAnsi="Times New Roman" w:cs="Times New Roman"/>
        </w:rPr>
        <w:t>risks, and to strengthen the country s</w:t>
      </w:r>
      <w:r w:rsidR="00FA0A5C" w:rsidRPr="003E2BD8">
        <w:rPr>
          <w:rFonts w:ascii="Times New Roman" w:eastAsia="Calibri" w:hAnsi="Times New Roman" w:cs="Times New Roman"/>
        </w:rPr>
        <w:t xml:space="preserve">ystem for environmental, social, health &amp; </w:t>
      </w:r>
      <w:r w:rsidRPr="003E2BD8">
        <w:rPr>
          <w:rFonts w:ascii="Times New Roman" w:eastAsia="Calibri" w:hAnsi="Times New Roman" w:cs="Times New Roman"/>
        </w:rPr>
        <w:t xml:space="preserve">and safety management, particularly at </w:t>
      </w:r>
      <w:r w:rsidR="00FA0A5C" w:rsidRPr="003E2BD8">
        <w:rPr>
          <w:rFonts w:ascii="Times New Roman" w:eastAsia="Calibri" w:hAnsi="Times New Roman" w:cs="Times New Roman"/>
        </w:rPr>
        <w:t>MMA level</w:t>
      </w:r>
      <w:r w:rsidRPr="003E2BD8">
        <w:rPr>
          <w:rFonts w:ascii="Times New Roman" w:eastAsia="Calibri" w:hAnsi="Times New Roman" w:cs="Times New Roman"/>
        </w:rPr>
        <w:t xml:space="preserve">, the ESSA </w:t>
      </w:r>
      <w:r w:rsidR="00FA0A5C" w:rsidRPr="003E2BD8">
        <w:rPr>
          <w:rFonts w:ascii="Times New Roman" w:eastAsia="Calibri" w:hAnsi="Times New Roman" w:cs="Times New Roman"/>
        </w:rPr>
        <w:t>recommends</w:t>
      </w:r>
      <w:r w:rsidRPr="003E2BD8">
        <w:rPr>
          <w:rFonts w:ascii="Times New Roman" w:eastAsia="Calibri" w:hAnsi="Times New Roman" w:cs="Times New Roman"/>
        </w:rPr>
        <w:t xml:space="preserve"> the following measures/actions. </w:t>
      </w:r>
      <w:r w:rsidR="008C4B14" w:rsidRPr="003E2BD8">
        <w:rPr>
          <w:rFonts w:ascii="Times New Roman" w:eastAsia="Calibri" w:hAnsi="Times New Roman" w:cs="Times New Roman"/>
        </w:rPr>
        <w:t>The Program will integrate these recommendations into the overall Program “Minimum Access Condition,” and set of “Disbursement Linked Indicators (DLIs)”.</w:t>
      </w:r>
    </w:p>
    <w:p w14:paraId="68B91FAF" w14:textId="0796BC0F" w:rsidR="00D16C01" w:rsidRPr="003E2BD8" w:rsidRDefault="00E55E00" w:rsidP="00CA0715">
      <w:pPr>
        <w:spacing w:before="120" w:after="120" w:line="240" w:lineRule="auto"/>
        <w:jc w:val="both"/>
        <w:rPr>
          <w:rFonts w:ascii="Times New Roman" w:eastAsia="Times New Roman" w:hAnsi="Times New Roman" w:cs="Times New Roman"/>
          <w:lang w:eastAsia="x-none"/>
        </w:rPr>
      </w:pPr>
      <w:r w:rsidRPr="003E2BD8">
        <w:rPr>
          <w:rFonts w:ascii="Times New Roman" w:eastAsia="Times New Roman" w:hAnsi="Times New Roman" w:cs="Times New Roman"/>
          <w:b/>
          <w:i/>
          <w:lang w:val="en-GB" w:eastAsia="x-none"/>
        </w:rPr>
        <w:t>Establishing and strengthening the Environmental and Social Management System at</w:t>
      </w:r>
      <w:r w:rsidR="00BC6D73" w:rsidRPr="003E2BD8">
        <w:rPr>
          <w:rFonts w:ascii="Times New Roman" w:eastAsia="Times New Roman" w:hAnsi="Times New Roman" w:cs="Times New Roman"/>
          <w:b/>
          <w:i/>
          <w:lang w:val="en-GB" w:eastAsia="x-none"/>
        </w:rPr>
        <w:t xml:space="preserve"> the MMA</w:t>
      </w:r>
      <w:r w:rsidRPr="003E2BD8">
        <w:rPr>
          <w:rFonts w:ascii="Times New Roman" w:eastAsia="Times New Roman" w:hAnsi="Times New Roman" w:cs="Times New Roman"/>
          <w:b/>
          <w:i/>
          <w:lang w:val="en-GB" w:eastAsia="x-none"/>
        </w:rPr>
        <w:t xml:space="preserve"> level</w:t>
      </w:r>
      <w:r w:rsidR="00BC6D73" w:rsidRPr="003E2BD8">
        <w:rPr>
          <w:rFonts w:ascii="Times New Roman" w:eastAsia="Times New Roman" w:hAnsi="Times New Roman" w:cs="Times New Roman"/>
          <w:b/>
          <w:i/>
          <w:lang w:val="en-GB" w:eastAsia="x-none"/>
        </w:rPr>
        <w:t xml:space="preserve"> an</w:t>
      </w:r>
      <w:r w:rsidR="00B769A8" w:rsidRPr="003E2BD8">
        <w:rPr>
          <w:rFonts w:ascii="Times New Roman" w:eastAsia="Times New Roman" w:hAnsi="Times New Roman" w:cs="Times New Roman"/>
          <w:b/>
          <w:i/>
          <w:lang w:val="en-GB" w:eastAsia="x-none"/>
        </w:rPr>
        <w:t>d at the MLGRD PP</w:t>
      </w:r>
      <w:r w:rsidR="00975839">
        <w:rPr>
          <w:rFonts w:ascii="Times New Roman" w:eastAsia="Times New Roman" w:hAnsi="Times New Roman" w:cs="Times New Roman"/>
          <w:b/>
          <w:i/>
          <w:lang w:val="en-GB" w:eastAsia="x-none"/>
        </w:rPr>
        <w:t>B</w:t>
      </w:r>
      <w:r w:rsidR="00B769A8" w:rsidRPr="003E2BD8">
        <w:rPr>
          <w:rFonts w:ascii="Times New Roman" w:eastAsia="Times New Roman" w:hAnsi="Times New Roman" w:cs="Times New Roman"/>
          <w:b/>
          <w:i/>
          <w:lang w:val="en-GB" w:eastAsia="x-none"/>
        </w:rPr>
        <w:t xml:space="preserve">ME </w:t>
      </w:r>
      <w:r w:rsidR="00801DD2" w:rsidRPr="003E2BD8">
        <w:rPr>
          <w:rFonts w:ascii="Times New Roman" w:eastAsia="Times New Roman" w:hAnsi="Times New Roman" w:cs="Times New Roman"/>
          <w:b/>
          <w:i/>
          <w:lang w:val="en-GB" w:eastAsia="x-none"/>
        </w:rPr>
        <w:t xml:space="preserve">Divisional </w:t>
      </w:r>
      <w:r w:rsidR="00B769A8" w:rsidRPr="003E2BD8">
        <w:rPr>
          <w:rFonts w:ascii="Times New Roman" w:eastAsia="Times New Roman" w:hAnsi="Times New Roman" w:cs="Times New Roman"/>
          <w:b/>
          <w:i/>
          <w:lang w:val="en-GB" w:eastAsia="x-none"/>
        </w:rPr>
        <w:t>l</w:t>
      </w:r>
      <w:r w:rsidR="00BC6D73" w:rsidRPr="003E2BD8">
        <w:rPr>
          <w:rFonts w:ascii="Times New Roman" w:eastAsia="Times New Roman" w:hAnsi="Times New Roman" w:cs="Times New Roman"/>
          <w:b/>
          <w:i/>
          <w:lang w:val="en-GB" w:eastAsia="x-none"/>
        </w:rPr>
        <w:t>evel</w:t>
      </w:r>
      <w:r w:rsidRPr="003E2BD8">
        <w:rPr>
          <w:rFonts w:ascii="Times New Roman" w:eastAsia="Times New Roman" w:hAnsi="Times New Roman" w:cs="Times New Roman"/>
          <w:b/>
          <w:i/>
          <w:lang w:val="en-GB" w:eastAsia="x-none"/>
        </w:rPr>
        <w:t xml:space="preserve">: </w:t>
      </w:r>
      <w:r w:rsidRPr="003E2BD8">
        <w:rPr>
          <w:rFonts w:ascii="Times New Roman" w:eastAsia="Times New Roman" w:hAnsi="Times New Roman" w:cs="Times New Roman"/>
          <w:lang w:val="x-none" w:eastAsia="x-none"/>
        </w:rPr>
        <w:t xml:space="preserve">Under </w:t>
      </w:r>
      <w:r w:rsidR="002123C1" w:rsidRPr="003E2BD8">
        <w:rPr>
          <w:rFonts w:ascii="Times New Roman" w:eastAsia="Times New Roman" w:hAnsi="Times New Roman" w:cs="Times New Roman"/>
          <w:lang w:eastAsia="x-none"/>
        </w:rPr>
        <w:t>the Program</w:t>
      </w:r>
      <w:r w:rsidRPr="003E2BD8">
        <w:rPr>
          <w:rFonts w:ascii="Times New Roman" w:eastAsia="Times New Roman" w:hAnsi="Times New Roman" w:cs="Times New Roman"/>
          <w:lang w:eastAsia="x-none"/>
        </w:rPr>
        <w:t xml:space="preserve">, all </w:t>
      </w:r>
      <w:r w:rsidR="002123C1" w:rsidRPr="003E2BD8">
        <w:rPr>
          <w:rFonts w:ascii="Times New Roman" w:eastAsia="Times New Roman" w:hAnsi="Times New Roman" w:cs="Times New Roman"/>
          <w:lang w:eastAsia="x-none"/>
        </w:rPr>
        <w:t>participating MMAs</w:t>
      </w:r>
      <w:r w:rsidRPr="003E2BD8">
        <w:rPr>
          <w:rFonts w:ascii="Times New Roman" w:eastAsia="Times New Roman" w:hAnsi="Times New Roman" w:cs="Times New Roman"/>
          <w:lang w:eastAsia="x-none"/>
        </w:rPr>
        <w:t xml:space="preserve"> must demonstrate that they have established a functional system for Environmental and Social Management as a minimum requirement to access grant. </w:t>
      </w:r>
      <w:r w:rsidR="002123C1" w:rsidRPr="003E2BD8">
        <w:rPr>
          <w:rFonts w:ascii="Times New Roman" w:eastAsia="Times New Roman" w:hAnsi="Times New Roman" w:cs="Times New Roman"/>
          <w:lang w:eastAsia="x-none"/>
        </w:rPr>
        <w:t>D</w:t>
      </w:r>
      <w:r w:rsidRPr="003E2BD8">
        <w:rPr>
          <w:rFonts w:ascii="Times New Roman" w:eastAsia="Times New Roman" w:hAnsi="Times New Roman" w:cs="Times New Roman"/>
          <w:lang w:eastAsia="x-none"/>
        </w:rPr>
        <w:t>uring the first year</w:t>
      </w:r>
      <w:r w:rsidRPr="003E2BD8">
        <w:rPr>
          <w:rFonts w:ascii="Times New Roman" w:eastAsia="Times New Roman" w:hAnsi="Times New Roman" w:cs="Times New Roman"/>
          <w:lang w:val="x-none" w:eastAsia="x-none"/>
        </w:rPr>
        <w:t xml:space="preserve"> </w:t>
      </w:r>
      <w:r w:rsidR="002123C1" w:rsidRPr="003E2BD8">
        <w:rPr>
          <w:rFonts w:ascii="Times New Roman" w:eastAsia="Times New Roman" w:hAnsi="Times New Roman" w:cs="Times New Roman"/>
          <w:lang w:eastAsia="x-none"/>
        </w:rPr>
        <w:t>of the P</w:t>
      </w:r>
      <w:r w:rsidRPr="003E2BD8">
        <w:rPr>
          <w:rFonts w:ascii="Times New Roman" w:eastAsia="Times New Roman" w:hAnsi="Times New Roman" w:cs="Times New Roman"/>
          <w:lang w:eastAsia="x-none"/>
        </w:rPr>
        <w:t xml:space="preserve">rogram, all participating </w:t>
      </w:r>
      <w:r w:rsidR="002123C1" w:rsidRPr="003E2BD8">
        <w:rPr>
          <w:rFonts w:ascii="Times New Roman" w:eastAsia="Times New Roman" w:hAnsi="Times New Roman" w:cs="Times New Roman"/>
          <w:lang w:eastAsia="x-none"/>
        </w:rPr>
        <w:t xml:space="preserve">MMAs </w:t>
      </w:r>
      <w:r w:rsidRPr="003E2BD8">
        <w:rPr>
          <w:rFonts w:ascii="Times New Roman" w:eastAsia="Times New Roman" w:hAnsi="Times New Roman" w:cs="Times New Roman"/>
          <w:lang w:val="x-none" w:eastAsia="x-none"/>
        </w:rPr>
        <w:t xml:space="preserve">will be required </w:t>
      </w:r>
      <w:r w:rsidR="002123C1" w:rsidRPr="003E2BD8">
        <w:rPr>
          <w:rFonts w:ascii="Times New Roman" w:eastAsia="Times New Roman" w:hAnsi="Times New Roman" w:cs="Times New Roman"/>
          <w:lang w:eastAsia="x-none"/>
        </w:rPr>
        <w:t xml:space="preserve">to formally establish an Environmental and Social Team </w:t>
      </w:r>
      <w:r w:rsidR="00B769A8" w:rsidRPr="003E2BD8">
        <w:rPr>
          <w:rFonts w:ascii="Times New Roman" w:eastAsia="Times New Roman" w:hAnsi="Times New Roman" w:cs="Times New Roman"/>
          <w:lang w:eastAsia="x-none"/>
        </w:rPr>
        <w:t xml:space="preserve">with clear terms of reference, which will  </w:t>
      </w:r>
      <w:r w:rsidR="002123C1" w:rsidRPr="003E2BD8">
        <w:rPr>
          <w:rFonts w:ascii="Times New Roman" w:eastAsia="Times New Roman" w:hAnsi="Times New Roman" w:cs="Times New Roman"/>
          <w:lang w:eastAsia="x-none"/>
        </w:rPr>
        <w:t>comprised  (i) an Environmental and Social Management Focal</w:t>
      </w:r>
      <w:r w:rsidR="00801DD2" w:rsidRPr="003E2BD8">
        <w:rPr>
          <w:rFonts w:ascii="Times New Roman" w:eastAsia="Times New Roman" w:hAnsi="Times New Roman" w:cs="Times New Roman"/>
          <w:lang w:eastAsia="x-none"/>
        </w:rPr>
        <w:t xml:space="preserve"> person</w:t>
      </w:r>
      <w:r w:rsidR="002123C1" w:rsidRPr="003E2BD8">
        <w:rPr>
          <w:rFonts w:ascii="Times New Roman" w:eastAsia="Times New Roman" w:hAnsi="Times New Roman" w:cs="Times New Roman"/>
          <w:lang w:eastAsia="x-none"/>
        </w:rPr>
        <w:t xml:space="preserve">; and, (ii) 2-3 members preferably from the </w:t>
      </w:r>
      <w:r w:rsidR="00801DD2" w:rsidRPr="003E2BD8">
        <w:rPr>
          <w:rFonts w:ascii="Times New Roman" w:eastAsia="Times New Roman" w:hAnsi="Times New Roman" w:cs="Times New Roman"/>
          <w:lang w:eastAsia="x-none"/>
        </w:rPr>
        <w:t xml:space="preserve">planning, </w:t>
      </w:r>
      <w:r w:rsidR="002123C1" w:rsidRPr="003E2BD8">
        <w:rPr>
          <w:rFonts w:ascii="Times New Roman" w:eastAsia="Times New Roman" w:hAnsi="Times New Roman" w:cs="Times New Roman"/>
          <w:lang w:eastAsia="x-none"/>
        </w:rPr>
        <w:t xml:space="preserve">Engineering, Health and Social Welfare Units of MMAs. </w:t>
      </w:r>
      <w:r w:rsidR="00D16C01" w:rsidRPr="003E2BD8">
        <w:rPr>
          <w:rFonts w:ascii="Times New Roman" w:eastAsia="Times New Roman" w:hAnsi="Times New Roman" w:cs="Times New Roman"/>
          <w:lang w:eastAsia="x-none"/>
        </w:rPr>
        <w:t xml:space="preserve"> </w:t>
      </w:r>
      <w:r w:rsidR="002123C1" w:rsidRPr="003E2BD8">
        <w:rPr>
          <w:rFonts w:ascii="Times New Roman" w:eastAsia="Times New Roman" w:hAnsi="Times New Roman" w:cs="Times New Roman"/>
          <w:lang w:eastAsia="x-none"/>
        </w:rPr>
        <w:t xml:space="preserve">Once established, the E &amp; S Team will undergo a training on screening; use of EA sectoral guidelines; </w:t>
      </w:r>
      <w:r w:rsidR="00801DD2" w:rsidRPr="003E2BD8">
        <w:rPr>
          <w:rFonts w:ascii="Times New Roman" w:eastAsia="Times New Roman" w:hAnsi="Times New Roman" w:cs="Times New Roman"/>
          <w:lang w:eastAsia="x-none"/>
        </w:rPr>
        <w:t xml:space="preserve">preparation and </w:t>
      </w:r>
      <w:r w:rsidR="002123C1" w:rsidRPr="003E2BD8">
        <w:rPr>
          <w:rFonts w:ascii="Times New Roman" w:eastAsia="Times New Roman" w:hAnsi="Times New Roman" w:cs="Times New Roman"/>
          <w:lang w:eastAsia="x-none"/>
        </w:rPr>
        <w:t>use of RPF and resettlement action planning; management of environmental and social impacts of construction; environmental and social supervision monitoring and reporting; and</w:t>
      </w:r>
      <w:r w:rsidR="00801DD2" w:rsidRPr="003E2BD8">
        <w:rPr>
          <w:rFonts w:ascii="Times New Roman" w:eastAsia="Times New Roman" w:hAnsi="Times New Roman" w:cs="Times New Roman"/>
          <w:lang w:eastAsia="x-none"/>
        </w:rPr>
        <w:t xml:space="preserve"> stakeholder engagements and grievance</w:t>
      </w:r>
      <w:r w:rsidR="002123C1" w:rsidRPr="003E2BD8">
        <w:rPr>
          <w:rFonts w:ascii="Times New Roman" w:eastAsia="Times New Roman" w:hAnsi="Times New Roman" w:cs="Times New Roman"/>
          <w:lang w:eastAsia="x-none"/>
        </w:rPr>
        <w:t xml:space="preserve"> redress.</w:t>
      </w:r>
      <w:r w:rsidR="00D16C01" w:rsidRPr="003E2BD8">
        <w:rPr>
          <w:rFonts w:ascii="Times New Roman" w:eastAsia="Times New Roman" w:hAnsi="Times New Roman" w:cs="Times New Roman"/>
          <w:lang w:eastAsia="x-none"/>
        </w:rPr>
        <w:t xml:space="preserve"> These trainings will be orchestrated and organized by the PP</w:t>
      </w:r>
      <w:r w:rsidR="00975839">
        <w:rPr>
          <w:rFonts w:ascii="Times New Roman" w:eastAsia="Times New Roman" w:hAnsi="Times New Roman" w:cs="Times New Roman"/>
          <w:lang w:eastAsia="x-none"/>
        </w:rPr>
        <w:t>B</w:t>
      </w:r>
      <w:r w:rsidR="00D16C01" w:rsidRPr="003E2BD8">
        <w:rPr>
          <w:rFonts w:ascii="Times New Roman" w:eastAsia="Times New Roman" w:hAnsi="Times New Roman" w:cs="Times New Roman"/>
          <w:lang w:eastAsia="x-none"/>
        </w:rPr>
        <w:t>ME</w:t>
      </w:r>
      <w:r w:rsidR="00975839">
        <w:rPr>
          <w:rFonts w:ascii="Times New Roman" w:eastAsia="Times New Roman" w:hAnsi="Times New Roman" w:cs="Times New Roman"/>
          <w:lang w:eastAsia="x-none"/>
        </w:rPr>
        <w:t>D</w:t>
      </w:r>
      <w:r w:rsidR="00D16C01" w:rsidRPr="003E2BD8">
        <w:rPr>
          <w:rFonts w:ascii="Times New Roman" w:eastAsia="Times New Roman" w:hAnsi="Times New Roman" w:cs="Times New Roman"/>
          <w:lang w:eastAsia="x-none"/>
        </w:rPr>
        <w:t xml:space="preserve"> in collaboration with the EPA and its EA Training Institute, Land Valuation </w:t>
      </w:r>
      <w:r w:rsidR="00B27E78" w:rsidRPr="003E2BD8">
        <w:rPr>
          <w:rFonts w:ascii="Times New Roman" w:eastAsia="Times New Roman" w:hAnsi="Times New Roman" w:cs="Times New Roman"/>
          <w:lang w:eastAsia="x-none"/>
        </w:rPr>
        <w:t xml:space="preserve">Division </w:t>
      </w:r>
      <w:r w:rsidR="00D16C01" w:rsidRPr="003E2BD8">
        <w:rPr>
          <w:rFonts w:ascii="Times New Roman" w:eastAsia="Times New Roman" w:hAnsi="Times New Roman" w:cs="Times New Roman"/>
          <w:lang w:eastAsia="x-none"/>
        </w:rPr>
        <w:t xml:space="preserve">and the World Bank. </w:t>
      </w:r>
    </w:p>
    <w:p w14:paraId="21017330" w14:textId="77777777" w:rsidR="00E55E00" w:rsidRPr="003E2BD8" w:rsidRDefault="005B4169" w:rsidP="00CA0715">
      <w:pPr>
        <w:spacing w:before="120" w:after="120" w:line="240" w:lineRule="auto"/>
        <w:jc w:val="both"/>
        <w:rPr>
          <w:rFonts w:ascii="Times New Roman" w:eastAsia="Times New Roman" w:hAnsi="Times New Roman" w:cs="Times New Roman"/>
          <w:lang w:eastAsia="x-none"/>
        </w:rPr>
      </w:pPr>
      <w:r w:rsidRPr="003E2BD8">
        <w:rPr>
          <w:rFonts w:ascii="Times New Roman" w:eastAsia="Times New Roman" w:hAnsi="Times New Roman" w:cs="Times New Roman"/>
          <w:b/>
          <w:i/>
          <w:lang w:val="en-GB" w:eastAsia="x-none"/>
        </w:rPr>
        <w:t xml:space="preserve">Improving screening and </w:t>
      </w:r>
      <w:r w:rsidR="00C536AF" w:rsidRPr="003E2BD8">
        <w:rPr>
          <w:rFonts w:ascii="Times New Roman" w:eastAsia="Times New Roman" w:hAnsi="Times New Roman" w:cs="Times New Roman"/>
          <w:b/>
          <w:i/>
          <w:lang w:val="en-GB" w:eastAsia="x-none"/>
        </w:rPr>
        <w:t>updat</w:t>
      </w:r>
      <w:r w:rsidRPr="003E2BD8">
        <w:rPr>
          <w:rFonts w:ascii="Times New Roman" w:eastAsia="Times New Roman" w:hAnsi="Times New Roman" w:cs="Times New Roman"/>
          <w:b/>
          <w:i/>
          <w:lang w:val="en-GB" w:eastAsia="x-none"/>
        </w:rPr>
        <w:t>ing</w:t>
      </w:r>
      <w:r w:rsidR="00C536AF" w:rsidRPr="003E2BD8">
        <w:rPr>
          <w:rFonts w:ascii="Times New Roman" w:eastAsia="Times New Roman" w:hAnsi="Times New Roman" w:cs="Times New Roman"/>
          <w:b/>
          <w:i/>
          <w:lang w:val="en-GB" w:eastAsia="x-none"/>
        </w:rPr>
        <w:t xml:space="preserve"> EA Sectoral G</w:t>
      </w:r>
      <w:r w:rsidR="00BC6D73" w:rsidRPr="003E2BD8">
        <w:rPr>
          <w:rFonts w:ascii="Times New Roman" w:eastAsia="Times New Roman" w:hAnsi="Times New Roman" w:cs="Times New Roman"/>
          <w:b/>
          <w:i/>
          <w:lang w:val="en-GB" w:eastAsia="x-none"/>
        </w:rPr>
        <w:t>uidelines</w:t>
      </w:r>
      <w:r w:rsidR="00E55E00" w:rsidRPr="003E2BD8">
        <w:rPr>
          <w:rFonts w:ascii="Times New Roman" w:eastAsia="Times New Roman" w:hAnsi="Times New Roman" w:cs="Times New Roman"/>
          <w:b/>
          <w:i/>
          <w:lang w:val="en-GB" w:eastAsia="x-none"/>
        </w:rPr>
        <w:t xml:space="preserve">: </w:t>
      </w:r>
      <w:r w:rsidR="00C536AF" w:rsidRPr="003E2BD8">
        <w:rPr>
          <w:rFonts w:ascii="Times New Roman" w:eastAsia="Times New Roman" w:hAnsi="Times New Roman" w:cs="Times New Roman"/>
          <w:lang w:val="en-GB" w:eastAsia="x-none"/>
        </w:rPr>
        <w:t xml:space="preserve">The environmental and social screening used under the LGCSP will be updated to consider subprojects that are outside Schedule 1 of LI 1652. The EA Sectoral Guidelines for General Construction and Services Sector will also be updated to reflect the minimum </w:t>
      </w:r>
      <w:r w:rsidR="007117B5" w:rsidRPr="003E2BD8">
        <w:rPr>
          <w:rFonts w:ascii="Times New Roman" w:eastAsia="Times New Roman" w:hAnsi="Times New Roman" w:cs="Times New Roman"/>
          <w:lang w:val="en-GB" w:eastAsia="x-none"/>
        </w:rPr>
        <w:t xml:space="preserve">E &amp; S </w:t>
      </w:r>
      <w:r w:rsidR="00C536AF" w:rsidRPr="003E2BD8">
        <w:rPr>
          <w:rFonts w:ascii="Times New Roman" w:eastAsia="Times New Roman" w:hAnsi="Times New Roman" w:cs="Times New Roman"/>
          <w:lang w:val="en-GB" w:eastAsia="x-none"/>
        </w:rPr>
        <w:t xml:space="preserve">requirements for those subprojects falling outside Schedule 1 of LI 1652. The updating of these documents should be done prior to effectiveness of the Program.  </w:t>
      </w:r>
      <w:r w:rsidR="00E55E00" w:rsidRPr="003E2BD8">
        <w:rPr>
          <w:rFonts w:ascii="Times New Roman" w:eastAsia="Times New Roman" w:hAnsi="Times New Roman" w:cs="Times New Roman"/>
          <w:lang w:val="x-none" w:eastAsia="x-none"/>
        </w:rPr>
        <w:t xml:space="preserve"> </w:t>
      </w:r>
      <w:r w:rsidR="00E55E00" w:rsidRPr="003E2BD8">
        <w:rPr>
          <w:rFonts w:ascii="Times New Roman" w:eastAsia="Times New Roman" w:hAnsi="Times New Roman" w:cs="Times New Roman"/>
          <w:lang w:eastAsia="x-none"/>
        </w:rPr>
        <w:t xml:space="preserve"> </w:t>
      </w:r>
    </w:p>
    <w:p w14:paraId="4FACC085" w14:textId="534D109A" w:rsidR="00BC6D73" w:rsidRPr="003E2BD8" w:rsidRDefault="00801DD2" w:rsidP="00CA0715">
      <w:pPr>
        <w:spacing w:before="120" w:after="120" w:line="240" w:lineRule="auto"/>
        <w:contextualSpacing/>
        <w:jc w:val="both"/>
        <w:rPr>
          <w:rFonts w:ascii="Times New Roman" w:eastAsia="Times New Roman" w:hAnsi="Times New Roman" w:cs="Times New Roman"/>
          <w:lang w:val="x-none" w:eastAsia="x-none"/>
        </w:rPr>
      </w:pPr>
      <w:r w:rsidRPr="003E2BD8">
        <w:rPr>
          <w:rFonts w:ascii="Times New Roman" w:eastAsia="Times New Roman" w:hAnsi="Times New Roman" w:cs="Times New Roman"/>
          <w:b/>
          <w:i/>
          <w:lang w:eastAsia="x-none"/>
        </w:rPr>
        <w:t>Adopting and u</w:t>
      </w:r>
      <w:r w:rsidR="005B4169" w:rsidRPr="003E2BD8">
        <w:rPr>
          <w:rFonts w:ascii="Times New Roman" w:eastAsia="Times New Roman" w:hAnsi="Times New Roman" w:cs="Times New Roman"/>
          <w:b/>
          <w:i/>
          <w:lang w:eastAsia="x-none"/>
        </w:rPr>
        <w:t xml:space="preserve">pdating </w:t>
      </w:r>
      <w:r w:rsidR="00BC6D73" w:rsidRPr="003E2BD8">
        <w:rPr>
          <w:rFonts w:ascii="Times New Roman" w:eastAsia="Times New Roman" w:hAnsi="Times New Roman" w:cs="Times New Roman"/>
          <w:b/>
          <w:i/>
          <w:lang w:eastAsia="x-none"/>
        </w:rPr>
        <w:t xml:space="preserve"> a Resettlement Policy Framework</w:t>
      </w:r>
      <w:r w:rsidR="00BC6D73" w:rsidRPr="003E2BD8">
        <w:rPr>
          <w:rFonts w:ascii="Times New Roman" w:eastAsia="Times New Roman" w:hAnsi="Times New Roman" w:cs="Times New Roman"/>
          <w:lang w:eastAsia="x-none"/>
        </w:rPr>
        <w:t xml:space="preserve"> </w:t>
      </w:r>
      <w:r w:rsidR="005B4169" w:rsidRPr="003E2BD8">
        <w:rPr>
          <w:rFonts w:ascii="Times New Roman" w:eastAsia="Times New Roman" w:hAnsi="Times New Roman" w:cs="Times New Roman"/>
          <w:lang w:eastAsia="x-none"/>
        </w:rPr>
        <w:t xml:space="preserve">used in the LGCSP to </w:t>
      </w:r>
      <w:r w:rsidR="005B4169" w:rsidRPr="003E2BD8">
        <w:rPr>
          <w:rFonts w:ascii="Times New Roman" w:eastAsia="Times New Roman" w:hAnsi="Times New Roman" w:cs="Times New Roman"/>
          <w:lang w:val="en-GB" w:eastAsia="x-none"/>
        </w:rPr>
        <w:t xml:space="preserve">reflect the experiences and lessons learned, including identification of </w:t>
      </w:r>
      <w:r w:rsidR="007117B5" w:rsidRPr="003E2BD8">
        <w:rPr>
          <w:rFonts w:ascii="Times New Roman" w:eastAsia="Times New Roman" w:hAnsi="Times New Roman" w:cs="Times New Roman"/>
          <w:lang w:val="en-GB" w:eastAsia="x-none"/>
        </w:rPr>
        <w:t xml:space="preserve">different types of </w:t>
      </w:r>
      <w:r w:rsidR="005B4169" w:rsidRPr="003E2BD8">
        <w:rPr>
          <w:rFonts w:ascii="Times New Roman" w:eastAsia="Times New Roman" w:hAnsi="Times New Roman" w:cs="Times New Roman"/>
          <w:lang w:val="en-GB" w:eastAsia="x-none"/>
        </w:rPr>
        <w:t>PAPs, entitlement matrix</w:t>
      </w:r>
      <w:r w:rsidR="005B4169" w:rsidRPr="003E2BD8">
        <w:rPr>
          <w:rFonts w:ascii="Times New Roman" w:eastAsia="Times New Roman" w:hAnsi="Times New Roman" w:cs="Times New Roman"/>
          <w:lang w:eastAsia="x-none"/>
        </w:rPr>
        <w:t xml:space="preserve"> that recognizes and provides entitlements to different kinds of PAPs, </w:t>
      </w:r>
      <w:r w:rsidR="005B4169" w:rsidRPr="003E2BD8">
        <w:rPr>
          <w:rFonts w:ascii="Times New Roman" w:eastAsia="Times New Roman" w:hAnsi="Times New Roman" w:cs="Times New Roman"/>
          <w:lang w:val="en-GB" w:eastAsia="x-none"/>
        </w:rPr>
        <w:t>consultations and disclosure, monitoring &amp; reporting and grievance redress.</w:t>
      </w:r>
    </w:p>
    <w:p w14:paraId="31627E1E" w14:textId="079DE65E" w:rsidR="005B4169" w:rsidRPr="003E2BD8" w:rsidRDefault="007117B5" w:rsidP="00CA0715">
      <w:pPr>
        <w:spacing w:before="120" w:after="120" w:line="240" w:lineRule="auto"/>
        <w:jc w:val="both"/>
        <w:rPr>
          <w:rFonts w:ascii="Times New Roman" w:eastAsia="Calibri" w:hAnsi="Times New Roman" w:cs="Times New Roman"/>
          <w:iCs/>
        </w:rPr>
      </w:pPr>
      <w:r w:rsidRPr="003E2BD8">
        <w:rPr>
          <w:rFonts w:ascii="Times New Roman" w:eastAsia="Calibri" w:hAnsi="Times New Roman" w:cs="Times New Roman"/>
          <w:b/>
          <w:i/>
          <w:iCs/>
        </w:rPr>
        <w:t>Annual performance review and audit on e</w:t>
      </w:r>
      <w:r w:rsidR="00E55E00" w:rsidRPr="003E2BD8">
        <w:rPr>
          <w:rFonts w:ascii="Times New Roman" w:eastAsia="Calibri" w:hAnsi="Times New Roman" w:cs="Times New Roman"/>
          <w:b/>
          <w:i/>
          <w:iCs/>
        </w:rPr>
        <w:t xml:space="preserve">nvironment and social management: </w:t>
      </w:r>
      <w:r w:rsidRPr="003E2BD8">
        <w:rPr>
          <w:rFonts w:ascii="Times New Roman" w:eastAsia="Calibri" w:hAnsi="Times New Roman" w:cs="Times New Roman"/>
          <w:iCs/>
        </w:rPr>
        <w:t xml:space="preserve">As part of assessing MMAs request to access grant/financing from the Program, an E &amp; S system review and audit will be done as part of the assessment. On year 1, the review will focus on establishment and E &amp; S Team with clear terms </w:t>
      </w:r>
      <w:r w:rsidR="00801DD2" w:rsidRPr="003E2BD8">
        <w:rPr>
          <w:rFonts w:ascii="Times New Roman" w:eastAsia="Calibri" w:hAnsi="Times New Roman" w:cs="Times New Roman"/>
          <w:iCs/>
        </w:rPr>
        <w:t xml:space="preserve">of </w:t>
      </w:r>
      <w:r w:rsidRPr="003E2BD8">
        <w:rPr>
          <w:rFonts w:ascii="Times New Roman" w:eastAsia="Calibri" w:hAnsi="Times New Roman" w:cs="Times New Roman"/>
          <w:iCs/>
        </w:rPr>
        <w:t xml:space="preserve">reference and financing, while the on the second year onward the review will focus on environmental and social compliance, trainings and capacity building programs. </w:t>
      </w:r>
    </w:p>
    <w:p w14:paraId="2A8D0989" w14:textId="4F9B6B68" w:rsidR="005B4169" w:rsidRPr="003E2BD8" w:rsidRDefault="00E55E00" w:rsidP="00CA0715">
      <w:pPr>
        <w:spacing w:before="120" w:after="120" w:line="240" w:lineRule="auto"/>
        <w:contextualSpacing/>
        <w:jc w:val="both"/>
        <w:rPr>
          <w:rFonts w:ascii="Times New Roman" w:eastAsia="Times New Roman" w:hAnsi="Times New Roman" w:cs="Times New Roman"/>
          <w:lang w:val="en-GB" w:eastAsia="x-none"/>
        </w:rPr>
      </w:pPr>
      <w:r w:rsidRPr="003E2BD8">
        <w:rPr>
          <w:rFonts w:ascii="Times New Roman" w:eastAsia="Times New Roman" w:hAnsi="Times New Roman" w:cs="Times New Roman"/>
          <w:b/>
          <w:i/>
          <w:lang w:val="en-GB" w:eastAsia="x-none"/>
        </w:rPr>
        <w:t>Strengthening consultation</w:t>
      </w:r>
      <w:r w:rsidR="00492CF2" w:rsidRPr="003E2BD8">
        <w:rPr>
          <w:rFonts w:ascii="Times New Roman" w:eastAsia="Times New Roman" w:hAnsi="Times New Roman" w:cs="Times New Roman"/>
          <w:b/>
          <w:i/>
          <w:lang w:val="en-GB" w:eastAsia="x-none"/>
        </w:rPr>
        <w:t xml:space="preserve">, </w:t>
      </w:r>
      <w:r w:rsidRPr="003E2BD8">
        <w:rPr>
          <w:rFonts w:ascii="Times New Roman" w:eastAsia="Times New Roman" w:hAnsi="Times New Roman" w:cs="Times New Roman"/>
          <w:b/>
          <w:i/>
          <w:lang w:val="en-GB" w:eastAsia="x-none"/>
        </w:rPr>
        <w:t>stakeholders’ collaboration</w:t>
      </w:r>
      <w:r w:rsidR="00492CF2" w:rsidRPr="003E2BD8">
        <w:rPr>
          <w:rFonts w:ascii="Times New Roman" w:eastAsia="Times New Roman" w:hAnsi="Times New Roman" w:cs="Times New Roman"/>
          <w:b/>
          <w:i/>
          <w:lang w:val="en-GB" w:eastAsia="x-none"/>
        </w:rPr>
        <w:t xml:space="preserve"> and grievance redress</w:t>
      </w:r>
      <w:r w:rsidRPr="003E2BD8">
        <w:rPr>
          <w:rFonts w:ascii="Times New Roman" w:eastAsia="Times New Roman" w:hAnsi="Times New Roman" w:cs="Times New Roman"/>
          <w:b/>
          <w:i/>
          <w:lang w:val="en-GB" w:eastAsia="x-none"/>
        </w:rPr>
        <w:t xml:space="preserve">: </w:t>
      </w:r>
      <w:r w:rsidR="007117B5" w:rsidRPr="003E2BD8">
        <w:rPr>
          <w:rFonts w:ascii="Times New Roman" w:eastAsia="Times New Roman" w:hAnsi="Times New Roman" w:cs="Times New Roman"/>
          <w:lang w:val="en-GB" w:eastAsia="x-none"/>
        </w:rPr>
        <w:t xml:space="preserve">Consultations, information disclosure and grievance redress will be strengthened under the Program by developing some guidelines on consultations and stakeholder engagement and making the grievance redress more functional and operational. </w:t>
      </w:r>
      <w:r w:rsidR="008C4B14" w:rsidRPr="003E2BD8">
        <w:rPr>
          <w:rFonts w:ascii="Times New Roman" w:eastAsia="Times New Roman" w:hAnsi="Times New Roman" w:cs="Times New Roman"/>
          <w:lang w:val="en-GB" w:eastAsia="x-none"/>
        </w:rPr>
        <w:t>Training on grievance redress mechanisms, recording, monitoring and reporting shall be one of the trainings to be delivered regularly to MMAs</w:t>
      </w:r>
      <w:r w:rsidR="00D719D9" w:rsidRPr="003E2BD8">
        <w:rPr>
          <w:rFonts w:ascii="Times New Roman" w:eastAsia="Times New Roman" w:hAnsi="Times New Roman" w:cs="Times New Roman"/>
          <w:lang w:val="en-GB" w:eastAsia="x-none"/>
        </w:rPr>
        <w:t xml:space="preserve"> with support from the World Bank </w:t>
      </w:r>
      <w:r w:rsidR="0021086C">
        <w:rPr>
          <w:rFonts w:ascii="Times New Roman" w:eastAsia="Times New Roman" w:hAnsi="Times New Roman" w:cs="Times New Roman"/>
          <w:lang w:val="en-GB" w:eastAsia="x-none"/>
        </w:rPr>
        <w:t>S</w:t>
      </w:r>
      <w:r w:rsidR="00D719D9" w:rsidRPr="003E2BD8">
        <w:rPr>
          <w:rFonts w:ascii="Times New Roman" w:eastAsia="Times New Roman" w:hAnsi="Times New Roman" w:cs="Times New Roman"/>
          <w:lang w:val="en-GB" w:eastAsia="x-none"/>
        </w:rPr>
        <w:t>afeguards Specialists.</w:t>
      </w:r>
      <w:r w:rsidR="008C4B14" w:rsidRPr="003E2BD8">
        <w:rPr>
          <w:rFonts w:ascii="Times New Roman" w:eastAsia="Times New Roman" w:hAnsi="Times New Roman" w:cs="Times New Roman"/>
          <w:lang w:val="en-GB" w:eastAsia="x-none"/>
        </w:rPr>
        <w:t xml:space="preserve"> </w:t>
      </w:r>
    </w:p>
    <w:p w14:paraId="7FB38EED" w14:textId="532DE497" w:rsidR="00E55E00" w:rsidRPr="003E2BD8" w:rsidRDefault="00492CF2" w:rsidP="00CA0715">
      <w:pPr>
        <w:spacing w:before="120" w:after="120" w:line="240" w:lineRule="auto"/>
        <w:contextualSpacing/>
        <w:jc w:val="both"/>
        <w:rPr>
          <w:rFonts w:ascii="Times New Roman" w:eastAsia="Times New Roman" w:hAnsi="Times New Roman" w:cs="Times New Roman"/>
          <w:lang w:val="x-none" w:eastAsia="x-none"/>
        </w:rPr>
      </w:pPr>
      <w:r w:rsidRPr="003E2BD8">
        <w:rPr>
          <w:rFonts w:ascii="Times New Roman" w:eastAsia="Times New Roman" w:hAnsi="Times New Roman" w:cs="Times New Roman"/>
          <w:b/>
          <w:i/>
          <w:lang w:val="en-GB" w:eastAsia="x-none"/>
        </w:rPr>
        <w:t>Improving capacity:</w:t>
      </w:r>
      <w:r w:rsidR="008C4B14" w:rsidRPr="003E2BD8">
        <w:rPr>
          <w:rFonts w:ascii="Times New Roman" w:eastAsia="Times New Roman" w:hAnsi="Times New Roman" w:cs="Times New Roman"/>
          <w:lang w:val="en-GB" w:eastAsia="x-none"/>
        </w:rPr>
        <w:t xml:space="preserve"> The Program will work with EPA through its Environmental Assessment Training Institute to expand the training modules it currently has and to deliver these trainings to MMAs and </w:t>
      </w:r>
      <w:r w:rsidR="00DB1D7D" w:rsidRPr="003E2BD8">
        <w:rPr>
          <w:rFonts w:ascii="Times New Roman" w:eastAsia="Times New Roman" w:hAnsi="Times New Roman" w:cs="Times New Roman"/>
          <w:lang w:val="en-GB" w:eastAsia="x-none"/>
        </w:rPr>
        <w:t xml:space="preserve">environmental and resettlement </w:t>
      </w:r>
      <w:r w:rsidR="008C4B14" w:rsidRPr="003E2BD8">
        <w:rPr>
          <w:rFonts w:ascii="Times New Roman" w:eastAsia="Times New Roman" w:hAnsi="Times New Roman" w:cs="Times New Roman"/>
          <w:lang w:val="en-GB" w:eastAsia="x-none"/>
        </w:rPr>
        <w:t>consultants and practitioners helping the MMA develop their ESMPs and ARAPs. An MOU between the MLGRD and EPA will be entered for the development and delivery of these trainings to MMAs, consultants, EPA and MLRGD staff.</w:t>
      </w:r>
    </w:p>
    <w:p w14:paraId="267F2936" w14:textId="77777777" w:rsidR="003B53CD" w:rsidRPr="003E2BD8" w:rsidRDefault="003B53CD">
      <w:pPr>
        <w:spacing w:before="120" w:after="120" w:line="360" w:lineRule="auto"/>
        <w:jc w:val="both"/>
        <w:rPr>
          <w:rFonts w:ascii="Times New Roman" w:eastAsia="Calibri" w:hAnsi="Times New Roman" w:cs="Times New Roman"/>
          <w:b/>
        </w:rPr>
      </w:pPr>
    </w:p>
    <w:p w14:paraId="775CD40E" w14:textId="3CB95195" w:rsidR="00E55E00" w:rsidRDefault="003B53CD" w:rsidP="00C3416F">
      <w:pPr>
        <w:spacing w:before="120" w:after="120" w:line="360" w:lineRule="auto"/>
        <w:jc w:val="both"/>
        <w:rPr>
          <w:rFonts w:ascii="Times New Roman" w:eastAsia="Calibri" w:hAnsi="Times New Roman" w:cs="Times New Roman"/>
          <w:b/>
          <w:bCs/>
          <w:lang w:eastAsia="x-none"/>
        </w:rPr>
      </w:pPr>
      <w:bookmarkStart w:id="283" w:name="_Toc496454193"/>
      <w:r w:rsidRPr="004A6B30">
        <w:rPr>
          <w:rFonts w:ascii="Times New Roman" w:eastAsia="Calibri" w:hAnsi="Times New Roman" w:cs="Times New Roman"/>
          <w:b/>
          <w:bCs/>
          <w:lang w:eastAsia="x-none"/>
        </w:rPr>
        <w:t>T</w:t>
      </w:r>
      <w:r w:rsidR="00E55E00" w:rsidRPr="004A6B30">
        <w:rPr>
          <w:rFonts w:ascii="Times New Roman" w:eastAsia="Calibri" w:hAnsi="Times New Roman" w:cs="Times New Roman"/>
          <w:b/>
          <w:bCs/>
          <w:lang w:val="x-none" w:eastAsia="x-none"/>
        </w:rPr>
        <w:t xml:space="preserve">able </w:t>
      </w:r>
      <w:r w:rsidR="0004236C">
        <w:rPr>
          <w:rFonts w:ascii="Times New Roman" w:eastAsia="Calibri" w:hAnsi="Times New Roman" w:cs="Times New Roman"/>
          <w:b/>
          <w:bCs/>
          <w:lang w:eastAsia="x-none"/>
        </w:rPr>
        <w:t>11</w:t>
      </w:r>
      <w:r w:rsidR="00E55E00" w:rsidRPr="004A6B30">
        <w:rPr>
          <w:rFonts w:ascii="Times New Roman" w:eastAsia="Calibri" w:hAnsi="Times New Roman" w:cs="Times New Roman"/>
          <w:b/>
          <w:bCs/>
          <w:lang w:eastAsia="x-none"/>
        </w:rPr>
        <w:t>: Summary</w:t>
      </w:r>
      <w:r w:rsidR="00E55E00" w:rsidRPr="003E2BD8">
        <w:rPr>
          <w:rFonts w:ascii="Times New Roman" w:eastAsia="Calibri" w:hAnsi="Times New Roman" w:cs="Times New Roman"/>
          <w:b/>
          <w:bCs/>
          <w:lang w:eastAsia="x-none"/>
        </w:rPr>
        <w:t xml:space="preserve"> of the Recommended</w:t>
      </w:r>
      <w:r w:rsidRPr="003E2BD8">
        <w:rPr>
          <w:rFonts w:ascii="Times New Roman" w:eastAsia="Calibri" w:hAnsi="Times New Roman" w:cs="Times New Roman"/>
          <w:b/>
          <w:bCs/>
          <w:lang w:eastAsia="x-none"/>
        </w:rPr>
        <w:t xml:space="preserve"> E &amp; S </w:t>
      </w:r>
      <w:r w:rsidR="00E55E00" w:rsidRPr="003E2BD8">
        <w:rPr>
          <w:rFonts w:ascii="Times New Roman" w:eastAsia="Calibri" w:hAnsi="Times New Roman" w:cs="Times New Roman"/>
          <w:b/>
          <w:bCs/>
          <w:lang w:eastAsia="x-none"/>
        </w:rPr>
        <w:t xml:space="preserve"> Action Plan </w:t>
      </w:r>
      <w:r w:rsidRPr="003E2BD8">
        <w:rPr>
          <w:rFonts w:ascii="Times New Roman" w:eastAsia="Calibri" w:hAnsi="Times New Roman" w:cs="Times New Roman"/>
          <w:b/>
          <w:bCs/>
          <w:lang w:eastAsia="x-none"/>
        </w:rPr>
        <w:t xml:space="preserve">to be integrated into the </w:t>
      </w:r>
      <w:r w:rsidR="00E55E00" w:rsidRPr="003E2BD8">
        <w:rPr>
          <w:rFonts w:ascii="Times New Roman" w:eastAsia="Calibri" w:hAnsi="Times New Roman" w:cs="Times New Roman"/>
          <w:b/>
          <w:bCs/>
          <w:lang w:eastAsia="x-none"/>
        </w:rPr>
        <w:t>P</w:t>
      </w:r>
      <w:r w:rsidRPr="003E2BD8">
        <w:rPr>
          <w:rFonts w:ascii="Times New Roman" w:eastAsia="Calibri" w:hAnsi="Times New Roman" w:cs="Times New Roman"/>
          <w:b/>
          <w:bCs/>
          <w:lang w:eastAsia="x-none"/>
        </w:rPr>
        <w:t>rogram Action Plan</w:t>
      </w:r>
      <w:bookmarkEnd w:id="2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482"/>
        <w:gridCol w:w="1538"/>
        <w:gridCol w:w="2118"/>
        <w:gridCol w:w="1933"/>
      </w:tblGrid>
      <w:tr w:rsidR="00AA27F8" w:rsidRPr="003E2BD8" w14:paraId="6894469D" w14:textId="77777777" w:rsidTr="00CA0715">
        <w:trPr>
          <w:tblHeader/>
        </w:trPr>
        <w:tc>
          <w:tcPr>
            <w:tcW w:w="807" w:type="pct"/>
            <w:tcBorders>
              <w:bottom w:val="single" w:sz="4" w:space="0" w:color="auto"/>
            </w:tcBorders>
            <w:shd w:val="clear" w:color="auto" w:fill="A6A6A6"/>
          </w:tcPr>
          <w:p w14:paraId="640C31F9" w14:textId="77777777" w:rsidR="00AA27F8" w:rsidRPr="003E2BD8" w:rsidRDefault="00AA27F8" w:rsidP="00CA0715">
            <w:pPr>
              <w:spacing w:before="120" w:after="120" w:line="240" w:lineRule="auto"/>
              <w:contextualSpacing/>
              <w:rPr>
                <w:rFonts w:ascii="Times New Roman" w:eastAsia="Times New Roman" w:hAnsi="Times New Roman" w:cs="Times New Roman"/>
                <w:b/>
              </w:rPr>
            </w:pPr>
            <w:r w:rsidRPr="003E2BD8">
              <w:rPr>
                <w:rFonts w:ascii="Times New Roman" w:eastAsia="Times New Roman" w:hAnsi="Times New Roman" w:cs="Times New Roman"/>
                <w:b/>
              </w:rPr>
              <w:t>Issue/risk description</w:t>
            </w:r>
          </w:p>
        </w:tc>
        <w:tc>
          <w:tcPr>
            <w:tcW w:w="1847" w:type="pct"/>
            <w:tcBorders>
              <w:bottom w:val="single" w:sz="4" w:space="0" w:color="auto"/>
            </w:tcBorders>
            <w:shd w:val="clear" w:color="auto" w:fill="A6A6A6"/>
          </w:tcPr>
          <w:p w14:paraId="42E60888" w14:textId="77777777" w:rsidR="00AA27F8" w:rsidRPr="003E2BD8" w:rsidRDefault="00AA27F8" w:rsidP="00CA0715">
            <w:pPr>
              <w:spacing w:before="120" w:after="120" w:line="240" w:lineRule="auto"/>
              <w:contextualSpacing/>
              <w:rPr>
                <w:rFonts w:ascii="Times New Roman" w:eastAsia="Times New Roman" w:hAnsi="Times New Roman" w:cs="Times New Roman"/>
                <w:b/>
              </w:rPr>
            </w:pPr>
            <w:r w:rsidRPr="003E2BD8">
              <w:rPr>
                <w:rFonts w:ascii="Times New Roman" w:eastAsia="Times New Roman" w:hAnsi="Times New Roman" w:cs="Times New Roman"/>
                <w:b/>
              </w:rPr>
              <w:t>Action/Completion</w:t>
            </w:r>
          </w:p>
        </w:tc>
        <w:tc>
          <w:tcPr>
            <w:tcW w:w="682" w:type="pct"/>
            <w:tcBorders>
              <w:bottom w:val="single" w:sz="4" w:space="0" w:color="auto"/>
            </w:tcBorders>
            <w:shd w:val="clear" w:color="auto" w:fill="A6A6A6"/>
          </w:tcPr>
          <w:p w14:paraId="0DE2128A" w14:textId="77777777" w:rsidR="00AA27F8" w:rsidRPr="003E2BD8" w:rsidRDefault="00AA27F8" w:rsidP="00CA0715">
            <w:pPr>
              <w:spacing w:before="120" w:after="120" w:line="240" w:lineRule="auto"/>
              <w:contextualSpacing/>
              <w:rPr>
                <w:rFonts w:ascii="Times New Roman" w:eastAsia="Times New Roman" w:hAnsi="Times New Roman" w:cs="Times New Roman"/>
                <w:b/>
              </w:rPr>
            </w:pPr>
            <w:r w:rsidRPr="003E2BD8">
              <w:rPr>
                <w:rFonts w:ascii="Times New Roman" w:eastAsia="Times New Roman" w:hAnsi="Times New Roman" w:cs="Times New Roman"/>
                <w:b/>
              </w:rPr>
              <w:t>Time Frame</w:t>
            </w:r>
          </w:p>
        </w:tc>
        <w:tc>
          <w:tcPr>
            <w:tcW w:w="644" w:type="pct"/>
            <w:tcBorders>
              <w:bottom w:val="single" w:sz="4" w:space="0" w:color="auto"/>
            </w:tcBorders>
            <w:shd w:val="clear" w:color="auto" w:fill="A6A6A6"/>
          </w:tcPr>
          <w:p w14:paraId="34EDF666" w14:textId="77777777" w:rsidR="00AA27F8" w:rsidRPr="003E2BD8" w:rsidRDefault="00AA27F8" w:rsidP="00CA0715">
            <w:pPr>
              <w:spacing w:before="120" w:after="120" w:line="240" w:lineRule="auto"/>
              <w:contextualSpacing/>
              <w:rPr>
                <w:rFonts w:ascii="Times New Roman" w:eastAsia="Times New Roman" w:hAnsi="Times New Roman" w:cs="Times New Roman"/>
                <w:b/>
              </w:rPr>
            </w:pPr>
            <w:r w:rsidRPr="003E2BD8">
              <w:rPr>
                <w:rFonts w:ascii="Times New Roman" w:eastAsia="Times New Roman" w:hAnsi="Times New Roman" w:cs="Times New Roman"/>
                <w:b/>
              </w:rPr>
              <w:t>Responsible Party</w:t>
            </w:r>
          </w:p>
        </w:tc>
        <w:tc>
          <w:tcPr>
            <w:tcW w:w="1020" w:type="pct"/>
            <w:tcBorders>
              <w:bottom w:val="single" w:sz="4" w:space="0" w:color="auto"/>
            </w:tcBorders>
            <w:shd w:val="clear" w:color="auto" w:fill="A6A6A6"/>
          </w:tcPr>
          <w:p w14:paraId="28127EB9" w14:textId="77777777" w:rsidR="00AA27F8" w:rsidRPr="003E2BD8" w:rsidRDefault="00AA27F8" w:rsidP="00CA0715">
            <w:pPr>
              <w:spacing w:before="120" w:after="120" w:line="240" w:lineRule="auto"/>
              <w:contextualSpacing/>
              <w:rPr>
                <w:rFonts w:ascii="Times New Roman" w:eastAsia="Times New Roman" w:hAnsi="Times New Roman" w:cs="Times New Roman"/>
                <w:b/>
              </w:rPr>
            </w:pPr>
            <w:r w:rsidRPr="003E2BD8">
              <w:rPr>
                <w:rFonts w:ascii="Times New Roman" w:eastAsia="Times New Roman" w:hAnsi="Times New Roman" w:cs="Times New Roman"/>
                <w:b/>
              </w:rPr>
              <w:t>Instrument/Output</w:t>
            </w:r>
          </w:p>
        </w:tc>
      </w:tr>
      <w:tr w:rsidR="00AA27F8" w:rsidRPr="003E2BD8" w14:paraId="1C0C277C" w14:textId="77777777" w:rsidTr="00CA0715">
        <w:trPr>
          <w:trHeight w:val="85"/>
        </w:trPr>
        <w:tc>
          <w:tcPr>
            <w:tcW w:w="807" w:type="pct"/>
          </w:tcPr>
          <w:p w14:paraId="1B65D2D9"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 xml:space="preserve">Inadequate E &amp; S staffing and resourcing of the Program  </w:t>
            </w:r>
          </w:p>
          <w:p w14:paraId="2C569232"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103346F5"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1A35E0B9"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tc>
        <w:tc>
          <w:tcPr>
            <w:tcW w:w="1847" w:type="pct"/>
          </w:tcPr>
          <w:p w14:paraId="1FFAEA22" w14:textId="77777777" w:rsidR="00AA27F8" w:rsidRPr="003E2BD8" w:rsidRDefault="00AA27F8" w:rsidP="00CA0715">
            <w:pPr>
              <w:pStyle w:val="ListParagraph"/>
              <w:numPr>
                <w:ilvl w:val="0"/>
                <w:numId w:val="35"/>
              </w:numPr>
              <w:spacing w:before="120" w:after="120" w:line="240" w:lineRule="auto"/>
              <w:rPr>
                <w:rFonts w:ascii="Times New Roman" w:eastAsia="Times New Roman" w:hAnsi="Times New Roman" w:cs="Times New Roman"/>
                <w:lang w:val="en-GB" w:eastAsia="x-none"/>
              </w:rPr>
            </w:pPr>
            <w:r w:rsidRPr="003E2BD8">
              <w:rPr>
                <w:rFonts w:ascii="Times New Roman" w:eastAsia="Times New Roman" w:hAnsi="Times New Roman" w:cs="Times New Roman"/>
                <w:lang w:val="en-GB" w:eastAsia="x-none"/>
              </w:rPr>
              <w:t>Hiring of a Social Development Specialist at the Program Execution level in addition to the current Environmental Specialist under the LGCSP.</w:t>
            </w:r>
          </w:p>
          <w:p w14:paraId="77F4D46B" w14:textId="77777777" w:rsidR="00AA27F8" w:rsidRPr="003E2BD8" w:rsidRDefault="00AA27F8" w:rsidP="00CA0715">
            <w:pPr>
              <w:pStyle w:val="ListParagraph"/>
              <w:numPr>
                <w:ilvl w:val="0"/>
                <w:numId w:val="35"/>
              </w:numPr>
              <w:spacing w:before="120" w:after="120" w:line="240" w:lineRule="auto"/>
              <w:rPr>
                <w:rFonts w:ascii="Times New Roman" w:eastAsia="Times New Roman" w:hAnsi="Times New Roman" w:cs="Times New Roman"/>
                <w:lang w:val="en-GB" w:eastAsia="x-none"/>
              </w:rPr>
            </w:pPr>
            <w:r w:rsidRPr="003E2BD8">
              <w:rPr>
                <w:rFonts w:ascii="Times New Roman" w:eastAsia="Times New Roman" w:hAnsi="Times New Roman" w:cs="Times New Roman"/>
                <w:lang w:val="en-GB" w:eastAsia="x-none"/>
              </w:rPr>
              <w:t>Establishing the E &amp; S Team of MMA with clear terms of reference comprising of (i) Safeguards Focal person; (ii) 2-3 team members preferably from the Engineering, Health and Social Welfare Units of MMAs</w:t>
            </w:r>
          </w:p>
        </w:tc>
        <w:tc>
          <w:tcPr>
            <w:tcW w:w="682" w:type="pct"/>
          </w:tcPr>
          <w:p w14:paraId="06860450"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Prior to Program effectiveness</w:t>
            </w:r>
          </w:p>
          <w:p w14:paraId="5E6012DB"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26C03254"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36578108"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55FDD271"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 xml:space="preserve">Prior to accessing grants from the Program </w:t>
            </w:r>
          </w:p>
        </w:tc>
        <w:tc>
          <w:tcPr>
            <w:tcW w:w="644" w:type="pct"/>
          </w:tcPr>
          <w:p w14:paraId="057F1E48"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MLGRD</w:t>
            </w:r>
          </w:p>
          <w:p w14:paraId="78B972D7"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7D779544"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6FA658F2"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5BAF36DF"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6BD8E5B2"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7AF0D1F3"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03B353E3"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MMA</w:t>
            </w:r>
            <w:r>
              <w:rPr>
                <w:rFonts w:ascii="Times New Roman" w:eastAsia="Times New Roman" w:hAnsi="Times New Roman" w:cs="Times New Roman"/>
              </w:rPr>
              <w:t>/OHLGS in close collaboration with MLGRD</w:t>
            </w:r>
          </w:p>
        </w:tc>
        <w:tc>
          <w:tcPr>
            <w:tcW w:w="1020" w:type="pct"/>
          </w:tcPr>
          <w:p w14:paraId="11A5E1A4"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Specialists hired with clear terms of reference</w:t>
            </w:r>
          </w:p>
          <w:p w14:paraId="23CE1092"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335E6929"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47F5259B"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22B091BD"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6AD3BEBF"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Issuance of Directive signed by the Head of the OHLGS to Chief Executive of MMA to establish the E &amp; S Team with clear terms of reference</w:t>
            </w:r>
          </w:p>
          <w:p w14:paraId="5849A357"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tc>
      </w:tr>
      <w:tr w:rsidR="00AA27F8" w:rsidRPr="003E2BD8" w14:paraId="37CFA17C" w14:textId="77777777" w:rsidTr="00CA0715">
        <w:tc>
          <w:tcPr>
            <w:tcW w:w="807" w:type="pct"/>
          </w:tcPr>
          <w:p w14:paraId="19538296"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 xml:space="preserve">Subprojects are under-screened, have not been assessed and no plans </w:t>
            </w:r>
          </w:p>
        </w:tc>
        <w:tc>
          <w:tcPr>
            <w:tcW w:w="1847" w:type="pct"/>
          </w:tcPr>
          <w:p w14:paraId="33C5735C" w14:textId="77777777" w:rsidR="00AA27F8" w:rsidRPr="003E2BD8" w:rsidRDefault="00AA27F8" w:rsidP="00CA0715">
            <w:pPr>
              <w:pStyle w:val="ListParagraph"/>
              <w:numPr>
                <w:ilvl w:val="0"/>
                <w:numId w:val="35"/>
              </w:numPr>
              <w:spacing w:before="120" w:after="120" w:line="240" w:lineRule="auto"/>
              <w:rPr>
                <w:rFonts w:ascii="Times New Roman" w:eastAsia="Times New Roman" w:hAnsi="Times New Roman" w:cs="Times New Roman"/>
                <w:lang w:eastAsia="x-none"/>
              </w:rPr>
            </w:pPr>
            <w:r w:rsidRPr="003E2BD8">
              <w:rPr>
                <w:rFonts w:ascii="Times New Roman" w:eastAsia="Times New Roman" w:hAnsi="Times New Roman" w:cs="Times New Roman"/>
                <w:b/>
                <w:i/>
                <w:lang w:val="en-GB" w:eastAsia="x-none"/>
              </w:rPr>
              <w:t xml:space="preserve"> </w:t>
            </w:r>
            <w:r w:rsidRPr="003E2BD8">
              <w:rPr>
                <w:rFonts w:ascii="Times New Roman" w:eastAsia="Times New Roman" w:hAnsi="Times New Roman" w:cs="Times New Roman"/>
                <w:lang w:val="en-GB" w:eastAsia="x-none"/>
              </w:rPr>
              <w:t>Update, issue and disseminate the environmental and social screening</w:t>
            </w:r>
            <w:r>
              <w:rPr>
                <w:rFonts w:ascii="Times New Roman" w:eastAsia="Times New Roman" w:hAnsi="Times New Roman" w:cs="Times New Roman"/>
                <w:lang w:val="en-GB" w:eastAsia="x-none"/>
              </w:rPr>
              <w:t xml:space="preserve"> template </w:t>
            </w:r>
            <w:r w:rsidRPr="003E2BD8">
              <w:rPr>
                <w:rFonts w:ascii="Times New Roman" w:eastAsia="Times New Roman" w:hAnsi="Times New Roman" w:cs="Times New Roman"/>
                <w:lang w:val="en-GB" w:eastAsia="x-none"/>
              </w:rPr>
              <w:t xml:space="preserve"> used under the LGCSP to consider subprojects that are </w:t>
            </w:r>
            <w:r>
              <w:rPr>
                <w:rFonts w:ascii="Times New Roman" w:eastAsia="Times New Roman" w:hAnsi="Times New Roman" w:cs="Times New Roman"/>
                <w:lang w:val="en-GB" w:eastAsia="x-none"/>
              </w:rPr>
              <w:t xml:space="preserve">listed </w:t>
            </w:r>
            <w:r w:rsidRPr="003E2BD8">
              <w:rPr>
                <w:rFonts w:ascii="Times New Roman" w:eastAsia="Times New Roman" w:hAnsi="Times New Roman" w:cs="Times New Roman"/>
                <w:lang w:val="en-GB" w:eastAsia="x-none"/>
              </w:rPr>
              <w:t>outside Schedule 1 of LI 1652 and to clarify the E &amp; S requirements for those subprojects falling outside Schedule 1.</w:t>
            </w:r>
          </w:p>
          <w:p w14:paraId="38E7531C" w14:textId="77777777" w:rsidR="00AA27F8" w:rsidRPr="003E2BD8" w:rsidRDefault="00AA27F8" w:rsidP="00CA0715">
            <w:pPr>
              <w:pStyle w:val="ListParagraph"/>
              <w:numPr>
                <w:ilvl w:val="0"/>
                <w:numId w:val="35"/>
              </w:numPr>
              <w:spacing w:before="120" w:after="120" w:line="240" w:lineRule="auto"/>
              <w:rPr>
                <w:rFonts w:ascii="Times New Roman" w:eastAsia="Times New Roman" w:hAnsi="Times New Roman" w:cs="Times New Roman"/>
                <w:lang w:eastAsia="x-none"/>
              </w:rPr>
            </w:pPr>
            <w:r w:rsidRPr="003E2BD8">
              <w:rPr>
                <w:rFonts w:ascii="Times New Roman" w:eastAsia="Times New Roman" w:hAnsi="Times New Roman" w:cs="Times New Roman"/>
                <w:lang w:val="en-GB" w:eastAsia="x-none"/>
              </w:rPr>
              <w:t xml:space="preserve">Update the EA Sectoral Guidelines for General Construction and Services Sector to reflect the minimum E &amp; S requirements for  subprojects falling outside Schedule 1 of LI 1652.  </w:t>
            </w:r>
            <w:r w:rsidRPr="003E2BD8">
              <w:rPr>
                <w:rFonts w:ascii="Times New Roman" w:eastAsia="Times New Roman" w:hAnsi="Times New Roman" w:cs="Times New Roman"/>
                <w:lang w:val="x-none" w:eastAsia="x-none"/>
              </w:rPr>
              <w:t xml:space="preserve"> </w:t>
            </w:r>
            <w:r w:rsidRPr="003E2BD8">
              <w:rPr>
                <w:rFonts w:ascii="Times New Roman" w:eastAsia="Times New Roman" w:hAnsi="Times New Roman" w:cs="Times New Roman"/>
                <w:lang w:eastAsia="x-none"/>
              </w:rPr>
              <w:t xml:space="preserve"> </w:t>
            </w:r>
          </w:p>
        </w:tc>
        <w:tc>
          <w:tcPr>
            <w:tcW w:w="682" w:type="pct"/>
          </w:tcPr>
          <w:p w14:paraId="1D6C25FA"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Prior to Program effectiveness</w:t>
            </w:r>
          </w:p>
        </w:tc>
        <w:tc>
          <w:tcPr>
            <w:tcW w:w="644" w:type="pct"/>
          </w:tcPr>
          <w:p w14:paraId="58F9A243"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MLGRD;</w:t>
            </w:r>
          </w:p>
          <w:p w14:paraId="7BD2D840"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EPA</w:t>
            </w:r>
            <w:r>
              <w:rPr>
                <w:rFonts w:ascii="Times New Roman" w:eastAsia="Times New Roman" w:hAnsi="Times New Roman" w:cs="Times New Roman"/>
              </w:rPr>
              <w:t>/ OHLGS</w:t>
            </w:r>
          </w:p>
          <w:p w14:paraId="62BF0F60"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56BDC717"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498BA8CD"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0DD7AC73"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25FF6170"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5149DF3A"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1A05903C"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627B114E"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2653D06D"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786FBF6F" w14:textId="77777777" w:rsidR="00AA27F8" w:rsidRDefault="00AA27F8" w:rsidP="00CA0715">
            <w:pPr>
              <w:spacing w:before="120" w:after="120" w:line="240" w:lineRule="auto"/>
              <w:contextualSpacing/>
              <w:rPr>
                <w:rFonts w:ascii="Times New Roman" w:eastAsia="Times New Roman" w:hAnsi="Times New Roman" w:cs="Times New Roman"/>
              </w:rPr>
            </w:pPr>
          </w:p>
          <w:p w14:paraId="720FFD5B" w14:textId="77777777" w:rsidR="00AA27F8" w:rsidRDefault="00AA27F8" w:rsidP="00CA0715">
            <w:pPr>
              <w:spacing w:before="120" w:after="120" w:line="240" w:lineRule="auto"/>
              <w:contextualSpacing/>
              <w:rPr>
                <w:rFonts w:ascii="Times New Roman" w:eastAsia="Times New Roman" w:hAnsi="Times New Roman" w:cs="Times New Roman"/>
              </w:rPr>
            </w:pPr>
          </w:p>
          <w:p w14:paraId="6A778BF5"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MLGRD;</w:t>
            </w:r>
          </w:p>
          <w:p w14:paraId="0741389C"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EPA</w:t>
            </w:r>
            <w:r>
              <w:rPr>
                <w:rFonts w:ascii="Times New Roman" w:eastAsia="Times New Roman" w:hAnsi="Times New Roman" w:cs="Times New Roman"/>
              </w:rPr>
              <w:t>/OHLGS</w:t>
            </w:r>
          </w:p>
        </w:tc>
        <w:tc>
          <w:tcPr>
            <w:tcW w:w="1020" w:type="pct"/>
          </w:tcPr>
          <w:p w14:paraId="6C255CC9" w14:textId="77777777" w:rsidR="00AA27F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 xml:space="preserve">Issuance of the updated screening </w:t>
            </w:r>
            <w:r>
              <w:rPr>
                <w:rFonts w:ascii="Times New Roman" w:eastAsia="Times New Roman" w:hAnsi="Times New Roman" w:cs="Times New Roman"/>
              </w:rPr>
              <w:t xml:space="preserve">template </w:t>
            </w:r>
            <w:r w:rsidRPr="003E2BD8">
              <w:rPr>
                <w:rFonts w:ascii="Times New Roman" w:eastAsia="Times New Roman" w:hAnsi="Times New Roman" w:cs="Times New Roman"/>
              </w:rPr>
              <w:t xml:space="preserve">form by </w:t>
            </w:r>
            <w:r>
              <w:rPr>
                <w:rFonts w:ascii="Times New Roman" w:eastAsia="Times New Roman" w:hAnsi="Times New Roman" w:cs="Times New Roman"/>
              </w:rPr>
              <w:t>/EPA Regional /District Offices</w:t>
            </w:r>
          </w:p>
          <w:p w14:paraId="706579FC" w14:textId="77777777" w:rsidR="00AA27F8" w:rsidRDefault="00AA27F8" w:rsidP="00CA0715">
            <w:pPr>
              <w:spacing w:before="120" w:after="120" w:line="240" w:lineRule="auto"/>
              <w:contextualSpacing/>
              <w:rPr>
                <w:rFonts w:ascii="Times New Roman" w:eastAsia="Times New Roman" w:hAnsi="Times New Roman" w:cs="Times New Roman"/>
              </w:rPr>
            </w:pPr>
          </w:p>
          <w:p w14:paraId="0005B934"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Pr>
                <w:rFonts w:ascii="Times New Roman" w:eastAsia="Times New Roman" w:hAnsi="Times New Roman" w:cs="Times New Roman"/>
              </w:rPr>
              <w:t>Intensive sensitization of all key stakeholders at Regional and MMA levels</w:t>
            </w:r>
          </w:p>
          <w:p w14:paraId="769EAEB8"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40A1B6D7"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16F03066"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177D67D0"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4104573A"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5E931C8B"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4CBADD7B"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Issuance of the Updated Sectoral Guidelines by the EPA MLGRD, MMAs and consultants</w:t>
            </w:r>
          </w:p>
        </w:tc>
      </w:tr>
      <w:tr w:rsidR="00AA27F8" w:rsidRPr="003E2BD8" w14:paraId="28EA5805" w14:textId="77777777" w:rsidTr="00CA0715">
        <w:tc>
          <w:tcPr>
            <w:tcW w:w="807" w:type="pct"/>
          </w:tcPr>
          <w:p w14:paraId="3372D7CE"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Some types of PAPs are excluded from ARAPs</w:t>
            </w:r>
          </w:p>
        </w:tc>
        <w:tc>
          <w:tcPr>
            <w:tcW w:w="1847" w:type="pct"/>
          </w:tcPr>
          <w:p w14:paraId="57CDD7CB" w14:textId="77777777" w:rsidR="00AA27F8" w:rsidRPr="003E2BD8" w:rsidRDefault="00AA27F8" w:rsidP="00CA0715">
            <w:pPr>
              <w:pStyle w:val="ListParagraph"/>
              <w:numPr>
                <w:ilvl w:val="0"/>
                <w:numId w:val="35"/>
              </w:numPr>
              <w:spacing w:before="120" w:after="120" w:line="240" w:lineRule="auto"/>
              <w:rPr>
                <w:rFonts w:ascii="Times New Roman" w:eastAsia="Times New Roman" w:hAnsi="Times New Roman" w:cs="Times New Roman"/>
                <w:lang w:val="x-none" w:eastAsia="x-none"/>
              </w:rPr>
            </w:pPr>
            <w:r w:rsidRPr="003E2BD8">
              <w:rPr>
                <w:rFonts w:ascii="Times New Roman" w:eastAsia="Times New Roman" w:hAnsi="Times New Roman" w:cs="Times New Roman"/>
                <w:lang w:eastAsia="x-none"/>
              </w:rPr>
              <w:t>Adopt a</w:t>
            </w:r>
            <w:r>
              <w:rPr>
                <w:rFonts w:ascii="Times New Roman" w:eastAsia="Times New Roman" w:hAnsi="Times New Roman" w:cs="Times New Roman"/>
                <w:lang w:eastAsia="x-none"/>
              </w:rPr>
              <w:t>and</w:t>
            </w:r>
            <w:r w:rsidRPr="003E2BD8">
              <w:rPr>
                <w:rFonts w:ascii="Times New Roman" w:eastAsia="Times New Roman" w:hAnsi="Times New Roman" w:cs="Times New Roman"/>
                <w:lang w:eastAsia="x-none"/>
              </w:rPr>
              <w:t xml:space="preserve"> update </w:t>
            </w:r>
            <w:r>
              <w:rPr>
                <w:rFonts w:ascii="Times New Roman" w:eastAsia="Times New Roman" w:hAnsi="Times New Roman" w:cs="Times New Roman"/>
                <w:lang w:eastAsia="x-none"/>
              </w:rPr>
              <w:t xml:space="preserve">the </w:t>
            </w:r>
            <w:r w:rsidRPr="003E2BD8">
              <w:rPr>
                <w:rFonts w:ascii="Times New Roman" w:eastAsia="Times New Roman" w:hAnsi="Times New Roman" w:cs="Times New Roman"/>
                <w:lang w:eastAsia="x-none"/>
              </w:rPr>
              <w:t xml:space="preserve"> Resettlement Policy Framework used in the LGCSP to </w:t>
            </w:r>
            <w:r w:rsidRPr="003E2BD8">
              <w:rPr>
                <w:rFonts w:ascii="Times New Roman" w:eastAsia="Times New Roman" w:hAnsi="Times New Roman" w:cs="Times New Roman"/>
                <w:lang w:val="en-GB" w:eastAsia="x-none"/>
              </w:rPr>
              <w:t>reflect the experiences and lessons learned, including identification of different types of PAPs, entitlement matrix</w:t>
            </w:r>
            <w:r w:rsidRPr="003E2BD8">
              <w:rPr>
                <w:rFonts w:ascii="Times New Roman" w:eastAsia="Times New Roman" w:hAnsi="Times New Roman" w:cs="Times New Roman"/>
                <w:lang w:eastAsia="x-none"/>
              </w:rPr>
              <w:t xml:space="preserve"> that recognizes and provides entitlements to different kinds of PAPs, </w:t>
            </w:r>
            <w:r w:rsidRPr="003E2BD8">
              <w:rPr>
                <w:rFonts w:ascii="Times New Roman" w:eastAsia="Times New Roman" w:hAnsi="Times New Roman" w:cs="Times New Roman"/>
                <w:lang w:val="en-GB" w:eastAsia="x-none"/>
              </w:rPr>
              <w:t>consultations and disclosure, monitoring &amp; reporting and grievance redress.</w:t>
            </w:r>
          </w:p>
        </w:tc>
        <w:tc>
          <w:tcPr>
            <w:tcW w:w="682" w:type="pct"/>
          </w:tcPr>
          <w:p w14:paraId="0EDC7E69"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Prior to Program effectiveness</w:t>
            </w:r>
          </w:p>
        </w:tc>
        <w:tc>
          <w:tcPr>
            <w:tcW w:w="644" w:type="pct"/>
          </w:tcPr>
          <w:p w14:paraId="3BEA38B1"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MLGRD;</w:t>
            </w:r>
          </w:p>
          <w:p w14:paraId="238DC122"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Land Valuation Division</w:t>
            </w:r>
          </w:p>
        </w:tc>
        <w:tc>
          <w:tcPr>
            <w:tcW w:w="1020" w:type="pct"/>
          </w:tcPr>
          <w:p w14:paraId="1036FF3C"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Issuance of the updated RPF by MLGRD to all MMAs</w:t>
            </w:r>
          </w:p>
        </w:tc>
      </w:tr>
      <w:tr w:rsidR="00AA27F8" w:rsidRPr="003E2BD8" w14:paraId="2999AACE" w14:textId="77777777" w:rsidTr="00CA0715">
        <w:tc>
          <w:tcPr>
            <w:tcW w:w="807" w:type="pct"/>
          </w:tcPr>
          <w:p w14:paraId="413F8CA3"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Streamline Compensation procedures that ensure the LVD validates assessed values before payment to PAPs</w:t>
            </w:r>
          </w:p>
        </w:tc>
        <w:tc>
          <w:tcPr>
            <w:tcW w:w="1847" w:type="pct"/>
          </w:tcPr>
          <w:p w14:paraId="3E03145E" w14:textId="77777777" w:rsidR="00AA27F8" w:rsidRPr="003E2BD8" w:rsidRDefault="00AA27F8" w:rsidP="00CA0715">
            <w:pPr>
              <w:pStyle w:val="ListParagraph"/>
              <w:numPr>
                <w:ilvl w:val="0"/>
                <w:numId w:val="35"/>
              </w:numPr>
              <w:spacing w:before="120" w:after="120" w:line="240" w:lineRule="auto"/>
              <w:rPr>
                <w:rFonts w:ascii="Times New Roman" w:eastAsia="Times New Roman" w:hAnsi="Times New Roman" w:cs="Times New Roman"/>
                <w:lang w:eastAsia="x-none"/>
              </w:rPr>
            </w:pPr>
            <w:r w:rsidRPr="003E2BD8">
              <w:rPr>
                <w:rFonts w:ascii="Times New Roman" w:eastAsia="Times New Roman" w:hAnsi="Times New Roman" w:cs="Times New Roman"/>
                <w:lang w:eastAsia="x-none"/>
              </w:rPr>
              <w:t xml:space="preserve">Develop guidelines to  ensure that, where consultancy services are outsourced to Private entities for the preparation of ARAPs, there is clear directive and protocol for collaboration with the LVD. </w:t>
            </w:r>
          </w:p>
        </w:tc>
        <w:tc>
          <w:tcPr>
            <w:tcW w:w="682" w:type="pct"/>
          </w:tcPr>
          <w:p w14:paraId="17313B1C"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Prior to Program Implementation</w:t>
            </w:r>
          </w:p>
        </w:tc>
        <w:tc>
          <w:tcPr>
            <w:tcW w:w="644" w:type="pct"/>
          </w:tcPr>
          <w:p w14:paraId="56B5564C"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MLGRD/MMAs/LVD</w:t>
            </w:r>
          </w:p>
        </w:tc>
        <w:tc>
          <w:tcPr>
            <w:tcW w:w="1020" w:type="pct"/>
          </w:tcPr>
          <w:p w14:paraId="05BC7323"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Terms of Reference for ARAP consultancy services</w:t>
            </w:r>
          </w:p>
        </w:tc>
      </w:tr>
      <w:tr w:rsidR="00AA27F8" w:rsidRPr="003E2BD8" w14:paraId="73C32D84" w14:textId="77777777" w:rsidTr="00CA0715">
        <w:trPr>
          <w:trHeight w:val="85"/>
        </w:trPr>
        <w:tc>
          <w:tcPr>
            <w:tcW w:w="807" w:type="pct"/>
          </w:tcPr>
          <w:p w14:paraId="073A774F"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Non-compliance of MMAs to Program E &amp; S requirements</w:t>
            </w:r>
          </w:p>
        </w:tc>
        <w:tc>
          <w:tcPr>
            <w:tcW w:w="1847" w:type="pct"/>
          </w:tcPr>
          <w:p w14:paraId="68FFB656" w14:textId="77777777" w:rsidR="00AA27F8" w:rsidRPr="003E2BD8" w:rsidRDefault="00AA27F8" w:rsidP="00CA0715">
            <w:pPr>
              <w:pStyle w:val="ListParagraph"/>
              <w:numPr>
                <w:ilvl w:val="0"/>
                <w:numId w:val="35"/>
              </w:numPr>
              <w:tabs>
                <w:tab w:val="left" w:pos="360"/>
              </w:tabs>
              <w:spacing w:before="120" w:after="120" w:line="240" w:lineRule="auto"/>
              <w:rPr>
                <w:rFonts w:ascii="Times New Roman" w:eastAsia="Times New Roman" w:hAnsi="Times New Roman" w:cs="Times New Roman"/>
                <w:i/>
                <w:lang w:val="en-GB" w:eastAsia="x-none"/>
              </w:rPr>
            </w:pPr>
            <w:r w:rsidRPr="003E2BD8">
              <w:rPr>
                <w:rFonts w:ascii="Times New Roman" w:eastAsia="Calibri" w:hAnsi="Times New Roman" w:cs="Times New Roman"/>
                <w:iCs/>
              </w:rPr>
              <w:t>Annual E &amp; S performance review of  MMAs to validate existence of a functional E &amp; S system and assess compliance.</w:t>
            </w:r>
          </w:p>
        </w:tc>
        <w:tc>
          <w:tcPr>
            <w:tcW w:w="682" w:type="pct"/>
          </w:tcPr>
          <w:p w14:paraId="3502FAA1"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Program implementation</w:t>
            </w:r>
          </w:p>
        </w:tc>
        <w:tc>
          <w:tcPr>
            <w:tcW w:w="644" w:type="pct"/>
          </w:tcPr>
          <w:p w14:paraId="4E55AFDB"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MLGRD;</w:t>
            </w:r>
          </w:p>
          <w:p w14:paraId="48483555"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EPA;</w:t>
            </w:r>
          </w:p>
          <w:p w14:paraId="1532D061"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Independent consultants</w:t>
            </w:r>
          </w:p>
        </w:tc>
        <w:tc>
          <w:tcPr>
            <w:tcW w:w="1020" w:type="pct"/>
          </w:tcPr>
          <w:p w14:paraId="5970CC30" w14:textId="77777777" w:rsidR="00AA27F8" w:rsidRPr="003E2BD8" w:rsidRDefault="00AA27F8" w:rsidP="00CA0715">
            <w:pPr>
              <w:spacing w:before="120" w:after="120" w:line="240" w:lineRule="auto"/>
              <w:contextualSpacing/>
              <w:rPr>
                <w:rFonts w:ascii="Times New Roman" w:eastAsia="Times New Roman" w:hAnsi="Times New Roman" w:cs="Times New Roman"/>
                <w:bCs/>
              </w:rPr>
            </w:pPr>
            <w:r w:rsidRPr="003E2BD8">
              <w:rPr>
                <w:rFonts w:ascii="Times New Roman" w:eastAsia="Times New Roman" w:hAnsi="Times New Roman" w:cs="Times New Roman"/>
                <w:bCs/>
              </w:rPr>
              <w:t>Terms of reference for the performance review</w:t>
            </w:r>
          </w:p>
          <w:p w14:paraId="57563B0E" w14:textId="77777777" w:rsidR="00AA27F8" w:rsidRPr="003E2BD8" w:rsidRDefault="00AA27F8" w:rsidP="00CA0715">
            <w:pPr>
              <w:spacing w:before="120" w:after="120" w:line="240" w:lineRule="auto"/>
              <w:contextualSpacing/>
              <w:rPr>
                <w:rFonts w:ascii="Times New Roman" w:eastAsia="Times New Roman" w:hAnsi="Times New Roman" w:cs="Times New Roman"/>
                <w:bCs/>
              </w:rPr>
            </w:pPr>
          </w:p>
          <w:p w14:paraId="22247E53" w14:textId="77777777" w:rsidR="00AA27F8" w:rsidRPr="003E2BD8" w:rsidRDefault="00AA27F8" w:rsidP="00CA0715">
            <w:pPr>
              <w:spacing w:before="120" w:after="120" w:line="240" w:lineRule="auto"/>
              <w:contextualSpacing/>
              <w:rPr>
                <w:rFonts w:ascii="Times New Roman" w:eastAsia="Times New Roman" w:hAnsi="Times New Roman" w:cs="Times New Roman"/>
                <w:bCs/>
              </w:rPr>
            </w:pPr>
            <w:r w:rsidRPr="003E2BD8">
              <w:rPr>
                <w:rFonts w:ascii="Times New Roman" w:eastAsia="Times New Roman" w:hAnsi="Times New Roman" w:cs="Times New Roman"/>
                <w:bCs/>
              </w:rPr>
              <w:t>Performance Review Report</w:t>
            </w:r>
          </w:p>
          <w:p w14:paraId="6D0F01C1"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tc>
      </w:tr>
      <w:tr w:rsidR="00AA27F8" w:rsidRPr="003E2BD8" w14:paraId="7E6BD431" w14:textId="77777777" w:rsidTr="00CA0715">
        <w:trPr>
          <w:trHeight w:val="85"/>
        </w:trPr>
        <w:tc>
          <w:tcPr>
            <w:tcW w:w="807" w:type="pct"/>
          </w:tcPr>
          <w:p w14:paraId="21B60A14"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Limited awareness and inconsistency of MMA in environment and social mgt., service delivery standards and measurement</w:t>
            </w:r>
          </w:p>
        </w:tc>
        <w:tc>
          <w:tcPr>
            <w:tcW w:w="1847" w:type="pct"/>
          </w:tcPr>
          <w:p w14:paraId="5FAD751C" w14:textId="77777777" w:rsidR="00AA27F8" w:rsidRPr="003E2BD8" w:rsidRDefault="00AA27F8" w:rsidP="00CA0715">
            <w:pPr>
              <w:pStyle w:val="ListParagraph"/>
              <w:numPr>
                <w:ilvl w:val="0"/>
                <w:numId w:val="35"/>
              </w:numPr>
              <w:spacing w:before="120" w:after="120" w:line="240" w:lineRule="auto"/>
              <w:rPr>
                <w:rFonts w:ascii="Times New Roman" w:eastAsia="Times New Roman" w:hAnsi="Times New Roman" w:cs="Times New Roman"/>
                <w:lang w:val="en-GB" w:eastAsia="x-none"/>
              </w:rPr>
            </w:pPr>
            <w:r w:rsidRPr="003E2BD8">
              <w:rPr>
                <w:rFonts w:ascii="Times New Roman" w:eastAsia="Times New Roman" w:hAnsi="Times New Roman" w:cs="Times New Roman"/>
                <w:lang w:val="en-GB" w:eastAsia="x-none"/>
              </w:rPr>
              <w:t>Strengthen consultations, information disclosure and grievance redress by developing guidelines on consultations and stakeholder engagement;</w:t>
            </w:r>
            <w:r>
              <w:rPr>
                <w:rFonts w:ascii="Times New Roman" w:eastAsia="Times New Roman" w:hAnsi="Times New Roman" w:cs="Times New Roman"/>
                <w:lang w:val="en-GB" w:eastAsia="x-none"/>
              </w:rPr>
              <w:t xml:space="preserve"> and grievance redress</w:t>
            </w:r>
          </w:p>
          <w:p w14:paraId="1C7296D4" w14:textId="77777777" w:rsidR="00AA27F8" w:rsidRPr="003E2BD8" w:rsidRDefault="00AA27F8" w:rsidP="00CA0715">
            <w:pPr>
              <w:pStyle w:val="ListParagraph"/>
              <w:numPr>
                <w:ilvl w:val="0"/>
                <w:numId w:val="35"/>
              </w:numPr>
              <w:spacing w:before="120" w:after="120" w:line="240" w:lineRule="auto"/>
              <w:rPr>
                <w:rFonts w:ascii="Times New Roman" w:eastAsia="Times New Roman" w:hAnsi="Times New Roman" w:cs="Times New Roman"/>
              </w:rPr>
            </w:pPr>
            <w:r w:rsidRPr="003E2BD8">
              <w:rPr>
                <w:rFonts w:ascii="Times New Roman" w:eastAsia="Times New Roman" w:hAnsi="Times New Roman" w:cs="Times New Roman"/>
                <w:lang w:val="en-GB" w:eastAsia="x-none"/>
              </w:rPr>
              <w:t xml:space="preserve">Making MMA grievance redress functional and operational </w:t>
            </w:r>
          </w:p>
          <w:p w14:paraId="73110CD1" w14:textId="77777777" w:rsidR="00AA27F8" w:rsidRPr="003E2BD8" w:rsidRDefault="00AA27F8" w:rsidP="00CA0715">
            <w:pPr>
              <w:pStyle w:val="ListParagraph"/>
              <w:numPr>
                <w:ilvl w:val="0"/>
                <w:numId w:val="35"/>
              </w:numPr>
              <w:spacing w:before="120" w:after="120" w:line="240" w:lineRule="auto"/>
              <w:rPr>
                <w:rFonts w:ascii="Times New Roman" w:eastAsia="Times New Roman" w:hAnsi="Times New Roman" w:cs="Times New Roman"/>
              </w:rPr>
            </w:pPr>
            <w:r w:rsidRPr="003E2BD8">
              <w:rPr>
                <w:rFonts w:ascii="Times New Roman" w:eastAsia="Times New Roman" w:hAnsi="Times New Roman" w:cs="Times New Roman"/>
                <w:lang w:val="en-GB" w:eastAsia="x-none"/>
              </w:rPr>
              <w:t>Set up Grievance Redress Committees at the local level where Program activities are to be implemented in accordance with the structure developed in the approved RPF</w:t>
            </w:r>
          </w:p>
        </w:tc>
        <w:tc>
          <w:tcPr>
            <w:tcW w:w="682" w:type="pct"/>
          </w:tcPr>
          <w:p w14:paraId="7025AAE7"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Year 1 of the Program</w:t>
            </w:r>
          </w:p>
          <w:p w14:paraId="701A5F38" w14:textId="77777777" w:rsidR="00AA27F8" w:rsidRPr="003E2BD8" w:rsidRDefault="00AA27F8" w:rsidP="00CA0715">
            <w:pPr>
              <w:spacing w:before="120" w:after="120" w:line="240" w:lineRule="auto"/>
              <w:rPr>
                <w:rFonts w:ascii="Times New Roman" w:eastAsia="Times New Roman" w:hAnsi="Times New Roman" w:cs="Times New Roman"/>
              </w:rPr>
            </w:pPr>
          </w:p>
          <w:p w14:paraId="3EC3D890" w14:textId="77777777" w:rsidR="00AA27F8" w:rsidRPr="003E2BD8" w:rsidRDefault="00AA27F8" w:rsidP="00CA0715">
            <w:pPr>
              <w:spacing w:before="120" w:after="120" w:line="240" w:lineRule="auto"/>
              <w:rPr>
                <w:rFonts w:ascii="Times New Roman" w:eastAsia="Times New Roman" w:hAnsi="Times New Roman" w:cs="Times New Roman"/>
              </w:rPr>
            </w:pPr>
          </w:p>
          <w:p w14:paraId="7A57D178" w14:textId="77777777" w:rsidR="00AA27F8" w:rsidRPr="003E2BD8" w:rsidRDefault="00AA27F8" w:rsidP="00CA0715">
            <w:pPr>
              <w:spacing w:before="120" w:after="120" w:line="240" w:lineRule="auto"/>
              <w:rPr>
                <w:rFonts w:ascii="Times New Roman" w:eastAsia="Times New Roman" w:hAnsi="Times New Roman" w:cs="Times New Roman"/>
              </w:rPr>
            </w:pPr>
          </w:p>
          <w:p w14:paraId="160BDB89" w14:textId="77777777" w:rsidR="00AA27F8" w:rsidRPr="003E2BD8" w:rsidRDefault="00AA27F8" w:rsidP="00CA0715">
            <w:pPr>
              <w:spacing w:before="120" w:after="120" w:line="240" w:lineRule="auto"/>
              <w:rPr>
                <w:rFonts w:ascii="Times New Roman" w:eastAsia="Times New Roman" w:hAnsi="Times New Roman" w:cs="Times New Roman"/>
              </w:rPr>
            </w:pPr>
          </w:p>
          <w:p w14:paraId="5FF1E2D2" w14:textId="77777777" w:rsidR="00AA27F8" w:rsidRPr="003E2BD8" w:rsidRDefault="00AA27F8" w:rsidP="00CA0715">
            <w:pPr>
              <w:spacing w:before="120" w:after="120" w:line="240" w:lineRule="auto"/>
              <w:rPr>
                <w:rFonts w:ascii="Times New Roman" w:eastAsia="Times New Roman" w:hAnsi="Times New Roman" w:cs="Times New Roman"/>
              </w:rPr>
            </w:pPr>
          </w:p>
          <w:p w14:paraId="5D977A23" w14:textId="77777777" w:rsidR="00AA27F8" w:rsidRPr="003E2BD8" w:rsidRDefault="00AA27F8" w:rsidP="00CA0715">
            <w:pPr>
              <w:spacing w:before="120" w:after="120" w:line="240" w:lineRule="auto"/>
              <w:rPr>
                <w:rFonts w:ascii="Times New Roman" w:eastAsia="Times New Roman" w:hAnsi="Times New Roman" w:cs="Times New Roman"/>
              </w:rPr>
            </w:pPr>
          </w:p>
          <w:p w14:paraId="1735877B" w14:textId="77777777" w:rsidR="00AA27F8" w:rsidRPr="003E2BD8" w:rsidRDefault="00AA27F8" w:rsidP="00CA0715">
            <w:pPr>
              <w:spacing w:before="120" w:after="120" w:line="240" w:lineRule="auto"/>
              <w:rPr>
                <w:rFonts w:ascii="Times New Roman" w:eastAsia="Times New Roman" w:hAnsi="Times New Roman" w:cs="Times New Roman"/>
              </w:rPr>
            </w:pPr>
          </w:p>
          <w:p w14:paraId="7B9B2956" w14:textId="77777777" w:rsidR="00AA27F8" w:rsidRPr="003E2BD8" w:rsidRDefault="00AA27F8" w:rsidP="00CA0715">
            <w:pPr>
              <w:spacing w:before="120" w:after="120" w:line="240" w:lineRule="auto"/>
              <w:rPr>
                <w:rFonts w:ascii="Times New Roman" w:eastAsia="Times New Roman" w:hAnsi="Times New Roman" w:cs="Times New Roman"/>
              </w:rPr>
            </w:pPr>
            <w:r w:rsidRPr="003E2BD8">
              <w:rPr>
                <w:rFonts w:ascii="Times New Roman" w:eastAsia="Times New Roman" w:hAnsi="Times New Roman" w:cs="Times New Roman"/>
              </w:rPr>
              <w:t>Within six months of the Program</w:t>
            </w:r>
          </w:p>
          <w:p w14:paraId="0A8DB62A" w14:textId="77777777" w:rsidR="00AA27F8" w:rsidRPr="003E2BD8" w:rsidRDefault="00AA27F8" w:rsidP="00CA0715">
            <w:pPr>
              <w:spacing w:before="120" w:after="120" w:line="240" w:lineRule="auto"/>
              <w:rPr>
                <w:rFonts w:ascii="Times New Roman" w:eastAsia="Times New Roman" w:hAnsi="Times New Roman" w:cs="Times New Roman"/>
              </w:rPr>
            </w:pPr>
          </w:p>
        </w:tc>
        <w:tc>
          <w:tcPr>
            <w:tcW w:w="644" w:type="pct"/>
          </w:tcPr>
          <w:p w14:paraId="79922EB7"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MLGRD;</w:t>
            </w:r>
          </w:p>
          <w:p w14:paraId="78170AED"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MMA</w:t>
            </w:r>
            <w:r>
              <w:rPr>
                <w:rFonts w:ascii="Times New Roman" w:eastAsia="Times New Roman" w:hAnsi="Times New Roman" w:cs="Times New Roman"/>
              </w:rPr>
              <w:t xml:space="preserve"> in close collaboration with EPA/OHLGS</w:t>
            </w:r>
          </w:p>
          <w:p w14:paraId="270B2E65"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72FF9BC0"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53070464"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4F40630B"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74247A5B"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 xml:space="preserve">MLGRD; </w:t>
            </w:r>
          </w:p>
          <w:p w14:paraId="3676DB56"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MMA</w:t>
            </w:r>
          </w:p>
          <w:p w14:paraId="08C949D6"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2D22572F"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MLGRD/MMA</w:t>
            </w:r>
          </w:p>
          <w:p w14:paraId="197761A5"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13E9B9EE"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tc>
        <w:tc>
          <w:tcPr>
            <w:tcW w:w="1020" w:type="pct"/>
          </w:tcPr>
          <w:p w14:paraId="088EA1C7"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Guidance on Stakeholder Consultation and Engagement</w:t>
            </w:r>
            <w:r>
              <w:rPr>
                <w:rFonts w:ascii="Times New Roman" w:eastAsia="Times New Roman" w:hAnsi="Times New Roman" w:cs="Times New Roman"/>
              </w:rPr>
              <w:t xml:space="preserve"> and grievance redress</w:t>
            </w:r>
          </w:p>
          <w:p w14:paraId="62E0F940"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6BC701A9"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4C97A26F"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Records of grievances and resolutions of those grievances</w:t>
            </w:r>
          </w:p>
          <w:p w14:paraId="703F67D8" w14:textId="77777777" w:rsidR="00AA27F8" w:rsidRPr="003E2BD8" w:rsidRDefault="00AA27F8" w:rsidP="00CA0715">
            <w:pPr>
              <w:spacing w:before="120" w:after="120" w:line="240" w:lineRule="auto"/>
              <w:rPr>
                <w:rFonts w:ascii="Times New Roman" w:eastAsia="Times New Roman" w:hAnsi="Times New Roman" w:cs="Times New Roman"/>
              </w:rPr>
            </w:pPr>
          </w:p>
          <w:p w14:paraId="4B7FBC69" w14:textId="77777777" w:rsidR="00AA27F8" w:rsidRPr="003E2BD8" w:rsidRDefault="00AA27F8" w:rsidP="00CA0715">
            <w:pPr>
              <w:spacing w:before="120" w:after="120" w:line="240" w:lineRule="auto"/>
              <w:rPr>
                <w:rFonts w:ascii="Times New Roman" w:eastAsia="Times New Roman" w:hAnsi="Times New Roman" w:cs="Times New Roman"/>
              </w:rPr>
            </w:pPr>
            <w:r w:rsidRPr="003E2BD8">
              <w:rPr>
                <w:rFonts w:ascii="Times New Roman" w:eastAsia="Times New Roman" w:hAnsi="Times New Roman" w:cs="Times New Roman"/>
              </w:rPr>
              <w:t>Implementation report with list of membership and training needs required</w:t>
            </w:r>
          </w:p>
        </w:tc>
      </w:tr>
      <w:tr w:rsidR="00AA27F8" w:rsidRPr="003E2BD8" w14:paraId="5787EEFD" w14:textId="77777777" w:rsidTr="00CA0715">
        <w:tc>
          <w:tcPr>
            <w:tcW w:w="807" w:type="pct"/>
          </w:tcPr>
          <w:p w14:paraId="09B86A05"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Inadequate E &amp; S capacity</w:t>
            </w:r>
          </w:p>
        </w:tc>
        <w:tc>
          <w:tcPr>
            <w:tcW w:w="1847" w:type="pct"/>
          </w:tcPr>
          <w:p w14:paraId="02C7EC01" w14:textId="77777777" w:rsidR="00AA27F8" w:rsidRPr="003E2BD8" w:rsidRDefault="00AA27F8" w:rsidP="00CA0715">
            <w:pPr>
              <w:pStyle w:val="ListParagraph"/>
              <w:numPr>
                <w:ilvl w:val="0"/>
                <w:numId w:val="35"/>
              </w:numPr>
              <w:spacing w:before="120" w:after="120" w:line="240" w:lineRule="auto"/>
              <w:rPr>
                <w:rFonts w:ascii="Times New Roman" w:eastAsia="Times New Roman" w:hAnsi="Times New Roman" w:cs="Times New Roman"/>
                <w:lang w:eastAsia="x-none"/>
              </w:rPr>
            </w:pPr>
            <w:r w:rsidRPr="003E2BD8">
              <w:rPr>
                <w:rFonts w:ascii="Times New Roman" w:eastAsia="Times New Roman" w:hAnsi="Times New Roman" w:cs="Times New Roman"/>
                <w:lang w:eastAsia="x-none"/>
              </w:rPr>
              <w:t>MOU with EPA Training Institute to develop and deliver training modules to MLGRD, EPA staff MMAs and their</w:t>
            </w:r>
            <w:r>
              <w:rPr>
                <w:rFonts w:ascii="Times New Roman" w:eastAsia="Times New Roman" w:hAnsi="Times New Roman" w:cs="Times New Roman"/>
                <w:lang w:eastAsia="x-none"/>
              </w:rPr>
              <w:t xml:space="preserve"> E &amp; S consultants</w:t>
            </w:r>
            <w:r w:rsidRPr="003E2BD8">
              <w:rPr>
                <w:rFonts w:ascii="Times New Roman" w:eastAsia="Times New Roman" w:hAnsi="Times New Roman" w:cs="Times New Roman"/>
                <w:lang w:eastAsia="x-none"/>
              </w:rPr>
              <w:t>.</w:t>
            </w:r>
          </w:p>
          <w:p w14:paraId="4AB59FF4" w14:textId="77777777" w:rsidR="00AA27F8" w:rsidRPr="003E2BD8" w:rsidRDefault="00AA27F8" w:rsidP="00CA0715">
            <w:pPr>
              <w:pStyle w:val="ListParagraph"/>
              <w:spacing w:before="120" w:after="120" w:line="240" w:lineRule="auto"/>
              <w:rPr>
                <w:rFonts w:ascii="Times New Roman" w:eastAsia="Times New Roman" w:hAnsi="Times New Roman" w:cs="Times New Roman"/>
                <w:lang w:eastAsia="x-none"/>
              </w:rPr>
            </w:pPr>
          </w:p>
          <w:p w14:paraId="34C63952" w14:textId="77777777" w:rsidR="00AA27F8" w:rsidRPr="003E2BD8" w:rsidRDefault="00AA27F8" w:rsidP="00CA0715">
            <w:pPr>
              <w:pStyle w:val="ListParagraph"/>
              <w:numPr>
                <w:ilvl w:val="0"/>
                <w:numId w:val="35"/>
              </w:numPr>
              <w:spacing w:before="120" w:after="120" w:line="240" w:lineRule="auto"/>
              <w:rPr>
                <w:rFonts w:ascii="Times New Roman" w:eastAsia="Times New Roman" w:hAnsi="Times New Roman" w:cs="Times New Roman"/>
                <w:lang w:eastAsia="x-none"/>
              </w:rPr>
            </w:pPr>
            <w:r w:rsidRPr="003E2BD8">
              <w:rPr>
                <w:rFonts w:ascii="Times New Roman" w:eastAsia="Times New Roman" w:hAnsi="Times New Roman" w:cs="Times New Roman"/>
                <w:lang w:eastAsia="x-none"/>
              </w:rPr>
              <w:t>Development and delivery of training modules/ programs to include, at the minimum:</w:t>
            </w:r>
          </w:p>
          <w:p w14:paraId="3391DBED" w14:textId="77777777" w:rsidR="00AA27F8" w:rsidRPr="003E2BD8" w:rsidRDefault="00AA27F8" w:rsidP="00CA0715">
            <w:pPr>
              <w:pStyle w:val="ListParagraph"/>
              <w:numPr>
                <w:ilvl w:val="0"/>
                <w:numId w:val="36"/>
              </w:numPr>
              <w:spacing w:before="120" w:after="120" w:line="240" w:lineRule="auto"/>
              <w:rPr>
                <w:rFonts w:ascii="Times New Roman" w:eastAsia="Times New Roman" w:hAnsi="Times New Roman" w:cs="Times New Roman"/>
                <w:lang w:eastAsia="x-none"/>
              </w:rPr>
            </w:pPr>
            <w:r w:rsidRPr="003E2BD8">
              <w:rPr>
                <w:rFonts w:ascii="Times New Roman" w:eastAsia="Times New Roman" w:hAnsi="Times New Roman" w:cs="Times New Roman"/>
                <w:lang w:eastAsia="x-none"/>
              </w:rPr>
              <w:t>Environmental and Social Screening</w:t>
            </w:r>
          </w:p>
          <w:p w14:paraId="7DAEE477" w14:textId="77777777" w:rsidR="00AA27F8" w:rsidRPr="003E2BD8" w:rsidRDefault="00AA27F8" w:rsidP="00CA0715">
            <w:pPr>
              <w:pStyle w:val="ListParagraph"/>
              <w:numPr>
                <w:ilvl w:val="0"/>
                <w:numId w:val="36"/>
              </w:numPr>
              <w:spacing w:before="120" w:after="120" w:line="240" w:lineRule="auto"/>
              <w:rPr>
                <w:rFonts w:ascii="Times New Roman" w:eastAsia="Times New Roman" w:hAnsi="Times New Roman" w:cs="Times New Roman"/>
                <w:lang w:eastAsia="x-none"/>
              </w:rPr>
            </w:pPr>
            <w:r w:rsidRPr="003E2BD8">
              <w:rPr>
                <w:rFonts w:ascii="Times New Roman" w:eastAsia="Times New Roman" w:hAnsi="Times New Roman" w:cs="Times New Roman"/>
                <w:lang w:eastAsia="x-none"/>
              </w:rPr>
              <w:t>Use of EA sectoral guidelines</w:t>
            </w:r>
          </w:p>
          <w:p w14:paraId="397FB379" w14:textId="77777777" w:rsidR="00AA27F8" w:rsidRPr="003E2BD8" w:rsidRDefault="00AA27F8" w:rsidP="00CA0715">
            <w:pPr>
              <w:pStyle w:val="ListParagraph"/>
              <w:numPr>
                <w:ilvl w:val="0"/>
                <w:numId w:val="36"/>
              </w:numPr>
              <w:spacing w:before="120" w:after="120" w:line="240" w:lineRule="auto"/>
              <w:rPr>
                <w:rFonts w:ascii="Times New Roman" w:eastAsia="Times New Roman" w:hAnsi="Times New Roman" w:cs="Times New Roman"/>
                <w:lang w:eastAsia="x-none"/>
              </w:rPr>
            </w:pPr>
            <w:r w:rsidRPr="003E2BD8">
              <w:rPr>
                <w:rFonts w:ascii="Times New Roman" w:eastAsia="Times New Roman" w:hAnsi="Times New Roman" w:cs="Times New Roman"/>
                <w:lang w:eastAsia="x-none"/>
              </w:rPr>
              <w:t>Use of RPF and resettlement action planning</w:t>
            </w:r>
          </w:p>
          <w:p w14:paraId="731507BD" w14:textId="77777777" w:rsidR="00AA27F8" w:rsidRPr="003E2BD8" w:rsidRDefault="00AA27F8" w:rsidP="00CA0715">
            <w:pPr>
              <w:pStyle w:val="ListParagraph"/>
              <w:numPr>
                <w:ilvl w:val="0"/>
                <w:numId w:val="36"/>
              </w:numPr>
              <w:spacing w:before="120" w:after="120" w:line="240" w:lineRule="auto"/>
              <w:rPr>
                <w:rFonts w:ascii="Times New Roman" w:eastAsia="Times New Roman" w:hAnsi="Times New Roman" w:cs="Times New Roman"/>
                <w:lang w:eastAsia="x-none"/>
              </w:rPr>
            </w:pPr>
            <w:r w:rsidRPr="003E2BD8">
              <w:rPr>
                <w:rFonts w:ascii="Times New Roman" w:eastAsia="Times New Roman" w:hAnsi="Times New Roman" w:cs="Times New Roman"/>
                <w:lang w:eastAsia="x-none"/>
              </w:rPr>
              <w:t>Management of environmental and social impacts of construction</w:t>
            </w:r>
          </w:p>
          <w:p w14:paraId="08D6D540" w14:textId="77777777" w:rsidR="00AA27F8" w:rsidRPr="003E2BD8" w:rsidRDefault="00AA27F8" w:rsidP="00CA0715">
            <w:pPr>
              <w:pStyle w:val="ListParagraph"/>
              <w:numPr>
                <w:ilvl w:val="0"/>
                <w:numId w:val="36"/>
              </w:numPr>
              <w:spacing w:before="120" w:after="120" w:line="240" w:lineRule="auto"/>
              <w:rPr>
                <w:rFonts w:ascii="Times New Roman" w:eastAsia="Times New Roman" w:hAnsi="Times New Roman" w:cs="Times New Roman"/>
                <w:lang w:eastAsia="x-none"/>
              </w:rPr>
            </w:pPr>
            <w:r w:rsidRPr="003E2BD8">
              <w:rPr>
                <w:rFonts w:ascii="Times New Roman" w:eastAsia="Times New Roman" w:hAnsi="Times New Roman" w:cs="Times New Roman"/>
                <w:lang w:eastAsia="x-none"/>
              </w:rPr>
              <w:t>Health and safety at the construction site</w:t>
            </w:r>
          </w:p>
          <w:p w14:paraId="34BFA7D5" w14:textId="77777777" w:rsidR="00AA27F8" w:rsidRPr="003E2BD8" w:rsidRDefault="00AA27F8" w:rsidP="00CA0715">
            <w:pPr>
              <w:pStyle w:val="ListParagraph"/>
              <w:numPr>
                <w:ilvl w:val="0"/>
                <w:numId w:val="36"/>
              </w:numPr>
              <w:spacing w:before="120" w:after="120" w:line="240" w:lineRule="auto"/>
              <w:rPr>
                <w:rFonts w:ascii="Times New Roman" w:eastAsia="Times New Roman" w:hAnsi="Times New Roman" w:cs="Times New Roman"/>
                <w:lang w:eastAsia="x-none"/>
              </w:rPr>
            </w:pPr>
            <w:r w:rsidRPr="003E2BD8">
              <w:rPr>
                <w:rFonts w:ascii="Times New Roman" w:eastAsia="Times New Roman" w:hAnsi="Times New Roman" w:cs="Times New Roman"/>
                <w:lang w:eastAsia="x-none"/>
              </w:rPr>
              <w:t>Environmental and social supervision monitoring and reporting</w:t>
            </w:r>
          </w:p>
          <w:p w14:paraId="379656F8" w14:textId="77777777" w:rsidR="00AA27F8" w:rsidRPr="003E2BD8" w:rsidRDefault="00AA27F8" w:rsidP="00CA0715">
            <w:pPr>
              <w:pStyle w:val="ListParagraph"/>
              <w:numPr>
                <w:ilvl w:val="0"/>
                <w:numId w:val="36"/>
              </w:numPr>
              <w:spacing w:before="120" w:after="120" w:line="240" w:lineRule="auto"/>
              <w:rPr>
                <w:rFonts w:ascii="Times New Roman" w:eastAsia="Times New Roman" w:hAnsi="Times New Roman" w:cs="Times New Roman"/>
                <w:lang w:eastAsia="x-none"/>
              </w:rPr>
            </w:pPr>
            <w:r w:rsidRPr="003E2BD8">
              <w:rPr>
                <w:rFonts w:ascii="Times New Roman" w:eastAsia="Times New Roman" w:hAnsi="Times New Roman" w:cs="Times New Roman"/>
                <w:lang w:eastAsia="x-none"/>
              </w:rPr>
              <w:t>Effective stakeholder consultation and engagement</w:t>
            </w:r>
          </w:p>
          <w:p w14:paraId="1D93319A" w14:textId="77777777" w:rsidR="00AA27F8" w:rsidRPr="003E2BD8" w:rsidRDefault="00AA27F8" w:rsidP="00CA0715">
            <w:pPr>
              <w:pStyle w:val="ListParagraph"/>
              <w:numPr>
                <w:ilvl w:val="0"/>
                <w:numId w:val="36"/>
              </w:numPr>
              <w:spacing w:before="120" w:after="120" w:line="240" w:lineRule="auto"/>
              <w:rPr>
                <w:rFonts w:ascii="Times New Roman" w:eastAsia="Calibri" w:hAnsi="Times New Roman" w:cs="Times New Roman"/>
              </w:rPr>
            </w:pPr>
            <w:r w:rsidRPr="003E2BD8">
              <w:rPr>
                <w:rFonts w:ascii="Times New Roman" w:eastAsia="Times New Roman" w:hAnsi="Times New Roman" w:cs="Times New Roman"/>
                <w:lang w:eastAsia="x-none"/>
              </w:rPr>
              <w:t>Effective and functional grievance redress</w:t>
            </w:r>
          </w:p>
        </w:tc>
        <w:tc>
          <w:tcPr>
            <w:tcW w:w="682" w:type="pct"/>
          </w:tcPr>
          <w:p w14:paraId="32E29BB1"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Year 1 of the Program</w:t>
            </w:r>
          </w:p>
          <w:p w14:paraId="3A7B985D"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3290F111"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7D7CE560"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3B7889AA"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During Program implementation</w:t>
            </w:r>
          </w:p>
        </w:tc>
        <w:tc>
          <w:tcPr>
            <w:tcW w:w="644" w:type="pct"/>
          </w:tcPr>
          <w:p w14:paraId="1A4606EB"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MLGRD;</w:t>
            </w:r>
          </w:p>
          <w:p w14:paraId="0B8415C7"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EPA</w:t>
            </w:r>
          </w:p>
          <w:p w14:paraId="654433CE"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04844EBD"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62CD6786"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7D0968BA"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6D039ABC"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3E53FF2E"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EPA; MLGRD</w:t>
            </w:r>
          </w:p>
        </w:tc>
        <w:tc>
          <w:tcPr>
            <w:tcW w:w="1020" w:type="pct"/>
          </w:tcPr>
          <w:p w14:paraId="37715C4E"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Signed MOU</w:t>
            </w:r>
          </w:p>
          <w:p w14:paraId="12EEF8F3"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74D1493B"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1BF35D2A"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6249CA21"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43DC44D5"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744967FB" w14:textId="77777777" w:rsidR="00AA27F8" w:rsidRPr="003E2BD8" w:rsidRDefault="00AA27F8" w:rsidP="00CA0715">
            <w:pPr>
              <w:spacing w:before="120" w:after="120" w:line="240" w:lineRule="auto"/>
              <w:contextualSpacing/>
              <w:rPr>
                <w:rFonts w:ascii="Times New Roman" w:eastAsia="Times New Roman" w:hAnsi="Times New Roman" w:cs="Times New Roman"/>
              </w:rPr>
            </w:pPr>
          </w:p>
          <w:p w14:paraId="3F2708C3" w14:textId="77777777" w:rsidR="00AA27F8" w:rsidRPr="003E2BD8" w:rsidRDefault="00AA27F8" w:rsidP="00CA0715">
            <w:pPr>
              <w:spacing w:before="120" w:after="120" w:line="240" w:lineRule="auto"/>
              <w:contextualSpacing/>
              <w:rPr>
                <w:rFonts w:ascii="Times New Roman" w:eastAsia="Times New Roman" w:hAnsi="Times New Roman" w:cs="Times New Roman"/>
              </w:rPr>
            </w:pPr>
            <w:r w:rsidRPr="003E2BD8">
              <w:rPr>
                <w:rFonts w:ascii="Times New Roman" w:eastAsia="Times New Roman" w:hAnsi="Times New Roman" w:cs="Times New Roman"/>
              </w:rPr>
              <w:t>Training modules</w:t>
            </w:r>
          </w:p>
        </w:tc>
      </w:tr>
    </w:tbl>
    <w:p w14:paraId="043CD5AD" w14:textId="27A798A1" w:rsidR="00E55E00" w:rsidRPr="00C3416F" w:rsidRDefault="00E55E00" w:rsidP="005C121C">
      <w:pPr>
        <w:rPr>
          <w:rFonts w:ascii="Times New Roman" w:hAnsi="Times New Roman" w:cs="Times New Roman"/>
          <w:b/>
          <w:bCs/>
        </w:rPr>
      </w:pPr>
    </w:p>
    <w:p w14:paraId="5C2433AF" w14:textId="16458E00" w:rsidR="00E65846" w:rsidRPr="00E15C04" w:rsidRDefault="00E65846" w:rsidP="006F431D">
      <w:pPr>
        <w:pStyle w:val="Heading2"/>
      </w:pPr>
      <w:bookmarkStart w:id="284" w:name="_Toc508892837"/>
      <w:r w:rsidRPr="00E15C04">
        <w:t>Section V</w:t>
      </w:r>
      <w:r w:rsidR="00106C64" w:rsidRPr="00E15C04">
        <w:t>I</w:t>
      </w:r>
      <w:r w:rsidRPr="00E15C04">
        <w:t>I</w:t>
      </w:r>
      <w:r w:rsidR="009654C2">
        <w:rPr>
          <w:lang w:val="en-US"/>
        </w:rPr>
        <w:t>I</w:t>
      </w:r>
      <w:r w:rsidRPr="00E15C04">
        <w:t>: Environmental and Social Risk Ratings</w:t>
      </w:r>
      <w:bookmarkEnd w:id="284"/>
    </w:p>
    <w:p w14:paraId="65BA9497" w14:textId="77777777" w:rsidR="00124DF7" w:rsidRPr="007B1264" w:rsidRDefault="00E55E00" w:rsidP="00CA0715">
      <w:pPr>
        <w:tabs>
          <w:tab w:val="left" w:pos="3525"/>
        </w:tabs>
        <w:spacing w:before="120" w:after="120" w:line="240" w:lineRule="auto"/>
        <w:jc w:val="both"/>
        <w:rPr>
          <w:rFonts w:ascii="Times New Roman" w:eastAsia="Times New Roman" w:hAnsi="Times New Roman" w:cs="Times New Roman"/>
          <w:lang w:eastAsia="x-none"/>
        </w:rPr>
      </w:pPr>
      <w:r w:rsidRPr="007B1264">
        <w:rPr>
          <w:rFonts w:ascii="Times New Roman" w:eastAsia="Calibri" w:hAnsi="Times New Roman" w:cs="Times New Roman"/>
          <w:color w:val="000000"/>
        </w:rPr>
        <w:t>Based on the findings of the ESSA</w:t>
      </w:r>
      <w:r w:rsidR="00124DF7" w:rsidRPr="007B1264">
        <w:rPr>
          <w:rFonts w:ascii="Times New Roman" w:eastAsia="Calibri" w:hAnsi="Times New Roman" w:cs="Times New Roman"/>
          <w:color w:val="000000"/>
        </w:rPr>
        <w:t>, as shown in the section on the analysis of the</w:t>
      </w:r>
      <w:r w:rsidRPr="007B1264">
        <w:rPr>
          <w:rFonts w:ascii="Times New Roman" w:eastAsia="Calibri" w:hAnsi="Times New Roman" w:cs="Times New Roman"/>
          <w:color w:val="000000"/>
        </w:rPr>
        <w:t xml:space="preserve"> </w:t>
      </w:r>
      <w:r w:rsidR="00124DF7" w:rsidRPr="007B1264">
        <w:rPr>
          <w:rFonts w:ascii="Times New Roman" w:eastAsia="Times New Roman" w:hAnsi="Times New Roman" w:cs="Times New Roman"/>
          <w:lang w:eastAsia="x-none"/>
        </w:rPr>
        <w:t xml:space="preserve">Consistency of the Program’s </w:t>
      </w:r>
      <w:r w:rsidR="00124DF7" w:rsidRPr="007B1264">
        <w:rPr>
          <w:rFonts w:ascii="Times New Roman" w:eastAsia="Times New Roman" w:hAnsi="Times New Roman" w:cs="Times New Roman"/>
          <w:lang w:val="x-none" w:eastAsia="x-none"/>
        </w:rPr>
        <w:t>Environmental and Social Management System with</w:t>
      </w:r>
      <w:r w:rsidR="00124DF7" w:rsidRPr="007B1264">
        <w:rPr>
          <w:rFonts w:ascii="Times New Roman" w:eastAsia="Times New Roman" w:hAnsi="Times New Roman" w:cs="Times New Roman"/>
          <w:lang w:eastAsia="x-none"/>
        </w:rPr>
        <w:t xml:space="preserve"> the</w:t>
      </w:r>
      <w:r w:rsidR="00124DF7" w:rsidRPr="007B1264">
        <w:rPr>
          <w:rFonts w:ascii="Times New Roman" w:eastAsia="Times New Roman" w:hAnsi="Times New Roman" w:cs="Times New Roman"/>
          <w:lang w:val="x-none" w:eastAsia="x-none"/>
        </w:rPr>
        <w:t xml:space="preserve"> Program for Results Financing Core Principles</w:t>
      </w:r>
      <w:r w:rsidR="00124DF7" w:rsidRPr="007B1264">
        <w:rPr>
          <w:rFonts w:ascii="Times New Roman" w:eastAsia="Times New Roman" w:hAnsi="Times New Roman" w:cs="Times New Roman"/>
          <w:lang w:eastAsia="x-none"/>
        </w:rPr>
        <w:t>, below are the E &amp; S risk ratings of the Program:</w:t>
      </w:r>
    </w:p>
    <w:p w14:paraId="41E34D61" w14:textId="77777777" w:rsidR="00124DF7" w:rsidRPr="007B1264" w:rsidRDefault="00124DF7" w:rsidP="00CA0715">
      <w:pPr>
        <w:tabs>
          <w:tab w:val="left" w:pos="3525"/>
        </w:tabs>
        <w:spacing w:before="120" w:after="120" w:line="240" w:lineRule="auto"/>
        <w:jc w:val="both"/>
        <w:rPr>
          <w:rFonts w:ascii="Times New Roman" w:eastAsia="Times New Roman" w:hAnsi="Times New Roman" w:cs="Times New Roman"/>
          <w:lang w:eastAsia="x-none"/>
        </w:rPr>
      </w:pPr>
      <w:r w:rsidRPr="007B1264">
        <w:rPr>
          <w:rFonts w:ascii="Times New Roman" w:eastAsia="Times New Roman" w:hAnsi="Times New Roman" w:cs="Times New Roman"/>
          <w:b/>
          <w:lang w:eastAsia="x-none"/>
        </w:rPr>
        <w:t>Environmental Risk Rating</w:t>
      </w:r>
      <w:r w:rsidRPr="007B1264">
        <w:rPr>
          <w:rFonts w:ascii="Times New Roman" w:eastAsia="Times New Roman" w:hAnsi="Times New Roman" w:cs="Times New Roman"/>
          <w:lang w:eastAsia="x-none"/>
        </w:rPr>
        <w:t xml:space="preserve">: This is rated </w:t>
      </w:r>
      <w:r w:rsidRPr="007B1264">
        <w:rPr>
          <w:rFonts w:ascii="Times New Roman" w:eastAsia="Times New Roman" w:hAnsi="Times New Roman" w:cs="Times New Roman"/>
          <w:i/>
          <w:lang w:eastAsia="x-none"/>
        </w:rPr>
        <w:t>Moderate</w:t>
      </w:r>
      <w:r w:rsidRPr="007B1264">
        <w:rPr>
          <w:rFonts w:ascii="Times New Roman" w:eastAsia="Times New Roman" w:hAnsi="Times New Roman" w:cs="Times New Roman"/>
          <w:lang w:eastAsia="x-none"/>
        </w:rPr>
        <w:t xml:space="preserve"> mainly due to a good regulatory and institutional frameworks and systems on EA in the country that are able to manage environmental risks from the types of investments and scale and magnitude of impacts from subprojects supported by the Program. With clarity and improvement on staffing and resourcing, screening, sectoral guidelines, trainings and capacity building, environment risk is assessed to be Moderate.</w:t>
      </w:r>
    </w:p>
    <w:p w14:paraId="481C6AFD" w14:textId="209CDBB6" w:rsidR="00E55E00" w:rsidRPr="007B1264" w:rsidRDefault="00124DF7" w:rsidP="00CA0715">
      <w:pPr>
        <w:tabs>
          <w:tab w:val="left" w:pos="3525"/>
        </w:tabs>
        <w:spacing w:before="120" w:after="120" w:line="240" w:lineRule="auto"/>
        <w:jc w:val="both"/>
        <w:rPr>
          <w:rFonts w:ascii="Times New Roman" w:eastAsia="Calibri" w:hAnsi="Times New Roman" w:cs="Times New Roman"/>
          <w:b/>
          <w:bCs/>
          <w:lang w:val="x-none" w:eastAsia="x-none"/>
        </w:rPr>
      </w:pPr>
      <w:r w:rsidRPr="007B1264">
        <w:rPr>
          <w:rFonts w:ascii="Times New Roman" w:eastAsia="Times New Roman" w:hAnsi="Times New Roman" w:cs="Times New Roman"/>
          <w:b/>
          <w:lang w:eastAsia="x-none"/>
        </w:rPr>
        <w:t>Social Risk Rating</w:t>
      </w:r>
      <w:r w:rsidRPr="007B1264">
        <w:rPr>
          <w:rFonts w:ascii="Times New Roman" w:eastAsia="Times New Roman" w:hAnsi="Times New Roman" w:cs="Times New Roman"/>
          <w:lang w:eastAsia="x-none"/>
        </w:rPr>
        <w:t xml:space="preserve">: This is rated </w:t>
      </w:r>
      <w:r w:rsidRPr="007B1264">
        <w:rPr>
          <w:rFonts w:ascii="Times New Roman" w:eastAsia="Times New Roman" w:hAnsi="Times New Roman" w:cs="Times New Roman"/>
          <w:i/>
          <w:lang w:eastAsia="x-none"/>
        </w:rPr>
        <w:t xml:space="preserve">Significant </w:t>
      </w:r>
      <w:r w:rsidRPr="007B1264">
        <w:rPr>
          <w:rFonts w:ascii="Times New Roman" w:eastAsia="Times New Roman" w:hAnsi="Times New Roman" w:cs="Times New Roman"/>
          <w:lang w:eastAsia="x-none"/>
        </w:rPr>
        <w:t>mainly because of the lack of clarity o</w:t>
      </w:r>
      <w:r w:rsidR="002865EE" w:rsidRPr="007B1264">
        <w:rPr>
          <w:rFonts w:ascii="Times New Roman" w:eastAsia="Times New Roman" w:hAnsi="Times New Roman" w:cs="Times New Roman"/>
          <w:lang w:eastAsia="x-none"/>
        </w:rPr>
        <w:t>n</w:t>
      </w:r>
      <w:r w:rsidRPr="007B1264">
        <w:rPr>
          <w:rFonts w:ascii="Times New Roman" w:eastAsia="Times New Roman" w:hAnsi="Times New Roman" w:cs="Times New Roman"/>
          <w:lang w:eastAsia="x-none"/>
        </w:rPr>
        <w:t xml:space="preserve"> </w:t>
      </w:r>
      <w:r w:rsidR="002865EE" w:rsidRPr="007B1264">
        <w:rPr>
          <w:rFonts w:ascii="Times New Roman" w:eastAsia="Times New Roman" w:hAnsi="Times New Roman" w:cs="Times New Roman"/>
          <w:lang w:eastAsia="x-none"/>
        </w:rPr>
        <w:t xml:space="preserve">the regulatory and institutional frameworks on resettlement in the country and the lack of recognition of PAPs that do not own titles to lands in terms of compensation and entitlements. </w:t>
      </w:r>
      <w:r w:rsidR="002D751E" w:rsidRPr="007B1264">
        <w:rPr>
          <w:rFonts w:ascii="Times New Roman" w:eastAsia="Times New Roman" w:hAnsi="Times New Roman" w:cs="Times New Roman"/>
          <w:lang w:eastAsia="x-none"/>
        </w:rPr>
        <w:t>There is also inadequate capacity and support to manage social safeguards within the MLGRD and at the MMAs. EPA focusses more on environmental requir</w:t>
      </w:r>
      <w:r w:rsidR="00DB1D7D" w:rsidRPr="007B1264">
        <w:rPr>
          <w:rFonts w:ascii="Times New Roman" w:eastAsia="Times New Roman" w:hAnsi="Times New Roman" w:cs="Times New Roman"/>
          <w:lang w:eastAsia="x-none"/>
        </w:rPr>
        <w:t>e</w:t>
      </w:r>
      <w:r w:rsidR="002D751E" w:rsidRPr="007B1264">
        <w:rPr>
          <w:rFonts w:ascii="Times New Roman" w:eastAsia="Times New Roman" w:hAnsi="Times New Roman" w:cs="Times New Roman"/>
          <w:lang w:eastAsia="x-none"/>
        </w:rPr>
        <w:t xml:space="preserve">ments and do not provide adequate checks on the social aspect of the relgulatory requirements. </w:t>
      </w:r>
      <w:r w:rsidR="002865EE" w:rsidRPr="007B1264">
        <w:rPr>
          <w:rFonts w:ascii="Times New Roman" w:eastAsia="Times New Roman" w:hAnsi="Times New Roman" w:cs="Times New Roman"/>
          <w:lang w:eastAsia="x-none"/>
        </w:rPr>
        <w:t>That said, the RPF under the LGCSP will be updated for use under the Program to manage social risk</w:t>
      </w:r>
      <w:r w:rsidR="002D751E" w:rsidRPr="007B1264">
        <w:rPr>
          <w:rFonts w:ascii="Times New Roman" w:eastAsia="Times New Roman" w:hAnsi="Times New Roman" w:cs="Times New Roman"/>
          <w:lang w:eastAsia="x-none"/>
        </w:rPr>
        <w:t>s and impacts</w:t>
      </w:r>
      <w:r w:rsidR="002865EE" w:rsidRPr="007B1264">
        <w:rPr>
          <w:rFonts w:ascii="Times New Roman" w:eastAsia="Times New Roman" w:hAnsi="Times New Roman" w:cs="Times New Roman"/>
          <w:lang w:eastAsia="x-none"/>
        </w:rPr>
        <w:t xml:space="preserve">. </w:t>
      </w:r>
    </w:p>
    <w:p w14:paraId="5D4F6154" w14:textId="05738FAC" w:rsidR="00E55E00" w:rsidRPr="007B1264" w:rsidRDefault="008300D5" w:rsidP="00CA0715">
      <w:pPr>
        <w:spacing w:line="240" w:lineRule="auto"/>
        <w:rPr>
          <w:rFonts w:ascii="Times New Roman" w:hAnsi="Times New Roman" w:cs="Times New Roman"/>
          <w:b/>
          <w:bCs/>
        </w:rPr>
      </w:pPr>
      <w:r w:rsidRPr="007B1264">
        <w:rPr>
          <w:rFonts w:ascii="Times New Roman" w:hAnsi="Times New Roman" w:cs="Times New Roman"/>
          <w:b/>
          <w:bCs/>
        </w:rPr>
        <w:br w:type="page"/>
      </w:r>
    </w:p>
    <w:p w14:paraId="33BBECD2" w14:textId="085D92D8" w:rsidR="00E55E00" w:rsidRPr="00CA0715" w:rsidRDefault="00106C64" w:rsidP="007B1264">
      <w:pPr>
        <w:pStyle w:val="Heading2"/>
        <w:rPr>
          <w:rFonts w:ascii="Times New Roman" w:hAnsi="Times New Roman"/>
        </w:rPr>
      </w:pPr>
      <w:bookmarkStart w:id="285" w:name="_Toc508892838"/>
      <w:r w:rsidRPr="00CA0715">
        <w:rPr>
          <w:rFonts w:ascii="Times New Roman" w:hAnsi="Times New Roman"/>
          <w:bCs/>
        </w:rPr>
        <w:t>Section</w:t>
      </w:r>
      <w:r w:rsidR="004A6B30" w:rsidRPr="00CA0715">
        <w:rPr>
          <w:rFonts w:ascii="Times New Roman" w:hAnsi="Times New Roman"/>
          <w:bCs/>
          <w:lang w:val="en-US"/>
        </w:rPr>
        <w:t xml:space="preserve"> </w:t>
      </w:r>
      <w:r w:rsidR="009654C2" w:rsidRPr="00CA0715">
        <w:rPr>
          <w:rFonts w:ascii="Times New Roman" w:hAnsi="Times New Roman"/>
          <w:bCs/>
          <w:lang w:val="en-US"/>
        </w:rPr>
        <w:t>IX</w:t>
      </w:r>
      <w:r w:rsidR="00E65846" w:rsidRPr="00CA0715">
        <w:rPr>
          <w:rFonts w:ascii="Times New Roman" w:hAnsi="Times New Roman"/>
          <w:bCs/>
        </w:rPr>
        <w:t xml:space="preserve">: </w:t>
      </w:r>
      <w:r w:rsidR="00E55E00" w:rsidRPr="00CA0715">
        <w:rPr>
          <w:rFonts w:ascii="Times New Roman" w:hAnsi="Times New Roman"/>
        </w:rPr>
        <w:t>Consultations and Disclosure of the ESS</w:t>
      </w:r>
      <w:r w:rsidR="002865EE" w:rsidRPr="00CA0715">
        <w:rPr>
          <w:rFonts w:ascii="Times New Roman" w:hAnsi="Times New Roman"/>
        </w:rPr>
        <w:t xml:space="preserve">A </w:t>
      </w:r>
      <w:bookmarkEnd w:id="285"/>
    </w:p>
    <w:p w14:paraId="2DD3D8AC" w14:textId="25BB60E4" w:rsidR="00376307" w:rsidRPr="007B1264" w:rsidRDefault="00376307" w:rsidP="00CA0715">
      <w:pPr>
        <w:pStyle w:val="BodyText"/>
        <w:widowControl w:val="0"/>
        <w:tabs>
          <w:tab w:val="left" w:pos="733"/>
        </w:tabs>
        <w:spacing w:before="120" w:after="120" w:line="240" w:lineRule="auto"/>
        <w:ind w:right="134"/>
        <w:rPr>
          <w:sz w:val="22"/>
          <w:szCs w:val="22"/>
        </w:rPr>
      </w:pPr>
      <w:r w:rsidRPr="007B1264">
        <w:rPr>
          <w:sz w:val="22"/>
          <w:szCs w:val="22"/>
        </w:rPr>
        <w:t>The multi-stakeholder consultations were held throughout the preparation and finalization of th</w:t>
      </w:r>
      <w:r w:rsidR="00AA27F8" w:rsidRPr="007B1264">
        <w:rPr>
          <w:sz w:val="22"/>
          <w:szCs w:val="22"/>
        </w:rPr>
        <w:t xml:space="preserve">e ESSA. The first consultation </w:t>
      </w:r>
      <w:r w:rsidR="007B1264" w:rsidRPr="007B1264">
        <w:rPr>
          <w:sz w:val="22"/>
          <w:szCs w:val="22"/>
        </w:rPr>
        <w:t>was</w:t>
      </w:r>
      <w:r w:rsidRPr="007B1264">
        <w:rPr>
          <w:sz w:val="22"/>
          <w:szCs w:val="22"/>
        </w:rPr>
        <w:t xml:space="preserve"> conducted </w:t>
      </w:r>
      <w:r w:rsidR="00AA27F8" w:rsidRPr="007B1264">
        <w:rPr>
          <w:sz w:val="22"/>
          <w:szCs w:val="22"/>
        </w:rPr>
        <w:t xml:space="preserve">on January 23-30, 2018 </w:t>
      </w:r>
      <w:r w:rsidRPr="007B1264">
        <w:rPr>
          <w:sz w:val="22"/>
          <w:szCs w:val="22"/>
        </w:rPr>
        <w:t>in five MMAs located in four Regions</w:t>
      </w:r>
      <w:r w:rsidRPr="007B1264">
        <w:rPr>
          <w:rStyle w:val="FootnoteReference"/>
          <w:sz w:val="22"/>
          <w:szCs w:val="22"/>
        </w:rPr>
        <w:footnoteReference w:id="31"/>
      </w:r>
      <w:r w:rsidRPr="007B1264">
        <w:rPr>
          <w:sz w:val="22"/>
          <w:szCs w:val="22"/>
        </w:rPr>
        <w:t xml:space="preserve"> </w:t>
      </w:r>
      <w:r w:rsidR="00AA27F8" w:rsidRPr="007B1264">
        <w:rPr>
          <w:sz w:val="22"/>
          <w:szCs w:val="22"/>
        </w:rPr>
        <w:t xml:space="preserve">mainly involving the </w:t>
      </w:r>
      <w:r w:rsidRPr="007B1264">
        <w:rPr>
          <w:sz w:val="22"/>
          <w:szCs w:val="22"/>
        </w:rPr>
        <w:t>Safeguards Teams a</w:t>
      </w:r>
      <w:r w:rsidR="00AA27F8" w:rsidRPr="007B1264">
        <w:rPr>
          <w:sz w:val="22"/>
          <w:szCs w:val="22"/>
        </w:rPr>
        <w:t xml:space="preserve">nd Focal Points and Contractors, </w:t>
      </w:r>
      <w:r w:rsidRPr="007B1264">
        <w:rPr>
          <w:sz w:val="22"/>
          <w:szCs w:val="22"/>
        </w:rPr>
        <w:t>MLGRD, PP</w:t>
      </w:r>
      <w:r w:rsidR="00975839" w:rsidRPr="007B1264">
        <w:rPr>
          <w:sz w:val="22"/>
          <w:szCs w:val="22"/>
        </w:rPr>
        <w:t>B</w:t>
      </w:r>
      <w:r w:rsidRPr="007B1264">
        <w:rPr>
          <w:sz w:val="22"/>
          <w:szCs w:val="22"/>
        </w:rPr>
        <w:t>ME</w:t>
      </w:r>
      <w:r w:rsidR="00975839" w:rsidRPr="007B1264">
        <w:rPr>
          <w:sz w:val="22"/>
          <w:szCs w:val="22"/>
        </w:rPr>
        <w:t>D</w:t>
      </w:r>
      <w:r w:rsidRPr="007B1264">
        <w:rPr>
          <w:sz w:val="22"/>
          <w:szCs w:val="22"/>
        </w:rPr>
        <w:t>, National EPA and Regional EPA, the Land Valuation Division and Environmental and Social Practitioners</w:t>
      </w:r>
      <w:r w:rsidR="00AA27F8" w:rsidRPr="007B1264">
        <w:rPr>
          <w:sz w:val="22"/>
          <w:szCs w:val="22"/>
        </w:rPr>
        <w:t>. Another consultation, this time with a draft ESSA, took place on March 27, 2018 with select MMAs, EPA, MLGRD, Safeguard consultants and LGCSP-PIU</w:t>
      </w:r>
      <w:r w:rsidRPr="007B1264">
        <w:rPr>
          <w:sz w:val="22"/>
          <w:szCs w:val="22"/>
        </w:rPr>
        <w:t>.</w:t>
      </w:r>
      <w:r w:rsidR="00AA27F8" w:rsidRPr="007B1264">
        <w:rPr>
          <w:sz w:val="22"/>
          <w:szCs w:val="22"/>
        </w:rPr>
        <w:t xml:space="preserve"> This was followed by another consultation with another set of MMAs on April 11, 2018.</w:t>
      </w:r>
      <w:r w:rsidRPr="007B1264">
        <w:rPr>
          <w:sz w:val="22"/>
          <w:szCs w:val="22"/>
        </w:rPr>
        <w:t xml:space="preserve"> See in Annex </w:t>
      </w:r>
      <w:r w:rsidR="004A6B30" w:rsidRPr="007B1264">
        <w:rPr>
          <w:sz w:val="22"/>
          <w:szCs w:val="22"/>
        </w:rPr>
        <w:t xml:space="preserve">1 </w:t>
      </w:r>
      <w:r w:rsidRPr="007B1264">
        <w:rPr>
          <w:sz w:val="22"/>
          <w:szCs w:val="22"/>
        </w:rPr>
        <w:t xml:space="preserve">the list of people consulted. </w:t>
      </w:r>
    </w:p>
    <w:p w14:paraId="23C82610" w14:textId="38EE7612" w:rsidR="00376307" w:rsidRPr="007B1264" w:rsidRDefault="00AA27F8" w:rsidP="00CA0715">
      <w:pPr>
        <w:autoSpaceDE w:val="0"/>
        <w:autoSpaceDN w:val="0"/>
        <w:adjustRightInd w:val="0"/>
        <w:spacing w:before="120" w:after="120" w:line="240" w:lineRule="auto"/>
        <w:jc w:val="both"/>
        <w:rPr>
          <w:rFonts w:ascii="Times New Roman" w:hAnsi="Times New Roman" w:cs="Times New Roman"/>
        </w:rPr>
      </w:pPr>
      <w:r w:rsidRPr="007B1264">
        <w:rPr>
          <w:rFonts w:ascii="Times New Roman" w:hAnsi="Times New Roman" w:cs="Times New Roman"/>
        </w:rPr>
        <w:t>Below is a summary of comments/questions during the consultations and team’s responses. In addition, the EPA was actively involved in finalizing the E &amp; S Action Plan.</w:t>
      </w:r>
    </w:p>
    <w:p w14:paraId="200801B7" w14:textId="2080D6BC" w:rsidR="00AA27F8" w:rsidRPr="00CA0715" w:rsidRDefault="004A6B30" w:rsidP="007B1264">
      <w:pPr>
        <w:spacing w:after="0" w:line="240" w:lineRule="auto"/>
        <w:rPr>
          <w:rFonts w:ascii="Times New Roman" w:hAnsi="Times New Roman" w:cs="Times New Roman"/>
          <w:b/>
        </w:rPr>
      </w:pPr>
      <w:r w:rsidRPr="00CA0715">
        <w:rPr>
          <w:rFonts w:ascii="Times New Roman" w:hAnsi="Times New Roman" w:cs="Times New Roman"/>
          <w:b/>
        </w:rPr>
        <w:t xml:space="preserve">Table </w:t>
      </w:r>
      <w:r w:rsidR="0004236C" w:rsidRPr="00CA0715">
        <w:rPr>
          <w:rFonts w:ascii="Times New Roman" w:hAnsi="Times New Roman" w:cs="Times New Roman"/>
          <w:b/>
        </w:rPr>
        <w:t>12</w:t>
      </w:r>
      <w:r w:rsidR="00AA27F8" w:rsidRPr="00CA0715">
        <w:rPr>
          <w:rFonts w:ascii="Times New Roman" w:hAnsi="Times New Roman" w:cs="Times New Roman"/>
          <w:b/>
        </w:rPr>
        <w:t>. Questions raised during the consultations and ESSA team’s responses.</w:t>
      </w:r>
    </w:p>
    <w:p w14:paraId="2A82353D" w14:textId="77777777" w:rsidR="00AA27F8" w:rsidRPr="00CA0715" w:rsidRDefault="00AA27F8" w:rsidP="007B1264">
      <w:pPr>
        <w:spacing w:after="0" w:line="240" w:lineRule="auto"/>
        <w:rPr>
          <w:rFonts w:ascii="Times New Roman" w:hAnsi="Times New Roman" w:cs="Times New Roman"/>
        </w:rPr>
      </w:pPr>
    </w:p>
    <w:tbl>
      <w:tblPr>
        <w:tblStyle w:val="TableGrid2"/>
        <w:tblW w:w="0" w:type="auto"/>
        <w:tblLook w:val="04A0" w:firstRow="1" w:lastRow="0" w:firstColumn="1" w:lastColumn="0" w:noHBand="0" w:noVBand="1"/>
      </w:tblPr>
      <w:tblGrid>
        <w:gridCol w:w="625"/>
        <w:gridCol w:w="3420"/>
        <w:gridCol w:w="2967"/>
        <w:gridCol w:w="2338"/>
      </w:tblGrid>
      <w:tr w:rsidR="00376307" w:rsidRPr="00CA0715" w14:paraId="4B4DDAA7" w14:textId="77777777" w:rsidTr="00376307">
        <w:tc>
          <w:tcPr>
            <w:tcW w:w="625" w:type="dxa"/>
          </w:tcPr>
          <w:p w14:paraId="67F11B8E" w14:textId="77777777" w:rsidR="00376307" w:rsidRPr="00CA0715" w:rsidRDefault="00376307" w:rsidP="007B1264">
            <w:pPr>
              <w:rPr>
                <w:rFonts w:ascii="Times New Roman" w:hAnsi="Times New Roman" w:cs="Times New Roman"/>
                <w:b/>
              </w:rPr>
            </w:pPr>
            <w:r w:rsidRPr="00CA0715">
              <w:rPr>
                <w:rFonts w:ascii="Times New Roman" w:hAnsi="Times New Roman" w:cs="Times New Roman"/>
                <w:b/>
              </w:rPr>
              <w:t>No</w:t>
            </w:r>
          </w:p>
        </w:tc>
        <w:tc>
          <w:tcPr>
            <w:tcW w:w="3420" w:type="dxa"/>
          </w:tcPr>
          <w:p w14:paraId="27BB03FC" w14:textId="77777777" w:rsidR="00376307" w:rsidRPr="00CA0715" w:rsidRDefault="00376307" w:rsidP="007B1264">
            <w:pPr>
              <w:rPr>
                <w:rFonts w:ascii="Times New Roman" w:hAnsi="Times New Roman" w:cs="Times New Roman"/>
                <w:b/>
              </w:rPr>
            </w:pPr>
            <w:r w:rsidRPr="00CA0715">
              <w:rPr>
                <w:rFonts w:ascii="Times New Roman" w:hAnsi="Times New Roman" w:cs="Times New Roman"/>
                <w:b/>
              </w:rPr>
              <w:t>Question/Concern/Suggestion</w:t>
            </w:r>
          </w:p>
        </w:tc>
        <w:tc>
          <w:tcPr>
            <w:tcW w:w="2967" w:type="dxa"/>
          </w:tcPr>
          <w:p w14:paraId="4C949584" w14:textId="77777777" w:rsidR="00376307" w:rsidRPr="00CA0715" w:rsidRDefault="00376307" w:rsidP="007B1264">
            <w:pPr>
              <w:rPr>
                <w:rFonts w:ascii="Times New Roman" w:hAnsi="Times New Roman" w:cs="Times New Roman"/>
                <w:b/>
              </w:rPr>
            </w:pPr>
            <w:r w:rsidRPr="00CA0715">
              <w:rPr>
                <w:rFonts w:ascii="Times New Roman" w:hAnsi="Times New Roman" w:cs="Times New Roman"/>
                <w:b/>
              </w:rPr>
              <w:t>Response/ Answer</w:t>
            </w:r>
          </w:p>
        </w:tc>
        <w:tc>
          <w:tcPr>
            <w:tcW w:w="2338" w:type="dxa"/>
          </w:tcPr>
          <w:p w14:paraId="7B38C0EA" w14:textId="77777777" w:rsidR="00376307" w:rsidRPr="00CA0715" w:rsidRDefault="00376307" w:rsidP="007B1264">
            <w:pPr>
              <w:rPr>
                <w:rFonts w:ascii="Times New Roman" w:hAnsi="Times New Roman" w:cs="Times New Roman"/>
                <w:b/>
              </w:rPr>
            </w:pPr>
            <w:r w:rsidRPr="00CA0715">
              <w:rPr>
                <w:rFonts w:ascii="Times New Roman" w:hAnsi="Times New Roman" w:cs="Times New Roman"/>
                <w:b/>
              </w:rPr>
              <w:t>Remark</w:t>
            </w:r>
          </w:p>
        </w:tc>
      </w:tr>
      <w:tr w:rsidR="00376307" w:rsidRPr="00CA0715" w14:paraId="4BB41194" w14:textId="77777777" w:rsidTr="00376307">
        <w:tc>
          <w:tcPr>
            <w:tcW w:w="625" w:type="dxa"/>
          </w:tcPr>
          <w:p w14:paraId="04CA0613"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1</w:t>
            </w:r>
          </w:p>
        </w:tc>
        <w:tc>
          <w:tcPr>
            <w:tcW w:w="3420" w:type="dxa"/>
          </w:tcPr>
          <w:p w14:paraId="5557AC5E"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Need further explanation on why work has to be done before money is released to the Government</w:t>
            </w:r>
          </w:p>
        </w:tc>
        <w:tc>
          <w:tcPr>
            <w:tcW w:w="2967" w:type="dxa"/>
          </w:tcPr>
          <w:p w14:paraId="1F7C6519"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Releases are based on disbursement linked indicators</w:t>
            </w:r>
          </w:p>
        </w:tc>
        <w:tc>
          <w:tcPr>
            <w:tcW w:w="2338" w:type="dxa"/>
          </w:tcPr>
          <w:p w14:paraId="023F267C" w14:textId="77777777" w:rsidR="00376307" w:rsidRPr="00CA0715" w:rsidRDefault="00376307" w:rsidP="007B1264">
            <w:pPr>
              <w:rPr>
                <w:rFonts w:ascii="Times New Roman" w:hAnsi="Times New Roman" w:cs="Times New Roman"/>
              </w:rPr>
            </w:pPr>
          </w:p>
        </w:tc>
      </w:tr>
      <w:tr w:rsidR="00376307" w:rsidRPr="00CA0715" w14:paraId="52DA257C" w14:textId="77777777" w:rsidTr="00376307">
        <w:tc>
          <w:tcPr>
            <w:tcW w:w="625" w:type="dxa"/>
          </w:tcPr>
          <w:p w14:paraId="56132CE3"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2</w:t>
            </w:r>
          </w:p>
        </w:tc>
        <w:tc>
          <w:tcPr>
            <w:tcW w:w="3420" w:type="dxa"/>
          </w:tcPr>
          <w:p w14:paraId="38ADF44E"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The eligibility criteria of the population between 50,000 and 75,000 may not be met by all Municipalities</w:t>
            </w:r>
          </w:p>
        </w:tc>
        <w:tc>
          <w:tcPr>
            <w:tcW w:w="2967" w:type="dxa"/>
          </w:tcPr>
          <w:p w14:paraId="04822723"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 xml:space="preserve">The final eligibility criteria may include consideration such as population, political and areas with over 60% urbanization associated with key challenging issues. </w:t>
            </w:r>
          </w:p>
        </w:tc>
        <w:tc>
          <w:tcPr>
            <w:tcW w:w="2338" w:type="dxa"/>
          </w:tcPr>
          <w:p w14:paraId="1024122E"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Any Municipal assembly that is excluded based on the eligibility criteria may benefit from other donor funded projects earmarked to support the assemblies</w:t>
            </w:r>
          </w:p>
        </w:tc>
      </w:tr>
      <w:tr w:rsidR="00376307" w:rsidRPr="00CA0715" w14:paraId="209C5B54" w14:textId="77777777" w:rsidTr="00376307">
        <w:tc>
          <w:tcPr>
            <w:tcW w:w="625" w:type="dxa"/>
          </w:tcPr>
          <w:p w14:paraId="15DCD76C"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3</w:t>
            </w:r>
          </w:p>
        </w:tc>
        <w:tc>
          <w:tcPr>
            <w:tcW w:w="3420" w:type="dxa"/>
          </w:tcPr>
          <w:p w14:paraId="544107C0"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How do we address the caveat that investments with significant adverse impacts will be excluded in the program even though the Program is a development one</w:t>
            </w:r>
          </w:p>
        </w:tc>
        <w:tc>
          <w:tcPr>
            <w:tcW w:w="2967" w:type="dxa"/>
          </w:tcPr>
          <w:p w14:paraId="5DD32F75"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It is hoped that when sub-projects are screened, adequate and commensurate mitigation measures would be recommended to minimize the risk and impact</w:t>
            </w:r>
          </w:p>
        </w:tc>
        <w:tc>
          <w:tcPr>
            <w:tcW w:w="2338" w:type="dxa"/>
          </w:tcPr>
          <w:p w14:paraId="09D08C20" w14:textId="77777777" w:rsidR="00376307" w:rsidRPr="00CA0715" w:rsidRDefault="00376307" w:rsidP="007B1264">
            <w:pPr>
              <w:rPr>
                <w:rFonts w:ascii="Times New Roman" w:hAnsi="Times New Roman" w:cs="Times New Roman"/>
              </w:rPr>
            </w:pPr>
          </w:p>
        </w:tc>
      </w:tr>
      <w:tr w:rsidR="00376307" w:rsidRPr="00CA0715" w14:paraId="3FE22CF2" w14:textId="77777777" w:rsidTr="00376307">
        <w:tc>
          <w:tcPr>
            <w:tcW w:w="625" w:type="dxa"/>
          </w:tcPr>
          <w:p w14:paraId="296865BB"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4</w:t>
            </w:r>
          </w:p>
        </w:tc>
        <w:tc>
          <w:tcPr>
            <w:tcW w:w="3420" w:type="dxa"/>
          </w:tcPr>
          <w:p w14:paraId="251383F6"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Are all EPA approvals done at the HQ in Accra?</w:t>
            </w:r>
          </w:p>
        </w:tc>
        <w:tc>
          <w:tcPr>
            <w:tcW w:w="2967" w:type="dxa"/>
          </w:tcPr>
          <w:p w14:paraId="78BA43B7"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All schedule 1 projects are given approval at the Regional offices.  Some projects are given approval within 5 days</w:t>
            </w:r>
          </w:p>
        </w:tc>
        <w:tc>
          <w:tcPr>
            <w:tcW w:w="2338" w:type="dxa"/>
          </w:tcPr>
          <w:p w14:paraId="1CC4AB09" w14:textId="77777777" w:rsidR="00376307" w:rsidRPr="00CA0715" w:rsidRDefault="00376307" w:rsidP="007B1264">
            <w:pPr>
              <w:rPr>
                <w:rFonts w:ascii="Times New Roman" w:hAnsi="Times New Roman" w:cs="Times New Roman"/>
              </w:rPr>
            </w:pPr>
          </w:p>
        </w:tc>
      </w:tr>
      <w:tr w:rsidR="00376307" w:rsidRPr="00CA0715" w14:paraId="5B14E768" w14:textId="77777777" w:rsidTr="00376307">
        <w:tc>
          <w:tcPr>
            <w:tcW w:w="625" w:type="dxa"/>
          </w:tcPr>
          <w:p w14:paraId="62E30DFD"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5</w:t>
            </w:r>
          </w:p>
        </w:tc>
        <w:tc>
          <w:tcPr>
            <w:tcW w:w="3420" w:type="dxa"/>
          </w:tcPr>
          <w:p w14:paraId="3B9C8717"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Assertion of weak GRM may not be entirely true</w:t>
            </w:r>
          </w:p>
        </w:tc>
        <w:tc>
          <w:tcPr>
            <w:tcW w:w="2967" w:type="dxa"/>
          </w:tcPr>
          <w:p w14:paraId="7EF75192"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The assessment did however not find evidence of a functional GRM in the field</w:t>
            </w:r>
          </w:p>
        </w:tc>
        <w:tc>
          <w:tcPr>
            <w:tcW w:w="2338" w:type="dxa"/>
          </w:tcPr>
          <w:p w14:paraId="71015488" w14:textId="77777777" w:rsidR="00376307" w:rsidRPr="00CA0715" w:rsidRDefault="00376307" w:rsidP="007B1264">
            <w:pPr>
              <w:rPr>
                <w:rFonts w:ascii="Times New Roman" w:hAnsi="Times New Roman" w:cs="Times New Roman"/>
              </w:rPr>
            </w:pPr>
          </w:p>
        </w:tc>
      </w:tr>
      <w:tr w:rsidR="00376307" w:rsidRPr="00CA0715" w14:paraId="0495136D" w14:textId="77777777" w:rsidTr="00376307">
        <w:tc>
          <w:tcPr>
            <w:tcW w:w="625" w:type="dxa"/>
          </w:tcPr>
          <w:p w14:paraId="4BFE6050"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6</w:t>
            </w:r>
          </w:p>
        </w:tc>
        <w:tc>
          <w:tcPr>
            <w:tcW w:w="3420" w:type="dxa"/>
          </w:tcPr>
          <w:p w14:paraId="78C1CD9A"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 xml:space="preserve">The Assemblies do not want to legitimize squatters/illegal settlers who take up public spaces </w:t>
            </w:r>
          </w:p>
        </w:tc>
        <w:tc>
          <w:tcPr>
            <w:tcW w:w="2967" w:type="dxa"/>
          </w:tcPr>
          <w:p w14:paraId="3DF98668"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The WB is not seeking to legitimize squatters/illegal settlers but only seeks to improve their livelihoods</w:t>
            </w:r>
          </w:p>
        </w:tc>
        <w:tc>
          <w:tcPr>
            <w:tcW w:w="2338" w:type="dxa"/>
          </w:tcPr>
          <w:p w14:paraId="28A60831" w14:textId="77777777" w:rsidR="00376307" w:rsidRPr="00CA0715" w:rsidRDefault="00376307" w:rsidP="007B1264">
            <w:pPr>
              <w:rPr>
                <w:rFonts w:ascii="Times New Roman" w:hAnsi="Times New Roman" w:cs="Times New Roman"/>
              </w:rPr>
            </w:pPr>
          </w:p>
        </w:tc>
      </w:tr>
      <w:tr w:rsidR="00376307" w:rsidRPr="00CA0715" w14:paraId="32897099" w14:textId="77777777" w:rsidTr="00376307">
        <w:tc>
          <w:tcPr>
            <w:tcW w:w="625" w:type="dxa"/>
          </w:tcPr>
          <w:p w14:paraId="6616E4FB"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7</w:t>
            </w:r>
          </w:p>
        </w:tc>
        <w:tc>
          <w:tcPr>
            <w:tcW w:w="3420" w:type="dxa"/>
          </w:tcPr>
          <w:p w14:paraId="175B6DB8"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Who defines significant adverse impact and what does the overall E &amp; S risk rating been substantial mean</w:t>
            </w:r>
          </w:p>
        </w:tc>
        <w:tc>
          <w:tcPr>
            <w:tcW w:w="2967" w:type="dxa"/>
          </w:tcPr>
          <w:p w14:paraId="298CDAFA"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The WB determines the impact rating.  The final rating for the SESA is substantial because of the lack of clarity on the regulatory and institutional frameworks on resettlement and the lack of recognition squatters/illegal settlers</w:t>
            </w:r>
          </w:p>
        </w:tc>
        <w:tc>
          <w:tcPr>
            <w:tcW w:w="2338" w:type="dxa"/>
          </w:tcPr>
          <w:p w14:paraId="1BB965F7" w14:textId="77777777" w:rsidR="00376307" w:rsidRPr="00CA0715" w:rsidRDefault="00376307" w:rsidP="007B1264">
            <w:pPr>
              <w:rPr>
                <w:rFonts w:ascii="Times New Roman" w:hAnsi="Times New Roman" w:cs="Times New Roman"/>
              </w:rPr>
            </w:pPr>
          </w:p>
        </w:tc>
      </w:tr>
      <w:tr w:rsidR="00376307" w:rsidRPr="00CA0715" w14:paraId="04DB9FAC" w14:textId="77777777" w:rsidTr="00376307">
        <w:tc>
          <w:tcPr>
            <w:tcW w:w="625" w:type="dxa"/>
          </w:tcPr>
          <w:p w14:paraId="5DB17C71"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8</w:t>
            </w:r>
          </w:p>
        </w:tc>
        <w:tc>
          <w:tcPr>
            <w:tcW w:w="3420" w:type="dxa"/>
          </w:tcPr>
          <w:p w14:paraId="7CFFD33D"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It was recommended that additional staff recruited within EPA but the specific specialist was not mentioned</w:t>
            </w:r>
          </w:p>
        </w:tc>
        <w:tc>
          <w:tcPr>
            <w:tcW w:w="2967" w:type="dxa"/>
          </w:tcPr>
          <w:p w14:paraId="7D57C357"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No particular specialist was recommended because of the broad nature and types of sub-projects envisaged</w:t>
            </w:r>
          </w:p>
        </w:tc>
        <w:tc>
          <w:tcPr>
            <w:tcW w:w="2338" w:type="dxa"/>
          </w:tcPr>
          <w:p w14:paraId="2AEDEE4C" w14:textId="77777777" w:rsidR="00376307" w:rsidRPr="00CA0715" w:rsidRDefault="00376307" w:rsidP="007B1264">
            <w:pPr>
              <w:rPr>
                <w:rFonts w:ascii="Times New Roman" w:hAnsi="Times New Roman" w:cs="Times New Roman"/>
              </w:rPr>
            </w:pPr>
          </w:p>
        </w:tc>
      </w:tr>
      <w:tr w:rsidR="00376307" w:rsidRPr="00CA0715" w14:paraId="2484F510" w14:textId="77777777" w:rsidTr="00376307">
        <w:tc>
          <w:tcPr>
            <w:tcW w:w="625" w:type="dxa"/>
          </w:tcPr>
          <w:p w14:paraId="78893697"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9</w:t>
            </w:r>
          </w:p>
        </w:tc>
        <w:tc>
          <w:tcPr>
            <w:tcW w:w="3420" w:type="dxa"/>
          </w:tcPr>
          <w:p w14:paraId="43002608"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It was noted that sub-project can include solid waste collection but landfill sites are not eligible under the program because these sub-projects are considered high risk</w:t>
            </w:r>
          </w:p>
        </w:tc>
        <w:tc>
          <w:tcPr>
            <w:tcW w:w="2967" w:type="dxa"/>
          </w:tcPr>
          <w:p w14:paraId="77BFDF63" w14:textId="77777777" w:rsidR="00376307" w:rsidRPr="00CA0715" w:rsidRDefault="00376307" w:rsidP="007B1264">
            <w:pPr>
              <w:rPr>
                <w:rFonts w:ascii="Times New Roman" w:hAnsi="Times New Roman" w:cs="Times New Roman"/>
              </w:rPr>
            </w:pPr>
          </w:p>
        </w:tc>
        <w:tc>
          <w:tcPr>
            <w:tcW w:w="2338" w:type="dxa"/>
          </w:tcPr>
          <w:p w14:paraId="16E9DB0B" w14:textId="77777777" w:rsidR="00376307" w:rsidRPr="00CA0715" w:rsidRDefault="00376307" w:rsidP="007B1264">
            <w:pPr>
              <w:rPr>
                <w:rFonts w:ascii="Times New Roman" w:hAnsi="Times New Roman" w:cs="Times New Roman"/>
              </w:rPr>
            </w:pPr>
          </w:p>
        </w:tc>
      </w:tr>
      <w:tr w:rsidR="00376307" w:rsidRPr="00CA0715" w14:paraId="0579F14F" w14:textId="77777777" w:rsidTr="00376307">
        <w:tc>
          <w:tcPr>
            <w:tcW w:w="625" w:type="dxa"/>
          </w:tcPr>
          <w:p w14:paraId="1BBA25E8"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10</w:t>
            </w:r>
          </w:p>
        </w:tc>
        <w:tc>
          <w:tcPr>
            <w:tcW w:w="3420" w:type="dxa"/>
          </w:tcPr>
          <w:p w14:paraId="4F4CE682"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 xml:space="preserve">Office of the Local Government Service is mandated to undertake generic training and will need collaboration from the MLGRD to undertake information dissemination and capacity building on technical issues to the regions and MMAs. </w:t>
            </w:r>
          </w:p>
        </w:tc>
        <w:tc>
          <w:tcPr>
            <w:tcW w:w="2967" w:type="dxa"/>
          </w:tcPr>
          <w:p w14:paraId="5433F007"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The MLGRD assured all stakeholders present at the workshop of the needed collaboration at the national, regional and MMA level.</w:t>
            </w:r>
          </w:p>
        </w:tc>
        <w:tc>
          <w:tcPr>
            <w:tcW w:w="2338" w:type="dxa"/>
          </w:tcPr>
          <w:p w14:paraId="678C1E79" w14:textId="77777777" w:rsidR="00376307" w:rsidRPr="00CA0715" w:rsidRDefault="00376307" w:rsidP="007B1264">
            <w:pPr>
              <w:rPr>
                <w:rFonts w:ascii="Times New Roman" w:hAnsi="Times New Roman" w:cs="Times New Roman"/>
              </w:rPr>
            </w:pPr>
          </w:p>
        </w:tc>
      </w:tr>
      <w:tr w:rsidR="00376307" w:rsidRPr="00CA0715" w14:paraId="405BE8A6" w14:textId="77777777" w:rsidTr="00376307">
        <w:tc>
          <w:tcPr>
            <w:tcW w:w="625" w:type="dxa"/>
          </w:tcPr>
          <w:p w14:paraId="322B2603"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11</w:t>
            </w:r>
          </w:p>
        </w:tc>
        <w:tc>
          <w:tcPr>
            <w:tcW w:w="3420" w:type="dxa"/>
          </w:tcPr>
          <w:p w14:paraId="3C5E116A"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Do we a format for safeguards reporting</w:t>
            </w:r>
          </w:p>
        </w:tc>
        <w:tc>
          <w:tcPr>
            <w:tcW w:w="2967" w:type="dxa"/>
          </w:tcPr>
          <w:p w14:paraId="7FCEDE8E" w14:textId="77777777" w:rsidR="00376307" w:rsidRPr="00CA0715" w:rsidRDefault="00376307" w:rsidP="007B1264">
            <w:pPr>
              <w:rPr>
                <w:rFonts w:ascii="Times New Roman" w:hAnsi="Times New Roman" w:cs="Times New Roman"/>
              </w:rPr>
            </w:pPr>
            <w:r w:rsidRPr="00CA0715">
              <w:rPr>
                <w:rFonts w:ascii="Times New Roman" w:hAnsi="Times New Roman" w:cs="Times New Roman"/>
              </w:rPr>
              <w:t>Yes, but reporting is low.  An updated reporting format will be made available for the implementation of the project</w:t>
            </w:r>
          </w:p>
        </w:tc>
        <w:tc>
          <w:tcPr>
            <w:tcW w:w="2338" w:type="dxa"/>
          </w:tcPr>
          <w:p w14:paraId="3E3CDFA1" w14:textId="77777777" w:rsidR="00376307" w:rsidRPr="00CA0715" w:rsidRDefault="00376307" w:rsidP="007B1264">
            <w:pPr>
              <w:rPr>
                <w:rFonts w:ascii="Times New Roman" w:hAnsi="Times New Roman" w:cs="Times New Roman"/>
              </w:rPr>
            </w:pPr>
          </w:p>
        </w:tc>
      </w:tr>
    </w:tbl>
    <w:p w14:paraId="20F8F4E2" w14:textId="77777777" w:rsidR="00376307" w:rsidRPr="00CA0715" w:rsidRDefault="00376307" w:rsidP="00CA0715">
      <w:pPr>
        <w:spacing w:line="240" w:lineRule="auto"/>
        <w:rPr>
          <w:rFonts w:ascii="Times New Roman" w:hAnsi="Times New Roman" w:cs="Times New Roman"/>
        </w:rPr>
      </w:pPr>
    </w:p>
    <w:p w14:paraId="5B15EE45" w14:textId="2C24EAE6" w:rsidR="00376307" w:rsidRPr="007B1264" w:rsidRDefault="00376307" w:rsidP="00CA0715">
      <w:pPr>
        <w:autoSpaceDE w:val="0"/>
        <w:autoSpaceDN w:val="0"/>
        <w:adjustRightInd w:val="0"/>
        <w:spacing w:before="120" w:after="120" w:line="240" w:lineRule="auto"/>
        <w:jc w:val="both"/>
        <w:rPr>
          <w:rFonts w:ascii="Times New Roman" w:hAnsi="Times New Roman" w:cs="Times New Roman"/>
        </w:rPr>
      </w:pPr>
    </w:p>
    <w:p w14:paraId="1F544130" w14:textId="77777777" w:rsidR="00376307" w:rsidRPr="007B1264" w:rsidRDefault="00376307" w:rsidP="00CA0715">
      <w:pPr>
        <w:autoSpaceDE w:val="0"/>
        <w:autoSpaceDN w:val="0"/>
        <w:adjustRightInd w:val="0"/>
        <w:spacing w:before="120" w:after="120" w:line="240" w:lineRule="auto"/>
        <w:jc w:val="both"/>
        <w:rPr>
          <w:rFonts w:ascii="Times New Roman" w:hAnsi="Times New Roman" w:cs="Times New Roman"/>
        </w:rPr>
      </w:pPr>
    </w:p>
    <w:p w14:paraId="7C0EF174" w14:textId="19716877" w:rsidR="002865EE" w:rsidRPr="007B1264" w:rsidRDefault="002865EE" w:rsidP="00CA0715">
      <w:pPr>
        <w:autoSpaceDE w:val="0"/>
        <w:autoSpaceDN w:val="0"/>
        <w:adjustRightInd w:val="0"/>
        <w:spacing w:before="120" w:after="120" w:line="240" w:lineRule="auto"/>
        <w:jc w:val="both"/>
        <w:rPr>
          <w:rFonts w:ascii="Times New Roman" w:hAnsi="Times New Roman" w:cs="Times New Roman"/>
          <w:b/>
        </w:rPr>
      </w:pPr>
    </w:p>
    <w:p w14:paraId="2EC16DEE" w14:textId="4DA30EFD" w:rsidR="00EA3054" w:rsidRPr="007B1264" w:rsidRDefault="00EA3054" w:rsidP="00CA0715">
      <w:pPr>
        <w:autoSpaceDE w:val="0"/>
        <w:autoSpaceDN w:val="0"/>
        <w:adjustRightInd w:val="0"/>
        <w:spacing w:before="120" w:after="120" w:line="240" w:lineRule="auto"/>
        <w:jc w:val="both"/>
        <w:rPr>
          <w:rFonts w:ascii="Times New Roman" w:hAnsi="Times New Roman" w:cs="Times New Roman"/>
          <w:b/>
        </w:rPr>
      </w:pPr>
    </w:p>
    <w:p w14:paraId="0382DD5A" w14:textId="4E726637" w:rsidR="00EA3054" w:rsidRPr="007B1264" w:rsidRDefault="00EA3054" w:rsidP="00CA0715">
      <w:pPr>
        <w:autoSpaceDE w:val="0"/>
        <w:autoSpaceDN w:val="0"/>
        <w:adjustRightInd w:val="0"/>
        <w:spacing w:before="120" w:after="120" w:line="240" w:lineRule="auto"/>
        <w:jc w:val="both"/>
        <w:rPr>
          <w:rFonts w:ascii="Times New Roman" w:hAnsi="Times New Roman" w:cs="Times New Roman"/>
          <w:b/>
        </w:rPr>
      </w:pPr>
    </w:p>
    <w:p w14:paraId="15C81F61" w14:textId="39688615" w:rsidR="00EA3054" w:rsidRPr="007B1264" w:rsidRDefault="00EA3054" w:rsidP="00CA0715">
      <w:pPr>
        <w:autoSpaceDE w:val="0"/>
        <w:autoSpaceDN w:val="0"/>
        <w:adjustRightInd w:val="0"/>
        <w:spacing w:before="120" w:after="120" w:line="240" w:lineRule="auto"/>
        <w:jc w:val="both"/>
        <w:rPr>
          <w:rFonts w:ascii="Times New Roman" w:hAnsi="Times New Roman" w:cs="Times New Roman"/>
          <w:b/>
        </w:rPr>
      </w:pPr>
    </w:p>
    <w:p w14:paraId="79ECB628" w14:textId="09151744" w:rsidR="00EA3054" w:rsidRPr="007B1264" w:rsidRDefault="00EA3054" w:rsidP="00CA0715">
      <w:pPr>
        <w:autoSpaceDE w:val="0"/>
        <w:autoSpaceDN w:val="0"/>
        <w:adjustRightInd w:val="0"/>
        <w:spacing w:before="120" w:after="120" w:line="240" w:lineRule="auto"/>
        <w:jc w:val="both"/>
        <w:rPr>
          <w:rFonts w:ascii="Times New Roman" w:hAnsi="Times New Roman" w:cs="Times New Roman"/>
          <w:b/>
        </w:rPr>
      </w:pPr>
    </w:p>
    <w:p w14:paraId="092A5390" w14:textId="37D47635" w:rsidR="00EA3054" w:rsidRPr="007B1264" w:rsidRDefault="00EA3054" w:rsidP="00CA0715">
      <w:pPr>
        <w:autoSpaceDE w:val="0"/>
        <w:autoSpaceDN w:val="0"/>
        <w:adjustRightInd w:val="0"/>
        <w:spacing w:before="120" w:after="120" w:line="240" w:lineRule="auto"/>
        <w:jc w:val="both"/>
        <w:rPr>
          <w:rFonts w:ascii="Times New Roman" w:hAnsi="Times New Roman" w:cs="Times New Roman"/>
          <w:b/>
        </w:rPr>
      </w:pPr>
    </w:p>
    <w:p w14:paraId="0506BEF9" w14:textId="29177620" w:rsidR="00EA3054" w:rsidRPr="00CE4F32" w:rsidRDefault="008300D5" w:rsidP="007B1264">
      <w:pPr>
        <w:pStyle w:val="Heading2"/>
      </w:pPr>
      <w:r w:rsidRPr="00CA0715">
        <w:rPr>
          <w:rFonts w:ascii="Times New Roman" w:hAnsi="Times New Roman"/>
        </w:rPr>
        <w:br w:type="page"/>
      </w:r>
      <w:bookmarkStart w:id="286" w:name="_Toc508892839"/>
      <w:r w:rsidR="002865EE" w:rsidRPr="00CE4F32">
        <w:t>Annex</w:t>
      </w:r>
      <w:r w:rsidR="00EA3054" w:rsidRPr="00CE4F32">
        <w:t xml:space="preserve"> 1: STAKEHOLDERS INTERVIEWED DURING ENVIRONMENTAL AND SOCIAL </w:t>
      </w:r>
      <w:r w:rsidR="00E15C04">
        <w:rPr>
          <w:lang w:val="en-US"/>
        </w:rPr>
        <w:t xml:space="preserve"> </w:t>
      </w:r>
      <w:r w:rsidR="00AA27F8">
        <w:rPr>
          <w:lang w:val="en-US"/>
        </w:rPr>
        <w:t>S</w:t>
      </w:r>
      <w:r w:rsidR="00EA3054" w:rsidRPr="00CE4F32">
        <w:t>YSTEMS ASSESSMENT MISSION</w:t>
      </w:r>
      <w:bookmarkEnd w:id="286"/>
    </w:p>
    <w:p w14:paraId="35149FDD" w14:textId="77777777" w:rsidR="00EA3054" w:rsidRPr="00CE4F32" w:rsidRDefault="00EA3054" w:rsidP="00C3416F">
      <w:pPr>
        <w:autoSpaceDE w:val="0"/>
        <w:autoSpaceDN w:val="0"/>
        <w:adjustRightInd w:val="0"/>
        <w:spacing w:before="120" w:after="120" w:line="360" w:lineRule="auto"/>
        <w:jc w:val="both"/>
        <w:rPr>
          <w:rFonts w:ascii="Times New Roman" w:hAnsi="Times New Roman" w:cs="Times New Roman"/>
          <w:b/>
        </w:rPr>
      </w:pPr>
    </w:p>
    <w:tbl>
      <w:tblPr>
        <w:tblStyle w:val="TableGrid"/>
        <w:tblW w:w="5000" w:type="pct"/>
        <w:tblLook w:val="04A0" w:firstRow="1" w:lastRow="0" w:firstColumn="1" w:lastColumn="0" w:noHBand="0" w:noVBand="1"/>
      </w:tblPr>
      <w:tblGrid>
        <w:gridCol w:w="1304"/>
        <w:gridCol w:w="1524"/>
        <w:gridCol w:w="1818"/>
        <w:gridCol w:w="1194"/>
        <w:gridCol w:w="3654"/>
      </w:tblGrid>
      <w:tr w:rsidR="007A4EA1" w:rsidRPr="00790606" w14:paraId="530BD413" w14:textId="77777777" w:rsidTr="00CA0715">
        <w:trPr>
          <w:tblHeader/>
        </w:trPr>
        <w:tc>
          <w:tcPr>
            <w:tcW w:w="695" w:type="pct"/>
          </w:tcPr>
          <w:p w14:paraId="6ED907AF" w14:textId="77777777" w:rsidR="00EA3054" w:rsidRPr="00261EAC" w:rsidRDefault="00EA3054" w:rsidP="00CA0715">
            <w:pPr>
              <w:rPr>
                <w:rFonts w:ascii="Times New Roman" w:hAnsi="Times New Roman"/>
                <w:b/>
                <w:sz w:val="22"/>
                <w:szCs w:val="22"/>
              </w:rPr>
            </w:pPr>
            <w:r w:rsidRPr="00261EAC">
              <w:rPr>
                <w:rFonts w:ascii="Times New Roman" w:hAnsi="Times New Roman"/>
                <w:b/>
                <w:sz w:val="22"/>
                <w:szCs w:val="22"/>
              </w:rPr>
              <w:t>Name of Officer</w:t>
            </w:r>
          </w:p>
        </w:tc>
        <w:tc>
          <w:tcPr>
            <w:tcW w:w="569" w:type="pct"/>
          </w:tcPr>
          <w:p w14:paraId="1708AB61" w14:textId="77777777" w:rsidR="00EA3054" w:rsidRPr="00261EAC" w:rsidRDefault="00EA3054" w:rsidP="00CA0715">
            <w:pPr>
              <w:rPr>
                <w:rFonts w:ascii="Times New Roman" w:hAnsi="Times New Roman"/>
                <w:b/>
                <w:sz w:val="22"/>
                <w:szCs w:val="22"/>
              </w:rPr>
            </w:pPr>
            <w:r w:rsidRPr="00261EAC">
              <w:rPr>
                <w:rFonts w:ascii="Times New Roman" w:hAnsi="Times New Roman"/>
                <w:b/>
                <w:sz w:val="22"/>
                <w:szCs w:val="22"/>
              </w:rPr>
              <w:t>Organization</w:t>
            </w:r>
          </w:p>
        </w:tc>
        <w:tc>
          <w:tcPr>
            <w:tcW w:w="758" w:type="pct"/>
          </w:tcPr>
          <w:p w14:paraId="42A363CE" w14:textId="77777777" w:rsidR="00EA3054" w:rsidRPr="00261EAC" w:rsidRDefault="00EA3054" w:rsidP="00CA0715">
            <w:pPr>
              <w:rPr>
                <w:rFonts w:ascii="Times New Roman" w:hAnsi="Times New Roman"/>
                <w:b/>
                <w:sz w:val="22"/>
                <w:szCs w:val="22"/>
              </w:rPr>
            </w:pPr>
            <w:r w:rsidRPr="00261EAC">
              <w:rPr>
                <w:rFonts w:ascii="Times New Roman" w:hAnsi="Times New Roman"/>
                <w:b/>
                <w:sz w:val="22"/>
                <w:szCs w:val="22"/>
              </w:rPr>
              <w:t>Designation</w:t>
            </w:r>
          </w:p>
        </w:tc>
        <w:tc>
          <w:tcPr>
            <w:tcW w:w="537" w:type="pct"/>
          </w:tcPr>
          <w:p w14:paraId="1138BF30" w14:textId="77777777" w:rsidR="00EA3054" w:rsidRPr="00261EAC" w:rsidRDefault="00EA3054" w:rsidP="00CA0715">
            <w:pPr>
              <w:rPr>
                <w:rFonts w:ascii="Times New Roman" w:hAnsi="Times New Roman"/>
                <w:b/>
                <w:sz w:val="22"/>
                <w:szCs w:val="22"/>
              </w:rPr>
            </w:pPr>
            <w:r w:rsidRPr="00261EAC">
              <w:rPr>
                <w:rFonts w:ascii="Times New Roman" w:hAnsi="Times New Roman"/>
                <w:b/>
                <w:sz w:val="22"/>
                <w:szCs w:val="22"/>
              </w:rPr>
              <w:t>Telephone</w:t>
            </w:r>
          </w:p>
        </w:tc>
        <w:tc>
          <w:tcPr>
            <w:tcW w:w="2441" w:type="pct"/>
          </w:tcPr>
          <w:p w14:paraId="490B56C0" w14:textId="77777777" w:rsidR="00EA3054" w:rsidRPr="00261EAC" w:rsidRDefault="00EA3054" w:rsidP="00CA0715">
            <w:pPr>
              <w:rPr>
                <w:rFonts w:ascii="Times New Roman" w:hAnsi="Times New Roman"/>
                <w:b/>
                <w:sz w:val="22"/>
                <w:szCs w:val="22"/>
              </w:rPr>
            </w:pPr>
            <w:r w:rsidRPr="00261EAC">
              <w:rPr>
                <w:rFonts w:ascii="Times New Roman" w:hAnsi="Times New Roman"/>
                <w:b/>
                <w:sz w:val="22"/>
                <w:szCs w:val="22"/>
              </w:rPr>
              <w:t>Email Contact</w:t>
            </w:r>
          </w:p>
        </w:tc>
      </w:tr>
      <w:tr w:rsidR="007A4EA1" w:rsidRPr="00790606" w14:paraId="502E0860" w14:textId="77777777" w:rsidTr="00CA0715">
        <w:tc>
          <w:tcPr>
            <w:tcW w:w="695" w:type="pct"/>
          </w:tcPr>
          <w:p w14:paraId="07D3ABF5"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Kwame Owusu Bonsu</w:t>
            </w:r>
          </w:p>
        </w:tc>
        <w:tc>
          <w:tcPr>
            <w:tcW w:w="569" w:type="pct"/>
          </w:tcPr>
          <w:p w14:paraId="5E787B51"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Ministry of Local Government and Rural Development (MLGRD)</w:t>
            </w:r>
          </w:p>
        </w:tc>
        <w:tc>
          <w:tcPr>
            <w:tcW w:w="758" w:type="pct"/>
          </w:tcPr>
          <w:p w14:paraId="4F1FBDCC"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Project Coordinator</w:t>
            </w:r>
          </w:p>
        </w:tc>
        <w:tc>
          <w:tcPr>
            <w:tcW w:w="537" w:type="pct"/>
          </w:tcPr>
          <w:p w14:paraId="0FC1201E"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0244-879282</w:t>
            </w:r>
          </w:p>
        </w:tc>
        <w:tc>
          <w:tcPr>
            <w:tcW w:w="2441" w:type="pct"/>
          </w:tcPr>
          <w:p w14:paraId="7EF9CCAD"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kwameowusubonsu@yahoo.com</w:t>
            </w:r>
          </w:p>
        </w:tc>
      </w:tr>
      <w:tr w:rsidR="007A4EA1" w:rsidRPr="00790606" w14:paraId="347F3EF0" w14:textId="77777777" w:rsidTr="00CA0715">
        <w:tc>
          <w:tcPr>
            <w:tcW w:w="695" w:type="pct"/>
          </w:tcPr>
          <w:p w14:paraId="11042AB6"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Fati Soale</w:t>
            </w:r>
          </w:p>
        </w:tc>
        <w:tc>
          <w:tcPr>
            <w:tcW w:w="569" w:type="pct"/>
          </w:tcPr>
          <w:p w14:paraId="67E747CE"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MLGRD</w:t>
            </w:r>
          </w:p>
        </w:tc>
        <w:tc>
          <w:tcPr>
            <w:tcW w:w="758" w:type="pct"/>
          </w:tcPr>
          <w:p w14:paraId="2EBA92D0"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Head Social Accountability Unit</w:t>
            </w:r>
          </w:p>
        </w:tc>
        <w:tc>
          <w:tcPr>
            <w:tcW w:w="537" w:type="pct"/>
          </w:tcPr>
          <w:p w14:paraId="469EFB65" w14:textId="77777777" w:rsidR="00EA3054" w:rsidRPr="00261EAC" w:rsidRDefault="00EA3054" w:rsidP="00CA0715">
            <w:pPr>
              <w:rPr>
                <w:rFonts w:ascii="Times New Roman" w:hAnsi="Times New Roman"/>
                <w:sz w:val="22"/>
                <w:szCs w:val="22"/>
              </w:rPr>
            </w:pPr>
          </w:p>
        </w:tc>
        <w:tc>
          <w:tcPr>
            <w:tcW w:w="2441" w:type="pct"/>
          </w:tcPr>
          <w:p w14:paraId="5C1F369E"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fatisoale@yahoo.co.uk</w:t>
            </w:r>
          </w:p>
        </w:tc>
      </w:tr>
      <w:tr w:rsidR="007A4EA1" w:rsidRPr="00790606" w14:paraId="77FDB02E" w14:textId="77777777" w:rsidTr="00CA0715">
        <w:tc>
          <w:tcPr>
            <w:tcW w:w="695" w:type="pct"/>
          </w:tcPr>
          <w:p w14:paraId="109E5A7A"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George Nti</w:t>
            </w:r>
          </w:p>
        </w:tc>
        <w:tc>
          <w:tcPr>
            <w:tcW w:w="569" w:type="pct"/>
          </w:tcPr>
          <w:p w14:paraId="2601B345"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MLGRD</w:t>
            </w:r>
          </w:p>
        </w:tc>
        <w:tc>
          <w:tcPr>
            <w:tcW w:w="758" w:type="pct"/>
          </w:tcPr>
          <w:p w14:paraId="2A471358"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Technical Advisor-Urban Grant /LGCSP</w:t>
            </w:r>
          </w:p>
        </w:tc>
        <w:tc>
          <w:tcPr>
            <w:tcW w:w="537" w:type="pct"/>
          </w:tcPr>
          <w:p w14:paraId="03BDD011"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0243-411321</w:t>
            </w:r>
          </w:p>
        </w:tc>
        <w:tc>
          <w:tcPr>
            <w:tcW w:w="2441" w:type="pct"/>
          </w:tcPr>
          <w:p w14:paraId="23E3DF63"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Geonti2000@yahoo.com</w:t>
            </w:r>
          </w:p>
        </w:tc>
      </w:tr>
      <w:tr w:rsidR="007A4EA1" w:rsidRPr="00790606" w14:paraId="44B45032" w14:textId="77777777" w:rsidTr="00CA0715">
        <w:tc>
          <w:tcPr>
            <w:tcW w:w="695" w:type="pct"/>
          </w:tcPr>
          <w:p w14:paraId="5A5CBF08"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Emmanuel A Mante</w:t>
            </w:r>
          </w:p>
        </w:tc>
        <w:tc>
          <w:tcPr>
            <w:tcW w:w="569" w:type="pct"/>
          </w:tcPr>
          <w:p w14:paraId="33198C85"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MLGRD</w:t>
            </w:r>
          </w:p>
        </w:tc>
        <w:tc>
          <w:tcPr>
            <w:tcW w:w="758" w:type="pct"/>
          </w:tcPr>
          <w:p w14:paraId="76309265"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Safeguards Specialist/LGCSP</w:t>
            </w:r>
          </w:p>
        </w:tc>
        <w:tc>
          <w:tcPr>
            <w:tcW w:w="537" w:type="pct"/>
          </w:tcPr>
          <w:p w14:paraId="406D22DB"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0244-409080</w:t>
            </w:r>
          </w:p>
        </w:tc>
        <w:tc>
          <w:tcPr>
            <w:tcW w:w="2441" w:type="pct"/>
          </w:tcPr>
          <w:p w14:paraId="35DEF045"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manteblossom@gmail.com</w:t>
            </w:r>
          </w:p>
        </w:tc>
      </w:tr>
      <w:tr w:rsidR="007A4EA1" w:rsidRPr="00790606" w14:paraId="71A19C75" w14:textId="77777777" w:rsidTr="00CA0715">
        <w:tc>
          <w:tcPr>
            <w:tcW w:w="695" w:type="pct"/>
          </w:tcPr>
          <w:p w14:paraId="547572CB"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Linda Agyepong (Mrs)</w:t>
            </w:r>
          </w:p>
        </w:tc>
        <w:tc>
          <w:tcPr>
            <w:tcW w:w="569" w:type="pct"/>
          </w:tcPr>
          <w:p w14:paraId="38C1AD6A"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MLGRD</w:t>
            </w:r>
          </w:p>
        </w:tc>
        <w:tc>
          <w:tcPr>
            <w:tcW w:w="758" w:type="pct"/>
          </w:tcPr>
          <w:p w14:paraId="792682E9"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Assist Director II</w:t>
            </w:r>
          </w:p>
        </w:tc>
        <w:tc>
          <w:tcPr>
            <w:tcW w:w="537" w:type="pct"/>
          </w:tcPr>
          <w:p w14:paraId="557928D1"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0266-694854</w:t>
            </w:r>
          </w:p>
        </w:tc>
        <w:tc>
          <w:tcPr>
            <w:tcW w:w="2441" w:type="pct"/>
          </w:tcPr>
          <w:p w14:paraId="241FC3A7"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Nanayaa.agyepong@gmail.com</w:t>
            </w:r>
          </w:p>
        </w:tc>
      </w:tr>
      <w:tr w:rsidR="007A4EA1" w:rsidRPr="00790606" w14:paraId="0E9F73B4" w14:textId="77777777" w:rsidTr="00CA0715">
        <w:tc>
          <w:tcPr>
            <w:tcW w:w="695" w:type="pct"/>
          </w:tcPr>
          <w:p w14:paraId="5FFC1695"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Gregory A Addah</w:t>
            </w:r>
          </w:p>
        </w:tc>
        <w:tc>
          <w:tcPr>
            <w:tcW w:w="569" w:type="pct"/>
          </w:tcPr>
          <w:p w14:paraId="64FB497D" w14:textId="54C47A54" w:rsidR="00EA3054" w:rsidRPr="00261EAC" w:rsidRDefault="00EA3054" w:rsidP="00CA0715">
            <w:pPr>
              <w:rPr>
                <w:rFonts w:ascii="Times New Roman" w:hAnsi="Times New Roman"/>
                <w:sz w:val="22"/>
                <w:szCs w:val="22"/>
              </w:rPr>
            </w:pPr>
            <w:r w:rsidRPr="00261EAC">
              <w:rPr>
                <w:rFonts w:ascii="Times New Roman" w:hAnsi="Times New Roman"/>
                <w:sz w:val="22"/>
                <w:szCs w:val="22"/>
              </w:rPr>
              <w:t xml:space="preserve">Office of the </w:t>
            </w:r>
            <w:r w:rsidR="00412A99" w:rsidRPr="00261EAC">
              <w:rPr>
                <w:rFonts w:ascii="Times New Roman" w:hAnsi="Times New Roman"/>
                <w:sz w:val="22"/>
                <w:szCs w:val="22"/>
              </w:rPr>
              <w:t xml:space="preserve">Head </w:t>
            </w:r>
            <w:r w:rsidRPr="00261EAC">
              <w:rPr>
                <w:rFonts w:ascii="Times New Roman" w:hAnsi="Times New Roman"/>
                <w:sz w:val="22"/>
                <w:szCs w:val="22"/>
              </w:rPr>
              <w:t>Local Government Service (OHLGS)</w:t>
            </w:r>
          </w:p>
        </w:tc>
        <w:tc>
          <w:tcPr>
            <w:tcW w:w="758" w:type="pct"/>
          </w:tcPr>
          <w:p w14:paraId="173F27D0"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Director PPBME</w:t>
            </w:r>
          </w:p>
        </w:tc>
        <w:tc>
          <w:tcPr>
            <w:tcW w:w="537" w:type="pct"/>
          </w:tcPr>
          <w:p w14:paraId="6CE72383"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0244-204794</w:t>
            </w:r>
          </w:p>
        </w:tc>
        <w:tc>
          <w:tcPr>
            <w:tcW w:w="2441" w:type="pct"/>
          </w:tcPr>
          <w:p w14:paraId="7A4A4755"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Gregad1339@yahoo.com</w:t>
            </w:r>
          </w:p>
        </w:tc>
      </w:tr>
      <w:tr w:rsidR="007A4EA1" w:rsidRPr="00790606" w14:paraId="293B7B31" w14:textId="77777777" w:rsidTr="00CA0715">
        <w:tc>
          <w:tcPr>
            <w:tcW w:w="695" w:type="pct"/>
          </w:tcPr>
          <w:p w14:paraId="1626828E"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Lena Otoo</w:t>
            </w:r>
          </w:p>
        </w:tc>
        <w:tc>
          <w:tcPr>
            <w:tcW w:w="569" w:type="pct"/>
          </w:tcPr>
          <w:p w14:paraId="5E6B43F9"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OHLGS</w:t>
            </w:r>
          </w:p>
        </w:tc>
        <w:tc>
          <w:tcPr>
            <w:tcW w:w="758" w:type="pct"/>
          </w:tcPr>
          <w:p w14:paraId="541B7EBF"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Planning Unit</w:t>
            </w:r>
          </w:p>
        </w:tc>
        <w:tc>
          <w:tcPr>
            <w:tcW w:w="537" w:type="pct"/>
          </w:tcPr>
          <w:p w14:paraId="3DDA56AE"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020-4346328</w:t>
            </w:r>
          </w:p>
        </w:tc>
        <w:tc>
          <w:tcPr>
            <w:tcW w:w="2441" w:type="pct"/>
          </w:tcPr>
          <w:p w14:paraId="7C3C1D43"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Lena_otoo@yahoo.com</w:t>
            </w:r>
          </w:p>
        </w:tc>
      </w:tr>
      <w:tr w:rsidR="007A4EA1" w:rsidRPr="00790606" w14:paraId="437A3E32" w14:textId="77777777" w:rsidTr="00CA0715">
        <w:tc>
          <w:tcPr>
            <w:tcW w:w="695" w:type="pct"/>
          </w:tcPr>
          <w:p w14:paraId="69F1D759"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Ben Ankrah</w:t>
            </w:r>
          </w:p>
        </w:tc>
        <w:tc>
          <w:tcPr>
            <w:tcW w:w="569" w:type="pct"/>
          </w:tcPr>
          <w:p w14:paraId="7DDF5548"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OHLGS</w:t>
            </w:r>
          </w:p>
        </w:tc>
        <w:tc>
          <w:tcPr>
            <w:tcW w:w="758" w:type="pct"/>
          </w:tcPr>
          <w:p w14:paraId="7BD7B732"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Procurement Specialist</w:t>
            </w:r>
          </w:p>
        </w:tc>
        <w:tc>
          <w:tcPr>
            <w:tcW w:w="537" w:type="pct"/>
          </w:tcPr>
          <w:p w14:paraId="1D9BE5BD"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0243-189769</w:t>
            </w:r>
          </w:p>
        </w:tc>
        <w:tc>
          <w:tcPr>
            <w:tcW w:w="2441" w:type="pct"/>
          </w:tcPr>
          <w:p w14:paraId="00C93EC8"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Bankrah2003@yahoo.com</w:t>
            </w:r>
          </w:p>
        </w:tc>
      </w:tr>
      <w:tr w:rsidR="007A4EA1" w:rsidRPr="00790606" w14:paraId="69E1F1D2" w14:textId="77777777" w:rsidTr="00CA0715">
        <w:tc>
          <w:tcPr>
            <w:tcW w:w="695" w:type="pct"/>
          </w:tcPr>
          <w:p w14:paraId="43B0DF34"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E. K. Appah-Sampong</w:t>
            </w:r>
          </w:p>
        </w:tc>
        <w:tc>
          <w:tcPr>
            <w:tcW w:w="569" w:type="pct"/>
          </w:tcPr>
          <w:p w14:paraId="736FA76D"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Environmental Protection Agency</w:t>
            </w:r>
          </w:p>
        </w:tc>
        <w:tc>
          <w:tcPr>
            <w:tcW w:w="758" w:type="pct"/>
          </w:tcPr>
          <w:p w14:paraId="1D770320"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Deputy Executive Director</w:t>
            </w:r>
          </w:p>
        </w:tc>
        <w:tc>
          <w:tcPr>
            <w:tcW w:w="537" w:type="pct"/>
          </w:tcPr>
          <w:p w14:paraId="79BFA648"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050-1301746</w:t>
            </w:r>
          </w:p>
        </w:tc>
        <w:tc>
          <w:tcPr>
            <w:tcW w:w="2441" w:type="pct"/>
          </w:tcPr>
          <w:p w14:paraId="485B192F"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Ebenezer.appah-sampong@epa.gov.gh</w:t>
            </w:r>
          </w:p>
        </w:tc>
      </w:tr>
      <w:tr w:rsidR="007A4EA1" w:rsidRPr="00790606" w14:paraId="7FC3966A" w14:textId="77777777" w:rsidTr="00CA0715">
        <w:tc>
          <w:tcPr>
            <w:tcW w:w="695" w:type="pct"/>
          </w:tcPr>
          <w:p w14:paraId="1C06E5A6"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Sally Biney</w:t>
            </w:r>
          </w:p>
        </w:tc>
        <w:tc>
          <w:tcPr>
            <w:tcW w:w="569" w:type="pct"/>
          </w:tcPr>
          <w:p w14:paraId="4FA4DB68"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Environmental Protection Agency Accra West Regional Office</w:t>
            </w:r>
          </w:p>
        </w:tc>
        <w:tc>
          <w:tcPr>
            <w:tcW w:w="758" w:type="pct"/>
          </w:tcPr>
          <w:p w14:paraId="02821747" w14:textId="467F6398" w:rsidR="00EA3054" w:rsidRPr="00261EAC" w:rsidRDefault="00EA3054" w:rsidP="00CA0715">
            <w:pPr>
              <w:rPr>
                <w:rFonts w:ascii="Times New Roman" w:hAnsi="Times New Roman"/>
                <w:sz w:val="22"/>
                <w:szCs w:val="22"/>
              </w:rPr>
            </w:pPr>
            <w:r w:rsidRPr="00261EAC">
              <w:rPr>
                <w:rFonts w:ascii="Times New Roman" w:hAnsi="Times New Roman"/>
                <w:sz w:val="22"/>
                <w:szCs w:val="22"/>
              </w:rPr>
              <w:t>Regional Head</w:t>
            </w:r>
            <w:r w:rsidR="00412A99" w:rsidRPr="00261EAC">
              <w:rPr>
                <w:rFonts w:ascii="Times New Roman" w:hAnsi="Times New Roman"/>
                <w:sz w:val="22"/>
                <w:szCs w:val="22"/>
              </w:rPr>
              <w:t>, Greater Accra West</w:t>
            </w:r>
          </w:p>
        </w:tc>
        <w:tc>
          <w:tcPr>
            <w:tcW w:w="537" w:type="pct"/>
          </w:tcPr>
          <w:p w14:paraId="53C3A0E2"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050-1301400</w:t>
            </w:r>
          </w:p>
        </w:tc>
        <w:tc>
          <w:tcPr>
            <w:tcW w:w="2441" w:type="pct"/>
          </w:tcPr>
          <w:p w14:paraId="12FFF0BF"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Sally.biney@epa.gov.gh</w:t>
            </w:r>
          </w:p>
        </w:tc>
      </w:tr>
      <w:tr w:rsidR="007A4EA1" w:rsidRPr="00790606" w14:paraId="1BD81F83" w14:textId="77777777" w:rsidTr="00CA0715">
        <w:tc>
          <w:tcPr>
            <w:tcW w:w="695" w:type="pct"/>
          </w:tcPr>
          <w:p w14:paraId="0D6E6835"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Sophia N. Vanderpuije</w:t>
            </w:r>
          </w:p>
        </w:tc>
        <w:tc>
          <w:tcPr>
            <w:tcW w:w="569" w:type="pct"/>
          </w:tcPr>
          <w:p w14:paraId="5FA06AEE"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Environmental Protection Agency Accra West Regional Office</w:t>
            </w:r>
          </w:p>
        </w:tc>
        <w:tc>
          <w:tcPr>
            <w:tcW w:w="758" w:type="pct"/>
          </w:tcPr>
          <w:p w14:paraId="283316B6"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Principal Programme Officer</w:t>
            </w:r>
          </w:p>
        </w:tc>
        <w:tc>
          <w:tcPr>
            <w:tcW w:w="537" w:type="pct"/>
          </w:tcPr>
          <w:p w14:paraId="4AFB0D52"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050-1301650</w:t>
            </w:r>
          </w:p>
        </w:tc>
        <w:tc>
          <w:tcPr>
            <w:tcW w:w="2441" w:type="pct"/>
          </w:tcPr>
          <w:p w14:paraId="1C3AEE63"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Sophia.vanderpuije@epa.gov.gh</w:t>
            </w:r>
          </w:p>
        </w:tc>
      </w:tr>
      <w:tr w:rsidR="007A4EA1" w:rsidRPr="00790606" w14:paraId="6BDFEC42" w14:textId="77777777" w:rsidTr="00CA0715">
        <w:tc>
          <w:tcPr>
            <w:tcW w:w="695" w:type="pct"/>
          </w:tcPr>
          <w:p w14:paraId="4D3DAC5F"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Samuel Lawer</w:t>
            </w:r>
          </w:p>
        </w:tc>
        <w:tc>
          <w:tcPr>
            <w:tcW w:w="569" w:type="pct"/>
          </w:tcPr>
          <w:p w14:paraId="520A92CD"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Ga West Municipal Assembly</w:t>
            </w:r>
          </w:p>
        </w:tc>
        <w:tc>
          <w:tcPr>
            <w:tcW w:w="758" w:type="pct"/>
          </w:tcPr>
          <w:p w14:paraId="7AAE9797"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Municipal Planning Officer/ Safeguards Focal Person</w:t>
            </w:r>
          </w:p>
        </w:tc>
        <w:tc>
          <w:tcPr>
            <w:tcW w:w="537" w:type="pct"/>
          </w:tcPr>
          <w:p w14:paraId="16FA62E2"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0243-128385</w:t>
            </w:r>
          </w:p>
        </w:tc>
        <w:tc>
          <w:tcPr>
            <w:tcW w:w="2441" w:type="pct"/>
          </w:tcPr>
          <w:p w14:paraId="1EB048A7"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nomolaw@gmail.com</w:t>
            </w:r>
          </w:p>
        </w:tc>
      </w:tr>
      <w:tr w:rsidR="007A4EA1" w:rsidRPr="00790606" w14:paraId="04395A16" w14:textId="77777777" w:rsidTr="00CA0715">
        <w:tc>
          <w:tcPr>
            <w:tcW w:w="695" w:type="pct"/>
          </w:tcPr>
          <w:p w14:paraId="087785A8"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Anthony Cobbinah</w:t>
            </w:r>
          </w:p>
        </w:tc>
        <w:tc>
          <w:tcPr>
            <w:tcW w:w="569" w:type="pct"/>
          </w:tcPr>
          <w:p w14:paraId="6C4F443D"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Ga West Municipal Assembly</w:t>
            </w:r>
          </w:p>
        </w:tc>
        <w:tc>
          <w:tcPr>
            <w:tcW w:w="758" w:type="pct"/>
          </w:tcPr>
          <w:p w14:paraId="37F9B991"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Municipal Budget Officer</w:t>
            </w:r>
          </w:p>
        </w:tc>
        <w:tc>
          <w:tcPr>
            <w:tcW w:w="537" w:type="pct"/>
          </w:tcPr>
          <w:p w14:paraId="0250CE9D"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0573-759464</w:t>
            </w:r>
          </w:p>
        </w:tc>
        <w:tc>
          <w:tcPr>
            <w:tcW w:w="2441" w:type="pct"/>
          </w:tcPr>
          <w:p w14:paraId="711315D4"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Tonnycobbinah.hqcc.abe@gmail.com</w:t>
            </w:r>
          </w:p>
        </w:tc>
      </w:tr>
      <w:tr w:rsidR="007A4EA1" w:rsidRPr="00790606" w14:paraId="631426F8" w14:textId="77777777" w:rsidTr="00CA0715">
        <w:tc>
          <w:tcPr>
            <w:tcW w:w="695" w:type="pct"/>
          </w:tcPr>
          <w:p w14:paraId="2741AFF9"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Eric Jinifoster Donkor</w:t>
            </w:r>
          </w:p>
        </w:tc>
        <w:tc>
          <w:tcPr>
            <w:tcW w:w="569" w:type="pct"/>
          </w:tcPr>
          <w:p w14:paraId="1E089CDB"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Ga West Municipal Assembly</w:t>
            </w:r>
          </w:p>
        </w:tc>
        <w:tc>
          <w:tcPr>
            <w:tcW w:w="758" w:type="pct"/>
          </w:tcPr>
          <w:p w14:paraId="4B763647"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Municipal Works Engineer</w:t>
            </w:r>
          </w:p>
        </w:tc>
        <w:tc>
          <w:tcPr>
            <w:tcW w:w="537" w:type="pct"/>
          </w:tcPr>
          <w:p w14:paraId="110D2EE4"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0244-072513</w:t>
            </w:r>
          </w:p>
        </w:tc>
        <w:tc>
          <w:tcPr>
            <w:tcW w:w="2441" w:type="pct"/>
          </w:tcPr>
          <w:p w14:paraId="41CCA649"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ericjdonkor@yahoo.com</w:t>
            </w:r>
          </w:p>
        </w:tc>
      </w:tr>
      <w:tr w:rsidR="007A4EA1" w:rsidRPr="00790606" w14:paraId="5374F164" w14:textId="77777777" w:rsidTr="00CA0715">
        <w:tc>
          <w:tcPr>
            <w:tcW w:w="695" w:type="pct"/>
          </w:tcPr>
          <w:p w14:paraId="1727D9E1"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Ernest Arthur</w:t>
            </w:r>
          </w:p>
        </w:tc>
        <w:tc>
          <w:tcPr>
            <w:tcW w:w="569" w:type="pct"/>
          </w:tcPr>
          <w:p w14:paraId="6EDE41C9"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Cape Coast Metropolitan Assembly</w:t>
            </w:r>
          </w:p>
        </w:tc>
        <w:tc>
          <w:tcPr>
            <w:tcW w:w="758" w:type="pct"/>
          </w:tcPr>
          <w:p w14:paraId="5F8EACEF"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 xml:space="preserve"> Chief Executive</w:t>
            </w:r>
          </w:p>
        </w:tc>
        <w:tc>
          <w:tcPr>
            <w:tcW w:w="537" w:type="pct"/>
          </w:tcPr>
          <w:p w14:paraId="7F8D42D5"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0249-999974</w:t>
            </w:r>
          </w:p>
        </w:tc>
        <w:tc>
          <w:tcPr>
            <w:tcW w:w="2441" w:type="pct"/>
          </w:tcPr>
          <w:p w14:paraId="6949E8CD"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ernestarthur@live.com</w:t>
            </w:r>
          </w:p>
        </w:tc>
      </w:tr>
      <w:tr w:rsidR="007A4EA1" w:rsidRPr="00790606" w14:paraId="042489A3" w14:textId="77777777" w:rsidTr="00CA0715">
        <w:tc>
          <w:tcPr>
            <w:tcW w:w="695" w:type="pct"/>
          </w:tcPr>
          <w:p w14:paraId="485D58E7"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S. Amoako Kwarteng</w:t>
            </w:r>
          </w:p>
        </w:tc>
        <w:tc>
          <w:tcPr>
            <w:tcW w:w="569" w:type="pct"/>
          </w:tcPr>
          <w:p w14:paraId="40286C03"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Cape Coast Metropolitan Assembly</w:t>
            </w:r>
          </w:p>
        </w:tc>
        <w:tc>
          <w:tcPr>
            <w:tcW w:w="758" w:type="pct"/>
          </w:tcPr>
          <w:p w14:paraId="69C47D9D"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Coordinating Director</w:t>
            </w:r>
          </w:p>
        </w:tc>
        <w:tc>
          <w:tcPr>
            <w:tcW w:w="537" w:type="pct"/>
          </w:tcPr>
          <w:p w14:paraId="3213D7AA"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0244-624854</w:t>
            </w:r>
          </w:p>
        </w:tc>
        <w:tc>
          <w:tcPr>
            <w:tcW w:w="2441" w:type="pct"/>
          </w:tcPr>
          <w:p w14:paraId="3E455040"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nashkwart@yahoo.com</w:t>
            </w:r>
          </w:p>
        </w:tc>
      </w:tr>
      <w:tr w:rsidR="007A4EA1" w:rsidRPr="00790606" w14:paraId="7076E519" w14:textId="77777777" w:rsidTr="00CA0715">
        <w:tc>
          <w:tcPr>
            <w:tcW w:w="695" w:type="pct"/>
          </w:tcPr>
          <w:p w14:paraId="08C0D24A"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Simon Ghdor</w:t>
            </w:r>
          </w:p>
        </w:tc>
        <w:tc>
          <w:tcPr>
            <w:tcW w:w="569" w:type="pct"/>
          </w:tcPr>
          <w:p w14:paraId="68500A77"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Cape Coast Metropolitan Assembly</w:t>
            </w:r>
          </w:p>
        </w:tc>
        <w:tc>
          <w:tcPr>
            <w:tcW w:w="758" w:type="pct"/>
          </w:tcPr>
          <w:p w14:paraId="61AE702A"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 xml:space="preserve"> Budget Analyst</w:t>
            </w:r>
          </w:p>
        </w:tc>
        <w:tc>
          <w:tcPr>
            <w:tcW w:w="537" w:type="pct"/>
          </w:tcPr>
          <w:p w14:paraId="7C11DB8A"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0243-389081</w:t>
            </w:r>
          </w:p>
        </w:tc>
        <w:tc>
          <w:tcPr>
            <w:tcW w:w="2441" w:type="pct"/>
          </w:tcPr>
          <w:p w14:paraId="542026A2"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Gadsonsk72@gmail.com</w:t>
            </w:r>
          </w:p>
        </w:tc>
      </w:tr>
      <w:tr w:rsidR="007A4EA1" w:rsidRPr="00790606" w14:paraId="5A36C27F" w14:textId="77777777" w:rsidTr="00CA0715">
        <w:tc>
          <w:tcPr>
            <w:tcW w:w="695" w:type="pct"/>
          </w:tcPr>
          <w:p w14:paraId="1C3FDE87"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Isaac Arthur</w:t>
            </w:r>
          </w:p>
        </w:tc>
        <w:tc>
          <w:tcPr>
            <w:tcW w:w="569" w:type="pct"/>
          </w:tcPr>
          <w:p w14:paraId="5948B0FE"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Cape Coast Metropolitan Assembly</w:t>
            </w:r>
          </w:p>
        </w:tc>
        <w:tc>
          <w:tcPr>
            <w:tcW w:w="758" w:type="pct"/>
          </w:tcPr>
          <w:p w14:paraId="54BAD2D8"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Procurement Officer</w:t>
            </w:r>
          </w:p>
        </w:tc>
        <w:tc>
          <w:tcPr>
            <w:tcW w:w="537" w:type="pct"/>
          </w:tcPr>
          <w:p w14:paraId="1E3788C1"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0244-489351</w:t>
            </w:r>
          </w:p>
        </w:tc>
        <w:tc>
          <w:tcPr>
            <w:tcW w:w="2441" w:type="pct"/>
          </w:tcPr>
          <w:p w14:paraId="53861740"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Ikeauthentic@yahoo.com</w:t>
            </w:r>
          </w:p>
        </w:tc>
      </w:tr>
      <w:tr w:rsidR="007A4EA1" w:rsidRPr="00790606" w14:paraId="11038F28" w14:textId="77777777" w:rsidTr="00CA0715">
        <w:tc>
          <w:tcPr>
            <w:tcW w:w="695" w:type="pct"/>
          </w:tcPr>
          <w:p w14:paraId="01D07096"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Mac A. A. Razak</w:t>
            </w:r>
          </w:p>
        </w:tc>
        <w:tc>
          <w:tcPr>
            <w:tcW w:w="569" w:type="pct"/>
          </w:tcPr>
          <w:p w14:paraId="347BD3EE"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Cape Coast Metropolitan Assembly</w:t>
            </w:r>
          </w:p>
        </w:tc>
        <w:tc>
          <w:tcPr>
            <w:tcW w:w="758" w:type="pct"/>
          </w:tcPr>
          <w:p w14:paraId="0D7E161A"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Development Planning officer</w:t>
            </w:r>
          </w:p>
        </w:tc>
        <w:tc>
          <w:tcPr>
            <w:tcW w:w="537" w:type="pct"/>
          </w:tcPr>
          <w:p w14:paraId="3922963F"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0571-962350</w:t>
            </w:r>
          </w:p>
        </w:tc>
        <w:tc>
          <w:tcPr>
            <w:tcW w:w="2441" w:type="pct"/>
          </w:tcPr>
          <w:p w14:paraId="7EEACE91"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amacrazak@gmail.com</w:t>
            </w:r>
          </w:p>
        </w:tc>
      </w:tr>
      <w:tr w:rsidR="007A4EA1" w:rsidRPr="00790606" w14:paraId="3CEABABE" w14:textId="77777777" w:rsidTr="00CA0715">
        <w:tc>
          <w:tcPr>
            <w:tcW w:w="695" w:type="pct"/>
          </w:tcPr>
          <w:p w14:paraId="5097BC62"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Felix Kurankyi -Taylor</w:t>
            </w:r>
          </w:p>
        </w:tc>
        <w:tc>
          <w:tcPr>
            <w:tcW w:w="569" w:type="pct"/>
          </w:tcPr>
          <w:p w14:paraId="6822E70C"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Cape Coast Metropolitan Assembly</w:t>
            </w:r>
          </w:p>
        </w:tc>
        <w:tc>
          <w:tcPr>
            <w:tcW w:w="758" w:type="pct"/>
          </w:tcPr>
          <w:p w14:paraId="1E06A355"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Works Engineer</w:t>
            </w:r>
          </w:p>
        </w:tc>
        <w:tc>
          <w:tcPr>
            <w:tcW w:w="537" w:type="pct"/>
          </w:tcPr>
          <w:p w14:paraId="7FB4C3E6"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0276-797335</w:t>
            </w:r>
          </w:p>
        </w:tc>
        <w:tc>
          <w:tcPr>
            <w:tcW w:w="2441" w:type="pct"/>
          </w:tcPr>
          <w:p w14:paraId="54CC4E75"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taylorkurankyi@gmail.com</w:t>
            </w:r>
          </w:p>
        </w:tc>
      </w:tr>
      <w:tr w:rsidR="007A4EA1" w:rsidRPr="00790606" w14:paraId="1CD68DC9" w14:textId="77777777" w:rsidTr="00CA0715">
        <w:tc>
          <w:tcPr>
            <w:tcW w:w="695" w:type="pct"/>
          </w:tcPr>
          <w:p w14:paraId="140AD581"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Nana Appiah Korang</w:t>
            </w:r>
          </w:p>
        </w:tc>
        <w:tc>
          <w:tcPr>
            <w:tcW w:w="569" w:type="pct"/>
          </w:tcPr>
          <w:p w14:paraId="7EAD7E77"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Komenda-Edina-Eguafo-Ebrem (KEEA)</w:t>
            </w:r>
          </w:p>
        </w:tc>
        <w:tc>
          <w:tcPr>
            <w:tcW w:w="758" w:type="pct"/>
          </w:tcPr>
          <w:p w14:paraId="60D99BCE"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Chief Executive</w:t>
            </w:r>
          </w:p>
        </w:tc>
        <w:tc>
          <w:tcPr>
            <w:tcW w:w="537" w:type="pct"/>
          </w:tcPr>
          <w:p w14:paraId="173B225A"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0249-548619</w:t>
            </w:r>
          </w:p>
        </w:tc>
        <w:tc>
          <w:tcPr>
            <w:tcW w:w="2441" w:type="pct"/>
          </w:tcPr>
          <w:p w14:paraId="52A19B7B"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nanaappiahkorang@gmail.com</w:t>
            </w:r>
          </w:p>
        </w:tc>
      </w:tr>
      <w:tr w:rsidR="007A4EA1" w:rsidRPr="00790606" w14:paraId="5B457074" w14:textId="77777777" w:rsidTr="00CA0715">
        <w:tc>
          <w:tcPr>
            <w:tcW w:w="695" w:type="pct"/>
          </w:tcPr>
          <w:p w14:paraId="6E0A1229"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Daniel Osei Asibey</w:t>
            </w:r>
          </w:p>
        </w:tc>
        <w:tc>
          <w:tcPr>
            <w:tcW w:w="569" w:type="pct"/>
          </w:tcPr>
          <w:p w14:paraId="1367AD4D"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Komenda-Edina-Eguafo-Ebrem (KEEA)</w:t>
            </w:r>
          </w:p>
        </w:tc>
        <w:tc>
          <w:tcPr>
            <w:tcW w:w="758" w:type="pct"/>
          </w:tcPr>
          <w:p w14:paraId="0B7026F0"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Coordinating Director</w:t>
            </w:r>
          </w:p>
        </w:tc>
        <w:tc>
          <w:tcPr>
            <w:tcW w:w="537" w:type="pct"/>
          </w:tcPr>
          <w:p w14:paraId="68926EFF"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020-8190651</w:t>
            </w:r>
          </w:p>
        </w:tc>
        <w:tc>
          <w:tcPr>
            <w:tcW w:w="2441" w:type="pct"/>
          </w:tcPr>
          <w:p w14:paraId="54B9141D"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Asibey789@gmail.com</w:t>
            </w:r>
          </w:p>
        </w:tc>
      </w:tr>
      <w:tr w:rsidR="007A4EA1" w:rsidRPr="00790606" w14:paraId="788B952D" w14:textId="77777777" w:rsidTr="00CA0715">
        <w:tc>
          <w:tcPr>
            <w:tcW w:w="695" w:type="pct"/>
          </w:tcPr>
          <w:p w14:paraId="11F7FCC4"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Frank Gyasi</w:t>
            </w:r>
          </w:p>
        </w:tc>
        <w:tc>
          <w:tcPr>
            <w:tcW w:w="569" w:type="pct"/>
          </w:tcPr>
          <w:p w14:paraId="71A8B0E2"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Komenda-Edina-Eguafo-Ebrem (KEEA)</w:t>
            </w:r>
          </w:p>
        </w:tc>
        <w:tc>
          <w:tcPr>
            <w:tcW w:w="758" w:type="pct"/>
          </w:tcPr>
          <w:p w14:paraId="6F96CB74"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Head of Works</w:t>
            </w:r>
          </w:p>
        </w:tc>
        <w:tc>
          <w:tcPr>
            <w:tcW w:w="537" w:type="pct"/>
          </w:tcPr>
          <w:p w14:paraId="07081D00"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0243-326548</w:t>
            </w:r>
          </w:p>
        </w:tc>
        <w:tc>
          <w:tcPr>
            <w:tcW w:w="2441" w:type="pct"/>
          </w:tcPr>
          <w:p w14:paraId="5D4D4637"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Frankgyasi370@gmail.com</w:t>
            </w:r>
          </w:p>
        </w:tc>
      </w:tr>
      <w:tr w:rsidR="007A4EA1" w:rsidRPr="00790606" w14:paraId="428950A8" w14:textId="77777777" w:rsidTr="00CA0715">
        <w:tc>
          <w:tcPr>
            <w:tcW w:w="695" w:type="pct"/>
          </w:tcPr>
          <w:p w14:paraId="1DE6E074"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John K Mensah</w:t>
            </w:r>
          </w:p>
        </w:tc>
        <w:tc>
          <w:tcPr>
            <w:tcW w:w="569" w:type="pct"/>
          </w:tcPr>
          <w:p w14:paraId="3D3D746B"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Komenda-Edina-Eguafo-Ebrem (KEEA)</w:t>
            </w:r>
          </w:p>
        </w:tc>
        <w:tc>
          <w:tcPr>
            <w:tcW w:w="758" w:type="pct"/>
          </w:tcPr>
          <w:p w14:paraId="79A80223"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Budget Analyst</w:t>
            </w:r>
          </w:p>
        </w:tc>
        <w:tc>
          <w:tcPr>
            <w:tcW w:w="537" w:type="pct"/>
          </w:tcPr>
          <w:p w14:paraId="3D66EDAE"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0243-736863</w:t>
            </w:r>
          </w:p>
        </w:tc>
        <w:tc>
          <w:tcPr>
            <w:tcW w:w="2441" w:type="pct"/>
          </w:tcPr>
          <w:p w14:paraId="30B8F485"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Obibajm3@yahoo.com</w:t>
            </w:r>
          </w:p>
        </w:tc>
      </w:tr>
      <w:tr w:rsidR="007A4EA1" w:rsidRPr="00790606" w14:paraId="5F6E095B" w14:textId="77777777" w:rsidTr="00CA0715">
        <w:tc>
          <w:tcPr>
            <w:tcW w:w="695" w:type="pct"/>
          </w:tcPr>
          <w:p w14:paraId="28E81BAB"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Ben Eghan Mensah</w:t>
            </w:r>
          </w:p>
        </w:tc>
        <w:tc>
          <w:tcPr>
            <w:tcW w:w="569" w:type="pct"/>
          </w:tcPr>
          <w:p w14:paraId="6B7A3268"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Komenda-Edina-Eguafo-Ebrem (KEEA)</w:t>
            </w:r>
          </w:p>
        </w:tc>
        <w:tc>
          <w:tcPr>
            <w:tcW w:w="758" w:type="pct"/>
          </w:tcPr>
          <w:p w14:paraId="49EC9DF7"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Deputy Director</w:t>
            </w:r>
          </w:p>
        </w:tc>
        <w:tc>
          <w:tcPr>
            <w:tcW w:w="537" w:type="pct"/>
          </w:tcPr>
          <w:p w14:paraId="1574F303"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020-8433311</w:t>
            </w:r>
          </w:p>
        </w:tc>
        <w:tc>
          <w:tcPr>
            <w:tcW w:w="2441" w:type="pct"/>
          </w:tcPr>
          <w:p w14:paraId="429B6B3E"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eganmensahben@gmail.com</w:t>
            </w:r>
          </w:p>
        </w:tc>
      </w:tr>
      <w:tr w:rsidR="007A4EA1" w:rsidRPr="00790606" w14:paraId="3219F8AF" w14:textId="77777777" w:rsidTr="00CA0715">
        <w:tc>
          <w:tcPr>
            <w:tcW w:w="695" w:type="pct"/>
          </w:tcPr>
          <w:p w14:paraId="1B69CE1D"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Sampson Ansah</w:t>
            </w:r>
          </w:p>
        </w:tc>
        <w:tc>
          <w:tcPr>
            <w:tcW w:w="569" w:type="pct"/>
          </w:tcPr>
          <w:p w14:paraId="4514F125"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Komenda-Edina-Eguafo-Ebrem (KEEA)</w:t>
            </w:r>
          </w:p>
        </w:tc>
        <w:tc>
          <w:tcPr>
            <w:tcW w:w="758" w:type="pct"/>
          </w:tcPr>
          <w:p w14:paraId="4F7404A3"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Asst Director IIA</w:t>
            </w:r>
          </w:p>
        </w:tc>
        <w:tc>
          <w:tcPr>
            <w:tcW w:w="537" w:type="pct"/>
          </w:tcPr>
          <w:p w14:paraId="30E2C625"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0244-089538</w:t>
            </w:r>
          </w:p>
        </w:tc>
        <w:tc>
          <w:tcPr>
            <w:tcW w:w="2441" w:type="pct"/>
          </w:tcPr>
          <w:p w14:paraId="06D8469F"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ansahsamp@yahoo.com</w:t>
            </w:r>
          </w:p>
        </w:tc>
      </w:tr>
      <w:tr w:rsidR="007A4EA1" w:rsidRPr="00790606" w14:paraId="4A09124F" w14:textId="77777777" w:rsidTr="00CA0715">
        <w:tc>
          <w:tcPr>
            <w:tcW w:w="695" w:type="pct"/>
          </w:tcPr>
          <w:p w14:paraId="296630E2"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Kwaku Dua Anane</w:t>
            </w:r>
          </w:p>
        </w:tc>
        <w:tc>
          <w:tcPr>
            <w:tcW w:w="569" w:type="pct"/>
          </w:tcPr>
          <w:p w14:paraId="506E29BD"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Komenda-Edina-Eguafo-Ebrem (KEEA)</w:t>
            </w:r>
          </w:p>
        </w:tc>
        <w:tc>
          <w:tcPr>
            <w:tcW w:w="758" w:type="pct"/>
          </w:tcPr>
          <w:p w14:paraId="2D44171F"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Asst Development Planning Officer</w:t>
            </w:r>
          </w:p>
        </w:tc>
        <w:tc>
          <w:tcPr>
            <w:tcW w:w="537" w:type="pct"/>
          </w:tcPr>
          <w:p w14:paraId="2837C379"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020-1484052</w:t>
            </w:r>
          </w:p>
        </w:tc>
        <w:tc>
          <w:tcPr>
            <w:tcW w:w="2441" w:type="pct"/>
          </w:tcPr>
          <w:p w14:paraId="7E52D02C"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pkda20@gmail.com</w:t>
            </w:r>
          </w:p>
        </w:tc>
      </w:tr>
      <w:tr w:rsidR="007A4EA1" w:rsidRPr="00790606" w14:paraId="5D0A0ABD" w14:textId="77777777" w:rsidTr="00CA0715">
        <w:tc>
          <w:tcPr>
            <w:tcW w:w="695" w:type="pct"/>
          </w:tcPr>
          <w:p w14:paraId="591030F2"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Kyei Stephen</w:t>
            </w:r>
          </w:p>
        </w:tc>
        <w:tc>
          <w:tcPr>
            <w:tcW w:w="569" w:type="pct"/>
          </w:tcPr>
          <w:p w14:paraId="5D32A25B"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Komenda-Edina-Eguafo-Ebrem (KEEA)</w:t>
            </w:r>
          </w:p>
        </w:tc>
        <w:tc>
          <w:tcPr>
            <w:tcW w:w="758" w:type="pct"/>
          </w:tcPr>
          <w:p w14:paraId="7A8B7338"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Budget Analyst</w:t>
            </w:r>
          </w:p>
        </w:tc>
        <w:tc>
          <w:tcPr>
            <w:tcW w:w="537" w:type="pct"/>
          </w:tcPr>
          <w:p w14:paraId="52D01657"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050-3002767</w:t>
            </w:r>
          </w:p>
        </w:tc>
        <w:tc>
          <w:tcPr>
            <w:tcW w:w="2441" w:type="pct"/>
          </w:tcPr>
          <w:p w14:paraId="13F5F022"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nanakyei@gmail.com</w:t>
            </w:r>
          </w:p>
        </w:tc>
      </w:tr>
      <w:tr w:rsidR="007A4EA1" w:rsidRPr="00790606" w14:paraId="52674CD7" w14:textId="77777777" w:rsidTr="00CA0715">
        <w:tc>
          <w:tcPr>
            <w:tcW w:w="695" w:type="pct"/>
          </w:tcPr>
          <w:p w14:paraId="654ACBF3"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Christopher K.  Fosu</w:t>
            </w:r>
          </w:p>
        </w:tc>
        <w:tc>
          <w:tcPr>
            <w:tcW w:w="569" w:type="pct"/>
          </w:tcPr>
          <w:p w14:paraId="017F1A93"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 xml:space="preserve"> Kumasi Metropolitan Assembly</w:t>
            </w:r>
          </w:p>
        </w:tc>
        <w:tc>
          <w:tcPr>
            <w:tcW w:w="758" w:type="pct"/>
          </w:tcPr>
          <w:p w14:paraId="042B1F18"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Director Planning</w:t>
            </w:r>
          </w:p>
        </w:tc>
        <w:tc>
          <w:tcPr>
            <w:tcW w:w="537" w:type="pct"/>
          </w:tcPr>
          <w:p w14:paraId="05549D36"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020-8825098</w:t>
            </w:r>
          </w:p>
        </w:tc>
        <w:tc>
          <w:tcPr>
            <w:tcW w:w="2441" w:type="pct"/>
          </w:tcPr>
          <w:p w14:paraId="1A1FD627"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kmaplanningunit@gmail.com</w:t>
            </w:r>
          </w:p>
        </w:tc>
      </w:tr>
      <w:tr w:rsidR="007A4EA1" w:rsidRPr="00790606" w14:paraId="1D047823" w14:textId="77777777" w:rsidTr="00CA0715">
        <w:tc>
          <w:tcPr>
            <w:tcW w:w="695" w:type="pct"/>
          </w:tcPr>
          <w:p w14:paraId="5FFBC519"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Abigail Magti</w:t>
            </w:r>
          </w:p>
        </w:tc>
        <w:tc>
          <w:tcPr>
            <w:tcW w:w="569" w:type="pct"/>
          </w:tcPr>
          <w:p w14:paraId="58C5269F"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Kumasi Metropolitan Assembly</w:t>
            </w:r>
          </w:p>
        </w:tc>
        <w:tc>
          <w:tcPr>
            <w:tcW w:w="758" w:type="pct"/>
          </w:tcPr>
          <w:p w14:paraId="1E679A19"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Dep Planning Officer</w:t>
            </w:r>
          </w:p>
        </w:tc>
        <w:tc>
          <w:tcPr>
            <w:tcW w:w="537" w:type="pct"/>
          </w:tcPr>
          <w:p w14:paraId="078F7FFC"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020-8721121</w:t>
            </w:r>
          </w:p>
        </w:tc>
        <w:tc>
          <w:tcPr>
            <w:tcW w:w="2441" w:type="pct"/>
          </w:tcPr>
          <w:p w14:paraId="272DA44A"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abisgan@yahoo.com</w:t>
            </w:r>
          </w:p>
        </w:tc>
      </w:tr>
      <w:tr w:rsidR="007A4EA1" w:rsidRPr="00790606" w14:paraId="4799345D" w14:textId="77777777" w:rsidTr="00CA0715">
        <w:tc>
          <w:tcPr>
            <w:tcW w:w="695" w:type="pct"/>
          </w:tcPr>
          <w:p w14:paraId="4F81949B"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Joseph Nartey Lomotey</w:t>
            </w:r>
          </w:p>
        </w:tc>
        <w:tc>
          <w:tcPr>
            <w:tcW w:w="569" w:type="pct"/>
          </w:tcPr>
          <w:p w14:paraId="392ED97F"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Kumasi Metropolitan Assembly</w:t>
            </w:r>
          </w:p>
        </w:tc>
        <w:tc>
          <w:tcPr>
            <w:tcW w:w="758" w:type="pct"/>
          </w:tcPr>
          <w:p w14:paraId="555AB926"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Development Planning Officer</w:t>
            </w:r>
          </w:p>
        </w:tc>
        <w:tc>
          <w:tcPr>
            <w:tcW w:w="537" w:type="pct"/>
          </w:tcPr>
          <w:p w14:paraId="147DC2BF"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0242-117785</w:t>
            </w:r>
          </w:p>
        </w:tc>
        <w:tc>
          <w:tcPr>
            <w:tcW w:w="2441" w:type="pct"/>
          </w:tcPr>
          <w:p w14:paraId="37A4C7FE"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joesybarg@gmail.com</w:t>
            </w:r>
          </w:p>
        </w:tc>
      </w:tr>
      <w:tr w:rsidR="007A4EA1" w:rsidRPr="00790606" w14:paraId="0A352668" w14:textId="77777777" w:rsidTr="00CA0715">
        <w:tc>
          <w:tcPr>
            <w:tcW w:w="695" w:type="pct"/>
          </w:tcPr>
          <w:p w14:paraId="5B7AAC80"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Nana Odum Appiagya</w:t>
            </w:r>
          </w:p>
        </w:tc>
        <w:tc>
          <w:tcPr>
            <w:tcW w:w="569" w:type="pct"/>
          </w:tcPr>
          <w:p w14:paraId="0C3886BD"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Kumasi Metropolitan Assembly</w:t>
            </w:r>
          </w:p>
        </w:tc>
        <w:tc>
          <w:tcPr>
            <w:tcW w:w="758" w:type="pct"/>
          </w:tcPr>
          <w:p w14:paraId="6F95CB23"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Projects</w:t>
            </w:r>
          </w:p>
        </w:tc>
        <w:tc>
          <w:tcPr>
            <w:tcW w:w="537" w:type="pct"/>
          </w:tcPr>
          <w:p w14:paraId="609EECAF"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0244-010773</w:t>
            </w:r>
          </w:p>
        </w:tc>
        <w:tc>
          <w:tcPr>
            <w:tcW w:w="2441" w:type="pct"/>
          </w:tcPr>
          <w:p w14:paraId="4BEACFDD"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Kwasia57@yahoo.com</w:t>
            </w:r>
          </w:p>
        </w:tc>
      </w:tr>
      <w:tr w:rsidR="007A4EA1" w:rsidRPr="00790606" w14:paraId="7B92F4A3" w14:textId="77777777" w:rsidTr="00CA0715">
        <w:tc>
          <w:tcPr>
            <w:tcW w:w="695" w:type="pct"/>
          </w:tcPr>
          <w:p w14:paraId="340F2472"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David Ameyaw</w:t>
            </w:r>
          </w:p>
        </w:tc>
        <w:tc>
          <w:tcPr>
            <w:tcW w:w="569" w:type="pct"/>
          </w:tcPr>
          <w:p w14:paraId="43F5F9E3"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Kumasi Metropolitan Assembly</w:t>
            </w:r>
          </w:p>
        </w:tc>
        <w:tc>
          <w:tcPr>
            <w:tcW w:w="758" w:type="pct"/>
          </w:tcPr>
          <w:p w14:paraId="4E805673"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Works Engineer</w:t>
            </w:r>
          </w:p>
        </w:tc>
        <w:tc>
          <w:tcPr>
            <w:tcW w:w="537" w:type="pct"/>
          </w:tcPr>
          <w:p w14:paraId="2C816394"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0246-398152</w:t>
            </w:r>
          </w:p>
        </w:tc>
        <w:tc>
          <w:tcPr>
            <w:tcW w:w="2441" w:type="pct"/>
          </w:tcPr>
          <w:p w14:paraId="7AD5EA85"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kmaplanningunit@gmail.com</w:t>
            </w:r>
          </w:p>
        </w:tc>
      </w:tr>
      <w:tr w:rsidR="007A4EA1" w:rsidRPr="00790606" w14:paraId="1A943AEA" w14:textId="77777777" w:rsidTr="00CA0715">
        <w:tc>
          <w:tcPr>
            <w:tcW w:w="695" w:type="pct"/>
          </w:tcPr>
          <w:p w14:paraId="4FC00906"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Charles Adjei</w:t>
            </w:r>
          </w:p>
        </w:tc>
        <w:tc>
          <w:tcPr>
            <w:tcW w:w="569" w:type="pct"/>
          </w:tcPr>
          <w:p w14:paraId="1527161B"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Kumasi Metropolitan Assembly</w:t>
            </w:r>
          </w:p>
        </w:tc>
        <w:tc>
          <w:tcPr>
            <w:tcW w:w="758" w:type="pct"/>
          </w:tcPr>
          <w:p w14:paraId="1787C501"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Deputy Planning Officer</w:t>
            </w:r>
          </w:p>
        </w:tc>
        <w:tc>
          <w:tcPr>
            <w:tcW w:w="537" w:type="pct"/>
          </w:tcPr>
          <w:p w14:paraId="4E9D7DDF"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0244-969633</w:t>
            </w:r>
          </w:p>
        </w:tc>
        <w:tc>
          <w:tcPr>
            <w:tcW w:w="2441" w:type="pct"/>
          </w:tcPr>
          <w:p w14:paraId="0AF2AAEF"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kmaplanningunit@gmail.com</w:t>
            </w:r>
          </w:p>
        </w:tc>
      </w:tr>
      <w:tr w:rsidR="007A4EA1" w:rsidRPr="00790606" w14:paraId="0B1B5E4B" w14:textId="77777777" w:rsidTr="00CA0715">
        <w:tc>
          <w:tcPr>
            <w:tcW w:w="695" w:type="pct"/>
          </w:tcPr>
          <w:p w14:paraId="43A4DD4D"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Alex Asare</w:t>
            </w:r>
          </w:p>
        </w:tc>
        <w:tc>
          <w:tcPr>
            <w:tcW w:w="569" w:type="pct"/>
          </w:tcPr>
          <w:p w14:paraId="26CAB8F4"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New Juaben Municipal Assembly</w:t>
            </w:r>
          </w:p>
        </w:tc>
        <w:tc>
          <w:tcPr>
            <w:tcW w:w="758" w:type="pct"/>
          </w:tcPr>
          <w:p w14:paraId="4A262449"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Planning Officer</w:t>
            </w:r>
          </w:p>
        </w:tc>
        <w:tc>
          <w:tcPr>
            <w:tcW w:w="537" w:type="pct"/>
          </w:tcPr>
          <w:p w14:paraId="344ACE7A"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020-0223354</w:t>
            </w:r>
          </w:p>
        </w:tc>
        <w:tc>
          <w:tcPr>
            <w:tcW w:w="2441" w:type="pct"/>
          </w:tcPr>
          <w:p w14:paraId="34DFDC83"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Alexasare2@gmail.com</w:t>
            </w:r>
          </w:p>
        </w:tc>
      </w:tr>
      <w:tr w:rsidR="007A4EA1" w:rsidRPr="00790606" w14:paraId="41CBEF25" w14:textId="77777777" w:rsidTr="00CA0715">
        <w:tc>
          <w:tcPr>
            <w:tcW w:w="695" w:type="pct"/>
          </w:tcPr>
          <w:p w14:paraId="33FD0869"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Alex Tetteh</w:t>
            </w:r>
          </w:p>
        </w:tc>
        <w:tc>
          <w:tcPr>
            <w:tcW w:w="569" w:type="pct"/>
          </w:tcPr>
          <w:p w14:paraId="0D388195"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New Juaben Municipal Assembly</w:t>
            </w:r>
          </w:p>
        </w:tc>
        <w:tc>
          <w:tcPr>
            <w:tcW w:w="758" w:type="pct"/>
          </w:tcPr>
          <w:p w14:paraId="4BCFF803"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Head of Works</w:t>
            </w:r>
          </w:p>
        </w:tc>
        <w:tc>
          <w:tcPr>
            <w:tcW w:w="537" w:type="pct"/>
          </w:tcPr>
          <w:p w14:paraId="046A5E7D"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020-8194549</w:t>
            </w:r>
          </w:p>
        </w:tc>
        <w:tc>
          <w:tcPr>
            <w:tcW w:w="2441" w:type="pct"/>
          </w:tcPr>
          <w:p w14:paraId="7FB79B40"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Alextetteh53@gmail.com</w:t>
            </w:r>
          </w:p>
        </w:tc>
      </w:tr>
      <w:tr w:rsidR="007A4EA1" w:rsidRPr="00790606" w14:paraId="7C0C1E65" w14:textId="77777777" w:rsidTr="00CA0715">
        <w:tc>
          <w:tcPr>
            <w:tcW w:w="695" w:type="pct"/>
          </w:tcPr>
          <w:p w14:paraId="47A232E3"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Audrey Sandra Arkoh</w:t>
            </w:r>
          </w:p>
        </w:tc>
        <w:tc>
          <w:tcPr>
            <w:tcW w:w="569" w:type="pct"/>
          </w:tcPr>
          <w:p w14:paraId="3486FD24"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New Juaben Municipal Assembly</w:t>
            </w:r>
          </w:p>
        </w:tc>
        <w:tc>
          <w:tcPr>
            <w:tcW w:w="758" w:type="pct"/>
          </w:tcPr>
          <w:p w14:paraId="39AA1D47"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Development Planning</w:t>
            </w:r>
          </w:p>
        </w:tc>
        <w:tc>
          <w:tcPr>
            <w:tcW w:w="537" w:type="pct"/>
          </w:tcPr>
          <w:p w14:paraId="4E320668"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0247-502271</w:t>
            </w:r>
          </w:p>
        </w:tc>
        <w:tc>
          <w:tcPr>
            <w:tcW w:w="2441" w:type="pct"/>
          </w:tcPr>
          <w:p w14:paraId="702CA6E9" w14:textId="77777777" w:rsidR="00EA3054" w:rsidRPr="00261EAC" w:rsidRDefault="00EA3054" w:rsidP="00CA0715">
            <w:pPr>
              <w:rPr>
                <w:rFonts w:ascii="Times New Roman" w:hAnsi="Times New Roman"/>
                <w:sz w:val="22"/>
                <w:szCs w:val="22"/>
              </w:rPr>
            </w:pPr>
            <w:r w:rsidRPr="00261EAC">
              <w:rPr>
                <w:rFonts w:ascii="Times New Roman" w:hAnsi="Times New Roman"/>
                <w:sz w:val="22"/>
                <w:szCs w:val="22"/>
              </w:rPr>
              <w:t>audreyarko@gmail.com</w:t>
            </w:r>
          </w:p>
        </w:tc>
      </w:tr>
      <w:tr w:rsidR="007A4EA1" w:rsidRPr="00790606" w14:paraId="54CDCFE8" w14:textId="77777777" w:rsidTr="00CA0715">
        <w:tc>
          <w:tcPr>
            <w:tcW w:w="695" w:type="pct"/>
          </w:tcPr>
          <w:p w14:paraId="3E8F0DF0" w14:textId="77777777" w:rsidR="00EA3054" w:rsidRPr="00261EAC" w:rsidRDefault="00EA3054" w:rsidP="00CA0715">
            <w:pPr>
              <w:rPr>
                <w:rFonts w:ascii="Times New Roman" w:hAnsi="Times New Roman"/>
                <w:sz w:val="22"/>
                <w:szCs w:val="22"/>
              </w:rPr>
            </w:pPr>
          </w:p>
        </w:tc>
        <w:tc>
          <w:tcPr>
            <w:tcW w:w="569" w:type="pct"/>
          </w:tcPr>
          <w:p w14:paraId="11169378" w14:textId="77777777" w:rsidR="00EA3054" w:rsidRPr="00261EAC" w:rsidRDefault="00EA3054" w:rsidP="00CA0715">
            <w:pPr>
              <w:rPr>
                <w:rFonts w:ascii="Times New Roman" w:hAnsi="Times New Roman"/>
                <w:sz w:val="22"/>
                <w:szCs w:val="22"/>
              </w:rPr>
            </w:pPr>
          </w:p>
        </w:tc>
        <w:tc>
          <w:tcPr>
            <w:tcW w:w="758" w:type="pct"/>
          </w:tcPr>
          <w:p w14:paraId="2A242FEC" w14:textId="77777777" w:rsidR="00EA3054" w:rsidRPr="00261EAC" w:rsidRDefault="00EA3054" w:rsidP="00CA0715">
            <w:pPr>
              <w:rPr>
                <w:rFonts w:ascii="Times New Roman" w:hAnsi="Times New Roman"/>
                <w:sz w:val="22"/>
                <w:szCs w:val="22"/>
              </w:rPr>
            </w:pPr>
          </w:p>
        </w:tc>
        <w:tc>
          <w:tcPr>
            <w:tcW w:w="537" w:type="pct"/>
          </w:tcPr>
          <w:p w14:paraId="494F3598" w14:textId="77777777" w:rsidR="00EA3054" w:rsidRPr="00261EAC" w:rsidRDefault="00EA3054" w:rsidP="00CA0715">
            <w:pPr>
              <w:rPr>
                <w:rFonts w:ascii="Times New Roman" w:hAnsi="Times New Roman"/>
                <w:sz w:val="22"/>
                <w:szCs w:val="22"/>
              </w:rPr>
            </w:pPr>
          </w:p>
        </w:tc>
        <w:tc>
          <w:tcPr>
            <w:tcW w:w="2441" w:type="pct"/>
          </w:tcPr>
          <w:p w14:paraId="7EC7DF48" w14:textId="77777777" w:rsidR="00EA3054" w:rsidRPr="00261EAC" w:rsidRDefault="00EA3054" w:rsidP="00CA0715">
            <w:pPr>
              <w:rPr>
                <w:rFonts w:ascii="Times New Roman" w:hAnsi="Times New Roman"/>
                <w:sz w:val="22"/>
                <w:szCs w:val="22"/>
              </w:rPr>
            </w:pPr>
          </w:p>
        </w:tc>
      </w:tr>
    </w:tbl>
    <w:p w14:paraId="4FD267E8" w14:textId="36535A51" w:rsidR="00412A99" w:rsidRPr="00C3416F" w:rsidRDefault="00412A99">
      <w:pPr>
        <w:autoSpaceDE w:val="0"/>
        <w:autoSpaceDN w:val="0"/>
        <w:adjustRightInd w:val="0"/>
        <w:spacing w:before="120" w:after="120" w:line="360" w:lineRule="auto"/>
        <w:jc w:val="both"/>
        <w:rPr>
          <w:rFonts w:ascii="Times New Roman" w:hAnsi="Times New Roman" w:cs="Times New Roman"/>
          <w:b/>
        </w:rPr>
      </w:pPr>
    </w:p>
    <w:p w14:paraId="6AD2DC1E" w14:textId="2886F5BA" w:rsidR="00412A99" w:rsidRPr="00C3416F" w:rsidRDefault="00412A99" w:rsidP="005C121C">
      <w:pPr>
        <w:rPr>
          <w:rFonts w:ascii="Times New Roman" w:hAnsi="Times New Roman" w:cs="Times New Roman"/>
          <w:b/>
        </w:rPr>
      </w:pPr>
      <w:r w:rsidRPr="00C3416F">
        <w:rPr>
          <w:rFonts w:ascii="Times New Roman" w:hAnsi="Times New Roman" w:cs="Times New Roman"/>
          <w:b/>
        </w:rPr>
        <w:br w:type="page"/>
      </w:r>
    </w:p>
    <w:p w14:paraId="23BFA714" w14:textId="77777777" w:rsidR="00412A99" w:rsidRPr="00E15C04" w:rsidRDefault="00EA3054" w:rsidP="006F431D">
      <w:pPr>
        <w:pStyle w:val="Heading2"/>
      </w:pPr>
      <w:bookmarkStart w:id="287" w:name="_Toc508892840"/>
      <w:r w:rsidRPr="00E15C04">
        <w:t>Annex 2: Photo</w:t>
      </w:r>
      <w:r w:rsidR="00412A99" w:rsidRPr="00E15C04">
        <w:t xml:space="preserve"> </w:t>
      </w:r>
      <w:r w:rsidRPr="00E15C04">
        <w:t>documents</w:t>
      </w:r>
      <w:bookmarkEnd w:id="287"/>
    </w:p>
    <w:p w14:paraId="0C97E7D1" w14:textId="3392D9F0" w:rsidR="00EA3054" w:rsidRPr="00C3416F" w:rsidRDefault="00EA3054" w:rsidP="00412A99">
      <w:pPr>
        <w:spacing w:before="120" w:after="120" w:line="360" w:lineRule="auto"/>
        <w:jc w:val="both"/>
        <w:rPr>
          <w:rFonts w:ascii="Times New Roman" w:hAnsi="Times New Roman" w:cs="Times New Roman"/>
        </w:rPr>
      </w:pPr>
      <w:r w:rsidRPr="00C3416F">
        <w:rPr>
          <w:rFonts w:ascii="Times New Roman" w:hAnsi="Times New Roman" w:cs="Times New Roman"/>
        </w:rPr>
        <w:t>25 January, 2017:  INTERVIEW WITH CAPE COAST METROPOLITAN ASSEMBLY TECHNICAL STAFF, CAPE COAST, CENTRAL REGION</w:t>
      </w:r>
    </w:p>
    <w:p w14:paraId="3AA4F592" w14:textId="77777777" w:rsidR="00EA3054" w:rsidRPr="00261EAC" w:rsidRDefault="00EA3054" w:rsidP="00412A99">
      <w:pPr>
        <w:spacing w:before="120" w:after="120" w:line="360" w:lineRule="auto"/>
        <w:jc w:val="both"/>
        <w:rPr>
          <w:rFonts w:ascii="Times New Roman" w:hAnsi="Times New Roman" w:cs="Times New Roman"/>
        </w:rPr>
      </w:pPr>
      <w:r w:rsidRPr="00C3416F">
        <w:rPr>
          <w:rFonts w:ascii="Times New Roman" w:hAnsi="Times New Roman" w:cs="Times New Roman"/>
        </w:rPr>
        <w:t xml:space="preserve">       </w:t>
      </w:r>
      <w:r w:rsidRPr="00261EAC">
        <w:rPr>
          <w:rFonts w:ascii="Times New Roman" w:hAnsi="Times New Roman" w:cs="Times New Roman"/>
          <w:noProof/>
        </w:rPr>
        <w:drawing>
          <wp:inline distT="0" distB="0" distL="0" distR="0" wp14:anchorId="1875CD41" wp14:editId="4B02C1F4">
            <wp:extent cx="5353050" cy="3105672"/>
            <wp:effectExtent l="0" t="0" r="0" b="0"/>
            <wp:docPr id="7" name="Picture 7" descr="C:\Users\User\AppData\Local\Microsoft\Windows\INetCache\Content.Word\IMG_20180125_110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MG_20180125_11072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70987" cy="3116079"/>
                    </a:xfrm>
                    <a:prstGeom prst="rect">
                      <a:avLst/>
                    </a:prstGeom>
                    <a:noFill/>
                    <a:ln>
                      <a:noFill/>
                    </a:ln>
                  </pic:spPr>
                </pic:pic>
              </a:graphicData>
            </a:graphic>
          </wp:inline>
        </w:drawing>
      </w:r>
    </w:p>
    <w:p w14:paraId="3BED5151" w14:textId="77777777" w:rsidR="00412A99" w:rsidRPr="00261EAC" w:rsidRDefault="00412A99" w:rsidP="00412A99">
      <w:pPr>
        <w:spacing w:before="120" w:after="120" w:line="360" w:lineRule="auto"/>
        <w:jc w:val="both"/>
        <w:rPr>
          <w:rFonts w:ascii="Times New Roman" w:hAnsi="Times New Roman" w:cs="Times New Roman"/>
        </w:rPr>
      </w:pPr>
    </w:p>
    <w:p w14:paraId="3FA4E333" w14:textId="51CC1CAB" w:rsidR="00412A99" w:rsidRPr="00261EAC" w:rsidRDefault="00EA3054" w:rsidP="00412A99">
      <w:pPr>
        <w:spacing w:before="120" w:after="120" w:line="360" w:lineRule="auto"/>
        <w:jc w:val="both"/>
        <w:rPr>
          <w:rFonts w:ascii="Times New Roman" w:hAnsi="Times New Roman" w:cs="Times New Roman"/>
        </w:rPr>
      </w:pPr>
      <w:r w:rsidRPr="00261EAC">
        <w:rPr>
          <w:rFonts w:ascii="Times New Roman" w:hAnsi="Times New Roman" w:cs="Times New Roman"/>
        </w:rPr>
        <w:t>25 JANUARY 2018: CONSULTATIVE MEETING WITH CHIEF EXECUTIVE AND TECHNICAL STAFF OF KOMENDA-EDINA-EGUAFO-EB</w:t>
      </w:r>
      <w:r w:rsidR="00412A99" w:rsidRPr="00261EAC">
        <w:rPr>
          <w:rFonts w:ascii="Times New Roman" w:hAnsi="Times New Roman" w:cs="Times New Roman"/>
        </w:rPr>
        <w:t>I</w:t>
      </w:r>
      <w:r w:rsidRPr="00261EAC">
        <w:rPr>
          <w:rFonts w:ascii="Times New Roman" w:hAnsi="Times New Roman" w:cs="Times New Roman"/>
        </w:rPr>
        <w:t>REM MUNICIPAL ASSEMBLY, CENTRAL REGION</w:t>
      </w:r>
    </w:p>
    <w:p w14:paraId="123B104E" w14:textId="7DD2EF51" w:rsidR="00412A99" w:rsidRPr="00261EAC" w:rsidRDefault="00412A99" w:rsidP="00412A99">
      <w:pPr>
        <w:rPr>
          <w:rFonts w:ascii="Times New Roman" w:hAnsi="Times New Roman" w:cs="Times New Roman"/>
        </w:rPr>
      </w:pPr>
      <w:r w:rsidRPr="00261EAC">
        <w:rPr>
          <w:rFonts w:ascii="Times New Roman" w:hAnsi="Times New Roman" w:cs="Times New Roman"/>
          <w:noProof/>
        </w:rPr>
        <w:drawing>
          <wp:inline distT="0" distB="0" distL="0" distR="0" wp14:anchorId="2033F069" wp14:editId="148A9109">
            <wp:extent cx="4018695" cy="2571750"/>
            <wp:effectExtent l="0" t="0" r="1270" b="0"/>
            <wp:docPr id="11" name="Picture 11" descr="C:\Users\User\AppData\Local\Microsoft\Windows\INetCache\Content.Word\IMG_20180125_160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INetCache\Content.Word\IMG_20180125_16093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53687" cy="2594143"/>
                    </a:xfrm>
                    <a:prstGeom prst="rect">
                      <a:avLst/>
                    </a:prstGeom>
                    <a:noFill/>
                    <a:ln>
                      <a:noFill/>
                    </a:ln>
                  </pic:spPr>
                </pic:pic>
              </a:graphicData>
            </a:graphic>
          </wp:inline>
        </w:drawing>
      </w:r>
    </w:p>
    <w:p w14:paraId="1E74A3B7" w14:textId="321FB69C" w:rsidR="00412A99" w:rsidRPr="00261EAC" w:rsidRDefault="00412A99" w:rsidP="00412A99">
      <w:pPr>
        <w:rPr>
          <w:rFonts w:ascii="Times New Roman" w:hAnsi="Times New Roman" w:cs="Times New Roman"/>
        </w:rPr>
      </w:pPr>
    </w:p>
    <w:p w14:paraId="6F3F6955" w14:textId="6EB8D497" w:rsidR="00EA3054" w:rsidRPr="00261EAC" w:rsidRDefault="00412A99" w:rsidP="00412A99">
      <w:pPr>
        <w:tabs>
          <w:tab w:val="left" w:pos="1245"/>
        </w:tabs>
        <w:rPr>
          <w:rFonts w:ascii="Times New Roman" w:hAnsi="Times New Roman" w:cs="Times New Roman"/>
        </w:rPr>
      </w:pPr>
      <w:r w:rsidRPr="00261EAC">
        <w:rPr>
          <w:rFonts w:ascii="Times New Roman" w:hAnsi="Times New Roman" w:cs="Times New Roman"/>
        </w:rPr>
        <w:tab/>
      </w:r>
    </w:p>
    <w:p w14:paraId="33AD039B" w14:textId="23D102FE" w:rsidR="00EA3054" w:rsidRPr="00261EAC" w:rsidRDefault="00EA3054" w:rsidP="00412A99">
      <w:pPr>
        <w:spacing w:before="120" w:after="120" w:line="360" w:lineRule="auto"/>
        <w:jc w:val="both"/>
        <w:rPr>
          <w:rFonts w:ascii="Times New Roman" w:hAnsi="Times New Roman" w:cs="Times New Roman"/>
        </w:rPr>
      </w:pPr>
      <w:r w:rsidRPr="00261EAC">
        <w:rPr>
          <w:rFonts w:ascii="Times New Roman" w:hAnsi="Times New Roman" w:cs="Times New Roman"/>
          <w:noProof/>
        </w:rPr>
        <w:lastRenderedPageBreak/>
        <w:drawing>
          <wp:inline distT="0" distB="0" distL="0" distR="0" wp14:anchorId="37F375A5" wp14:editId="4E31984B">
            <wp:extent cx="4381500" cy="3661090"/>
            <wp:effectExtent l="0" t="0" r="0" b="0"/>
            <wp:docPr id="4" name="Picture 4" descr="C:\Users\User\AppData\Local\Microsoft\Windows\INetCache\Content.Word\IMG_20180125_160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INetCache\Content.Word\IMG_20180125_16085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07020" cy="3682414"/>
                    </a:xfrm>
                    <a:prstGeom prst="rect">
                      <a:avLst/>
                    </a:prstGeom>
                    <a:noFill/>
                    <a:ln>
                      <a:noFill/>
                    </a:ln>
                  </pic:spPr>
                </pic:pic>
              </a:graphicData>
            </a:graphic>
          </wp:inline>
        </w:drawing>
      </w:r>
    </w:p>
    <w:p w14:paraId="326FAA02" w14:textId="77777777" w:rsidR="00412A99" w:rsidRPr="00261EAC" w:rsidRDefault="00412A99" w:rsidP="00412A99">
      <w:pPr>
        <w:spacing w:before="120" w:after="120" w:line="360" w:lineRule="auto"/>
        <w:jc w:val="both"/>
        <w:rPr>
          <w:rFonts w:ascii="Times New Roman" w:hAnsi="Times New Roman" w:cs="Times New Roman"/>
        </w:rPr>
      </w:pPr>
    </w:p>
    <w:p w14:paraId="592C30E7" w14:textId="0DD7FF73" w:rsidR="00EA3054" w:rsidRPr="00261EAC" w:rsidRDefault="00EA3054" w:rsidP="00412A99">
      <w:pPr>
        <w:spacing w:before="120" w:after="120" w:line="360" w:lineRule="auto"/>
        <w:jc w:val="both"/>
        <w:rPr>
          <w:rFonts w:ascii="Times New Roman" w:hAnsi="Times New Roman" w:cs="Times New Roman"/>
        </w:rPr>
      </w:pPr>
      <w:r w:rsidRPr="00261EAC">
        <w:rPr>
          <w:rFonts w:ascii="Times New Roman" w:hAnsi="Times New Roman" w:cs="Times New Roman"/>
        </w:rPr>
        <w:t>26 JANUARY2018: INTERVIEW WITH DRIVERS UNION EXECUTIVES (BENEFICIARIES OF TRANSPORT TERMINAL COMPLEX ) AND SOME TECHNICAL STAFF OF KUMASI METROPOLITAN ASSEMBLY IN KUMASI, ASHANTI REGION</w:t>
      </w:r>
    </w:p>
    <w:p w14:paraId="474689AE" w14:textId="77777777" w:rsidR="00412A99" w:rsidRPr="00261EAC" w:rsidRDefault="00EA3054" w:rsidP="00412A99">
      <w:pPr>
        <w:spacing w:before="120" w:after="120" w:line="360" w:lineRule="auto"/>
        <w:jc w:val="both"/>
        <w:rPr>
          <w:rFonts w:ascii="Times New Roman" w:hAnsi="Times New Roman" w:cs="Times New Roman"/>
        </w:rPr>
      </w:pPr>
      <w:r w:rsidRPr="00261EAC">
        <w:rPr>
          <w:rFonts w:ascii="Times New Roman" w:hAnsi="Times New Roman" w:cs="Times New Roman"/>
          <w:noProof/>
        </w:rPr>
        <w:drawing>
          <wp:inline distT="0" distB="0" distL="0" distR="0" wp14:anchorId="00C0DEA1" wp14:editId="4FF7A60B">
            <wp:extent cx="3933825" cy="2447515"/>
            <wp:effectExtent l="0" t="0" r="0" b="0"/>
            <wp:docPr id="5" name="Picture 5" descr="C:\Users\User\AppData\Local\Microsoft\Windows\INetCache\Content.Word\IMG_20180126_124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Content.Word\IMG_20180126_12484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38416" cy="2450371"/>
                    </a:xfrm>
                    <a:prstGeom prst="rect">
                      <a:avLst/>
                    </a:prstGeom>
                    <a:noFill/>
                    <a:ln>
                      <a:noFill/>
                    </a:ln>
                  </pic:spPr>
                </pic:pic>
              </a:graphicData>
            </a:graphic>
          </wp:inline>
        </w:drawing>
      </w:r>
    </w:p>
    <w:p w14:paraId="0F5CFCF7" w14:textId="584AC3CE" w:rsidR="00EA3054" w:rsidRPr="00261EAC" w:rsidRDefault="00EA3054" w:rsidP="00412A99">
      <w:pPr>
        <w:spacing w:before="120" w:after="120" w:line="360" w:lineRule="auto"/>
        <w:jc w:val="both"/>
        <w:rPr>
          <w:rFonts w:ascii="Times New Roman" w:hAnsi="Times New Roman" w:cs="Times New Roman"/>
        </w:rPr>
      </w:pPr>
      <w:r w:rsidRPr="00261EAC">
        <w:rPr>
          <w:rFonts w:ascii="Times New Roman" w:hAnsi="Times New Roman" w:cs="Times New Roman"/>
          <w:noProof/>
        </w:rPr>
        <w:lastRenderedPageBreak/>
        <w:drawing>
          <wp:inline distT="0" distB="0" distL="0" distR="0" wp14:anchorId="097B69F6" wp14:editId="055B7B1A">
            <wp:extent cx="3895725" cy="2814713"/>
            <wp:effectExtent l="0" t="0" r="0" b="5080"/>
            <wp:docPr id="6" name="Picture 6" descr="C:\Users\User\AppData\Local\Microsoft\Windows\INetCache\Content.Word\IMG_20180126_124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IMG_20180126_12442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02245" cy="2819424"/>
                    </a:xfrm>
                    <a:prstGeom prst="rect">
                      <a:avLst/>
                    </a:prstGeom>
                    <a:noFill/>
                    <a:ln>
                      <a:noFill/>
                    </a:ln>
                  </pic:spPr>
                </pic:pic>
              </a:graphicData>
            </a:graphic>
          </wp:inline>
        </w:drawing>
      </w:r>
    </w:p>
    <w:p w14:paraId="7D614A8C" w14:textId="77777777" w:rsidR="00EA3054" w:rsidRPr="00261EAC" w:rsidRDefault="00EA3054" w:rsidP="00412A99">
      <w:pPr>
        <w:spacing w:before="120" w:after="120" w:line="360" w:lineRule="auto"/>
        <w:jc w:val="both"/>
        <w:rPr>
          <w:rFonts w:ascii="Times New Roman" w:hAnsi="Times New Roman" w:cs="Times New Roman"/>
        </w:rPr>
      </w:pPr>
    </w:p>
    <w:p w14:paraId="4D0A4287" w14:textId="77777777" w:rsidR="00EA3054" w:rsidRPr="00261EAC" w:rsidRDefault="00EA3054" w:rsidP="00412A99">
      <w:pPr>
        <w:autoSpaceDE w:val="0"/>
        <w:autoSpaceDN w:val="0"/>
        <w:adjustRightInd w:val="0"/>
        <w:spacing w:before="120" w:after="120" w:line="360" w:lineRule="auto"/>
        <w:jc w:val="both"/>
        <w:rPr>
          <w:rFonts w:ascii="Times New Roman" w:hAnsi="Times New Roman" w:cs="Times New Roman"/>
          <w:b/>
        </w:rPr>
      </w:pPr>
    </w:p>
    <w:sectPr w:rsidR="00EA3054" w:rsidRPr="00261EAC" w:rsidSect="00F76C3B">
      <w:footerReference w:type="default" r:id="rId18"/>
      <w:pgSz w:w="12240" w:h="15840"/>
      <w:pgMar w:top="1440" w:right="1296" w:bottom="1152"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2D1E4" w14:textId="77777777" w:rsidR="00F4337E" w:rsidRDefault="00F4337E" w:rsidP="00484758">
      <w:pPr>
        <w:spacing w:after="0" w:line="240" w:lineRule="auto"/>
      </w:pPr>
      <w:r>
        <w:separator/>
      </w:r>
    </w:p>
  </w:endnote>
  <w:endnote w:type="continuationSeparator" w:id="0">
    <w:p w14:paraId="529B7E38" w14:textId="77777777" w:rsidR="00F4337E" w:rsidRDefault="00F4337E" w:rsidP="00484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1"/>
    <w:family w:val="roman"/>
    <w:pitch w:val="variable"/>
    <w:sig w:usb0="E00002FF" w:usb1="420024FF" w:usb2="00000000" w:usb3="00000000" w:csb0="0000019F" w:csb1="00000000"/>
  </w:font>
  <w:font w:name="Varela Round">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971895"/>
      <w:docPartObj>
        <w:docPartGallery w:val="Page Numbers (Bottom of Page)"/>
        <w:docPartUnique/>
      </w:docPartObj>
    </w:sdtPr>
    <w:sdtEndPr>
      <w:rPr>
        <w:noProof/>
      </w:rPr>
    </w:sdtEndPr>
    <w:sdtContent>
      <w:p w14:paraId="61A1B09F" w14:textId="51DCB98A" w:rsidR="00F4337E" w:rsidRDefault="00F4337E">
        <w:pPr>
          <w:pStyle w:val="Footer"/>
          <w:jc w:val="center"/>
        </w:pPr>
        <w:r>
          <w:fldChar w:fldCharType="begin"/>
        </w:r>
        <w:r>
          <w:instrText xml:space="preserve"> PAGE   \* MERGEFORMAT </w:instrText>
        </w:r>
        <w:r>
          <w:fldChar w:fldCharType="separate"/>
        </w:r>
        <w:r w:rsidR="00CA0715">
          <w:rPr>
            <w:noProof/>
          </w:rPr>
          <w:t>0</w:t>
        </w:r>
        <w:r>
          <w:rPr>
            <w:noProof/>
          </w:rPr>
          <w:fldChar w:fldCharType="end"/>
        </w:r>
      </w:p>
    </w:sdtContent>
  </w:sdt>
  <w:p w14:paraId="14256F40" w14:textId="77777777" w:rsidR="00F4337E" w:rsidRDefault="00F43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54C3F" w14:textId="77777777" w:rsidR="00F4337E" w:rsidRDefault="00F4337E" w:rsidP="00484758">
      <w:pPr>
        <w:spacing w:after="0" w:line="240" w:lineRule="auto"/>
      </w:pPr>
      <w:r>
        <w:separator/>
      </w:r>
    </w:p>
  </w:footnote>
  <w:footnote w:type="continuationSeparator" w:id="0">
    <w:p w14:paraId="0DADAE40" w14:textId="77777777" w:rsidR="00F4337E" w:rsidRDefault="00F4337E" w:rsidP="00484758">
      <w:pPr>
        <w:spacing w:after="0" w:line="240" w:lineRule="auto"/>
      </w:pPr>
      <w:r>
        <w:continuationSeparator/>
      </w:r>
    </w:p>
  </w:footnote>
  <w:footnote w:id="1">
    <w:p w14:paraId="335ADF86" w14:textId="77777777" w:rsidR="00F4337E" w:rsidRPr="003F1AF2" w:rsidRDefault="00F4337E" w:rsidP="004A2883">
      <w:pPr>
        <w:pStyle w:val="FootnoteText"/>
        <w:jc w:val="both"/>
        <w:rPr>
          <w:rFonts w:cs="Times New Roman"/>
          <w:sz w:val="18"/>
          <w:szCs w:val="18"/>
        </w:rPr>
      </w:pPr>
      <w:r w:rsidRPr="003F1AF2">
        <w:rPr>
          <w:rStyle w:val="FootnoteReference"/>
          <w:sz w:val="18"/>
          <w:szCs w:val="18"/>
        </w:rPr>
        <w:footnoteRef/>
      </w:r>
      <w:r w:rsidRPr="003F1AF2">
        <w:rPr>
          <w:rFonts w:cs="Times New Roman"/>
          <w:sz w:val="18"/>
          <w:szCs w:val="18"/>
        </w:rPr>
        <w:t xml:space="preserve"> The purpose of the NDPF is “to provide a clear sense of the core decentralization priorities to all stakeholders in the secto</w:t>
      </w:r>
      <w:r>
        <w:rPr>
          <w:rFonts w:cs="Times New Roman"/>
          <w:sz w:val="18"/>
          <w:szCs w:val="18"/>
        </w:rPr>
        <w:t>r” (NDPF: vi), while the NDAP “</w:t>
      </w:r>
      <w:r w:rsidRPr="003F1AF2">
        <w:rPr>
          <w:rFonts w:cs="Times New Roman"/>
          <w:sz w:val="18"/>
          <w:szCs w:val="18"/>
        </w:rPr>
        <w:t xml:space="preserve">outlines the range of activities necessary to translate the National Decentralization Policy into feasible programs and projects for the overall achievement of the policy’s goals” (NDAP: iii).  </w:t>
      </w:r>
    </w:p>
  </w:footnote>
  <w:footnote w:id="2">
    <w:p w14:paraId="403DDC64" w14:textId="77777777" w:rsidR="00F4337E" w:rsidRPr="003F1AF2" w:rsidRDefault="00F4337E" w:rsidP="004A2883">
      <w:pPr>
        <w:pStyle w:val="FootnoteText"/>
        <w:jc w:val="both"/>
        <w:rPr>
          <w:rFonts w:cs="Times New Roman"/>
          <w:sz w:val="18"/>
          <w:szCs w:val="18"/>
        </w:rPr>
      </w:pPr>
      <w:r w:rsidRPr="003F1AF2">
        <w:rPr>
          <w:rStyle w:val="FootnoteReference"/>
          <w:sz w:val="18"/>
          <w:szCs w:val="18"/>
        </w:rPr>
        <w:footnoteRef/>
      </w:r>
      <w:r w:rsidRPr="003F1AF2">
        <w:rPr>
          <w:rFonts w:cs="Times New Roman"/>
          <w:sz w:val="18"/>
          <w:szCs w:val="18"/>
        </w:rPr>
        <w:t xml:space="preserve"> The operational principles underlying the DDF in Ghana are based on international good practice for performance-based grants. The DDF is very similar to other such grant funding pools in many countries, including Ethiopia, Uganda, Tanzania, Kenya, Nepal, West Bengal (India), Tunisia, and Mali.  </w:t>
      </w:r>
    </w:p>
  </w:footnote>
  <w:footnote w:id="3">
    <w:p w14:paraId="5B29D2D2" w14:textId="77777777" w:rsidR="00B1688C" w:rsidRPr="0035537C" w:rsidRDefault="00B1688C" w:rsidP="00B1688C">
      <w:pPr>
        <w:pStyle w:val="FootnoteText"/>
        <w:jc w:val="both"/>
        <w:rPr>
          <w:rFonts w:cs="Calibri"/>
          <w:szCs w:val="18"/>
        </w:rPr>
      </w:pPr>
      <w:r w:rsidRPr="0035537C">
        <w:rPr>
          <w:rStyle w:val="FootnoteReference"/>
          <w:rFonts w:cs="Calibri"/>
          <w:szCs w:val="18"/>
        </w:rPr>
        <w:footnoteRef/>
      </w:r>
      <w:r w:rsidRPr="0035537C">
        <w:rPr>
          <w:rFonts w:cs="Calibri"/>
          <w:szCs w:val="18"/>
        </w:rPr>
        <w:t xml:space="preserve"> This should include improved/modernized (i) revenue data bases for each revenue head, (ii) billing system with clear timeline, (iii) collection system, (iv) enforcement, (v) revenue information, communication and education (ICE), (vi) arrears handling, and (vii) appeal.</w:t>
      </w:r>
    </w:p>
  </w:footnote>
  <w:footnote w:id="4">
    <w:p w14:paraId="6E899768" w14:textId="77777777" w:rsidR="00B1688C" w:rsidRDefault="00B1688C" w:rsidP="00B1688C">
      <w:pPr>
        <w:pStyle w:val="FootnoteText"/>
      </w:pPr>
      <w:r>
        <w:rPr>
          <w:rStyle w:val="FootnoteReference"/>
        </w:rPr>
        <w:footnoteRef/>
      </w:r>
      <w:r>
        <w:t xml:space="preserve"> </w:t>
      </w:r>
      <w:r w:rsidRPr="00735DF1">
        <w:t>Governance capacity criteria covers MAs capacities (i) for Grievance Redress, (ii) of Client Service Units, and (iii) for information disclosure.</w:t>
      </w:r>
    </w:p>
  </w:footnote>
  <w:footnote w:id="5">
    <w:p w14:paraId="26A18205" w14:textId="77777777" w:rsidR="00F4337E" w:rsidRPr="00C23A81" w:rsidRDefault="00F4337E" w:rsidP="004A2883">
      <w:pPr>
        <w:pStyle w:val="FootnoteText"/>
        <w:jc w:val="both"/>
        <w:rPr>
          <w:rFonts w:cs="Times New Roman"/>
          <w:sz w:val="18"/>
          <w:szCs w:val="18"/>
        </w:rPr>
      </w:pPr>
      <w:r w:rsidRPr="00C23A81">
        <w:rPr>
          <w:rStyle w:val="FootnoteReference"/>
          <w:sz w:val="18"/>
          <w:szCs w:val="18"/>
        </w:rPr>
        <w:footnoteRef/>
      </w:r>
      <w:r w:rsidRPr="00C23A81">
        <w:rPr>
          <w:rFonts w:cs="Times New Roman"/>
          <w:sz w:val="18"/>
          <w:szCs w:val="18"/>
        </w:rPr>
        <w:t xml:space="preserve"> A key RFG/DPAT Minimum Condition is that the Auditor General’s annual report does not: (a) express an adverse opinion about MMDA financial statements; and (b) indicate major financial irregularities. </w:t>
      </w:r>
    </w:p>
  </w:footnote>
  <w:footnote w:id="6">
    <w:p w14:paraId="1D05C13A" w14:textId="77777777" w:rsidR="00F4337E" w:rsidRPr="009C7BBD" w:rsidRDefault="00F4337E" w:rsidP="004A2883">
      <w:pPr>
        <w:pStyle w:val="FootnoteText"/>
        <w:jc w:val="both"/>
        <w:rPr>
          <w:rFonts w:cs="Times New Roman"/>
          <w:sz w:val="18"/>
          <w:szCs w:val="18"/>
        </w:rPr>
      </w:pPr>
      <w:r w:rsidRPr="00C23A81">
        <w:rPr>
          <w:rStyle w:val="FootnoteReference"/>
          <w:sz w:val="18"/>
          <w:szCs w:val="18"/>
        </w:rPr>
        <w:footnoteRef/>
      </w:r>
      <w:r w:rsidRPr="00C23A81">
        <w:rPr>
          <w:rFonts w:cs="Times New Roman"/>
          <w:sz w:val="18"/>
          <w:szCs w:val="18"/>
        </w:rPr>
        <w:t xml:space="preserve"> During the course of preparing SCSP, the World Bank team has provided input to the design of the RFG/DPAT performance </w:t>
      </w:r>
      <w:r w:rsidRPr="009C7BBD">
        <w:rPr>
          <w:rFonts w:cs="Times New Roman"/>
          <w:sz w:val="18"/>
          <w:szCs w:val="18"/>
        </w:rPr>
        <w:t>assessment indicators.</w:t>
      </w:r>
    </w:p>
  </w:footnote>
  <w:footnote w:id="7">
    <w:p w14:paraId="00D28585" w14:textId="77777777" w:rsidR="00F4337E" w:rsidRPr="009C7BBD" w:rsidRDefault="00F4337E" w:rsidP="004A2883">
      <w:pPr>
        <w:pStyle w:val="FootnoteText"/>
        <w:jc w:val="both"/>
        <w:rPr>
          <w:rFonts w:cs="Times New Roman"/>
          <w:sz w:val="18"/>
          <w:szCs w:val="18"/>
        </w:rPr>
      </w:pPr>
      <w:r w:rsidRPr="009C7BBD">
        <w:rPr>
          <w:rStyle w:val="FootnoteReference"/>
          <w:sz w:val="18"/>
          <w:szCs w:val="18"/>
        </w:rPr>
        <w:footnoteRef/>
      </w:r>
      <w:r w:rsidRPr="009C7BBD">
        <w:rPr>
          <w:sz w:val="18"/>
          <w:szCs w:val="18"/>
        </w:rPr>
        <w:t xml:space="preserve"> </w:t>
      </w:r>
      <w:r w:rsidRPr="009C7BBD">
        <w:rPr>
          <w:rFonts w:eastAsia="Times New Roman" w:cs="Times New Roman"/>
          <w:color w:val="000000"/>
          <w:sz w:val="18"/>
          <w:szCs w:val="18"/>
        </w:rPr>
        <w:t>Suame;</w:t>
      </w:r>
      <w:r w:rsidRPr="009C7BBD">
        <w:rPr>
          <w:rFonts w:cs="Times New Roman"/>
          <w:sz w:val="18"/>
          <w:szCs w:val="18"/>
        </w:rPr>
        <w:t xml:space="preserve"> </w:t>
      </w:r>
      <w:r w:rsidRPr="009C7BBD">
        <w:rPr>
          <w:rFonts w:eastAsia="Times New Roman" w:cs="Times New Roman"/>
          <w:color w:val="000000"/>
          <w:sz w:val="18"/>
          <w:szCs w:val="18"/>
        </w:rPr>
        <w:t>Old Tafo</w:t>
      </w:r>
      <w:r w:rsidRPr="009C7BBD">
        <w:rPr>
          <w:rFonts w:cs="Times New Roman"/>
          <w:sz w:val="18"/>
          <w:szCs w:val="18"/>
        </w:rPr>
        <w:t xml:space="preserve">; </w:t>
      </w:r>
      <w:r w:rsidRPr="009C7BBD">
        <w:rPr>
          <w:rFonts w:eastAsia="Times New Roman" w:cs="Times New Roman"/>
          <w:color w:val="000000"/>
          <w:sz w:val="18"/>
          <w:szCs w:val="18"/>
        </w:rPr>
        <w:t>Asokwa; Obuasi; Ejisu</w:t>
      </w:r>
      <w:r w:rsidRPr="009C7BBD">
        <w:rPr>
          <w:rFonts w:cs="Times New Roman"/>
          <w:sz w:val="18"/>
          <w:szCs w:val="18"/>
        </w:rPr>
        <w:t xml:space="preserve"> (Asante Region); </w:t>
      </w:r>
      <w:r w:rsidRPr="009C7BBD">
        <w:rPr>
          <w:rFonts w:eastAsia="Times New Roman" w:cs="Times New Roman"/>
          <w:color w:val="000000"/>
          <w:sz w:val="18"/>
          <w:szCs w:val="18"/>
        </w:rPr>
        <w:t xml:space="preserve">Berekum; Sunyani; Techiman </w:t>
      </w:r>
      <w:r w:rsidRPr="009C7BBD">
        <w:rPr>
          <w:rFonts w:cs="Times New Roman"/>
          <w:sz w:val="18"/>
          <w:szCs w:val="18"/>
        </w:rPr>
        <w:t>(</w:t>
      </w:r>
      <w:r w:rsidRPr="009C7BBD">
        <w:rPr>
          <w:rFonts w:eastAsia="Times New Roman" w:cs="Times New Roman"/>
          <w:color w:val="000000"/>
          <w:sz w:val="18"/>
          <w:szCs w:val="18"/>
        </w:rPr>
        <w:t>Brong Ahafo</w:t>
      </w:r>
      <w:r w:rsidRPr="009C7BBD">
        <w:rPr>
          <w:rFonts w:cs="Times New Roman"/>
          <w:sz w:val="18"/>
          <w:szCs w:val="18"/>
        </w:rPr>
        <w:t xml:space="preserve"> Region); </w:t>
      </w:r>
      <w:r w:rsidRPr="009C7BBD">
        <w:rPr>
          <w:rFonts w:eastAsia="Times New Roman" w:cs="Times New Roman"/>
          <w:color w:val="000000"/>
          <w:sz w:val="18"/>
          <w:szCs w:val="18"/>
        </w:rPr>
        <w:t>Awutu Senya East; Agona West; Mfantseman</w:t>
      </w:r>
      <w:r w:rsidRPr="009C7BBD">
        <w:rPr>
          <w:rFonts w:cs="Times New Roman"/>
          <w:sz w:val="18"/>
          <w:szCs w:val="18"/>
        </w:rPr>
        <w:t xml:space="preserve"> (Central Region); </w:t>
      </w:r>
      <w:r w:rsidRPr="009C7BBD">
        <w:rPr>
          <w:rFonts w:eastAsia="Times New Roman" w:cs="Times New Roman"/>
          <w:color w:val="000000"/>
          <w:sz w:val="18"/>
          <w:szCs w:val="18"/>
        </w:rPr>
        <w:t>Lower Manyo Krobo; New Juaben South; Abuakwa South,</w:t>
      </w:r>
      <w:r w:rsidRPr="009C7BBD">
        <w:rPr>
          <w:rFonts w:cs="Times New Roman"/>
          <w:sz w:val="18"/>
          <w:szCs w:val="18"/>
        </w:rPr>
        <w:t xml:space="preserve"> (Eastern Region); </w:t>
      </w:r>
      <w:r w:rsidRPr="009C7BBD">
        <w:rPr>
          <w:rFonts w:eastAsia="Times New Roman" w:cs="Times New Roman"/>
          <w:color w:val="000000"/>
          <w:sz w:val="18"/>
          <w:szCs w:val="18"/>
        </w:rPr>
        <w:t xml:space="preserve">West Mamprusi; Sagnerigu; </w:t>
      </w:r>
      <w:r w:rsidRPr="009C7BBD">
        <w:rPr>
          <w:rFonts w:cs="Times New Roman"/>
          <w:sz w:val="18"/>
          <w:szCs w:val="18"/>
        </w:rPr>
        <w:t xml:space="preserve">(Northern Region); </w:t>
      </w:r>
      <w:r w:rsidRPr="009C7BBD">
        <w:rPr>
          <w:rFonts w:eastAsia="Times New Roman" w:cs="Times New Roman"/>
          <w:color w:val="000000"/>
          <w:sz w:val="18"/>
          <w:szCs w:val="18"/>
        </w:rPr>
        <w:t>Bawku</w:t>
      </w:r>
      <w:r w:rsidRPr="009C7BBD">
        <w:rPr>
          <w:rFonts w:cs="Times New Roman"/>
          <w:sz w:val="18"/>
          <w:szCs w:val="18"/>
        </w:rPr>
        <w:t xml:space="preserve"> (Upper East Region); Wa (Upper West Region) Ho (Volta Region) and </w:t>
      </w:r>
      <w:r w:rsidRPr="009C7BBD">
        <w:rPr>
          <w:rFonts w:eastAsia="Times New Roman" w:cs="Times New Roman"/>
          <w:color w:val="000000"/>
          <w:sz w:val="18"/>
          <w:szCs w:val="18"/>
        </w:rPr>
        <w:t>Effia-Kwesimintsim</w:t>
      </w:r>
      <w:r w:rsidRPr="009C7BBD">
        <w:rPr>
          <w:rFonts w:cs="Times New Roman"/>
          <w:sz w:val="18"/>
          <w:szCs w:val="18"/>
        </w:rPr>
        <w:t xml:space="preserve"> (Western Region).</w:t>
      </w:r>
    </w:p>
  </w:footnote>
  <w:footnote w:id="8">
    <w:p w14:paraId="275902AE" w14:textId="77777777" w:rsidR="00F4337E" w:rsidRPr="00AA7E1F" w:rsidRDefault="00F4337E" w:rsidP="004A2883">
      <w:pPr>
        <w:pStyle w:val="FootnoteText"/>
        <w:jc w:val="both"/>
        <w:rPr>
          <w:rFonts w:cs="Times New Roman"/>
          <w:sz w:val="18"/>
          <w:szCs w:val="18"/>
        </w:rPr>
      </w:pPr>
      <w:r w:rsidRPr="00AA7E1F">
        <w:rPr>
          <w:rStyle w:val="FootnoteReference"/>
          <w:sz w:val="18"/>
          <w:szCs w:val="18"/>
        </w:rPr>
        <w:footnoteRef/>
      </w:r>
      <w:r w:rsidRPr="00AA7E1F">
        <w:rPr>
          <w:rFonts w:cs="Times New Roman"/>
          <w:sz w:val="18"/>
          <w:szCs w:val="18"/>
        </w:rPr>
        <w:t xml:space="preserve"> The SCSP annual performance assessments will be an adjunct to the nation-wide DPAT assessments, organized and supervised by MLGRD.</w:t>
      </w:r>
    </w:p>
  </w:footnote>
  <w:footnote w:id="9">
    <w:p w14:paraId="1CC88C01" w14:textId="77777777" w:rsidR="00F4337E" w:rsidRPr="00133595" w:rsidRDefault="00F4337E" w:rsidP="004A2883">
      <w:pPr>
        <w:pStyle w:val="FootnoteText"/>
        <w:jc w:val="both"/>
        <w:rPr>
          <w:sz w:val="18"/>
          <w:szCs w:val="18"/>
        </w:rPr>
      </w:pPr>
      <w:r w:rsidRPr="00133595">
        <w:rPr>
          <w:rStyle w:val="FootnoteReference"/>
          <w:sz w:val="18"/>
          <w:szCs w:val="18"/>
        </w:rPr>
        <w:footnoteRef/>
      </w:r>
      <w:r w:rsidRPr="00133595">
        <w:rPr>
          <w:sz w:val="18"/>
          <w:szCs w:val="18"/>
        </w:rPr>
        <w:t xml:space="preserve"> Assume the MA total urban population is 100,000, the maximum UDG the MA is entitled to at US$15 per capita is (100,000 x US$15 = US$1,500,000). However, because the MA only score 50%, its UDG allocation for the year will be </w:t>
      </w:r>
      <w:r>
        <w:rPr>
          <w:sz w:val="18"/>
          <w:szCs w:val="18"/>
        </w:rPr>
        <w:t xml:space="preserve">the </w:t>
      </w:r>
      <w:r w:rsidRPr="00133595">
        <w:rPr>
          <w:sz w:val="18"/>
          <w:szCs w:val="18"/>
        </w:rPr>
        <w:t>MC allocation (20% of maximum UDG) + 60% of the 80% of maximum UDG</w:t>
      </w:r>
      <w:r>
        <w:rPr>
          <w:sz w:val="18"/>
          <w:szCs w:val="18"/>
        </w:rPr>
        <w:t xml:space="preserve">; which is </w:t>
      </w:r>
      <w:r w:rsidRPr="00133595">
        <w:rPr>
          <w:sz w:val="18"/>
          <w:szCs w:val="18"/>
        </w:rPr>
        <w:t>(0.2 x US$1,500,000) +(0.5 x (0.8 x US$1, 500,000) = US$300,000 + (0.5 x US$1,200,000) = US$900,000.</w:t>
      </w:r>
    </w:p>
  </w:footnote>
  <w:footnote w:id="10">
    <w:p w14:paraId="54AFC995" w14:textId="77777777" w:rsidR="00F4337E" w:rsidRPr="00541D73" w:rsidRDefault="00F4337E" w:rsidP="004A2883">
      <w:pPr>
        <w:pStyle w:val="FootnoteText"/>
        <w:rPr>
          <w:sz w:val="18"/>
          <w:szCs w:val="18"/>
        </w:rPr>
      </w:pPr>
      <w:r w:rsidRPr="00541D73">
        <w:rPr>
          <w:rStyle w:val="FootnoteReference"/>
          <w:sz w:val="18"/>
          <w:szCs w:val="18"/>
        </w:rPr>
        <w:footnoteRef/>
      </w:r>
      <w:r w:rsidRPr="00541D73">
        <w:rPr>
          <w:sz w:val="18"/>
          <w:szCs w:val="18"/>
        </w:rPr>
        <w:t xml:space="preserve"> Since this is not an established post at MAs, the OHLGS will ensure that one staff is appointed and designated to be the focal person for environment and social safeguards at MA level.</w:t>
      </w:r>
    </w:p>
  </w:footnote>
  <w:footnote w:id="11">
    <w:p w14:paraId="76D538B2" w14:textId="77777777" w:rsidR="00F4337E" w:rsidRPr="001B0814" w:rsidRDefault="00F4337E" w:rsidP="004A2883">
      <w:pPr>
        <w:pStyle w:val="FootnoteText"/>
        <w:jc w:val="both"/>
        <w:rPr>
          <w:sz w:val="18"/>
          <w:szCs w:val="18"/>
        </w:rPr>
      </w:pPr>
      <w:r w:rsidRPr="001B0814">
        <w:rPr>
          <w:rStyle w:val="FootnoteReference"/>
          <w:sz w:val="18"/>
          <w:szCs w:val="18"/>
        </w:rPr>
        <w:footnoteRef/>
      </w:r>
      <w:r w:rsidRPr="001B0814">
        <w:rPr>
          <w:sz w:val="18"/>
          <w:szCs w:val="18"/>
        </w:rPr>
        <w:t xml:space="preserve"> According to the Constitution, the DACF amounts to at least 5% of national revenues.</w:t>
      </w:r>
    </w:p>
  </w:footnote>
  <w:footnote w:id="12">
    <w:p w14:paraId="6CED0BD5" w14:textId="77777777" w:rsidR="00F4337E" w:rsidRPr="001B0814" w:rsidRDefault="00F4337E" w:rsidP="004A2883">
      <w:pPr>
        <w:pStyle w:val="FootnoteText"/>
        <w:jc w:val="both"/>
        <w:rPr>
          <w:sz w:val="18"/>
          <w:szCs w:val="18"/>
        </w:rPr>
      </w:pPr>
      <w:r w:rsidRPr="001B0814">
        <w:rPr>
          <w:rStyle w:val="FootnoteReference"/>
          <w:sz w:val="18"/>
          <w:szCs w:val="18"/>
        </w:rPr>
        <w:footnoteRef/>
      </w:r>
      <w:r w:rsidRPr="001B0814">
        <w:rPr>
          <w:sz w:val="18"/>
          <w:szCs w:val="18"/>
        </w:rPr>
        <w:t xml:space="preserve"> In addition to DACF resources, a number of development partners (Germany, Switzerland) are expected to provide additional funding for the RFG component. At the time of this assessment, these development partner commitments had not been confirmed.</w:t>
      </w:r>
    </w:p>
  </w:footnote>
  <w:footnote w:id="13">
    <w:p w14:paraId="5CEBDE4B" w14:textId="77777777" w:rsidR="00F4337E" w:rsidRPr="00CF3A8A" w:rsidRDefault="00F4337E" w:rsidP="004A2883">
      <w:pPr>
        <w:pStyle w:val="FootnoteText"/>
        <w:rPr>
          <w:sz w:val="18"/>
          <w:szCs w:val="18"/>
        </w:rPr>
      </w:pPr>
      <w:r w:rsidRPr="00CF3A8A">
        <w:rPr>
          <w:rStyle w:val="FootnoteReference"/>
          <w:sz w:val="18"/>
          <w:szCs w:val="18"/>
        </w:rPr>
        <w:footnoteRef/>
      </w:r>
      <w:r w:rsidRPr="00CF3A8A">
        <w:rPr>
          <w:sz w:val="18"/>
          <w:szCs w:val="18"/>
        </w:rPr>
        <w:t xml:space="preserve"> GoG transfers for MMDAs for payroll and sector goods/services/capital are itemized by MMDA</w:t>
      </w:r>
    </w:p>
  </w:footnote>
  <w:footnote w:id="14">
    <w:p w14:paraId="5FBBBD15" w14:textId="77777777" w:rsidR="00F4337E" w:rsidRPr="00B16E76" w:rsidRDefault="00F4337E" w:rsidP="004A2883">
      <w:pPr>
        <w:pStyle w:val="FootnoteText"/>
        <w:jc w:val="both"/>
        <w:rPr>
          <w:sz w:val="18"/>
          <w:szCs w:val="18"/>
        </w:rPr>
      </w:pPr>
      <w:r w:rsidRPr="00B16E76">
        <w:rPr>
          <w:rStyle w:val="FootnoteReference"/>
          <w:sz w:val="18"/>
          <w:szCs w:val="18"/>
        </w:rPr>
        <w:footnoteRef/>
      </w:r>
      <w:r w:rsidRPr="00B16E76">
        <w:rPr>
          <w:sz w:val="18"/>
          <w:szCs w:val="18"/>
        </w:rPr>
        <w:t xml:space="preserve"> About 28% of the DACF is deducted and paid from center for common services to MMDAs or services they have requested the center to pay on their behalves. </w:t>
      </w:r>
    </w:p>
  </w:footnote>
  <w:footnote w:id="15">
    <w:p w14:paraId="4051C6AA" w14:textId="77777777" w:rsidR="00F4337E" w:rsidRDefault="00F4337E" w:rsidP="004A2883">
      <w:pPr>
        <w:spacing w:after="0" w:line="240" w:lineRule="auto"/>
        <w:jc w:val="both"/>
      </w:pPr>
      <w:r w:rsidRPr="000F29D2">
        <w:rPr>
          <w:rStyle w:val="FootnoteReference"/>
          <w:rFonts w:ascii="Times New Roman" w:hAnsi="Times New Roman"/>
          <w:sz w:val="18"/>
          <w:szCs w:val="18"/>
        </w:rPr>
        <w:footnoteRef/>
      </w:r>
      <w:r w:rsidRPr="000F29D2">
        <w:rPr>
          <w:rFonts w:ascii="Times New Roman" w:hAnsi="Times New Roman" w:cs="Times New Roman"/>
          <w:sz w:val="18"/>
          <w:szCs w:val="18"/>
        </w:rPr>
        <w:t xml:space="preserve"> The portion of the national RFG going to participating Program MAs </w:t>
      </w:r>
      <w:r>
        <w:rPr>
          <w:rFonts w:ascii="Times New Roman" w:hAnsi="Times New Roman" w:cs="Times New Roman"/>
          <w:sz w:val="18"/>
          <w:szCs w:val="18"/>
        </w:rPr>
        <w:t xml:space="preserve">as part of direct GoG contribution </w:t>
      </w:r>
      <w:r w:rsidRPr="000F29D2">
        <w:rPr>
          <w:rFonts w:ascii="Times New Roman" w:hAnsi="Times New Roman" w:cs="Times New Roman"/>
          <w:sz w:val="18"/>
          <w:szCs w:val="18"/>
        </w:rPr>
        <w:t xml:space="preserve">is estimated at 10% of the total RFG to all MMDA – pro rata basis given total population participating MAs Program MAs is </w:t>
      </w:r>
      <w:r w:rsidRPr="000F29D2">
        <w:rPr>
          <w:rFonts w:ascii="Times New Roman" w:eastAsia="Times New Roman" w:hAnsi="Times New Roman" w:cs="Times New Roman"/>
          <w:color w:val="000000"/>
          <w:sz w:val="18"/>
          <w:szCs w:val="18"/>
        </w:rPr>
        <w:t>3,140,344 which is about 10% of the national population.</w:t>
      </w:r>
    </w:p>
  </w:footnote>
  <w:footnote w:id="16">
    <w:p w14:paraId="1C3F4126" w14:textId="77777777" w:rsidR="00F4337E" w:rsidRPr="00AD29E2" w:rsidRDefault="00F4337E" w:rsidP="004A2883">
      <w:pPr>
        <w:pStyle w:val="FootnoteText"/>
        <w:jc w:val="both"/>
        <w:rPr>
          <w:sz w:val="18"/>
          <w:szCs w:val="18"/>
        </w:rPr>
      </w:pPr>
      <w:r w:rsidRPr="00AD29E2">
        <w:rPr>
          <w:rStyle w:val="FootnoteReference"/>
          <w:sz w:val="18"/>
          <w:szCs w:val="18"/>
        </w:rPr>
        <w:footnoteRef/>
      </w:r>
      <w:r w:rsidRPr="00AD29E2">
        <w:rPr>
          <w:sz w:val="18"/>
          <w:szCs w:val="18"/>
        </w:rPr>
        <w:t xml:space="preserve"> </w:t>
      </w:r>
      <w:r w:rsidRPr="00AD29E2">
        <w:rPr>
          <w:sz w:val="18"/>
          <w:szCs w:val="18"/>
          <w:lang w:val="en-GB"/>
        </w:rPr>
        <w:t>Germany (KfW), Switzerland (SECO) and the European Union (EU).</w:t>
      </w:r>
    </w:p>
  </w:footnote>
  <w:footnote w:id="17">
    <w:p w14:paraId="41B31D08" w14:textId="29506C33" w:rsidR="00F4337E" w:rsidRPr="00E22736" w:rsidRDefault="00F4337E" w:rsidP="004A2883">
      <w:pPr>
        <w:spacing w:after="0"/>
        <w:contextualSpacing/>
        <w:jc w:val="both"/>
        <w:rPr>
          <w:rFonts w:ascii="Times New Roman" w:hAnsi="Times New Roman" w:cs="Times New Roman"/>
          <w:sz w:val="18"/>
          <w:szCs w:val="18"/>
        </w:rPr>
      </w:pPr>
      <w:r w:rsidRPr="00E22736">
        <w:rPr>
          <w:rStyle w:val="FootnoteReference"/>
          <w:rFonts w:ascii="Times New Roman" w:hAnsi="Times New Roman"/>
          <w:sz w:val="18"/>
          <w:szCs w:val="18"/>
        </w:rPr>
        <w:footnoteRef/>
      </w:r>
      <w:r w:rsidRPr="00E22736">
        <w:rPr>
          <w:rFonts w:ascii="Times New Roman" w:hAnsi="Times New Roman" w:cs="Times New Roman"/>
          <w:sz w:val="18"/>
          <w:szCs w:val="18"/>
        </w:rPr>
        <w:t xml:space="preserve"> </w:t>
      </w:r>
      <w:r w:rsidRPr="00E22736">
        <w:rPr>
          <w:rFonts w:ascii="Times New Roman" w:eastAsia="Times New Roman" w:hAnsi="Times New Roman" w:cs="Times New Roman"/>
          <w:sz w:val="18"/>
          <w:szCs w:val="18"/>
        </w:rPr>
        <w:t>LUSPA; EPA; LV</w:t>
      </w:r>
      <w:r w:rsidR="00B1688C">
        <w:rPr>
          <w:rFonts w:ascii="Times New Roman" w:eastAsia="Times New Roman" w:hAnsi="Times New Roman" w:cs="Times New Roman"/>
          <w:sz w:val="18"/>
          <w:szCs w:val="18"/>
        </w:rPr>
        <w:t>D</w:t>
      </w:r>
      <w:r w:rsidRPr="00E22736">
        <w:rPr>
          <w:rFonts w:ascii="Times New Roman" w:eastAsia="Times New Roman" w:hAnsi="Times New Roman" w:cs="Times New Roman"/>
          <w:sz w:val="18"/>
          <w:szCs w:val="18"/>
        </w:rPr>
        <w:t>; and other MDAs</w:t>
      </w:r>
    </w:p>
  </w:footnote>
  <w:footnote w:id="18">
    <w:p w14:paraId="0F6D87A9" w14:textId="77777777" w:rsidR="00F4337E" w:rsidRPr="00D607EE" w:rsidRDefault="00F4337E" w:rsidP="004A2883">
      <w:pPr>
        <w:pStyle w:val="FootnoteText"/>
        <w:jc w:val="both"/>
        <w:rPr>
          <w:sz w:val="18"/>
          <w:szCs w:val="18"/>
        </w:rPr>
      </w:pPr>
      <w:r w:rsidRPr="00D607EE">
        <w:rPr>
          <w:rStyle w:val="FootnoteReference"/>
          <w:sz w:val="18"/>
          <w:szCs w:val="18"/>
        </w:rPr>
        <w:footnoteRef/>
      </w:r>
      <w:r w:rsidRPr="00D607EE">
        <w:rPr>
          <w:sz w:val="18"/>
          <w:szCs w:val="18"/>
        </w:rPr>
        <w:t xml:space="preserve"> The key and core RCC staff are: Regional Planning Officer; Regional Finance Officer; Regional Budget Officer; Regional Internal Auditor; Director, Public Works; Director, Community Development; and Director, Social Welfare.</w:t>
      </w:r>
    </w:p>
  </w:footnote>
  <w:footnote w:id="19">
    <w:p w14:paraId="77FA2A5E" w14:textId="77777777" w:rsidR="00F4337E" w:rsidRPr="00D607EE" w:rsidRDefault="00F4337E" w:rsidP="004A2883">
      <w:pPr>
        <w:pStyle w:val="FootnoteText"/>
        <w:jc w:val="both"/>
        <w:rPr>
          <w:sz w:val="18"/>
          <w:szCs w:val="18"/>
        </w:rPr>
      </w:pPr>
      <w:r w:rsidRPr="00D607EE">
        <w:rPr>
          <w:rStyle w:val="FootnoteReference"/>
          <w:sz w:val="18"/>
          <w:szCs w:val="18"/>
        </w:rPr>
        <w:footnoteRef/>
      </w:r>
      <w:r w:rsidRPr="00D607EE">
        <w:rPr>
          <w:sz w:val="18"/>
          <w:szCs w:val="18"/>
        </w:rPr>
        <w:t xml:space="preserve"> </w:t>
      </w:r>
      <w:r>
        <w:rPr>
          <w:sz w:val="18"/>
          <w:szCs w:val="18"/>
        </w:rPr>
        <w:t xml:space="preserve">The key and core MA are: </w:t>
      </w:r>
      <w:r w:rsidRPr="00D607EE">
        <w:rPr>
          <w:sz w:val="18"/>
          <w:szCs w:val="18"/>
        </w:rPr>
        <w:t>Municipal Coordinating Director; Municipal Planning Officer; Municipal Finance Officer; Municipal Budget Analyst; Municipal Internal Audit Officer; Municipal Works Engineer; Municipal Physical Planning Officer; Municipal Procurement Officer; Environmental &amp;Social Safeguards Focal Person; Client Service Officer; Social Welfare and Community Development Officer.</w:t>
      </w:r>
    </w:p>
  </w:footnote>
  <w:footnote w:id="20">
    <w:p w14:paraId="53385F65" w14:textId="77777777" w:rsidR="00F4337E" w:rsidRPr="00934DC6" w:rsidRDefault="00F4337E" w:rsidP="004A2883">
      <w:pPr>
        <w:pStyle w:val="FootnoteText"/>
        <w:jc w:val="both"/>
        <w:rPr>
          <w:sz w:val="18"/>
          <w:szCs w:val="18"/>
        </w:rPr>
      </w:pPr>
      <w:r w:rsidRPr="00934DC6">
        <w:rPr>
          <w:rStyle w:val="FootnoteReference"/>
          <w:sz w:val="18"/>
          <w:szCs w:val="18"/>
        </w:rPr>
        <w:footnoteRef/>
      </w:r>
      <w:r w:rsidRPr="00934DC6">
        <w:rPr>
          <w:sz w:val="18"/>
          <w:szCs w:val="18"/>
        </w:rPr>
        <w:t xml:space="preserve"> </w:t>
      </w:r>
      <w:r w:rsidRPr="00934DC6">
        <w:rPr>
          <w:rFonts w:cs="Times New Roman"/>
          <w:sz w:val="18"/>
          <w:szCs w:val="18"/>
        </w:rPr>
        <w:t xml:space="preserve">Among other things, the </w:t>
      </w:r>
      <w:r>
        <w:rPr>
          <w:rFonts w:cs="Times New Roman"/>
          <w:sz w:val="18"/>
          <w:szCs w:val="18"/>
        </w:rPr>
        <w:t xml:space="preserve">RCCs </w:t>
      </w:r>
      <w:r w:rsidRPr="00934DC6">
        <w:rPr>
          <w:rFonts w:cs="Times New Roman"/>
          <w:sz w:val="18"/>
          <w:szCs w:val="18"/>
        </w:rPr>
        <w:t>plan will specify the activity, its objective, the resources assigned and the implementation timeline.</w:t>
      </w:r>
    </w:p>
  </w:footnote>
  <w:footnote w:id="21">
    <w:p w14:paraId="25267F67" w14:textId="77777777" w:rsidR="00F4337E" w:rsidRPr="003B1D0C" w:rsidRDefault="00F4337E">
      <w:pPr>
        <w:pStyle w:val="FootnoteText"/>
        <w:rPr>
          <w:rFonts w:cstheme="minorHAnsi"/>
          <w:sz w:val="18"/>
          <w:szCs w:val="18"/>
        </w:rPr>
      </w:pPr>
      <w:r w:rsidRPr="003B1D0C">
        <w:rPr>
          <w:rStyle w:val="FootnoteReference"/>
          <w:rFonts w:cstheme="minorHAnsi"/>
          <w:sz w:val="18"/>
          <w:szCs w:val="18"/>
        </w:rPr>
        <w:footnoteRef/>
      </w:r>
      <w:r w:rsidRPr="003B1D0C">
        <w:rPr>
          <w:rFonts w:cstheme="minorHAnsi"/>
          <w:sz w:val="18"/>
          <w:szCs w:val="18"/>
        </w:rPr>
        <w:t xml:space="preserve"> Subprojects visited include: Public Markets and Stalls, Commercial Complex, 2-storey Magistrate Court, Bus Terminal, Public Toilets, School Buildings, Police Station, Public Park, Municipal Drainage and Access Road.</w:t>
      </w:r>
    </w:p>
  </w:footnote>
  <w:footnote w:id="22">
    <w:p w14:paraId="50F26B95" w14:textId="51FD659A" w:rsidR="00F4337E" w:rsidRPr="003B1D0C" w:rsidRDefault="00F4337E">
      <w:pPr>
        <w:pStyle w:val="FootnoteText"/>
        <w:rPr>
          <w:rFonts w:cstheme="minorHAnsi"/>
          <w:sz w:val="18"/>
          <w:szCs w:val="18"/>
        </w:rPr>
      </w:pPr>
      <w:r w:rsidRPr="003B1D0C">
        <w:rPr>
          <w:rStyle w:val="FootnoteReference"/>
          <w:rFonts w:cstheme="minorHAnsi"/>
          <w:sz w:val="18"/>
          <w:szCs w:val="18"/>
        </w:rPr>
        <w:footnoteRef/>
      </w:r>
      <w:r w:rsidRPr="003B1D0C">
        <w:rPr>
          <w:rFonts w:cstheme="minorHAnsi"/>
          <w:sz w:val="18"/>
          <w:szCs w:val="18"/>
        </w:rPr>
        <w:t xml:space="preserve"> MMAs visited included: Ga West, Cape Coast, KEEA, Kumasi and New Juaben.</w:t>
      </w:r>
    </w:p>
  </w:footnote>
  <w:footnote w:id="23">
    <w:p w14:paraId="7F1612CF" w14:textId="168D36C8" w:rsidR="00F4337E" w:rsidRPr="003B1D0C" w:rsidRDefault="00F4337E" w:rsidP="00106C64">
      <w:pPr>
        <w:pStyle w:val="FootnoteText"/>
        <w:rPr>
          <w:rFonts w:cstheme="minorHAnsi"/>
          <w:sz w:val="18"/>
          <w:szCs w:val="18"/>
        </w:rPr>
      </w:pPr>
      <w:r w:rsidRPr="003B1D0C">
        <w:rPr>
          <w:rStyle w:val="FootnoteReference"/>
          <w:rFonts w:cstheme="minorHAnsi"/>
          <w:sz w:val="18"/>
          <w:szCs w:val="18"/>
        </w:rPr>
        <w:footnoteRef/>
      </w:r>
      <w:r w:rsidRPr="003B1D0C">
        <w:rPr>
          <w:rFonts w:cstheme="minorHAnsi"/>
          <w:sz w:val="18"/>
          <w:szCs w:val="18"/>
        </w:rPr>
        <w:t xml:space="preserve"> The World Bank team responsible for</w:t>
      </w:r>
      <w:r>
        <w:rPr>
          <w:rFonts w:cstheme="minorHAnsi"/>
          <w:sz w:val="18"/>
          <w:szCs w:val="18"/>
        </w:rPr>
        <w:t xml:space="preserve"> preparing</w:t>
      </w:r>
      <w:r w:rsidRPr="003B1D0C">
        <w:rPr>
          <w:rFonts w:cstheme="minorHAnsi"/>
          <w:sz w:val="18"/>
          <w:szCs w:val="18"/>
        </w:rPr>
        <w:t xml:space="preserve"> this ESSA consisted of Josefo Tuyor (Senior Environmental Specialist), Charles Ankisiba (Senior Social Development Specialist) and Anita Takura (Environmental Specialist) with the assistance from Asferachew Abate Abebe (Senior Environmental Specialist), Emmanuel Mante (PP</w:t>
      </w:r>
      <w:r>
        <w:rPr>
          <w:rFonts w:cstheme="minorHAnsi"/>
          <w:sz w:val="18"/>
          <w:szCs w:val="18"/>
        </w:rPr>
        <w:t>B</w:t>
      </w:r>
      <w:r w:rsidRPr="003B1D0C">
        <w:rPr>
          <w:rFonts w:cstheme="minorHAnsi"/>
          <w:sz w:val="18"/>
          <w:szCs w:val="18"/>
        </w:rPr>
        <w:t>ME</w:t>
      </w:r>
      <w:r>
        <w:rPr>
          <w:rFonts w:cstheme="minorHAnsi"/>
          <w:sz w:val="18"/>
          <w:szCs w:val="18"/>
        </w:rPr>
        <w:t>D</w:t>
      </w:r>
      <w:r w:rsidRPr="003B1D0C">
        <w:rPr>
          <w:rFonts w:cstheme="minorHAnsi"/>
          <w:sz w:val="18"/>
          <w:szCs w:val="18"/>
        </w:rPr>
        <w:t xml:space="preserve">, Environmental and Social Specialist) and Abdulai Darimani (World Bank Consultant). </w:t>
      </w:r>
    </w:p>
  </w:footnote>
  <w:footnote w:id="24">
    <w:p w14:paraId="43CA5BBB" w14:textId="77777777" w:rsidR="004311F5" w:rsidRPr="0035537C" w:rsidRDefault="004311F5" w:rsidP="004311F5">
      <w:pPr>
        <w:pStyle w:val="FootnoteText"/>
        <w:jc w:val="both"/>
        <w:rPr>
          <w:rFonts w:cs="Calibri"/>
          <w:szCs w:val="18"/>
        </w:rPr>
      </w:pPr>
      <w:r w:rsidRPr="0035537C">
        <w:rPr>
          <w:rStyle w:val="FootnoteReference"/>
          <w:rFonts w:cs="Calibri"/>
          <w:szCs w:val="18"/>
        </w:rPr>
        <w:footnoteRef/>
      </w:r>
      <w:r w:rsidRPr="0035537C">
        <w:rPr>
          <w:rFonts w:cs="Calibri"/>
          <w:szCs w:val="18"/>
        </w:rPr>
        <w:t xml:space="preserve"> including solar street lights, where applicable</w:t>
      </w:r>
    </w:p>
  </w:footnote>
  <w:footnote w:id="25">
    <w:p w14:paraId="03838452" w14:textId="77777777" w:rsidR="004311F5" w:rsidRPr="0035537C" w:rsidRDefault="004311F5" w:rsidP="004311F5">
      <w:pPr>
        <w:pStyle w:val="FootnoteText"/>
        <w:rPr>
          <w:rFonts w:cs="Calibri"/>
          <w:szCs w:val="18"/>
        </w:rPr>
      </w:pPr>
      <w:r w:rsidRPr="0035537C">
        <w:rPr>
          <w:rStyle w:val="FootnoteReference"/>
          <w:rFonts w:cs="Calibri"/>
          <w:szCs w:val="18"/>
        </w:rPr>
        <w:footnoteRef/>
      </w:r>
      <w:r w:rsidRPr="0035537C">
        <w:rPr>
          <w:rFonts w:cs="Calibri"/>
          <w:szCs w:val="18"/>
        </w:rPr>
        <w:t xml:space="preserve"> including re-establishment of natural flood plains and vegetation, where applicable</w:t>
      </w:r>
    </w:p>
  </w:footnote>
  <w:footnote w:id="26">
    <w:p w14:paraId="04341711" w14:textId="33FF5684" w:rsidR="00F4337E" w:rsidRDefault="00F4337E">
      <w:pPr>
        <w:pStyle w:val="FootnoteText"/>
      </w:pPr>
      <w:r>
        <w:rPr>
          <w:rStyle w:val="FootnoteReference"/>
        </w:rPr>
        <w:footnoteRef/>
      </w:r>
      <w:r>
        <w:t xml:space="preserve"> Based on Safeguards Diagnostic Review for Piloting the Use of Ghanaian Systems to Address Environmental Safeguard Issues in the proposed World Bank-Assisted Ghana Energy Development and Access Project (GEDAP), Equivalency and Acceptability Report, December 2006.</w:t>
      </w:r>
    </w:p>
  </w:footnote>
  <w:footnote w:id="27">
    <w:p w14:paraId="5D65AC42" w14:textId="77777777" w:rsidR="00F4337E" w:rsidRPr="009D62DA" w:rsidRDefault="00F4337E">
      <w:pPr>
        <w:pStyle w:val="FootnoteText"/>
        <w:rPr>
          <w:rFonts w:cstheme="minorHAnsi"/>
          <w:sz w:val="18"/>
          <w:szCs w:val="18"/>
        </w:rPr>
      </w:pPr>
      <w:r w:rsidRPr="009D62DA">
        <w:rPr>
          <w:rStyle w:val="FootnoteReference"/>
          <w:rFonts w:cstheme="minorHAnsi"/>
          <w:sz w:val="18"/>
          <w:szCs w:val="18"/>
        </w:rPr>
        <w:footnoteRef/>
      </w:r>
      <w:r w:rsidRPr="009D62DA">
        <w:rPr>
          <w:rFonts w:cstheme="minorHAnsi"/>
          <w:sz w:val="18"/>
          <w:szCs w:val="18"/>
        </w:rPr>
        <w:t xml:space="preserve"> Based Safeguards Diagnostic Review for Piloting the Use of Ghanaian Systems to Address Environmental Safeguard Issues in the proposed World Bank-Assisted Ghana Energy Development and Access Project (GEDAP), Equivalency and Acceptability Report, December 2006.</w:t>
      </w:r>
    </w:p>
  </w:footnote>
  <w:footnote w:id="28">
    <w:p w14:paraId="208E4BF3" w14:textId="77777777" w:rsidR="00F4337E" w:rsidRPr="009D62DA" w:rsidRDefault="00F4337E" w:rsidP="007E2270">
      <w:pPr>
        <w:autoSpaceDE w:val="0"/>
        <w:autoSpaceDN w:val="0"/>
        <w:adjustRightInd w:val="0"/>
        <w:spacing w:after="0" w:line="240" w:lineRule="auto"/>
        <w:rPr>
          <w:rFonts w:cstheme="minorHAnsi"/>
          <w:sz w:val="18"/>
          <w:szCs w:val="18"/>
        </w:rPr>
      </w:pPr>
      <w:r w:rsidRPr="009D62DA">
        <w:rPr>
          <w:rStyle w:val="FootnoteReference"/>
          <w:rFonts w:cstheme="minorHAnsi"/>
          <w:sz w:val="18"/>
          <w:szCs w:val="18"/>
        </w:rPr>
        <w:footnoteRef/>
      </w:r>
      <w:r w:rsidRPr="009D62DA">
        <w:rPr>
          <w:rFonts w:cstheme="minorHAnsi"/>
          <w:sz w:val="18"/>
          <w:szCs w:val="18"/>
        </w:rPr>
        <w:t xml:space="preserve"> Under the Limitations Decree, 1975, 12 years adverse possession by squatters could grant them proprietary rights necessitating</w:t>
      </w:r>
      <w:r>
        <w:rPr>
          <w:rFonts w:cstheme="minorHAnsi"/>
          <w:sz w:val="18"/>
          <w:szCs w:val="18"/>
        </w:rPr>
        <w:t xml:space="preserve"> </w:t>
      </w:r>
      <w:r w:rsidRPr="009D62DA">
        <w:rPr>
          <w:rFonts w:cstheme="minorHAnsi"/>
          <w:sz w:val="18"/>
          <w:szCs w:val="18"/>
        </w:rPr>
        <w:t>resettlement as a right in the event of such acquisitions. As to whether or not a person has been in adverse possession</w:t>
      </w:r>
      <w:r>
        <w:rPr>
          <w:rFonts w:cstheme="minorHAnsi"/>
          <w:sz w:val="18"/>
          <w:szCs w:val="18"/>
        </w:rPr>
        <w:t xml:space="preserve"> </w:t>
      </w:r>
      <w:r w:rsidRPr="009D62DA">
        <w:rPr>
          <w:rFonts w:cstheme="minorHAnsi"/>
          <w:sz w:val="18"/>
          <w:szCs w:val="18"/>
        </w:rPr>
        <w:t>is a question of fact based on the evidentiary circumstances of each particular case.</w:t>
      </w:r>
    </w:p>
    <w:p w14:paraId="0E04794E" w14:textId="77777777" w:rsidR="00F4337E" w:rsidRPr="009D62DA" w:rsidRDefault="00F4337E" w:rsidP="007E2270">
      <w:pPr>
        <w:pStyle w:val="FootnoteText"/>
        <w:rPr>
          <w:rFonts w:cstheme="minorHAnsi"/>
          <w:sz w:val="18"/>
          <w:szCs w:val="18"/>
        </w:rPr>
      </w:pPr>
    </w:p>
  </w:footnote>
  <w:footnote w:id="29">
    <w:p w14:paraId="5CAE5883" w14:textId="77777777" w:rsidR="00F4337E" w:rsidRDefault="00F4337E" w:rsidP="00C50A02">
      <w:pPr>
        <w:pStyle w:val="FootnoteText"/>
      </w:pPr>
      <w:r>
        <w:rPr>
          <w:rStyle w:val="FootnoteReference"/>
        </w:rPr>
        <w:footnoteRef/>
      </w:r>
      <w:r>
        <w:t xml:space="preserve"> Subprojects visited include commercial center, public market, classroom blocks/school building, town park, access road, toilet facilities, bus terminal, court building, and abattoir.</w:t>
      </w:r>
    </w:p>
  </w:footnote>
  <w:footnote w:id="30">
    <w:p w14:paraId="278675C1" w14:textId="77777777" w:rsidR="00F4337E" w:rsidRDefault="00F4337E" w:rsidP="00C50A02">
      <w:pPr>
        <w:pStyle w:val="FootnoteText"/>
      </w:pPr>
      <w:r>
        <w:rPr>
          <w:rStyle w:val="FootnoteReference"/>
        </w:rPr>
        <w:footnoteRef/>
      </w:r>
      <w:r>
        <w:t xml:space="preserve"> Ga West Municipality, Cape Coast Metropolitan, KEEA Municipality, Kumasi Metropolitan, New Juaben Municipality.</w:t>
      </w:r>
    </w:p>
  </w:footnote>
  <w:footnote w:id="31">
    <w:p w14:paraId="38AED360" w14:textId="77777777" w:rsidR="00F4337E" w:rsidRPr="003B1D0C" w:rsidRDefault="00F4337E" w:rsidP="00376307">
      <w:pPr>
        <w:pStyle w:val="FootnoteText"/>
        <w:rPr>
          <w:rFonts w:cstheme="minorHAnsi"/>
          <w:sz w:val="18"/>
          <w:szCs w:val="18"/>
        </w:rPr>
      </w:pPr>
      <w:r w:rsidRPr="003B1D0C">
        <w:rPr>
          <w:rStyle w:val="FootnoteReference"/>
          <w:rFonts w:cstheme="minorHAnsi"/>
          <w:sz w:val="18"/>
          <w:szCs w:val="18"/>
        </w:rPr>
        <w:footnoteRef/>
      </w:r>
      <w:r w:rsidRPr="003B1D0C">
        <w:rPr>
          <w:rFonts w:cstheme="minorHAnsi"/>
          <w:sz w:val="18"/>
          <w:szCs w:val="18"/>
        </w:rPr>
        <w:t xml:space="preserve"> MMAs visited included: Ga West, Cape Coast, KEEA, Kumasi and New Juaben.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106A"/>
    <w:multiLevelType w:val="hybridMultilevel"/>
    <w:tmpl w:val="AE069436"/>
    <w:lvl w:ilvl="0" w:tplc="F34685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24321"/>
    <w:multiLevelType w:val="hybridMultilevel"/>
    <w:tmpl w:val="053067CE"/>
    <w:lvl w:ilvl="0" w:tplc="04090001">
      <w:start w:val="1"/>
      <w:numFmt w:val="bullet"/>
      <w:lvlText w:val=""/>
      <w:lvlJc w:val="left"/>
      <w:pPr>
        <w:ind w:left="814" w:hanging="360"/>
      </w:pPr>
      <w:rPr>
        <w:rFonts w:ascii="Symbol" w:hAnsi="Symbol" w:hint="default"/>
      </w:rPr>
    </w:lvl>
    <w:lvl w:ilvl="1" w:tplc="04090003">
      <w:start w:val="1"/>
      <w:numFmt w:val="bullet"/>
      <w:lvlText w:val="o"/>
      <w:lvlJc w:val="left"/>
      <w:pPr>
        <w:ind w:left="1534" w:hanging="360"/>
      </w:pPr>
      <w:rPr>
        <w:rFonts w:ascii="Cambria Math" w:hAnsi="Cambria Math" w:cs="Cambria Math" w:hint="default"/>
      </w:rPr>
    </w:lvl>
    <w:lvl w:ilvl="2" w:tplc="04090005">
      <w:start w:val="1"/>
      <w:numFmt w:val="bullet"/>
      <w:lvlText w:val=""/>
      <w:lvlJc w:val="left"/>
      <w:pPr>
        <w:ind w:left="2254" w:hanging="360"/>
      </w:pPr>
      <w:rPr>
        <w:rFonts w:ascii="Varela Round" w:hAnsi="Varela Round" w:hint="default"/>
      </w:rPr>
    </w:lvl>
    <w:lvl w:ilvl="3" w:tplc="04090001">
      <w:start w:val="1"/>
      <w:numFmt w:val="bullet"/>
      <w:lvlText w:val=""/>
      <w:lvlJc w:val="left"/>
      <w:pPr>
        <w:ind w:left="2974" w:hanging="360"/>
      </w:pPr>
      <w:rPr>
        <w:rFonts w:ascii="Symbol" w:hAnsi="Symbol" w:hint="default"/>
      </w:rPr>
    </w:lvl>
    <w:lvl w:ilvl="4" w:tplc="04090003">
      <w:start w:val="1"/>
      <w:numFmt w:val="bullet"/>
      <w:lvlText w:val="o"/>
      <w:lvlJc w:val="left"/>
      <w:pPr>
        <w:ind w:left="3694" w:hanging="360"/>
      </w:pPr>
      <w:rPr>
        <w:rFonts w:ascii="Cambria Math" w:hAnsi="Cambria Math" w:cs="Cambria Math" w:hint="default"/>
      </w:rPr>
    </w:lvl>
    <w:lvl w:ilvl="5" w:tplc="04090005">
      <w:start w:val="1"/>
      <w:numFmt w:val="bullet"/>
      <w:lvlText w:val=""/>
      <w:lvlJc w:val="left"/>
      <w:pPr>
        <w:ind w:left="4414" w:hanging="360"/>
      </w:pPr>
      <w:rPr>
        <w:rFonts w:ascii="Varela Round" w:hAnsi="Varela Round" w:hint="default"/>
      </w:rPr>
    </w:lvl>
    <w:lvl w:ilvl="6" w:tplc="04090001">
      <w:start w:val="1"/>
      <w:numFmt w:val="bullet"/>
      <w:lvlText w:val=""/>
      <w:lvlJc w:val="left"/>
      <w:pPr>
        <w:ind w:left="5134" w:hanging="360"/>
      </w:pPr>
      <w:rPr>
        <w:rFonts w:ascii="Symbol" w:hAnsi="Symbol" w:hint="default"/>
      </w:rPr>
    </w:lvl>
    <w:lvl w:ilvl="7" w:tplc="04090003">
      <w:start w:val="1"/>
      <w:numFmt w:val="bullet"/>
      <w:lvlText w:val="o"/>
      <w:lvlJc w:val="left"/>
      <w:pPr>
        <w:ind w:left="5854" w:hanging="360"/>
      </w:pPr>
      <w:rPr>
        <w:rFonts w:ascii="Cambria Math" w:hAnsi="Cambria Math" w:cs="Cambria Math" w:hint="default"/>
      </w:rPr>
    </w:lvl>
    <w:lvl w:ilvl="8" w:tplc="04090005">
      <w:start w:val="1"/>
      <w:numFmt w:val="bullet"/>
      <w:lvlText w:val=""/>
      <w:lvlJc w:val="left"/>
      <w:pPr>
        <w:ind w:left="6574" w:hanging="360"/>
      </w:pPr>
      <w:rPr>
        <w:rFonts w:ascii="Varela Round" w:hAnsi="Varela Round" w:hint="default"/>
      </w:rPr>
    </w:lvl>
  </w:abstractNum>
  <w:abstractNum w:abstractNumId="2" w15:restartNumberingAfterBreak="0">
    <w:nsid w:val="0CFD7AD9"/>
    <w:multiLevelType w:val="multilevel"/>
    <w:tmpl w:val="700637C2"/>
    <w:styleLink w:val="CowiBulletList"/>
    <w:lvl w:ilvl="0">
      <w:start w:val="1"/>
      <w:numFmt w:val="bullet"/>
      <w:pStyle w:val="ListBullet"/>
      <w:lvlText w:val="•"/>
      <w:lvlJc w:val="left"/>
      <w:pPr>
        <w:tabs>
          <w:tab w:val="num" w:pos="425"/>
        </w:tabs>
        <w:ind w:left="425" w:hanging="425"/>
      </w:pPr>
      <w:rPr>
        <w:rFonts w:ascii="Times New Roman" w:hAnsi="Times New Roman" w:cs="Times New Roman" w:hint="default"/>
      </w:rPr>
    </w:lvl>
    <w:lvl w:ilvl="1">
      <w:start w:val="1"/>
      <w:numFmt w:val="bullet"/>
      <w:pStyle w:val="ListBullet2"/>
      <w:lvlText w:val="-"/>
      <w:lvlJc w:val="left"/>
      <w:pPr>
        <w:tabs>
          <w:tab w:val="num" w:pos="851"/>
        </w:tabs>
        <w:ind w:left="851" w:hanging="426"/>
      </w:pPr>
      <w:rPr>
        <w:rFonts w:ascii="Times New Roman" w:hAnsi="Times New Roman" w:cs="Times New Roman" w:hint="default"/>
      </w:rPr>
    </w:lvl>
    <w:lvl w:ilvl="2">
      <w:start w:val="1"/>
      <w:numFmt w:val="bullet"/>
      <w:pStyle w:val="ListBullet3"/>
      <w:lvlText w:val="-"/>
      <w:lvlJc w:val="left"/>
      <w:pPr>
        <w:tabs>
          <w:tab w:val="num" w:pos="1276"/>
        </w:tabs>
        <w:ind w:left="1276" w:hanging="425"/>
      </w:pPr>
      <w:rPr>
        <w:rFonts w:ascii="Times New Roman" w:hAnsi="Times New Roman" w:cs="Times New Roman" w:hint="default"/>
      </w:rPr>
    </w:lvl>
    <w:lvl w:ilvl="3">
      <w:start w:val="1"/>
      <w:numFmt w:val="bullet"/>
      <w:pStyle w:val="ListBullet4"/>
      <w:lvlText w:val="-"/>
      <w:lvlJc w:val="left"/>
      <w:pPr>
        <w:tabs>
          <w:tab w:val="num" w:pos="1701"/>
        </w:tabs>
        <w:ind w:left="1701" w:hanging="425"/>
      </w:pPr>
      <w:rPr>
        <w:rFonts w:ascii="Times New Roman" w:hAnsi="Times New Roman" w:cs="Times New Roman"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15:restartNumberingAfterBreak="0">
    <w:nsid w:val="0FB12BA1"/>
    <w:multiLevelType w:val="multilevel"/>
    <w:tmpl w:val="45C27C68"/>
    <w:styleLink w:val="SDMFootnoteList"/>
    <w:lvl w:ilvl="0">
      <w:start w:val="1"/>
      <w:numFmt w:val="none"/>
      <w:suff w:val="nothing"/>
      <w:lvlText w:val=""/>
      <w:lvlJc w:val="left"/>
      <w:pPr>
        <w:ind w:left="227" w:hanging="227"/>
      </w:pPr>
    </w:lvl>
    <w:lvl w:ilvl="1">
      <w:start w:val="1"/>
      <w:numFmt w:val="lowerLetter"/>
      <w:lvlText w:val="(%2)"/>
      <w:lvlJc w:val="left"/>
      <w:pPr>
        <w:ind w:left="624" w:hanging="397"/>
      </w:pPr>
    </w:lvl>
    <w:lvl w:ilvl="2">
      <w:start w:val="1"/>
      <w:numFmt w:val="lowerRoman"/>
      <w:lvlText w:val="(%3)"/>
      <w:lvlJc w:val="left"/>
      <w:pPr>
        <w:ind w:left="1021" w:hanging="397"/>
      </w:pPr>
    </w:lvl>
    <w:lvl w:ilvl="3">
      <w:start w:val="1"/>
      <w:numFmt w:val="lowerLetter"/>
      <w:lvlText w:val="%4."/>
      <w:lvlJc w:val="left"/>
      <w:pPr>
        <w:ind w:left="1418" w:hanging="397"/>
      </w:pPr>
    </w:lvl>
    <w:lvl w:ilvl="4">
      <w:start w:val="1"/>
      <w:numFmt w:val="lowerRoman"/>
      <w:lvlText w:val="%5."/>
      <w:lvlJc w:val="left"/>
      <w:pPr>
        <w:ind w:left="1814" w:hanging="396"/>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11866C7C"/>
    <w:multiLevelType w:val="hybridMultilevel"/>
    <w:tmpl w:val="AFD617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917CB9"/>
    <w:multiLevelType w:val="multilevel"/>
    <w:tmpl w:val="D6EC9EEA"/>
    <w:styleLink w:val="Style1"/>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140E0A27"/>
    <w:multiLevelType w:val="hybridMultilevel"/>
    <w:tmpl w:val="26BC5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F67E1"/>
    <w:multiLevelType w:val="multilevel"/>
    <w:tmpl w:val="3F4A8DE6"/>
    <w:styleLink w:val="Style3"/>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8E4EAF"/>
    <w:multiLevelType w:val="hybridMultilevel"/>
    <w:tmpl w:val="85AEC2F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B41E9"/>
    <w:multiLevelType w:val="hybridMultilevel"/>
    <w:tmpl w:val="77068D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F13CE"/>
    <w:multiLevelType w:val="hybridMultilevel"/>
    <w:tmpl w:val="7812D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D7A83"/>
    <w:multiLevelType w:val="multilevel"/>
    <w:tmpl w:val="225471D4"/>
    <w:styleLink w:val="CowiNumberList"/>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851"/>
        </w:tabs>
        <w:ind w:left="851" w:hanging="426"/>
      </w:pPr>
      <w:rPr>
        <w:rFonts w:hint="default"/>
      </w:rPr>
    </w:lvl>
    <w:lvl w:ilvl="2">
      <w:start w:val="1"/>
      <w:numFmt w:val="lowerLetter"/>
      <w:pStyle w:val="ListNumber3"/>
      <w:lvlText w:val="%3)"/>
      <w:lvlJc w:val="left"/>
      <w:pPr>
        <w:tabs>
          <w:tab w:val="num" w:pos="1276"/>
        </w:tabs>
        <w:ind w:left="1276" w:hanging="425"/>
      </w:pPr>
      <w:rPr>
        <w:rFonts w:hint="default"/>
      </w:rPr>
    </w:lvl>
    <w:lvl w:ilvl="3">
      <w:start w:val="1"/>
      <w:numFmt w:val="lowerRoman"/>
      <w:pStyle w:val="ListNumber4"/>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 w15:restartNumberingAfterBreak="0">
    <w:nsid w:val="1C73131F"/>
    <w:multiLevelType w:val="hybridMultilevel"/>
    <w:tmpl w:val="BBD0C02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1EB96479"/>
    <w:multiLevelType w:val="multilevel"/>
    <w:tmpl w:val="D6EC9EE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200A66CB"/>
    <w:multiLevelType w:val="hybridMultilevel"/>
    <w:tmpl w:val="89B44DC0"/>
    <w:lvl w:ilvl="0" w:tplc="0409000B">
      <w:start w:val="1"/>
      <w:numFmt w:val="bullet"/>
      <w:pStyle w:val="U-Aufzhlung1Ordnung"/>
      <w:lvlText w:val=""/>
      <w:lvlJc w:val="left"/>
      <w:pPr>
        <w:ind w:left="425" w:hanging="425"/>
      </w:pPr>
      <w:rPr>
        <w:rFonts w:ascii="Varela Round" w:hAnsi="Varela Round" w:hint="default"/>
      </w:rPr>
    </w:lvl>
    <w:lvl w:ilvl="1" w:tplc="FF58A08E">
      <w:start w:val="1"/>
      <w:numFmt w:val="bullet"/>
      <w:lvlText w:val="o"/>
      <w:lvlJc w:val="left"/>
      <w:pPr>
        <w:ind w:left="1440" w:hanging="360"/>
      </w:pPr>
      <w:rPr>
        <w:rFonts w:ascii="Cambria Math" w:hAnsi="Cambria Math" w:cs="Cambria Math" w:hint="default"/>
      </w:rPr>
    </w:lvl>
    <w:lvl w:ilvl="2" w:tplc="F1BC3FCA">
      <w:start w:val="1"/>
      <w:numFmt w:val="bullet"/>
      <w:lvlText w:val=""/>
      <w:lvlJc w:val="left"/>
      <w:pPr>
        <w:ind w:left="2160" w:hanging="360"/>
      </w:pPr>
      <w:rPr>
        <w:rFonts w:ascii="Varela Round" w:hAnsi="Varela Round" w:hint="default"/>
      </w:rPr>
    </w:lvl>
    <w:lvl w:ilvl="3" w:tplc="AEC8D33E">
      <w:start w:val="1"/>
      <w:numFmt w:val="bullet"/>
      <w:lvlText w:val=""/>
      <w:lvlJc w:val="left"/>
      <w:pPr>
        <w:ind w:left="2880" w:hanging="360"/>
      </w:pPr>
      <w:rPr>
        <w:rFonts w:ascii="Symbol" w:hAnsi="Symbol" w:hint="default"/>
      </w:rPr>
    </w:lvl>
    <w:lvl w:ilvl="4" w:tplc="8F006D1E">
      <w:start w:val="1"/>
      <w:numFmt w:val="bullet"/>
      <w:lvlText w:val="o"/>
      <w:lvlJc w:val="left"/>
      <w:pPr>
        <w:ind w:left="3600" w:hanging="360"/>
      </w:pPr>
      <w:rPr>
        <w:rFonts w:ascii="Cambria Math" w:hAnsi="Cambria Math" w:cs="Cambria Math" w:hint="default"/>
      </w:rPr>
    </w:lvl>
    <w:lvl w:ilvl="5" w:tplc="7180A54E">
      <w:start w:val="1"/>
      <w:numFmt w:val="bullet"/>
      <w:lvlText w:val=""/>
      <w:lvlJc w:val="left"/>
      <w:pPr>
        <w:ind w:left="4320" w:hanging="360"/>
      </w:pPr>
      <w:rPr>
        <w:rFonts w:ascii="Varela Round" w:hAnsi="Varela Round" w:hint="default"/>
      </w:rPr>
    </w:lvl>
    <w:lvl w:ilvl="6" w:tplc="263ACE5C">
      <w:start w:val="1"/>
      <w:numFmt w:val="bullet"/>
      <w:lvlText w:val=""/>
      <w:lvlJc w:val="left"/>
      <w:pPr>
        <w:ind w:left="5040" w:hanging="360"/>
      </w:pPr>
      <w:rPr>
        <w:rFonts w:ascii="Symbol" w:hAnsi="Symbol" w:hint="default"/>
      </w:rPr>
    </w:lvl>
    <w:lvl w:ilvl="7" w:tplc="52D41672">
      <w:start w:val="1"/>
      <w:numFmt w:val="bullet"/>
      <w:lvlText w:val="o"/>
      <w:lvlJc w:val="left"/>
      <w:pPr>
        <w:ind w:left="5760" w:hanging="360"/>
      </w:pPr>
      <w:rPr>
        <w:rFonts w:ascii="Cambria Math" w:hAnsi="Cambria Math" w:cs="Cambria Math" w:hint="default"/>
      </w:rPr>
    </w:lvl>
    <w:lvl w:ilvl="8" w:tplc="7348FBF6">
      <w:start w:val="1"/>
      <w:numFmt w:val="bullet"/>
      <w:lvlText w:val=""/>
      <w:lvlJc w:val="left"/>
      <w:pPr>
        <w:ind w:left="6480" w:hanging="360"/>
      </w:pPr>
      <w:rPr>
        <w:rFonts w:ascii="Varela Round" w:hAnsi="Varela Round" w:hint="default"/>
      </w:rPr>
    </w:lvl>
  </w:abstractNum>
  <w:abstractNum w:abstractNumId="15" w15:restartNumberingAfterBreak="0">
    <w:nsid w:val="206F6DF5"/>
    <w:multiLevelType w:val="hybridMultilevel"/>
    <w:tmpl w:val="3440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B5776"/>
    <w:multiLevelType w:val="hybridMultilevel"/>
    <w:tmpl w:val="9BC66A6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E44AD"/>
    <w:multiLevelType w:val="multilevel"/>
    <w:tmpl w:val="0409001F"/>
    <w:styleLink w:val="Style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C43CAE"/>
    <w:multiLevelType w:val="hybridMultilevel"/>
    <w:tmpl w:val="204C5CF0"/>
    <w:lvl w:ilvl="0" w:tplc="FFFFFFFF">
      <w:start w:val="1"/>
      <w:numFmt w:val="bullet"/>
      <w:lvlText w:val=""/>
      <w:lvlJc w:val="left"/>
      <w:pPr>
        <w:ind w:left="47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9" w15:restartNumberingAfterBreak="0">
    <w:nsid w:val="28E8136A"/>
    <w:multiLevelType w:val="hybridMultilevel"/>
    <w:tmpl w:val="ECA0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1C079F"/>
    <w:multiLevelType w:val="hybridMultilevel"/>
    <w:tmpl w:val="8CB808D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80125E"/>
    <w:multiLevelType w:val="hybridMultilevel"/>
    <w:tmpl w:val="96FA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3D3153"/>
    <w:multiLevelType w:val="multilevel"/>
    <w:tmpl w:val="CF3A7F4E"/>
    <w:lvl w:ilvl="0">
      <w:start w:val="12"/>
      <w:numFmt w:val="bullet"/>
      <w:lvlText w:val="-"/>
      <w:lvlJc w:val="left"/>
      <w:pPr>
        <w:ind w:left="851" w:hanging="341"/>
      </w:pPr>
      <w:rPr>
        <w:rFonts w:ascii="Times New Roman" w:eastAsiaTheme="minorHAnsi" w:hAnsi="Times New Roman" w:cs="Times New Roman" w:hint="default"/>
      </w:rPr>
    </w:lvl>
    <w:lvl w:ilvl="1">
      <w:start w:val="1"/>
      <w:numFmt w:val="bullet"/>
      <w:lvlText w:val="o"/>
      <w:lvlJc w:val="left"/>
      <w:pPr>
        <w:ind w:left="1950" w:hanging="360"/>
      </w:pPr>
      <w:rPr>
        <w:rFonts w:ascii="Courier New" w:hAnsi="Courier New" w:cs="Courier New" w:hint="default"/>
      </w:rPr>
    </w:lvl>
    <w:lvl w:ilvl="2">
      <w:start w:val="1"/>
      <w:numFmt w:val="bullet"/>
      <w:lvlText w:val=""/>
      <w:lvlJc w:val="left"/>
      <w:pPr>
        <w:ind w:left="2670" w:hanging="360"/>
      </w:pPr>
      <w:rPr>
        <w:rFonts w:ascii="Wingdings" w:hAnsi="Wingdings" w:hint="default"/>
      </w:rPr>
    </w:lvl>
    <w:lvl w:ilvl="3">
      <w:start w:val="1"/>
      <w:numFmt w:val="bullet"/>
      <w:lvlText w:val=""/>
      <w:lvlJc w:val="left"/>
      <w:pPr>
        <w:ind w:left="3390" w:hanging="360"/>
      </w:pPr>
      <w:rPr>
        <w:rFonts w:ascii="Symbol" w:hAnsi="Symbol" w:hint="default"/>
      </w:rPr>
    </w:lvl>
    <w:lvl w:ilvl="4">
      <w:start w:val="1"/>
      <w:numFmt w:val="bullet"/>
      <w:lvlText w:val="o"/>
      <w:lvlJc w:val="left"/>
      <w:pPr>
        <w:ind w:left="4110" w:hanging="360"/>
      </w:pPr>
      <w:rPr>
        <w:rFonts w:ascii="Courier New" w:hAnsi="Courier New" w:cs="Courier New" w:hint="default"/>
      </w:rPr>
    </w:lvl>
    <w:lvl w:ilvl="5">
      <w:start w:val="1"/>
      <w:numFmt w:val="bullet"/>
      <w:lvlText w:val=""/>
      <w:lvlJc w:val="left"/>
      <w:pPr>
        <w:ind w:left="4830" w:hanging="360"/>
      </w:pPr>
      <w:rPr>
        <w:rFonts w:ascii="Wingdings" w:hAnsi="Wingdings" w:hint="default"/>
      </w:rPr>
    </w:lvl>
    <w:lvl w:ilvl="6">
      <w:start w:val="1"/>
      <w:numFmt w:val="bullet"/>
      <w:lvlText w:val=""/>
      <w:lvlJc w:val="left"/>
      <w:pPr>
        <w:ind w:left="5550" w:hanging="360"/>
      </w:pPr>
      <w:rPr>
        <w:rFonts w:ascii="Symbol" w:hAnsi="Symbol" w:hint="default"/>
      </w:rPr>
    </w:lvl>
    <w:lvl w:ilvl="7">
      <w:start w:val="1"/>
      <w:numFmt w:val="bullet"/>
      <w:lvlText w:val="o"/>
      <w:lvlJc w:val="left"/>
      <w:pPr>
        <w:ind w:left="6270" w:hanging="360"/>
      </w:pPr>
      <w:rPr>
        <w:rFonts w:ascii="Courier New" w:hAnsi="Courier New" w:cs="Courier New" w:hint="default"/>
      </w:rPr>
    </w:lvl>
    <w:lvl w:ilvl="8">
      <w:start w:val="1"/>
      <w:numFmt w:val="bullet"/>
      <w:lvlText w:val=""/>
      <w:lvlJc w:val="left"/>
      <w:pPr>
        <w:ind w:left="6990" w:hanging="360"/>
      </w:pPr>
      <w:rPr>
        <w:rFonts w:ascii="Wingdings" w:hAnsi="Wingdings" w:hint="default"/>
      </w:rPr>
    </w:lvl>
  </w:abstractNum>
  <w:abstractNum w:abstractNumId="23" w15:restartNumberingAfterBreak="0">
    <w:nsid w:val="313F03CB"/>
    <w:multiLevelType w:val="multilevel"/>
    <w:tmpl w:val="8BD4CFAA"/>
    <w:lvl w:ilvl="0">
      <w:start w:val="1"/>
      <w:numFmt w:val="upperRoman"/>
      <w:lvlText w:val="%1."/>
      <w:lvlJc w:val="left"/>
      <w:pPr>
        <w:ind w:left="0" w:firstLine="0"/>
      </w:pPr>
    </w:lvl>
    <w:lvl w:ilvl="1">
      <w:start w:val="1"/>
      <w:numFmt w:val="upperLetter"/>
      <w:lvlText w:val="%2."/>
      <w:lvlJc w:val="left"/>
      <w:pPr>
        <w:ind w:left="3510" w:firstLine="0"/>
      </w:pPr>
      <w:rPr>
        <w:b/>
        <w:i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31927E35"/>
    <w:multiLevelType w:val="multilevel"/>
    <w:tmpl w:val="DFC4F994"/>
    <w:styleLink w:val="Style2"/>
    <w:lvl w:ilvl="0">
      <w:start w:val="7"/>
      <w:numFmt w:val="decimal"/>
      <w:lvlText w:val="%1."/>
      <w:lvlJc w:val="left"/>
      <w:pPr>
        <w:ind w:left="360" w:hanging="360"/>
      </w:pPr>
      <w:rPr>
        <w:rFonts w:hint="default"/>
      </w:rPr>
    </w:lvl>
    <w:lvl w:ilvl="1">
      <w:start w:val="1"/>
      <w:numFmt w:val="none"/>
      <w:lvlText w:val="7.2"/>
      <w:lvlJc w:val="left"/>
      <w:pPr>
        <w:ind w:left="792" w:hanging="432"/>
      </w:pPr>
      <w:rPr>
        <w:rFonts w:hint="default"/>
      </w:rPr>
    </w:lvl>
    <w:lvl w:ilvl="2">
      <w:start w:val="1"/>
      <w:numFmt w:val="decimal"/>
      <w:lvlText w:val="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19439E6"/>
    <w:multiLevelType w:val="multilevel"/>
    <w:tmpl w:val="BA68E21C"/>
    <w:lvl w:ilvl="0">
      <w:start w:val="1"/>
      <w:numFmt w:val="none"/>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1F71D45"/>
    <w:multiLevelType w:val="hybridMultilevel"/>
    <w:tmpl w:val="511C09BC"/>
    <w:lvl w:ilvl="0" w:tplc="9FC02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26707A"/>
    <w:multiLevelType w:val="hybridMultilevel"/>
    <w:tmpl w:val="28C8DC7A"/>
    <w:lvl w:ilvl="0" w:tplc="FFFFFFFF">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3ABA295C"/>
    <w:multiLevelType w:val="hybridMultilevel"/>
    <w:tmpl w:val="DE68FA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D24E47"/>
    <w:multiLevelType w:val="hybridMultilevel"/>
    <w:tmpl w:val="EEB2A8E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3FC82C4F"/>
    <w:multiLevelType w:val="hybridMultilevel"/>
    <w:tmpl w:val="3D6CCBE0"/>
    <w:lvl w:ilvl="0" w:tplc="FFFFFFFF">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41B90F2B"/>
    <w:multiLevelType w:val="hybridMultilevel"/>
    <w:tmpl w:val="4C4670FC"/>
    <w:lvl w:ilvl="0" w:tplc="FFFFFFFF">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420C1072"/>
    <w:multiLevelType w:val="hybridMultilevel"/>
    <w:tmpl w:val="31DE936C"/>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7D1AAB"/>
    <w:multiLevelType w:val="hybridMultilevel"/>
    <w:tmpl w:val="3C587340"/>
    <w:lvl w:ilvl="0" w:tplc="55B6B8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1C545A"/>
    <w:multiLevelType w:val="multilevel"/>
    <w:tmpl w:val="D5C8EFFA"/>
    <w:lvl w:ilvl="0">
      <w:start w:val="1"/>
      <w:numFmt w:val="bullet"/>
      <w:lvlText w:val=""/>
      <w:lvlJc w:val="left"/>
      <w:pPr>
        <w:ind w:left="284" w:hanging="284"/>
      </w:pPr>
      <w:rPr>
        <w:rFonts w:ascii="Symbol" w:hAnsi="Symbol" w:hint="default"/>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hint="default"/>
      </w:rPr>
    </w:lvl>
  </w:abstractNum>
  <w:abstractNum w:abstractNumId="35" w15:restartNumberingAfterBreak="0">
    <w:nsid w:val="4C29102D"/>
    <w:multiLevelType w:val="hybridMultilevel"/>
    <w:tmpl w:val="885CA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ambria Math" w:hAnsi="Cambria Math" w:cs="Cambria Math" w:hint="default"/>
      </w:rPr>
    </w:lvl>
    <w:lvl w:ilvl="2" w:tplc="04090005">
      <w:start w:val="1"/>
      <w:numFmt w:val="bullet"/>
      <w:lvlText w:val=""/>
      <w:lvlJc w:val="left"/>
      <w:pPr>
        <w:ind w:left="2160" w:hanging="360"/>
      </w:pPr>
      <w:rPr>
        <w:rFonts w:ascii="Varela Round" w:hAnsi="Varela Round"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ambria Math" w:hAnsi="Cambria Math" w:cs="Cambria Math" w:hint="default"/>
      </w:rPr>
    </w:lvl>
    <w:lvl w:ilvl="5" w:tplc="04090005">
      <w:start w:val="1"/>
      <w:numFmt w:val="bullet"/>
      <w:lvlText w:val=""/>
      <w:lvlJc w:val="left"/>
      <w:pPr>
        <w:ind w:left="4320" w:hanging="360"/>
      </w:pPr>
      <w:rPr>
        <w:rFonts w:ascii="Varela Round" w:hAnsi="Varela Round"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ambria Math" w:hAnsi="Cambria Math" w:cs="Cambria Math" w:hint="default"/>
      </w:rPr>
    </w:lvl>
    <w:lvl w:ilvl="8" w:tplc="04090005">
      <w:start w:val="1"/>
      <w:numFmt w:val="bullet"/>
      <w:lvlText w:val=""/>
      <w:lvlJc w:val="left"/>
      <w:pPr>
        <w:ind w:left="6480" w:hanging="360"/>
      </w:pPr>
      <w:rPr>
        <w:rFonts w:ascii="Varela Round" w:hAnsi="Varela Round" w:hint="default"/>
      </w:rPr>
    </w:lvl>
  </w:abstractNum>
  <w:abstractNum w:abstractNumId="36" w15:restartNumberingAfterBreak="0">
    <w:nsid w:val="523D3A51"/>
    <w:multiLevelType w:val="hybridMultilevel"/>
    <w:tmpl w:val="F3CC9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FE514A"/>
    <w:multiLevelType w:val="hybridMultilevel"/>
    <w:tmpl w:val="7852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142249"/>
    <w:multiLevelType w:val="hybridMultilevel"/>
    <w:tmpl w:val="BFE41B4E"/>
    <w:lvl w:ilvl="0" w:tplc="E53CAC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B515CA"/>
    <w:multiLevelType w:val="hybridMultilevel"/>
    <w:tmpl w:val="55421E12"/>
    <w:lvl w:ilvl="0" w:tplc="D20E1502">
      <w:start w:val="1"/>
      <w:numFmt w:val="bullet"/>
      <w:lvlText w:val=""/>
      <w:lvlJc w:val="left"/>
      <w:pPr>
        <w:ind w:left="836" w:hanging="360"/>
      </w:pPr>
      <w:rPr>
        <w:rFonts w:ascii="Symbol" w:hAnsi="Symbol" w:hint="default"/>
      </w:rPr>
    </w:lvl>
    <w:lvl w:ilvl="1" w:tplc="04090003">
      <w:start w:val="1"/>
      <w:numFmt w:val="bullet"/>
      <w:lvlText w:val="o"/>
      <w:lvlJc w:val="left"/>
      <w:pPr>
        <w:ind w:left="1556" w:hanging="360"/>
      </w:pPr>
      <w:rPr>
        <w:rFonts w:ascii="Cambria Math" w:hAnsi="Cambria Math" w:cs="Cambria Math" w:hint="default"/>
      </w:rPr>
    </w:lvl>
    <w:lvl w:ilvl="2" w:tplc="04090005">
      <w:start w:val="1"/>
      <w:numFmt w:val="bullet"/>
      <w:lvlText w:val=""/>
      <w:lvlJc w:val="left"/>
      <w:pPr>
        <w:ind w:left="2276" w:hanging="360"/>
      </w:pPr>
      <w:rPr>
        <w:rFonts w:ascii="Varela Round" w:hAnsi="Varela Round" w:hint="default"/>
      </w:rPr>
    </w:lvl>
    <w:lvl w:ilvl="3" w:tplc="04090001">
      <w:start w:val="1"/>
      <w:numFmt w:val="bullet"/>
      <w:lvlText w:val=""/>
      <w:lvlJc w:val="left"/>
      <w:pPr>
        <w:ind w:left="2996" w:hanging="360"/>
      </w:pPr>
      <w:rPr>
        <w:rFonts w:ascii="Symbol" w:hAnsi="Symbol" w:hint="default"/>
      </w:rPr>
    </w:lvl>
    <w:lvl w:ilvl="4" w:tplc="04090003">
      <w:start w:val="1"/>
      <w:numFmt w:val="bullet"/>
      <w:lvlText w:val="o"/>
      <w:lvlJc w:val="left"/>
      <w:pPr>
        <w:ind w:left="3716" w:hanging="360"/>
      </w:pPr>
      <w:rPr>
        <w:rFonts w:ascii="Cambria Math" w:hAnsi="Cambria Math" w:cs="Cambria Math" w:hint="default"/>
      </w:rPr>
    </w:lvl>
    <w:lvl w:ilvl="5" w:tplc="04090005">
      <w:start w:val="1"/>
      <w:numFmt w:val="bullet"/>
      <w:lvlText w:val=""/>
      <w:lvlJc w:val="left"/>
      <w:pPr>
        <w:ind w:left="4436" w:hanging="360"/>
      </w:pPr>
      <w:rPr>
        <w:rFonts w:ascii="Varela Round" w:hAnsi="Varela Round" w:hint="default"/>
      </w:rPr>
    </w:lvl>
    <w:lvl w:ilvl="6" w:tplc="04090001">
      <w:start w:val="1"/>
      <w:numFmt w:val="bullet"/>
      <w:lvlText w:val=""/>
      <w:lvlJc w:val="left"/>
      <w:pPr>
        <w:ind w:left="5156" w:hanging="360"/>
      </w:pPr>
      <w:rPr>
        <w:rFonts w:ascii="Symbol" w:hAnsi="Symbol" w:hint="default"/>
      </w:rPr>
    </w:lvl>
    <w:lvl w:ilvl="7" w:tplc="04090003">
      <w:start w:val="1"/>
      <w:numFmt w:val="bullet"/>
      <w:lvlText w:val="o"/>
      <w:lvlJc w:val="left"/>
      <w:pPr>
        <w:ind w:left="5876" w:hanging="360"/>
      </w:pPr>
      <w:rPr>
        <w:rFonts w:ascii="Cambria Math" w:hAnsi="Cambria Math" w:cs="Cambria Math" w:hint="default"/>
      </w:rPr>
    </w:lvl>
    <w:lvl w:ilvl="8" w:tplc="04090005">
      <w:start w:val="1"/>
      <w:numFmt w:val="bullet"/>
      <w:lvlText w:val=""/>
      <w:lvlJc w:val="left"/>
      <w:pPr>
        <w:ind w:left="6596" w:hanging="360"/>
      </w:pPr>
      <w:rPr>
        <w:rFonts w:ascii="Varela Round" w:hAnsi="Varela Round" w:hint="default"/>
      </w:rPr>
    </w:lvl>
  </w:abstractNum>
  <w:abstractNum w:abstractNumId="40" w15:restartNumberingAfterBreak="0">
    <w:nsid w:val="5C7A7C2A"/>
    <w:multiLevelType w:val="hybridMultilevel"/>
    <w:tmpl w:val="E3C6D370"/>
    <w:lvl w:ilvl="0" w:tplc="4808BEB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E855F02"/>
    <w:multiLevelType w:val="hybridMultilevel"/>
    <w:tmpl w:val="8C22A066"/>
    <w:lvl w:ilvl="0" w:tplc="0409000B">
      <w:start w:val="1"/>
      <w:numFmt w:val="decimal"/>
      <w:pStyle w:val="Box"/>
      <w:lvlText w:val="Box %1."/>
      <w:lvlJc w:val="left"/>
      <w:pPr>
        <w:tabs>
          <w:tab w:val="num" w:pos="851"/>
        </w:tabs>
        <w:ind w:left="851" w:hanging="851"/>
      </w:pPr>
      <w:rPr>
        <w:rFonts w:ascii="Times New Roman Bold" w:hAnsi="Times New Roman Bold" w:hint="default"/>
        <w:b/>
        <w:i w:val="0"/>
        <w:caps w:val="0"/>
        <w:strike w:val="0"/>
        <w:dstrike w:val="0"/>
        <w:vanish w:val="0"/>
        <w:color w:val="000000"/>
        <w:sz w:val="24"/>
        <w:u w:val="none"/>
        <w:vertAlign w:val="baseli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2" w15:restartNumberingAfterBreak="0">
    <w:nsid w:val="5EA240AE"/>
    <w:multiLevelType w:val="multilevel"/>
    <w:tmpl w:val="4A5CFDD4"/>
    <w:styleLink w:val="StyleNumbered12ptBlack"/>
    <w:lvl w:ilvl="0">
      <w:start w:val="1"/>
      <w:numFmt w:val="lowerLetter"/>
      <w:lvlText w:val="%1."/>
      <w:lvlJc w:val="left"/>
      <w:pPr>
        <w:tabs>
          <w:tab w:val="num" w:pos="851"/>
        </w:tabs>
        <w:ind w:left="851" w:hanging="567"/>
      </w:pPr>
      <w:rPr>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FCC6D32"/>
    <w:multiLevelType w:val="hybridMultilevel"/>
    <w:tmpl w:val="7DA6C234"/>
    <w:lvl w:ilvl="0" w:tplc="F6C44168">
      <w:start w:val="100"/>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340903"/>
    <w:multiLevelType w:val="hybridMultilevel"/>
    <w:tmpl w:val="AC88591C"/>
    <w:lvl w:ilvl="0" w:tplc="DFBCF10A">
      <w:start w:val="1"/>
      <w:numFmt w:val="decimal"/>
      <w:pStyle w:val="MainParanoChapter"/>
      <w:lvlText w:val="%1."/>
      <w:lvlJc w:val="left"/>
      <w:pPr>
        <w:ind w:left="360" w:hanging="360"/>
      </w:pPr>
      <w:rPr>
        <w:b w:val="0"/>
        <w:i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7602C07"/>
    <w:multiLevelType w:val="hybridMultilevel"/>
    <w:tmpl w:val="C840E8D4"/>
    <w:lvl w:ilvl="0" w:tplc="39FAAB88">
      <w:start w:val="1"/>
      <w:numFmt w:val="decimal"/>
      <w:pStyle w:val="Table"/>
      <w:lvlText w:val="Table %1"/>
      <w:lvlJc w:val="left"/>
      <w:pPr>
        <w:tabs>
          <w:tab w:val="num" w:pos="6624"/>
        </w:tabs>
        <w:ind w:left="6624" w:hanging="1134"/>
      </w:pPr>
      <w:rPr>
        <w:rFonts w:ascii="Times New Roman Bold" w:hAnsi="Times New Roman Bold" w:hint="default"/>
        <w:b/>
        <w:i w:val="0"/>
        <w:caps w:val="0"/>
        <w:strike w:val="0"/>
        <w:dstrike w:val="0"/>
        <w:vanish w:val="0"/>
        <w:color w:val="000000"/>
        <w:sz w:val="24"/>
        <w:u w:val="none"/>
        <w:vertAlign w:val="baseline"/>
      </w:rPr>
    </w:lvl>
    <w:lvl w:ilvl="1" w:tplc="04090003">
      <w:start w:val="1"/>
      <w:numFmt w:val="lowerLetter"/>
      <w:lvlText w:val="%2."/>
      <w:lvlJc w:val="left"/>
      <w:pPr>
        <w:tabs>
          <w:tab w:val="num" w:pos="851"/>
        </w:tabs>
        <w:ind w:left="851" w:hanging="567"/>
      </w:pPr>
      <w:rPr>
        <w:rFonts w:ascii="Times New Roman" w:hAnsi="Times New Roman" w:hint="default"/>
        <w:b w:val="0"/>
        <w:i w:val="0"/>
        <w:caps w:val="0"/>
        <w:strike w:val="0"/>
        <w:dstrike w:val="0"/>
        <w:vanish w:val="0"/>
        <w:color w:val="000000"/>
        <w:sz w:val="24"/>
        <w:u w:val="none"/>
        <w:vertAlign w:val="baseline"/>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6" w15:restartNumberingAfterBreak="0">
    <w:nsid w:val="6D367607"/>
    <w:multiLevelType w:val="multilevel"/>
    <w:tmpl w:val="7556064A"/>
    <w:styleLink w:val="CowiHeadings"/>
    <w:lvl w:ilvl="0">
      <w:start w:val="1"/>
      <w:numFmt w:val="upperRoman"/>
      <w:lvlText w:val="%1"/>
      <w:lvlJc w:val="left"/>
      <w:pPr>
        <w:tabs>
          <w:tab w:val="num" w:pos="851"/>
        </w:tabs>
        <w:ind w:left="851" w:hanging="851"/>
      </w:pPr>
      <w:rPr>
        <w:rFonts w:ascii="Times New Roman" w:hAnsi="Times New Roman" w:hint="default"/>
        <w:b/>
        <w:color w:val="4F81BD"/>
        <w:sz w:val="24"/>
        <w:u w:val="none"/>
      </w:rPr>
    </w:lvl>
    <w:lvl w:ilvl="1">
      <w:start w:val="1"/>
      <w:numFmt w:val="decimal"/>
      <w:lvlText w:val="%1.%2"/>
      <w:lvlJc w:val="left"/>
      <w:pPr>
        <w:tabs>
          <w:tab w:val="num" w:pos="941"/>
        </w:tabs>
        <w:ind w:left="941" w:hanging="851"/>
      </w:pPr>
      <w:rPr>
        <w:rFonts w:ascii="Arial" w:hAnsi="Arial" w:hint="default"/>
        <w:b/>
        <w:sz w:val="27"/>
      </w:rPr>
    </w:lvl>
    <w:lvl w:ilvl="2">
      <w:start w:val="1"/>
      <w:numFmt w:val="decimal"/>
      <w:lvlText w:val="%1.%2.%3"/>
      <w:lvlJc w:val="left"/>
      <w:pPr>
        <w:tabs>
          <w:tab w:val="num" w:pos="1121"/>
        </w:tabs>
        <w:ind w:left="1121" w:hanging="851"/>
      </w:pPr>
      <w:rPr>
        <w:rFonts w:ascii="Arial" w:hAnsi="Arial" w:hint="default"/>
        <w:b/>
        <w:color w:val="auto"/>
        <w:sz w:val="23"/>
      </w:rPr>
    </w:lvl>
    <w:lvl w:ilvl="3">
      <w:start w:val="1"/>
      <w:numFmt w:val="decimal"/>
      <w:lvlText w:val="%1.%2.%3.%4"/>
      <w:lvlJc w:val="left"/>
      <w:pPr>
        <w:tabs>
          <w:tab w:val="num" w:pos="1276"/>
        </w:tabs>
        <w:ind w:left="1276" w:hanging="1276"/>
      </w:pPr>
      <w:rPr>
        <w:rFonts w:ascii="Arial" w:hAnsi="Arial" w:hint="default"/>
        <w:b/>
        <w:sz w:val="20"/>
      </w:rPr>
    </w:lvl>
    <w:lvl w:ilvl="4">
      <w:start w:val="1"/>
      <w:numFmt w:val="decimal"/>
      <w:lvlText w:val="%1.%2.%3.%4.%5"/>
      <w:lvlJc w:val="left"/>
      <w:pPr>
        <w:tabs>
          <w:tab w:val="num" w:pos="1276"/>
        </w:tabs>
        <w:ind w:left="1276" w:hanging="1276"/>
      </w:pPr>
      <w:rPr>
        <w:rFonts w:ascii="Arial" w:hAnsi="Arial" w:hint="default"/>
        <w:b/>
        <w:sz w:val="20"/>
      </w:rPr>
    </w:lvl>
    <w:lvl w:ilvl="5">
      <w:start w:val="1"/>
      <w:numFmt w:val="lowerRoman"/>
      <w:lvlText w:val="(%6)"/>
      <w:lvlJc w:val="left"/>
      <w:pPr>
        <w:tabs>
          <w:tab w:val="num" w:pos="851"/>
        </w:tabs>
        <w:ind w:left="851" w:hanging="851"/>
      </w:pPr>
      <w:rPr>
        <w:rFonts w:hint="default"/>
      </w:rPr>
    </w:lvl>
    <w:lvl w:ilvl="6">
      <w:start w:val="1"/>
      <w:numFmt w:val="none"/>
      <w:lvlRestart w:val="0"/>
      <w:suff w:val="nothing"/>
      <w:lvlText w:val=""/>
      <w:lvlJc w:val="left"/>
      <w:pPr>
        <w:ind w:left="0" w:firstLine="0"/>
      </w:pPr>
      <w:rPr>
        <w:rFonts w:ascii="Arial" w:hAnsi="Arial" w:hint="default"/>
        <w:b/>
        <w:sz w:val="32"/>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47" w15:restartNumberingAfterBreak="0">
    <w:nsid w:val="6F8C0C50"/>
    <w:multiLevelType w:val="hybridMultilevel"/>
    <w:tmpl w:val="0B6ECDE0"/>
    <w:styleLink w:val="SDMFootnoteList1"/>
    <w:lvl w:ilvl="0" w:tplc="FFFFFFFF">
      <w:start w:val="1"/>
      <w:numFmt w:val="bullet"/>
      <w:lvlText w:val=""/>
      <w:lvlJc w:val="left"/>
      <w:pPr>
        <w:tabs>
          <w:tab w:val="num" w:pos="284"/>
        </w:tabs>
        <w:ind w:left="284"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FA787F"/>
    <w:multiLevelType w:val="multilevel"/>
    <w:tmpl w:val="D5C8EFFA"/>
    <w:lvl w:ilvl="0">
      <w:start w:val="1"/>
      <w:numFmt w:val="bullet"/>
      <w:lvlText w:val=""/>
      <w:lvlJc w:val="left"/>
      <w:pPr>
        <w:ind w:left="284" w:hanging="284"/>
      </w:pPr>
      <w:rPr>
        <w:rFonts w:ascii="Symbol" w:hAnsi="Symbol" w:hint="default"/>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hint="default"/>
      </w:rPr>
    </w:lvl>
  </w:abstractNum>
  <w:abstractNum w:abstractNumId="49" w15:restartNumberingAfterBreak="0">
    <w:nsid w:val="734D27AC"/>
    <w:multiLevelType w:val="hybridMultilevel"/>
    <w:tmpl w:val="38E41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5C26EBA"/>
    <w:multiLevelType w:val="hybridMultilevel"/>
    <w:tmpl w:val="4F0615CC"/>
    <w:lvl w:ilvl="0" w:tplc="78C6B222">
      <w:start w:val="12"/>
      <w:numFmt w:val="decimal"/>
      <w:lvlText w:val="%1."/>
      <w:lvlJc w:val="left"/>
      <w:pPr>
        <w:ind w:left="720" w:hanging="360"/>
      </w:pPr>
      <w:rPr>
        <w:rFonts w:hint="default"/>
        <w:b w:val="0"/>
      </w:rPr>
    </w:lvl>
    <w:lvl w:ilvl="1" w:tplc="4BD2262A" w:tentative="1">
      <w:start w:val="1"/>
      <w:numFmt w:val="lowerLetter"/>
      <w:lvlText w:val="%2."/>
      <w:lvlJc w:val="left"/>
      <w:pPr>
        <w:ind w:left="1440" w:hanging="360"/>
      </w:pPr>
    </w:lvl>
    <w:lvl w:ilvl="2" w:tplc="881AB5AC" w:tentative="1">
      <w:start w:val="1"/>
      <w:numFmt w:val="lowerRoman"/>
      <w:lvlText w:val="%3."/>
      <w:lvlJc w:val="right"/>
      <w:pPr>
        <w:ind w:left="2160" w:hanging="180"/>
      </w:pPr>
    </w:lvl>
    <w:lvl w:ilvl="3" w:tplc="FD5AEDAE" w:tentative="1">
      <w:start w:val="1"/>
      <w:numFmt w:val="decimal"/>
      <w:lvlText w:val="%4."/>
      <w:lvlJc w:val="left"/>
      <w:pPr>
        <w:ind w:left="2880" w:hanging="360"/>
      </w:pPr>
    </w:lvl>
    <w:lvl w:ilvl="4" w:tplc="BE24EF1A" w:tentative="1">
      <w:start w:val="1"/>
      <w:numFmt w:val="lowerLetter"/>
      <w:lvlText w:val="%5."/>
      <w:lvlJc w:val="left"/>
      <w:pPr>
        <w:ind w:left="3600" w:hanging="360"/>
      </w:pPr>
    </w:lvl>
    <w:lvl w:ilvl="5" w:tplc="3C200A5C" w:tentative="1">
      <w:start w:val="1"/>
      <w:numFmt w:val="lowerRoman"/>
      <w:lvlText w:val="%6."/>
      <w:lvlJc w:val="right"/>
      <w:pPr>
        <w:ind w:left="4320" w:hanging="180"/>
      </w:pPr>
    </w:lvl>
    <w:lvl w:ilvl="6" w:tplc="DA5C9BBE" w:tentative="1">
      <w:start w:val="1"/>
      <w:numFmt w:val="decimal"/>
      <w:lvlText w:val="%7."/>
      <w:lvlJc w:val="left"/>
      <w:pPr>
        <w:ind w:left="5040" w:hanging="360"/>
      </w:pPr>
    </w:lvl>
    <w:lvl w:ilvl="7" w:tplc="36501B56" w:tentative="1">
      <w:start w:val="1"/>
      <w:numFmt w:val="lowerLetter"/>
      <w:lvlText w:val="%8."/>
      <w:lvlJc w:val="left"/>
      <w:pPr>
        <w:ind w:left="5760" w:hanging="360"/>
      </w:pPr>
    </w:lvl>
    <w:lvl w:ilvl="8" w:tplc="021EAD04" w:tentative="1">
      <w:start w:val="1"/>
      <w:numFmt w:val="lowerRoman"/>
      <w:lvlText w:val="%9."/>
      <w:lvlJc w:val="right"/>
      <w:pPr>
        <w:ind w:left="6480" w:hanging="180"/>
      </w:pPr>
    </w:lvl>
  </w:abstractNum>
  <w:abstractNum w:abstractNumId="51" w15:restartNumberingAfterBreak="0">
    <w:nsid w:val="77DB56A9"/>
    <w:multiLevelType w:val="hybridMultilevel"/>
    <w:tmpl w:val="018EF96C"/>
    <w:lvl w:ilvl="0" w:tplc="CFBAA2A8">
      <w:start w:val="1"/>
      <w:numFmt w:val="decimal"/>
      <w:lvlText w:val="%1."/>
      <w:lvlJc w:val="left"/>
      <w:pPr>
        <w:ind w:left="720" w:hanging="360"/>
      </w:pPr>
    </w:lvl>
    <w:lvl w:ilvl="1" w:tplc="862605A0" w:tentative="1">
      <w:start w:val="1"/>
      <w:numFmt w:val="lowerLetter"/>
      <w:lvlText w:val="%2."/>
      <w:lvlJc w:val="left"/>
      <w:pPr>
        <w:ind w:left="1440" w:hanging="360"/>
      </w:pPr>
    </w:lvl>
    <w:lvl w:ilvl="2" w:tplc="06C8A9D6" w:tentative="1">
      <w:start w:val="1"/>
      <w:numFmt w:val="lowerRoman"/>
      <w:lvlText w:val="%3."/>
      <w:lvlJc w:val="right"/>
      <w:pPr>
        <w:ind w:left="2160" w:hanging="180"/>
      </w:pPr>
    </w:lvl>
    <w:lvl w:ilvl="3" w:tplc="25626F5A" w:tentative="1">
      <w:start w:val="1"/>
      <w:numFmt w:val="decimal"/>
      <w:lvlText w:val="%4."/>
      <w:lvlJc w:val="left"/>
      <w:pPr>
        <w:ind w:left="2880" w:hanging="360"/>
      </w:pPr>
    </w:lvl>
    <w:lvl w:ilvl="4" w:tplc="314ED952" w:tentative="1">
      <w:start w:val="1"/>
      <w:numFmt w:val="lowerLetter"/>
      <w:lvlText w:val="%5."/>
      <w:lvlJc w:val="left"/>
      <w:pPr>
        <w:ind w:left="3600" w:hanging="360"/>
      </w:pPr>
    </w:lvl>
    <w:lvl w:ilvl="5" w:tplc="B0623B9C" w:tentative="1">
      <w:start w:val="1"/>
      <w:numFmt w:val="lowerRoman"/>
      <w:lvlText w:val="%6."/>
      <w:lvlJc w:val="right"/>
      <w:pPr>
        <w:ind w:left="4320" w:hanging="180"/>
      </w:pPr>
    </w:lvl>
    <w:lvl w:ilvl="6" w:tplc="277E7A36" w:tentative="1">
      <w:start w:val="1"/>
      <w:numFmt w:val="decimal"/>
      <w:lvlText w:val="%7."/>
      <w:lvlJc w:val="left"/>
      <w:pPr>
        <w:ind w:left="5040" w:hanging="360"/>
      </w:pPr>
    </w:lvl>
    <w:lvl w:ilvl="7" w:tplc="07129ED4" w:tentative="1">
      <w:start w:val="1"/>
      <w:numFmt w:val="lowerLetter"/>
      <w:lvlText w:val="%8."/>
      <w:lvlJc w:val="left"/>
      <w:pPr>
        <w:ind w:left="5760" w:hanging="360"/>
      </w:pPr>
    </w:lvl>
    <w:lvl w:ilvl="8" w:tplc="D9E029F4" w:tentative="1">
      <w:start w:val="1"/>
      <w:numFmt w:val="lowerRoman"/>
      <w:lvlText w:val="%9."/>
      <w:lvlJc w:val="right"/>
      <w:pPr>
        <w:ind w:left="6480" w:hanging="180"/>
      </w:pPr>
    </w:lvl>
  </w:abstractNum>
  <w:abstractNum w:abstractNumId="52" w15:restartNumberingAfterBreak="0">
    <w:nsid w:val="78617C6B"/>
    <w:multiLevelType w:val="multilevel"/>
    <w:tmpl w:val="862AA236"/>
    <w:lvl w:ilvl="0">
      <w:start w:val="1"/>
      <w:numFmt w:val="lowerLetter"/>
      <w:lvlText w:val="(%1)"/>
      <w:lvlJc w:val="left"/>
      <w:pPr>
        <w:ind w:left="510" w:hanging="51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15:restartNumberingAfterBreak="0">
    <w:nsid w:val="78936F88"/>
    <w:multiLevelType w:val="hybridMultilevel"/>
    <w:tmpl w:val="F138B4E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15:restartNumberingAfterBreak="0">
    <w:nsid w:val="7B665A2C"/>
    <w:multiLevelType w:val="hybridMultilevel"/>
    <w:tmpl w:val="CEDED40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15:restartNumberingAfterBreak="0">
    <w:nsid w:val="7D2D013C"/>
    <w:multiLevelType w:val="hybridMultilevel"/>
    <w:tmpl w:val="331E50CC"/>
    <w:lvl w:ilvl="0" w:tplc="04090001">
      <w:start w:val="1"/>
      <w:numFmt w:val="lowerRoman"/>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56" w15:restartNumberingAfterBreak="0">
    <w:nsid w:val="7F012925"/>
    <w:multiLevelType w:val="hybridMultilevel"/>
    <w:tmpl w:val="72C67E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5"/>
  </w:num>
  <w:num w:numId="3">
    <w:abstractNumId w:val="2"/>
  </w:num>
  <w:num w:numId="4">
    <w:abstractNumId w:val="46"/>
  </w:num>
  <w:num w:numId="5">
    <w:abstractNumId w:val="11"/>
  </w:num>
  <w:num w:numId="6">
    <w:abstractNumId w:val="13"/>
  </w:num>
  <w:num w:numId="7">
    <w:abstractNumId w:val="5"/>
  </w:num>
  <w:num w:numId="8">
    <w:abstractNumId w:val="45"/>
  </w:num>
  <w:num w:numId="9">
    <w:abstractNumId w:val="41"/>
  </w:num>
  <w:num w:numId="10">
    <w:abstractNumId w:val="42"/>
  </w:num>
  <w:num w:numId="11">
    <w:abstractNumId w:val="24"/>
  </w:num>
  <w:num w:numId="12">
    <w:abstractNumId w:val="7"/>
  </w:num>
  <w:num w:numId="13">
    <w:abstractNumId w:val="17"/>
  </w:num>
  <w:num w:numId="14">
    <w:abstractNumId w:val="30"/>
  </w:num>
  <w:num w:numId="15">
    <w:abstractNumId w:val="31"/>
  </w:num>
  <w:num w:numId="16">
    <w:abstractNumId w:val="27"/>
  </w:num>
  <w:num w:numId="17">
    <w:abstractNumId w:val="12"/>
  </w:num>
  <w:num w:numId="18">
    <w:abstractNumId w:val="53"/>
  </w:num>
  <w:num w:numId="19">
    <w:abstractNumId w:val="54"/>
  </w:num>
  <w:num w:numId="20">
    <w:abstractNumId w:val="29"/>
  </w:num>
  <w:num w:numId="21">
    <w:abstractNumId w:val="47"/>
  </w:num>
  <w:num w:numId="22">
    <w:abstractNumId w:val="21"/>
  </w:num>
  <w:num w:numId="23">
    <w:abstractNumId w:val="18"/>
  </w:num>
  <w:num w:numId="24">
    <w:abstractNumId w:val="20"/>
  </w:num>
  <w:num w:numId="25">
    <w:abstractNumId w:val="32"/>
  </w:num>
  <w:num w:numId="26">
    <w:abstractNumId w:val="1"/>
  </w:num>
  <w:num w:numId="27">
    <w:abstractNumId w:val="25"/>
  </w:num>
  <w:num w:numId="28">
    <w:abstractNumId w:val="14"/>
  </w:num>
  <w:num w:numId="29">
    <w:abstractNumId w:val="28"/>
  </w:num>
  <w:num w:numId="30">
    <w:abstractNumId w:val="8"/>
  </w:num>
  <w:num w:numId="31">
    <w:abstractNumId w:val="39"/>
  </w:num>
  <w:num w:numId="32">
    <w:abstractNumId w:val="16"/>
  </w:num>
  <w:num w:numId="33">
    <w:abstractNumId w:val="37"/>
  </w:num>
  <w:num w:numId="34">
    <w:abstractNumId w:val="0"/>
  </w:num>
  <w:num w:numId="35">
    <w:abstractNumId w:val="6"/>
  </w:num>
  <w:num w:numId="36">
    <w:abstractNumId w:val="38"/>
  </w:num>
  <w:num w:numId="37">
    <w:abstractNumId w:val="49"/>
  </w:num>
  <w:num w:numId="38">
    <w:abstractNumId w:val="9"/>
  </w:num>
  <w:num w:numId="39">
    <w:abstractNumId w:val="56"/>
  </w:num>
  <w:num w:numId="40">
    <w:abstractNumId w:val="26"/>
  </w:num>
  <w:num w:numId="41">
    <w:abstractNumId w:val="15"/>
  </w:num>
  <w:num w:numId="42">
    <w:abstractNumId w:val="23"/>
  </w:num>
  <w:num w:numId="43">
    <w:abstractNumId w:val="44"/>
  </w:num>
  <w:num w:numId="44">
    <w:abstractNumId w:val="43"/>
  </w:num>
  <w:num w:numId="45">
    <w:abstractNumId w:val="4"/>
  </w:num>
  <w:num w:numId="46">
    <w:abstractNumId w:val="48"/>
  </w:num>
  <w:num w:numId="47">
    <w:abstractNumId w:val="36"/>
  </w:num>
  <w:num w:numId="48">
    <w:abstractNumId w:val="40"/>
  </w:num>
  <w:num w:numId="49">
    <w:abstractNumId w:val="10"/>
  </w:num>
  <w:num w:numId="50">
    <w:abstractNumId w:val="34"/>
  </w:num>
  <w:num w:numId="51">
    <w:abstractNumId w:val="52"/>
  </w:num>
  <w:num w:numId="52">
    <w:abstractNumId w:val="22"/>
  </w:num>
  <w:num w:numId="53">
    <w:abstractNumId w:val="33"/>
  </w:num>
  <w:num w:numId="54">
    <w:abstractNumId w:val="55"/>
  </w:num>
  <w:num w:numId="55">
    <w:abstractNumId w:val="19"/>
  </w:num>
  <w:num w:numId="56">
    <w:abstractNumId w:val="50"/>
  </w:num>
  <w:num w:numId="57">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46"/>
    <w:rsid w:val="00001945"/>
    <w:rsid w:val="0000493D"/>
    <w:rsid w:val="000076AD"/>
    <w:rsid w:val="00007C63"/>
    <w:rsid w:val="00014965"/>
    <w:rsid w:val="000328DB"/>
    <w:rsid w:val="00034C40"/>
    <w:rsid w:val="00037519"/>
    <w:rsid w:val="000414BB"/>
    <w:rsid w:val="000418A6"/>
    <w:rsid w:val="0004236C"/>
    <w:rsid w:val="000435D4"/>
    <w:rsid w:val="000469B7"/>
    <w:rsid w:val="00053B67"/>
    <w:rsid w:val="000822D5"/>
    <w:rsid w:val="00087215"/>
    <w:rsid w:val="000979EE"/>
    <w:rsid w:val="000A1F85"/>
    <w:rsid w:val="000B27F5"/>
    <w:rsid w:val="000B4E10"/>
    <w:rsid w:val="000C5922"/>
    <w:rsid w:val="000D0CE6"/>
    <w:rsid w:val="000E723C"/>
    <w:rsid w:val="000F547A"/>
    <w:rsid w:val="000F7CA8"/>
    <w:rsid w:val="00100E82"/>
    <w:rsid w:val="00102193"/>
    <w:rsid w:val="00102A25"/>
    <w:rsid w:val="00102E0B"/>
    <w:rsid w:val="0010405B"/>
    <w:rsid w:val="00104CAA"/>
    <w:rsid w:val="00106342"/>
    <w:rsid w:val="00106812"/>
    <w:rsid w:val="00106C64"/>
    <w:rsid w:val="001109CF"/>
    <w:rsid w:val="00116094"/>
    <w:rsid w:val="0011760C"/>
    <w:rsid w:val="00124DF7"/>
    <w:rsid w:val="00130B48"/>
    <w:rsid w:val="00131AC2"/>
    <w:rsid w:val="001402DF"/>
    <w:rsid w:val="001426AA"/>
    <w:rsid w:val="00163562"/>
    <w:rsid w:val="001702B5"/>
    <w:rsid w:val="001706A8"/>
    <w:rsid w:val="00171E9D"/>
    <w:rsid w:val="00173E1C"/>
    <w:rsid w:val="00181948"/>
    <w:rsid w:val="00186A4E"/>
    <w:rsid w:val="001903CF"/>
    <w:rsid w:val="001B1D1D"/>
    <w:rsid w:val="001B5353"/>
    <w:rsid w:val="001D0C66"/>
    <w:rsid w:val="001D2BEB"/>
    <w:rsid w:val="001E05F4"/>
    <w:rsid w:val="001E4056"/>
    <w:rsid w:val="001E5974"/>
    <w:rsid w:val="0021086C"/>
    <w:rsid w:val="00211F20"/>
    <w:rsid w:val="002123C1"/>
    <w:rsid w:val="00212F13"/>
    <w:rsid w:val="00215CFF"/>
    <w:rsid w:val="00231E91"/>
    <w:rsid w:val="002340D3"/>
    <w:rsid w:val="0023499E"/>
    <w:rsid w:val="00234D25"/>
    <w:rsid w:val="00240D05"/>
    <w:rsid w:val="002443B3"/>
    <w:rsid w:val="002444E6"/>
    <w:rsid w:val="002502A4"/>
    <w:rsid w:val="00250D3B"/>
    <w:rsid w:val="0025798C"/>
    <w:rsid w:val="00261EAC"/>
    <w:rsid w:val="002661DB"/>
    <w:rsid w:val="00277F87"/>
    <w:rsid w:val="002865EE"/>
    <w:rsid w:val="002943C2"/>
    <w:rsid w:val="002945D1"/>
    <w:rsid w:val="00296096"/>
    <w:rsid w:val="002B0CDC"/>
    <w:rsid w:val="002B217F"/>
    <w:rsid w:val="002D09BA"/>
    <w:rsid w:val="002D751E"/>
    <w:rsid w:val="002E3DA8"/>
    <w:rsid w:val="002E61BB"/>
    <w:rsid w:val="002F38BB"/>
    <w:rsid w:val="003066BF"/>
    <w:rsid w:val="00307E9C"/>
    <w:rsid w:val="003122F3"/>
    <w:rsid w:val="00322804"/>
    <w:rsid w:val="00324184"/>
    <w:rsid w:val="00345505"/>
    <w:rsid w:val="00376307"/>
    <w:rsid w:val="00381353"/>
    <w:rsid w:val="00390C91"/>
    <w:rsid w:val="00390FAB"/>
    <w:rsid w:val="003963AF"/>
    <w:rsid w:val="003973B1"/>
    <w:rsid w:val="003A154D"/>
    <w:rsid w:val="003A5523"/>
    <w:rsid w:val="003B1D0C"/>
    <w:rsid w:val="003B3BC6"/>
    <w:rsid w:val="003B53CD"/>
    <w:rsid w:val="003B7740"/>
    <w:rsid w:val="003C1830"/>
    <w:rsid w:val="003D4D47"/>
    <w:rsid w:val="003E2BD8"/>
    <w:rsid w:val="003E4F72"/>
    <w:rsid w:val="003E71E3"/>
    <w:rsid w:val="003F0E7F"/>
    <w:rsid w:val="003F7524"/>
    <w:rsid w:val="00402EF9"/>
    <w:rsid w:val="00403B09"/>
    <w:rsid w:val="0040509B"/>
    <w:rsid w:val="0040567E"/>
    <w:rsid w:val="004120A4"/>
    <w:rsid w:val="00412A99"/>
    <w:rsid w:val="004239E7"/>
    <w:rsid w:val="004311F5"/>
    <w:rsid w:val="00431C04"/>
    <w:rsid w:val="00435AB2"/>
    <w:rsid w:val="004407AE"/>
    <w:rsid w:val="00455A9B"/>
    <w:rsid w:val="0046559D"/>
    <w:rsid w:val="00484758"/>
    <w:rsid w:val="0048607A"/>
    <w:rsid w:val="00491987"/>
    <w:rsid w:val="00492CF2"/>
    <w:rsid w:val="004A0695"/>
    <w:rsid w:val="004A2883"/>
    <w:rsid w:val="004A6B30"/>
    <w:rsid w:val="004B2D4B"/>
    <w:rsid w:val="004B7AB1"/>
    <w:rsid w:val="004C0AFC"/>
    <w:rsid w:val="004C50FA"/>
    <w:rsid w:val="004C64ED"/>
    <w:rsid w:val="004D432F"/>
    <w:rsid w:val="004E1861"/>
    <w:rsid w:val="004E5E45"/>
    <w:rsid w:val="00512439"/>
    <w:rsid w:val="00512DF1"/>
    <w:rsid w:val="00517F77"/>
    <w:rsid w:val="00534FB2"/>
    <w:rsid w:val="00553C3C"/>
    <w:rsid w:val="00554EDF"/>
    <w:rsid w:val="005708AB"/>
    <w:rsid w:val="00575C15"/>
    <w:rsid w:val="00587B3D"/>
    <w:rsid w:val="00590408"/>
    <w:rsid w:val="005924C5"/>
    <w:rsid w:val="005952FD"/>
    <w:rsid w:val="005A1758"/>
    <w:rsid w:val="005B0CAD"/>
    <w:rsid w:val="005B4169"/>
    <w:rsid w:val="005B65BA"/>
    <w:rsid w:val="005B79EB"/>
    <w:rsid w:val="005C121C"/>
    <w:rsid w:val="005D1666"/>
    <w:rsid w:val="005D3B2C"/>
    <w:rsid w:val="005D653B"/>
    <w:rsid w:val="005E73D8"/>
    <w:rsid w:val="005F2A44"/>
    <w:rsid w:val="005F4CB0"/>
    <w:rsid w:val="00601B83"/>
    <w:rsid w:val="00620035"/>
    <w:rsid w:val="006426BB"/>
    <w:rsid w:val="00647E4F"/>
    <w:rsid w:val="00656F3E"/>
    <w:rsid w:val="00671E5C"/>
    <w:rsid w:val="006734B2"/>
    <w:rsid w:val="006774E8"/>
    <w:rsid w:val="0068636E"/>
    <w:rsid w:val="00690F25"/>
    <w:rsid w:val="006A2E82"/>
    <w:rsid w:val="006B3AE0"/>
    <w:rsid w:val="006D7B4F"/>
    <w:rsid w:val="006F431D"/>
    <w:rsid w:val="007039BC"/>
    <w:rsid w:val="00704B4E"/>
    <w:rsid w:val="0070613A"/>
    <w:rsid w:val="00710199"/>
    <w:rsid w:val="007117B5"/>
    <w:rsid w:val="00712269"/>
    <w:rsid w:val="00715BA3"/>
    <w:rsid w:val="00727B8B"/>
    <w:rsid w:val="00733488"/>
    <w:rsid w:val="00760EAF"/>
    <w:rsid w:val="00770D01"/>
    <w:rsid w:val="00772953"/>
    <w:rsid w:val="0077381B"/>
    <w:rsid w:val="00786ADE"/>
    <w:rsid w:val="00790606"/>
    <w:rsid w:val="00794B82"/>
    <w:rsid w:val="007A4EA1"/>
    <w:rsid w:val="007A6591"/>
    <w:rsid w:val="007B1264"/>
    <w:rsid w:val="007C737A"/>
    <w:rsid w:val="007D394C"/>
    <w:rsid w:val="007E2270"/>
    <w:rsid w:val="007E2DD0"/>
    <w:rsid w:val="007E3F2A"/>
    <w:rsid w:val="007F371F"/>
    <w:rsid w:val="007F59E9"/>
    <w:rsid w:val="00801DD2"/>
    <w:rsid w:val="00804EAE"/>
    <w:rsid w:val="0081079B"/>
    <w:rsid w:val="008176C6"/>
    <w:rsid w:val="008300D5"/>
    <w:rsid w:val="00841E4E"/>
    <w:rsid w:val="00847853"/>
    <w:rsid w:val="00854093"/>
    <w:rsid w:val="00855CF3"/>
    <w:rsid w:val="00867502"/>
    <w:rsid w:val="0088298A"/>
    <w:rsid w:val="008864C8"/>
    <w:rsid w:val="00887529"/>
    <w:rsid w:val="00891FB3"/>
    <w:rsid w:val="008B381A"/>
    <w:rsid w:val="008C4B14"/>
    <w:rsid w:val="008D2CCB"/>
    <w:rsid w:val="008E0AD1"/>
    <w:rsid w:val="008E6348"/>
    <w:rsid w:val="008E70FA"/>
    <w:rsid w:val="008F02D2"/>
    <w:rsid w:val="00910EA3"/>
    <w:rsid w:val="0091104A"/>
    <w:rsid w:val="0091327E"/>
    <w:rsid w:val="00916308"/>
    <w:rsid w:val="009245B3"/>
    <w:rsid w:val="00926868"/>
    <w:rsid w:val="00926F9B"/>
    <w:rsid w:val="00927B79"/>
    <w:rsid w:val="00932303"/>
    <w:rsid w:val="00936C71"/>
    <w:rsid w:val="00941244"/>
    <w:rsid w:val="00956F0F"/>
    <w:rsid w:val="00962CA6"/>
    <w:rsid w:val="009654C2"/>
    <w:rsid w:val="00975839"/>
    <w:rsid w:val="00977459"/>
    <w:rsid w:val="009A08F9"/>
    <w:rsid w:val="009B523B"/>
    <w:rsid w:val="009B7359"/>
    <w:rsid w:val="009C1DC5"/>
    <w:rsid w:val="009C64BC"/>
    <w:rsid w:val="009D62DA"/>
    <w:rsid w:val="009E459C"/>
    <w:rsid w:val="009E472B"/>
    <w:rsid w:val="009F32AC"/>
    <w:rsid w:val="009F7C31"/>
    <w:rsid w:val="00A03528"/>
    <w:rsid w:val="00A118A0"/>
    <w:rsid w:val="00A16537"/>
    <w:rsid w:val="00A16FFF"/>
    <w:rsid w:val="00A31CB9"/>
    <w:rsid w:val="00A371F1"/>
    <w:rsid w:val="00A409ED"/>
    <w:rsid w:val="00A44B78"/>
    <w:rsid w:val="00A65419"/>
    <w:rsid w:val="00A82081"/>
    <w:rsid w:val="00A878AB"/>
    <w:rsid w:val="00AA2110"/>
    <w:rsid w:val="00AA27F8"/>
    <w:rsid w:val="00AA3A41"/>
    <w:rsid w:val="00AA5B0A"/>
    <w:rsid w:val="00AB2AEE"/>
    <w:rsid w:val="00AC6D8F"/>
    <w:rsid w:val="00AF620E"/>
    <w:rsid w:val="00B03F60"/>
    <w:rsid w:val="00B1688C"/>
    <w:rsid w:val="00B2394B"/>
    <w:rsid w:val="00B27E78"/>
    <w:rsid w:val="00B350FD"/>
    <w:rsid w:val="00B40E5B"/>
    <w:rsid w:val="00B50EA1"/>
    <w:rsid w:val="00B53212"/>
    <w:rsid w:val="00B7092B"/>
    <w:rsid w:val="00B769A8"/>
    <w:rsid w:val="00B81AF4"/>
    <w:rsid w:val="00B8728B"/>
    <w:rsid w:val="00B939BB"/>
    <w:rsid w:val="00B95AD4"/>
    <w:rsid w:val="00BA3864"/>
    <w:rsid w:val="00BA3A34"/>
    <w:rsid w:val="00BA3EE7"/>
    <w:rsid w:val="00BA63F4"/>
    <w:rsid w:val="00BB7E48"/>
    <w:rsid w:val="00BC5848"/>
    <w:rsid w:val="00BC6D73"/>
    <w:rsid w:val="00BD3CA3"/>
    <w:rsid w:val="00BD4514"/>
    <w:rsid w:val="00BE6F08"/>
    <w:rsid w:val="00C0564E"/>
    <w:rsid w:val="00C0633D"/>
    <w:rsid w:val="00C11806"/>
    <w:rsid w:val="00C1352D"/>
    <w:rsid w:val="00C152FE"/>
    <w:rsid w:val="00C16880"/>
    <w:rsid w:val="00C24F12"/>
    <w:rsid w:val="00C3416F"/>
    <w:rsid w:val="00C41F5C"/>
    <w:rsid w:val="00C50A02"/>
    <w:rsid w:val="00C50B40"/>
    <w:rsid w:val="00C536AF"/>
    <w:rsid w:val="00C65930"/>
    <w:rsid w:val="00C73747"/>
    <w:rsid w:val="00C77BAD"/>
    <w:rsid w:val="00C81FAC"/>
    <w:rsid w:val="00C9339C"/>
    <w:rsid w:val="00CA0715"/>
    <w:rsid w:val="00CA75D5"/>
    <w:rsid w:val="00CB0194"/>
    <w:rsid w:val="00CB17A4"/>
    <w:rsid w:val="00CB2188"/>
    <w:rsid w:val="00CD524A"/>
    <w:rsid w:val="00CD5E76"/>
    <w:rsid w:val="00CE13D5"/>
    <w:rsid w:val="00CE4F32"/>
    <w:rsid w:val="00CF4324"/>
    <w:rsid w:val="00D0788A"/>
    <w:rsid w:val="00D16C01"/>
    <w:rsid w:val="00D221CA"/>
    <w:rsid w:val="00D316D4"/>
    <w:rsid w:val="00D32160"/>
    <w:rsid w:val="00D33B24"/>
    <w:rsid w:val="00D37288"/>
    <w:rsid w:val="00D43C98"/>
    <w:rsid w:val="00D448F8"/>
    <w:rsid w:val="00D4502F"/>
    <w:rsid w:val="00D51CEB"/>
    <w:rsid w:val="00D529E7"/>
    <w:rsid w:val="00D53912"/>
    <w:rsid w:val="00D67E56"/>
    <w:rsid w:val="00D719D9"/>
    <w:rsid w:val="00D7405F"/>
    <w:rsid w:val="00D77AB1"/>
    <w:rsid w:val="00D86E09"/>
    <w:rsid w:val="00D91EE5"/>
    <w:rsid w:val="00D93737"/>
    <w:rsid w:val="00D97460"/>
    <w:rsid w:val="00DA67AF"/>
    <w:rsid w:val="00DB1D7D"/>
    <w:rsid w:val="00DB2985"/>
    <w:rsid w:val="00DE2734"/>
    <w:rsid w:val="00DE2A10"/>
    <w:rsid w:val="00E13FA6"/>
    <w:rsid w:val="00E15C04"/>
    <w:rsid w:val="00E35830"/>
    <w:rsid w:val="00E52F9F"/>
    <w:rsid w:val="00E55E00"/>
    <w:rsid w:val="00E63BDE"/>
    <w:rsid w:val="00E6473D"/>
    <w:rsid w:val="00E65238"/>
    <w:rsid w:val="00E65846"/>
    <w:rsid w:val="00E677BE"/>
    <w:rsid w:val="00EA3054"/>
    <w:rsid w:val="00EB12B2"/>
    <w:rsid w:val="00EB70A0"/>
    <w:rsid w:val="00EC212F"/>
    <w:rsid w:val="00ED4A7E"/>
    <w:rsid w:val="00ED57DA"/>
    <w:rsid w:val="00EF0B17"/>
    <w:rsid w:val="00EF3E70"/>
    <w:rsid w:val="00EF432A"/>
    <w:rsid w:val="00F01FD1"/>
    <w:rsid w:val="00F06C53"/>
    <w:rsid w:val="00F1746A"/>
    <w:rsid w:val="00F273E1"/>
    <w:rsid w:val="00F33634"/>
    <w:rsid w:val="00F37A9A"/>
    <w:rsid w:val="00F42721"/>
    <w:rsid w:val="00F4337E"/>
    <w:rsid w:val="00F45592"/>
    <w:rsid w:val="00F5393B"/>
    <w:rsid w:val="00F715DE"/>
    <w:rsid w:val="00F75ADC"/>
    <w:rsid w:val="00F76C3B"/>
    <w:rsid w:val="00F81162"/>
    <w:rsid w:val="00F82215"/>
    <w:rsid w:val="00F83A8A"/>
    <w:rsid w:val="00F96D61"/>
    <w:rsid w:val="00FA0A5C"/>
    <w:rsid w:val="00FA22B7"/>
    <w:rsid w:val="00FB0FB4"/>
    <w:rsid w:val="00FB4335"/>
    <w:rsid w:val="00FB45BF"/>
    <w:rsid w:val="00FC1238"/>
    <w:rsid w:val="00FC1478"/>
    <w:rsid w:val="00FD01AF"/>
    <w:rsid w:val="00FD5F6E"/>
    <w:rsid w:val="00FE1B2A"/>
    <w:rsid w:val="00FE2D10"/>
    <w:rsid w:val="00FE69D2"/>
    <w:rsid w:val="00FE7E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8251FE"/>
  <w15:chartTrackingRefBased/>
  <w15:docId w15:val="{6EFBB220-8407-4E58-B6EC-2FEC8269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DD Heading 1"/>
    <w:basedOn w:val="Heading2"/>
    <w:next w:val="Normal"/>
    <w:link w:val="Heading1Char"/>
    <w:qFormat/>
    <w:rsid w:val="00847853"/>
    <w:pPr>
      <w:outlineLvl w:val="0"/>
    </w:pPr>
    <w:rPr>
      <w:b w:val="0"/>
    </w:rPr>
  </w:style>
  <w:style w:type="paragraph" w:styleId="Heading2">
    <w:name w:val="heading 2"/>
    <w:basedOn w:val="Normal"/>
    <w:next w:val="BodyText"/>
    <w:link w:val="Heading2Char"/>
    <w:autoRedefine/>
    <w:qFormat/>
    <w:rsid w:val="006F431D"/>
    <w:pPr>
      <w:keepNext/>
      <w:keepLines/>
      <w:spacing w:before="100" w:beforeAutospacing="1" w:after="0" w:line="240" w:lineRule="auto"/>
      <w:outlineLvl w:val="1"/>
    </w:pPr>
    <w:rPr>
      <w:rFonts w:asciiTheme="majorHAnsi" w:eastAsia="Calibri" w:hAnsiTheme="majorHAnsi" w:cs="Times New Roman"/>
      <w:b/>
      <w:color w:val="002060"/>
      <w:sz w:val="28"/>
      <w:szCs w:val="20"/>
      <w:lang w:val="x-none" w:eastAsia="x-none"/>
    </w:rPr>
  </w:style>
  <w:style w:type="paragraph" w:styleId="Heading3">
    <w:name w:val="heading 3"/>
    <w:basedOn w:val="Heading2"/>
    <w:next w:val="BodyText"/>
    <w:link w:val="Heading3Char"/>
    <w:autoRedefine/>
    <w:qFormat/>
    <w:rsid w:val="00F82215"/>
    <w:pPr>
      <w:outlineLvl w:val="2"/>
    </w:pPr>
    <w:rPr>
      <w:i/>
      <w:color w:val="auto"/>
      <w:sz w:val="24"/>
      <w:u w:val="single"/>
    </w:rPr>
  </w:style>
  <w:style w:type="paragraph" w:styleId="Heading4">
    <w:name w:val="heading 4"/>
    <w:basedOn w:val="Normal"/>
    <w:next w:val="Normal"/>
    <w:link w:val="Heading4Char"/>
    <w:unhideWhenUsed/>
    <w:qFormat/>
    <w:rsid w:val="00847853"/>
    <w:pPr>
      <w:keepNext/>
      <w:keepLines/>
      <w:numPr>
        <w:ilvl w:val="3"/>
        <w:numId w:val="6"/>
      </w:numPr>
      <w:spacing w:before="200" w:after="0" w:line="240" w:lineRule="auto"/>
      <w:jc w:val="both"/>
      <w:outlineLvl w:val="3"/>
    </w:pPr>
    <w:rPr>
      <w:rFonts w:ascii="Cambria" w:eastAsia="Times New Roman" w:hAnsi="Cambria" w:cs="Times New Roman"/>
      <w:b/>
      <w:bCs/>
      <w:i/>
      <w:iCs/>
      <w:color w:val="4F81BD"/>
      <w:lang w:val="x-none" w:eastAsia="x-none"/>
    </w:rPr>
  </w:style>
  <w:style w:type="paragraph" w:styleId="Heading5">
    <w:name w:val="heading 5"/>
    <w:basedOn w:val="Normal"/>
    <w:next w:val="Normal"/>
    <w:link w:val="Heading5Char"/>
    <w:unhideWhenUsed/>
    <w:qFormat/>
    <w:rsid w:val="00847853"/>
    <w:pPr>
      <w:keepNext/>
      <w:keepLines/>
      <w:numPr>
        <w:ilvl w:val="4"/>
        <w:numId w:val="6"/>
      </w:numPr>
      <w:spacing w:before="200" w:after="0" w:line="240" w:lineRule="auto"/>
      <w:jc w:val="both"/>
      <w:outlineLvl w:val="4"/>
    </w:pPr>
    <w:rPr>
      <w:rFonts w:ascii="Cambria" w:eastAsia="Times New Roman" w:hAnsi="Cambria" w:cs="Times New Roman"/>
      <w:color w:val="243F60"/>
      <w:lang w:val="x-none" w:eastAsia="x-none"/>
    </w:rPr>
  </w:style>
  <w:style w:type="paragraph" w:styleId="Heading6">
    <w:name w:val="heading 6"/>
    <w:basedOn w:val="Normal"/>
    <w:next w:val="Normal"/>
    <w:link w:val="Heading6Char"/>
    <w:semiHidden/>
    <w:unhideWhenUsed/>
    <w:qFormat/>
    <w:rsid w:val="00847853"/>
    <w:pPr>
      <w:keepNext/>
      <w:keepLines/>
      <w:numPr>
        <w:ilvl w:val="5"/>
        <w:numId w:val="6"/>
      </w:numPr>
      <w:spacing w:before="200" w:after="0" w:line="240" w:lineRule="auto"/>
      <w:jc w:val="both"/>
      <w:outlineLvl w:val="5"/>
    </w:pPr>
    <w:rPr>
      <w:rFonts w:ascii="Cambria" w:eastAsia="Times New Roman" w:hAnsi="Cambria" w:cs="Times New Roman"/>
      <w:i/>
      <w:iCs/>
      <w:color w:val="243F60"/>
      <w:lang w:val="x-none" w:eastAsia="x-none"/>
    </w:rPr>
  </w:style>
  <w:style w:type="paragraph" w:styleId="Heading7">
    <w:name w:val="heading 7"/>
    <w:basedOn w:val="Normal"/>
    <w:next w:val="Normal"/>
    <w:link w:val="Heading7Char"/>
    <w:semiHidden/>
    <w:unhideWhenUsed/>
    <w:qFormat/>
    <w:rsid w:val="00847853"/>
    <w:pPr>
      <w:keepNext/>
      <w:keepLines/>
      <w:numPr>
        <w:ilvl w:val="6"/>
        <w:numId w:val="6"/>
      </w:numPr>
      <w:spacing w:before="200" w:after="0" w:line="240" w:lineRule="auto"/>
      <w:jc w:val="both"/>
      <w:outlineLvl w:val="6"/>
    </w:pPr>
    <w:rPr>
      <w:rFonts w:ascii="Cambria" w:eastAsia="Times New Roman" w:hAnsi="Cambria" w:cs="Times New Roman"/>
      <w:i/>
      <w:iCs/>
      <w:color w:val="404040"/>
      <w:lang w:val="x-none" w:eastAsia="x-none"/>
    </w:rPr>
  </w:style>
  <w:style w:type="paragraph" w:styleId="Heading8">
    <w:name w:val="heading 8"/>
    <w:basedOn w:val="Normal"/>
    <w:next w:val="Normal"/>
    <w:link w:val="Heading8Char"/>
    <w:semiHidden/>
    <w:unhideWhenUsed/>
    <w:qFormat/>
    <w:rsid w:val="00847853"/>
    <w:pPr>
      <w:keepNext/>
      <w:keepLines/>
      <w:numPr>
        <w:ilvl w:val="7"/>
        <w:numId w:val="6"/>
      </w:numPr>
      <w:spacing w:before="200" w:after="0" w:line="240" w:lineRule="auto"/>
      <w:jc w:val="both"/>
      <w:outlineLvl w:val="7"/>
    </w:pPr>
    <w:rPr>
      <w:rFonts w:ascii="Cambria" w:eastAsia="Times New Roman" w:hAnsi="Cambria" w:cs="Times New Roman"/>
      <w:color w:val="404040"/>
      <w:sz w:val="20"/>
      <w:szCs w:val="20"/>
      <w:lang w:val="x-none" w:eastAsia="x-none"/>
    </w:rPr>
  </w:style>
  <w:style w:type="paragraph" w:styleId="Heading9">
    <w:name w:val="heading 9"/>
    <w:basedOn w:val="Normal"/>
    <w:next w:val="Normal"/>
    <w:link w:val="Heading9Char"/>
    <w:semiHidden/>
    <w:unhideWhenUsed/>
    <w:qFormat/>
    <w:rsid w:val="00847853"/>
    <w:pPr>
      <w:keepNext/>
      <w:keepLines/>
      <w:numPr>
        <w:ilvl w:val="8"/>
        <w:numId w:val="6"/>
      </w:numPr>
      <w:spacing w:before="200" w:after="0" w:line="240" w:lineRule="auto"/>
      <w:jc w:val="both"/>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Geneva 9,Font: Geneva 9,Boston 10,Footnote Text Char1,Footnote Text Char2 Char,Footnote Text Char1 Char Char,Footnote Text Char2 Char Char Char,Footnote Text Char1 Char Char Char Char,Char,FN,ft,AD"/>
    <w:basedOn w:val="Normal"/>
    <w:link w:val="FootnoteTextChar"/>
    <w:uiPriority w:val="99"/>
    <w:unhideWhenUsed/>
    <w:qFormat/>
    <w:rsid w:val="00484758"/>
    <w:pPr>
      <w:spacing w:after="0" w:line="240" w:lineRule="auto"/>
    </w:pPr>
    <w:rPr>
      <w:sz w:val="20"/>
      <w:szCs w:val="20"/>
    </w:rPr>
  </w:style>
  <w:style w:type="character" w:customStyle="1" w:styleId="FootnoteTextChar">
    <w:name w:val="Footnote Text Char"/>
    <w:aliases w:val="single space Char,footnote text Char,fn Char,FOOTNOTES Char,f Char,Geneva 9 Char,Font: Geneva 9 Char,Boston 10 Char,Footnote Text Char1 Char,Footnote Text Char2 Char Char,Footnote Text Char1 Char Char Char,Char Char,FN Char,ft Char"/>
    <w:basedOn w:val="DefaultParagraphFont"/>
    <w:link w:val="FootnoteText"/>
    <w:uiPriority w:val="99"/>
    <w:rsid w:val="00484758"/>
    <w:rPr>
      <w:sz w:val="20"/>
      <w:szCs w:val="20"/>
    </w:rPr>
  </w:style>
  <w:style w:type="character" w:styleId="Hyperlink">
    <w:name w:val="Hyperlink"/>
    <w:uiPriority w:val="99"/>
    <w:unhideWhenUsed/>
    <w:rsid w:val="00484758"/>
    <w:rPr>
      <w:color w:val="0000FF"/>
      <w:u w:val="single"/>
    </w:rPr>
  </w:style>
  <w:style w:type="character" w:styleId="FootnoteReference">
    <w:name w:val="footnote reference"/>
    <w:aliases w:val="Ref,de nota al pie,16 Point,Superscript 6 Point,Appel note de bas de page,ftref,BVI fnr,Footnote Reference Number, BVI fnr,Footnote,Char Char Char Char Car Char, Car1,Car1,Footnote Reference1,heading1,FNRefe Char Char Char,Ref Char,fr,R"/>
    <w:link w:val="FNRefeCharChar"/>
    <w:uiPriority w:val="99"/>
    <w:unhideWhenUsed/>
    <w:qFormat/>
    <w:rsid w:val="00484758"/>
    <w:rPr>
      <w:vertAlign w:val="superscript"/>
    </w:rPr>
  </w:style>
  <w:style w:type="paragraph" w:customStyle="1" w:styleId="FNRefeCharChar">
    <w:name w:val="FNRefe Char Char"/>
    <w:aliases w:val="BVI fnr Char Char,BVI fnr Car Car Char Char Char,BVI fnr Car Char Char Char,BVI fnr Car Car Car Car Char Char Char Char Char, BVI fnr Char Char Char, BVI fnr Car Car Char Char Char, BVI fnr Car Car Car Car Char Char Char Char Char"/>
    <w:basedOn w:val="Normal"/>
    <w:link w:val="FootnoteReference"/>
    <w:uiPriority w:val="99"/>
    <w:rsid w:val="00484758"/>
    <w:pPr>
      <w:spacing w:line="240" w:lineRule="exact"/>
    </w:pPr>
    <w:rPr>
      <w:vertAlign w:val="superscript"/>
    </w:rPr>
  </w:style>
  <w:style w:type="numbering" w:customStyle="1" w:styleId="SDMFootnoteList">
    <w:name w:val="SDMFootnoteList"/>
    <w:uiPriority w:val="99"/>
    <w:rsid w:val="00484758"/>
    <w:pPr>
      <w:numPr>
        <w:numId w:val="1"/>
      </w:numPr>
    </w:pPr>
  </w:style>
  <w:style w:type="paragraph" w:styleId="ListParagraph">
    <w:name w:val="List Paragraph"/>
    <w:aliases w:val="Numbered List Paragraph,Main numbered paragraph,List Bullet Mary,List Paragraph (numbered (a)),Indent Paragraph,Bullets,Colorful List - Accent 11,References,body bullets,LIST OF TABLES.,List Paragraph1,WB List Paragraph,Liste 1,List bulle,3"/>
    <w:basedOn w:val="Normal"/>
    <w:link w:val="ListParagraphChar"/>
    <w:uiPriority w:val="34"/>
    <w:qFormat/>
    <w:rsid w:val="00C16880"/>
    <w:pPr>
      <w:ind w:left="720"/>
      <w:contextualSpacing/>
    </w:pPr>
  </w:style>
  <w:style w:type="character" w:customStyle="1" w:styleId="Heading1Char">
    <w:name w:val="Heading 1 Char"/>
    <w:aliases w:val="DD Heading 1 Char"/>
    <w:basedOn w:val="DefaultParagraphFont"/>
    <w:link w:val="Heading1"/>
    <w:rsid w:val="00847853"/>
    <w:rPr>
      <w:rFonts w:ascii="Times New Roman" w:eastAsia="Calibri" w:hAnsi="Times New Roman" w:cs="Times New Roman"/>
      <w:b/>
      <w:color w:val="365F91"/>
      <w:sz w:val="20"/>
      <w:szCs w:val="20"/>
      <w:lang w:val="x-none" w:eastAsia="x-none"/>
    </w:rPr>
  </w:style>
  <w:style w:type="character" w:customStyle="1" w:styleId="Heading2Char">
    <w:name w:val="Heading 2 Char"/>
    <w:basedOn w:val="DefaultParagraphFont"/>
    <w:link w:val="Heading2"/>
    <w:rsid w:val="006F431D"/>
    <w:rPr>
      <w:rFonts w:asciiTheme="majorHAnsi" w:eastAsia="Calibri" w:hAnsiTheme="majorHAnsi" w:cs="Times New Roman"/>
      <w:b/>
      <w:color w:val="002060"/>
      <w:sz w:val="28"/>
      <w:szCs w:val="20"/>
      <w:lang w:val="x-none" w:eastAsia="x-none"/>
    </w:rPr>
  </w:style>
  <w:style w:type="character" w:customStyle="1" w:styleId="Heading3Char">
    <w:name w:val="Heading 3 Char"/>
    <w:basedOn w:val="DefaultParagraphFont"/>
    <w:link w:val="Heading3"/>
    <w:rsid w:val="00F82215"/>
    <w:rPr>
      <w:rFonts w:asciiTheme="majorHAnsi" w:eastAsia="Calibri" w:hAnsiTheme="majorHAnsi" w:cs="Times New Roman"/>
      <w:b/>
      <w:i/>
      <w:sz w:val="24"/>
      <w:szCs w:val="20"/>
      <w:u w:val="single"/>
      <w:lang w:val="x-none" w:eastAsia="x-none"/>
    </w:rPr>
  </w:style>
  <w:style w:type="character" w:customStyle="1" w:styleId="Heading4Char">
    <w:name w:val="Heading 4 Char"/>
    <w:basedOn w:val="DefaultParagraphFont"/>
    <w:link w:val="Heading4"/>
    <w:rsid w:val="00847853"/>
    <w:rPr>
      <w:rFonts w:ascii="Cambria" w:eastAsia="Times New Roman" w:hAnsi="Cambria" w:cs="Times New Roman"/>
      <w:b/>
      <w:bCs/>
      <w:i/>
      <w:iCs/>
      <w:color w:val="4F81BD"/>
      <w:lang w:val="x-none" w:eastAsia="x-none"/>
    </w:rPr>
  </w:style>
  <w:style w:type="character" w:customStyle="1" w:styleId="Heading5Char">
    <w:name w:val="Heading 5 Char"/>
    <w:basedOn w:val="DefaultParagraphFont"/>
    <w:link w:val="Heading5"/>
    <w:rsid w:val="00847853"/>
    <w:rPr>
      <w:rFonts w:ascii="Cambria" w:eastAsia="Times New Roman" w:hAnsi="Cambria" w:cs="Times New Roman"/>
      <w:color w:val="243F60"/>
      <w:lang w:val="x-none" w:eastAsia="x-none"/>
    </w:rPr>
  </w:style>
  <w:style w:type="character" w:customStyle="1" w:styleId="Heading6Char">
    <w:name w:val="Heading 6 Char"/>
    <w:basedOn w:val="DefaultParagraphFont"/>
    <w:link w:val="Heading6"/>
    <w:semiHidden/>
    <w:rsid w:val="00847853"/>
    <w:rPr>
      <w:rFonts w:ascii="Cambria" w:eastAsia="Times New Roman" w:hAnsi="Cambria" w:cs="Times New Roman"/>
      <w:i/>
      <w:iCs/>
      <w:color w:val="243F60"/>
      <w:lang w:val="x-none" w:eastAsia="x-none"/>
    </w:rPr>
  </w:style>
  <w:style w:type="character" w:customStyle="1" w:styleId="Heading7Char">
    <w:name w:val="Heading 7 Char"/>
    <w:basedOn w:val="DefaultParagraphFont"/>
    <w:link w:val="Heading7"/>
    <w:semiHidden/>
    <w:rsid w:val="00847853"/>
    <w:rPr>
      <w:rFonts w:ascii="Cambria" w:eastAsia="Times New Roman" w:hAnsi="Cambria" w:cs="Times New Roman"/>
      <w:i/>
      <w:iCs/>
      <w:color w:val="404040"/>
      <w:lang w:val="x-none" w:eastAsia="x-none"/>
    </w:rPr>
  </w:style>
  <w:style w:type="character" w:customStyle="1" w:styleId="Heading8Char">
    <w:name w:val="Heading 8 Char"/>
    <w:basedOn w:val="DefaultParagraphFont"/>
    <w:link w:val="Heading8"/>
    <w:semiHidden/>
    <w:rsid w:val="00847853"/>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semiHidden/>
    <w:rsid w:val="00847853"/>
    <w:rPr>
      <w:rFonts w:ascii="Cambria" w:eastAsia="Times New Roman" w:hAnsi="Cambria" w:cs="Times New Roman"/>
      <w:i/>
      <w:iCs/>
      <w:color w:val="404040"/>
      <w:sz w:val="20"/>
      <w:szCs w:val="20"/>
      <w:lang w:val="x-none" w:eastAsia="x-none"/>
    </w:rPr>
  </w:style>
  <w:style w:type="numbering" w:customStyle="1" w:styleId="NoList1">
    <w:name w:val="No List1"/>
    <w:next w:val="NoList"/>
    <w:uiPriority w:val="99"/>
    <w:semiHidden/>
    <w:unhideWhenUsed/>
    <w:rsid w:val="00847853"/>
  </w:style>
  <w:style w:type="paragraph" w:styleId="BodyText">
    <w:name w:val="Body Text"/>
    <w:aliases w:val="Body Text Char3,Body Text Char Char1 Char,Body Text Char Char1 Char Char Char,Body Text Char1 Char Char Char Char Char,Body Text Char Char Char Char Char Char Char,Body Text Char Char2,Body,b,Body Text Char3 Char,Body Text Char1,bt, Char,Ch"/>
    <w:basedOn w:val="Normal"/>
    <w:link w:val="BodyTextChar"/>
    <w:qFormat/>
    <w:rsid w:val="00847853"/>
    <w:pPr>
      <w:spacing w:after="270" w:line="270" w:lineRule="atLeast"/>
      <w:jc w:val="both"/>
    </w:pPr>
    <w:rPr>
      <w:rFonts w:ascii="Times New Roman" w:eastAsia="Times New Roman" w:hAnsi="Times New Roman" w:cs="Times New Roman"/>
      <w:sz w:val="23"/>
      <w:szCs w:val="20"/>
      <w:lang w:val="en-GB" w:eastAsia="da-DK"/>
    </w:rPr>
  </w:style>
  <w:style w:type="character" w:customStyle="1" w:styleId="BodyTextChar">
    <w:name w:val="Body Text Char"/>
    <w:aliases w:val="Body Text Char3 Char1,Body Text Char Char1 Char Char,Body Text Char Char1 Char Char Char Char,Body Text Char1 Char Char Char Char Char Char,Body Text Char Char Char Char Char Char Char Char,Body Text Char Char2 Char,Body Char,b Char"/>
    <w:basedOn w:val="DefaultParagraphFont"/>
    <w:link w:val="BodyText"/>
    <w:rsid w:val="00847853"/>
    <w:rPr>
      <w:rFonts w:ascii="Times New Roman" w:eastAsia="Times New Roman" w:hAnsi="Times New Roman" w:cs="Times New Roman"/>
      <w:sz w:val="23"/>
      <w:szCs w:val="20"/>
      <w:lang w:val="en-GB" w:eastAsia="da-DK"/>
    </w:rPr>
  </w:style>
  <w:style w:type="paragraph" w:styleId="ListBullet">
    <w:name w:val="List Bullet"/>
    <w:basedOn w:val="BodyText"/>
    <w:rsid w:val="00847853"/>
    <w:pPr>
      <w:numPr>
        <w:numId w:val="3"/>
      </w:numPr>
    </w:pPr>
  </w:style>
  <w:style w:type="paragraph" w:styleId="ListBullet2">
    <w:name w:val="List Bullet 2"/>
    <w:basedOn w:val="ListBullet"/>
    <w:rsid w:val="00847853"/>
    <w:pPr>
      <w:numPr>
        <w:ilvl w:val="1"/>
      </w:numPr>
    </w:pPr>
  </w:style>
  <w:style w:type="numbering" w:customStyle="1" w:styleId="CowiBulletList">
    <w:name w:val="CowiBulletList"/>
    <w:basedOn w:val="NoList"/>
    <w:rsid w:val="00847853"/>
    <w:pPr>
      <w:numPr>
        <w:numId w:val="3"/>
      </w:numPr>
    </w:pPr>
  </w:style>
  <w:style w:type="paragraph" w:styleId="ListBullet3">
    <w:name w:val="List Bullet 3"/>
    <w:basedOn w:val="ListBullet2"/>
    <w:rsid w:val="00847853"/>
    <w:pPr>
      <w:numPr>
        <w:ilvl w:val="2"/>
      </w:numPr>
      <w:tabs>
        <w:tab w:val="left" w:pos="1276"/>
      </w:tabs>
    </w:pPr>
  </w:style>
  <w:style w:type="paragraph" w:styleId="ListBullet4">
    <w:name w:val="List Bullet 4"/>
    <w:basedOn w:val="Normal"/>
    <w:unhideWhenUsed/>
    <w:rsid w:val="00847853"/>
    <w:pPr>
      <w:numPr>
        <w:ilvl w:val="3"/>
        <w:numId w:val="3"/>
      </w:numPr>
      <w:spacing w:after="0" w:line="270" w:lineRule="atLeast"/>
      <w:jc w:val="both"/>
    </w:pPr>
    <w:rPr>
      <w:rFonts w:ascii="Times New Roman" w:eastAsia="Times New Roman" w:hAnsi="Times New Roman" w:cs="Times New Roman"/>
      <w:sz w:val="23"/>
      <w:szCs w:val="20"/>
      <w:lang w:val="en-GB" w:eastAsia="da-DK"/>
    </w:rPr>
  </w:style>
  <w:style w:type="numbering" w:customStyle="1" w:styleId="CowiHeadings">
    <w:name w:val="CowiHeadings"/>
    <w:basedOn w:val="NoList"/>
    <w:rsid w:val="00847853"/>
    <w:pPr>
      <w:numPr>
        <w:numId w:val="4"/>
      </w:numPr>
    </w:pPr>
  </w:style>
  <w:style w:type="numbering" w:customStyle="1" w:styleId="CowiNumberList">
    <w:name w:val="CowiNumberList"/>
    <w:basedOn w:val="NoList"/>
    <w:rsid w:val="00847853"/>
    <w:pPr>
      <w:numPr>
        <w:numId w:val="5"/>
      </w:numPr>
    </w:pPr>
  </w:style>
  <w:style w:type="paragraph" w:styleId="ListNumber">
    <w:name w:val="List Number"/>
    <w:basedOn w:val="BodyText"/>
    <w:link w:val="ListNumberChar"/>
    <w:rsid w:val="00847853"/>
    <w:pPr>
      <w:numPr>
        <w:numId w:val="5"/>
      </w:numPr>
    </w:pPr>
  </w:style>
  <w:style w:type="paragraph" w:styleId="ListNumber2">
    <w:name w:val="List Number 2"/>
    <w:basedOn w:val="ListNumber"/>
    <w:uiPriority w:val="4"/>
    <w:rsid w:val="00847853"/>
    <w:pPr>
      <w:numPr>
        <w:ilvl w:val="1"/>
      </w:numPr>
      <w:tabs>
        <w:tab w:val="clear" w:pos="851"/>
        <w:tab w:val="num" w:pos="360"/>
      </w:tabs>
      <w:ind w:left="900" w:hanging="660"/>
    </w:pPr>
  </w:style>
  <w:style w:type="paragraph" w:styleId="ListNumber3">
    <w:name w:val="List Number 3"/>
    <w:basedOn w:val="ListNumber2"/>
    <w:uiPriority w:val="4"/>
    <w:rsid w:val="00847853"/>
    <w:pPr>
      <w:numPr>
        <w:ilvl w:val="2"/>
      </w:numPr>
      <w:tabs>
        <w:tab w:val="num" w:pos="360"/>
        <w:tab w:val="left" w:pos="1276"/>
      </w:tabs>
      <w:ind w:left="1200" w:hanging="720"/>
    </w:pPr>
  </w:style>
  <w:style w:type="paragraph" w:styleId="ListNumber4">
    <w:name w:val="List Number 4"/>
    <w:basedOn w:val="Normal"/>
    <w:uiPriority w:val="4"/>
    <w:semiHidden/>
    <w:unhideWhenUsed/>
    <w:rsid w:val="00847853"/>
    <w:pPr>
      <w:numPr>
        <w:ilvl w:val="3"/>
        <w:numId w:val="5"/>
      </w:numPr>
      <w:spacing w:after="0" w:line="270" w:lineRule="atLeast"/>
      <w:jc w:val="both"/>
    </w:pPr>
    <w:rPr>
      <w:rFonts w:ascii="Times New Roman" w:eastAsia="Times New Roman" w:hAnsi="Times New Roman" w:cs="Times New Roman"/>
      <w:sz w:val="23"/>
      <w:szCs w:val="20"/>
      <w:lang w:val="en-GB" w:eastAsia="da-DK"/>
    </w:rPr>
  </w:style>
  <w:style w:type="character" w:customStyle="1" w:styleId="ListNumberChar">
    <w:name w:val="List Number Char"/>
    <w:link w:val="ListNumber"/>
    <w:rsid w:val="00847853"/>
    <w:rPr>
      <w:rFonts w:ascii="Times New Roman" w:eastAsia="Times New Roman" w:hAnsi="Times New Roman" w:cs="Times New Roman"/>
      <w:sz w:val="23"/>
      <w:szCs w:val="20"/>
      <w:lang w:val="en-GB" w:eastAsia="da-DK"/>
    </w:rPr>
  </w:style>
  <w:style w:type="character" w:customStyle="1" w:styleId="ListParagraphChar">
    <w:name w:val="List Paragraph Char"/>
    <w:aliases w:val="Numbered List Paragraph Char,Main numbered paragraph Char,List Bullet Mary Char,List Paragraph (numbered (a)) Char,Indent Paragraph Char,Bullets Char,Colorful List - Accent 11 Char,References Char,body bullets Char,Liste 1 Char,3 Char"/>
    <w:link w:val="ListParagraph"/>
    <w:uiPriority w:val="34"/>
    <w:qFormat/>
    <w:rsid w:val="00847853"/>
  </w:style>
  <w:style w:type="table" w:styleId="TableGrid">
    <w:name w:val="Table Grid"/>
    <w:basedOn w:val="TableNormal"/>
    <w:uiPriority w:val="39"/>
    <w:rsid w:val="00847853"/>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78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847853"/>
    <w:pPr>
      <w:tabs>
        <w:tab w:val="center" w:pos="4680"/>
        <w:tab w:val="right" w:pos="9360"/>
      </w:tabs>
      <w:spacing w:after="0" w:line="240" w:lineRule="auto"/>
      <w:jc w:val="both"/>
    </w:pPr>
    <w:rPr>
      <w:rFonts w:ascii="Times New Roman" w:eastAsia="Calibri" w:hAnsi="Times New Roman" w:cs="Times New Roman"/>
    </w:rPr>
  </w:style>
  <w:style w:type="character" w:customStyle="1" w:styleId="HeaderChar">
    <w:name w:val="Header Char"/>
    <w:basedOn w:val="DefaultParagraphFont"/>
    <w:link w:val="Header"/>
    <w:uiPriority w:val="99"/>
    <w:rsid w:val="00847853"/>
    <w:rPr>
      <w:rFonts w:ascii="Times New Roman" w:eastAsia="Calibri" w:hAnsi="Times New Roman" w:cs="Times New Roman"/>
    </w:rPr>
  </w:style>
  <w:style w:type="paragraph" w:styleId="Footer">
    <w:name w:val="footer"/>
    <w:basedOn w:val="Normal"/>
    <w:link w:val="FooterChar"/>
    <w:uiPriority w:val="99"/>
    <w:unhideWhenUsed/>
    <w:rsid w:val="00847853"/>
    <w:pPr>
      <w:tabs>
        <w:tab w:val="center" w:pos="4680"/>
        <w:tab w:val="right" w:pos="9360"/>
      </w:tabs>
      <w:spacing w:after="0" w:line="240" w:lineRule="auto"/>
      <w:jc w:val="both"/>
    </w:pPr>
    <w:rPr>
      <w:rFonts w:ascii="Times New Roman" w:eastAsia="Calibri" w:hAnsi="Times New Roman" w:cs="Times New Roman"/>
    </w:rPr>
  </w:style>
  <w:style w:type="character" w:customStyle="1" w:styleId="FooterChar">
    <w:name w:val="Footer Char"/>
    <w:basedOn w:val="DefaultParagraphFont"/>
    <w:link w:val="Footer"/>
    <w:uiPriority w:val="99"/>
    <w:rsid w:val="00847853"/>
    <w:rPr>
      <w:rFonts w:ascii="Times New Roman" w:eastAsia="Calibri" w:hAnsi="Times New Roman" w:cs="Times New Roman"/>
    </w:rPr>
  </w:style>
  <w:style w:type="character" w:styleId="CommentReference">
    <w:name w:val="annotation reference"/>
    <w:uiPriority w:val="99"/>
    <w:unhideWhenUsed/>
    <w:rsid w:val="00847853"/>
    <w:rPr>
      <w:sz w:val="16"/>
      <w:szCs w:val="16"/>
    </w:rPr>
  </w:style>
  <w:style w:type="paragraph" w:styleId="CommentText">
    <w:name w:val="annotation text"/>
    <w:basedOn w:val="Normal"/>
    <w:link w:val="CommentTextChar"/>
    <w:uiPriority w:val="99"/>
    <w:unhideWhenUsed/>
    <w:rsid w:val="00847853"/>
    <w:pPr>
      <w:spacing w:after="0" w:line="240" w:lineRule="auto"/>
      <w:jc w:val="both"/>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47853"/>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847853"/>
    <w:pPr>
      <w:spacing w:after="0" w:line="240" w:lineRule="auto"/>
      <w:jc w:val="both"/>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847853"/>
    <w:rPr>
      <w:rFonts w:ascii="Tahoma" w:eastAsia="Calibri" w:hAnsi="Tahoma" w:cs="Times New Roman"/>
      <w:sz w:val="16"/>
      <w:szCs w:val="16"/>
      <w:lang w:val="x-none" w:eastAsia="x-none"/>
    </w:rPr>
  </w:style>
  <w:style w:type="paragraph" w:styleId="NoSpacing">
    <w:name w:val="No Spacing"/>
    <w:aliases w:val="Numbered Para"/>
    <w:link w:val="NoSpacingChar"/>
    <w:qFormat/>
    <w:rsid w:val="00847853"/>
    <w:pPr>
      <w:spacing w:after="0" w:line="240" w:lineRule="auto"/>
    </w:pPr>
    <w:rPr>
      <w:rFonts w:ascii="Calibri" w:eastAsia="Calibri" w:hAnsi="Calibri" w:cs="Times New Roman"/>
    </w:rPr>
  </w:style>
  <w:style w:type="character" w:customStyle="1" w:styleId="NoSpacingChar">
    <w:name w:val="No Spacing Char"/>
    <w:aliases w:val="Numbered Para Char"/>
    <w:link w:val="NoSpacing"/>
    <w:rsid w:val="00847853"/>
    <w:rPr>
      <w:rFonts w:ascii="Calibri" w:eastAsia="Calibri" w:hAnsi="Calibri" w:cs="Times New Roman"/>
    </w:rPr>
  </w:style>
  <w:style w:type="paragraph" w:styleId="Caption">
    <w:name w:val="caption"/>
    <w:aliases w:val="Table/Figure Heading,Caption- Figure,Caption- Figure1,Caption- Figure2,AGT ESIA"/>
    <w:basedOn w:val="Normal"/>
    <w:next w:val="Normal"/>
    <w:link w:val="CaptionChar"/>
    <w:uiPriority w:val="35"/>
    <w:unhideWhenUsed/>
    <w:qFormat/>
    <w:rsid w:val="00847853"/>
    <w:pPr>
      <w:spacing w:after="0" w:line="240" w:lineRule="auto"/>
      <w:jc w:val="center"/>
    </w:pPr>
    <w:rPr>
      <w:rFonts w:ascii="Times New Roman" w:eastAsia="Calibri" w:hAnsi="Times New Roman" w:cs="Times New Roman"/>
      <w:b/>
      <w:bCs/>
      <w:sz w:val="18"/>
      <w:szCs w:val="18"/>
      <w:lang w:val="x-none" w:eastAsia="x-none"/>
    </w:rPr>
  </w:style>
  <w:style w:type="paragraph" w:styleId="CommentSubject">
    <w:name w:val="annotation subject"/>
    <w:basedOn w:val="CommentText"/>
    <w:next w:val="CommentText"/>
    <w:link w:val="CommentSubjectChar"/>
    <w:uiPriority w:val="99"/>
    <w:semiHidden/>
    <w:unhideWhenUsed/>
    <w:rsid w:val="00847853"/>
    <w:pPr>
      <w:spacing w:after="200"/>
    </w:pPr>
    <w:rPr>
      <w:b/>
      <w:bCs/>
    </w:rPr>
  </w:style>
  <w:style w:type="character" w:customStyle="1" w:styleId="CommentSubjectChar">
    <w:name w:val="Comment Subject Char"/>
    <w:basedOn w:val="CommentTextChar"/>
    <w:link w:val="CommentSubject"/>
    <w:uiPriority w:val="99"/>
    <w:semiHidden/>
    <w:rsid w:val="00847853"/>
    <w:rPr>
      <w:rFonts w:ascii="Times New Roman" w:eastAsia="Times New Roman" w:hAnsi="Times New Roman" w:cs="Times New Roman"/>
      <w:b/>
      <w:bCs/>
      <w:sz w:val="20"/>
      <w:szCs w:val="20"/>
      <w:lang w:val="x-none" w:eastAsia="x-none"/>
    </w:rPr>
  </w:style>
  <w:style w:type="character" w:styleId="IntenseEmphasis">
    <w:name w:val="Intense Emphasis"/>
    <w:aliases w:val="HEADING ONE"/>
    <w:uiPriority w:val="21"/>
    <w:qFormat/>
    <w:rsid w:val="00847853"/>
    <w:rPr>
      <w:rFonts w:ascii="Times New Roman" w:hAnsi="Times New Roman" w:cs="Times New Roman"/>
      <w:b/>
      <w:noProof/>
      <w:color w:val="auto"/>
      <w:sz w:val="24"/>
    </w:rPr>
  </w:style>
  <w:style w:type="numbering" w:customStyle="1" w:styleId="Style1">
    <w:name w:val="Style1"/>
    <w:uiPriority w:val="99"/>
    <w:rsid w:val="00847853"/>
    <w:pPr>
      <w:numPr>
        <w:numId w:val="7"/>
      </w:numPr>
    </w:pPr>
  </w:style>
  <w:style w:type="paragraph" w:styleId="TOC1">
    <w:name w:val="toc 1"/>
    <w:basedOn w:val="Normal"/>
    <w:next w:val="Normal"/>
    <w:autoRedefine/>
    <w:uiPriority w:val="39"/>
    <w:unhideWhenUsed/>
    <w:qFormat/>
    <w:rsid w:val="00847853"/>
    <w:pPr>
      <w:spacing w:before="120" w:after="120" w:line="240" w:lineRule="auto"/>
    </w:pPr>
    <w:rPr>
      <w:rFonts w:ascii="Calibri" w:eastAsia="Calibri" w:hAnsi="Calibri" w:cs="Times New Roman"/>
      <w:b/>
      <w:bCs/>
      <w:caps/>
      <w:sz w:val="20"/>
      <w:szCs w:val="20"/>
    </w:rPr>
  </w:style>
  <w:style w:type="paragraph" w:styleId="TOC2">
    <w:name w:val="toc 2"/>
    <w:basedOn w:val="Normal"/>
    <w:next w:val="Normal"/>
    <w:autoRedefine/>
    <w:uiPriority w:val="39"/>
    <w:unhideWhenUsed/>
    <w:qFormat/>
    <w:rsid w:val="00847853"/>
    <w:pPr>
      <w:spacing w:after="0" w:line="240" w:lineRule="auto"/>
      <w:ind w:left="220"/>
    </w:pPr>
    <w:rPr>
      <w:rFonts w:ascii="Calibri" w:eastAsia="Calibri" w:hAnsi="Calibri" w:cs="Times New Roman"/>
      <w:smallCaps/>
      <w:sz w:val="20"/>
      <w:szCs w:val="20"/>
    </w:rPr>
  </w:style>
  <w:style w:type="paragraph" w:styleId="TOC3">
    <w:name w:val="toc 3"/>
    <w:basedOn w:val="Normal"/>
    <w:next w:val="Normal"/>
    <w:autoRedefine/>
    <w:uiPriority w:val="39"/>
    <w:unhideWhenUsed/>
    <w:qFormat/>
    <w:rsid w:val="00847853"/>
    <w:pPr>
      <w:spacing w:after="0" w:line="240" w:lineRule="auto"/>
      <w:ind w:left="440"/>
    </w:pPr>
    <w:rPr>
      <w:rFonts w:ascii="Calibri" w:eastAsia="Calibri" w:hAnsi="Calibri" w:cs="Times New Roman"/>
      <w:i/>
      <w:iCs/>
      <w:sz w:val="20"/>
      <w:szCs w:val="20"/>
    </w:rPr>
  </w:style>
  <w:style w:type="paragraph" w:styleId="TOC4">
    <w:name w:val="toc 4"/>
    <w:basedOn w:val="Normal"/>
    <w:next w:val="Normal"/>
    <w:autoRedefine/>
    <w:uiPriority w:val="39"/>
    <w:unhideWhenUsed/>
    <w:rsid w:val="00847853"/>
    <w:pPr>
      <w:spacing w:after="0" w:line="240" w:lineRule="auto"/>
      <w:ind w:left="660"/>
    </w:pPr>
    <w:rPr>
      <w:rFonts w:ascii="Calibri" w:eastAsia="Calibri" w:hAnsi="Calibri" w:cs="Times New Roman"/>
      <w:sz w:val="18"/>
      <w:szCs w:val="18"/>
    </w:rPr>
  </w:style>
  <w:style w:type="paragraph" w:styleId="TOC5">
    <w:name w:val="toc 5"/>
    <w:basedOn w:val="Normal"/>
    <w:next w:val="Normal"/>
    <w:autoRedefine/>
    <w:uiPriority w:val="39"/>
    <w:unhideWhenUsed/>
    <w:rsid w:val="00847853"/>
    <w:pPr>
      <w:spacing w:after="0" w:line="240" w:lineRule="auto"/>
      <w:ind w:left="880"/>
    </w:pPr>
    <w:rPr>
      <w:rFonts w:ascii="Calibri" w:eastAsia="Calibri" w:hAnsi="Calibri" w:cs="Times New Roman"/>
      <w:sz w:val="18"/>
      <w:szCs w:val="18"/>
    </w:rPr>
  </w:style>
  <w:style w:type="paragraph" w:styleId="TOC6">
    <w:name w:val="toc 6"/>
    <w:basedOn w:val="Normal"/>
    <w:next w:val="Normal"/>
    <w:autoRedefine/>
    <w:uiPriority w:val="39"/>
    <w:unhideWhenUsed/>
    <w:rsid w:val="00847853"/>
    <w:pPr>
      <w:spacing w:after="0" w:line="240" w:lineRule="auto"/>
      <w:ind w:left="1100"/>
    </w:pPr>
    <w:rPr>
      <w:rFonts w:ascii="Calibri" w:eastAsia="Calibri" w:hAnsi="Calibri" w:cs="Times New Roman"/>
      <w:sz w:val="18"/>
      <w:szCs w:val="18"/>
    </w:rPr>
  </w:style>
  <w:style w:type="paragraph" w:styleId="TOC7">
    <w:name w:val="toc 7"/>
    <w:basedOn w:val="Normal"/>
    <w:next w:val="Normal"/>
    <w:autoRedefine/>
    <w:uiPriority w:val="39"/>
    <w:unhideWhenUsed/>
    <w:rsid w:val="00847853"/>
    <w:pPr>
      <w:spacing w:after="0" w:line="240" w:lineRule="auto"/>
      <w:ind w:left="1320"/>
    </w:pPr>
    <w:rPr>
      <w:rFonts w:ascii="Calibri" w:eastAsia="Calibri" w:hAnsi="Calibri" w:cs="Times New Roman"/>
      <w:sz w:val="18"/>
      <w:szCs w:val="18"/>
    </w:rPr>
  </w:style>
  <w:style w:type="paragraph" w:styleId="TOC8">
    <w:name w:val="toc 8"/>
    <w:basedOn w:val="Normal"/>
    <w:next w:val="Normal"/>
    <w:autoRedefine/>
    <w:uiPriority w:val="39"/>
    <w:unhideWhenUsed/>
    <w:rsid w:val="00847853"/>
    <w:pPr>
      <w:spacing w:after="0" w:line="240" w:lineRule="auto"/>
      <w:ind w:left="1540"/>
    </w:pPr>
    <w:rPr>
      <w:rFonts w:ascii="Calibri" w:eastAsia="Calibri" w:hAnsi="Calibri" w:cs="Times New Roman"/>
      <w:sz w:val="18"/>
      <w:szCs w:val="18"/>
    </w:rPr>
  </w:style>
  <w:style w:type="paragraph" w:styleId="TOC9">
    <w:name w:val="toc 9"/>
    <w:basedOn w:val="Normal"/>
    <w:next w:val="Normal"/>
    <w:autoRedefine/>
    <w:uiPriority w:val="39"/>
    <w:unhideWhenUsed/>
    <w:rsid w:val="00847853"/>
    <w:pPr>
      <w:spacing w:after="0" w:line="240" w:lineRule="auto"/>
      <w:ind w:left="1760"/>
    </w:pPr>
    <w:rPr>
      <w:rFonts w:ascii="Calibri" w:eastAsia="Calibri" w:hAnsi="Calibri" w:cs="Times New Roman"/>
      <w:sz w:val="18"/>
      <w:szCs w:val="18"/>
    </w:rPr>
  </w:style>
  <w:style w:type="table" w:customStyle="1" w:styleId="LightShading1">
    <w:name w:val="Light Shading1"/>
    <w:basedOn w:val="TableNormal"/>
    <w:uiPriority w:val="60"/>
    <w:rsid w:val="00847853"/>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itle">
    <w:name w:val="Title"/>
    <w:basedOn w:val="Normal"/>
    <w:next w:val="Normal"/>
    <w:link w:val="TitleChar"/>
    <w:uiPriority w:val="10"/>
    <w:qFormat/>
    <w:rsid w:val="00847853"/>
    <w:pPr>
      <w:spacing w:after="0" w:line="240" w:lineRule="auto"/>
      <w:jc w:val="both"/>
    </w:pPr>
    <w:rPr>
      <w:rFonts w:ascii="Times New Roman" w:eastAsia="Calibri" w:hAnsi="Times New Roman" w:cs="Times New Roman"/>
      <w:b/>
      <w:color w:val="365F91"/>
      <w:sz w:val="20"/>
      <w:szCs w:val="20"/>
      <w:lang w:val="x-none" w:eastAsia="x-none"/>
    </w:rPr>
  </w:style>
  <w:style w:type="character" w:customStyle="1" w:styleId="TitleChar">
    <w:name w:val="Title Char"/>
    <w:basedOn w:val="DefaultParagraphFont"/>
    <w:link w:val="Title"/>
    <w:uiPriority w:val="10"/>
    <w:rsid w:val="00847853"/>
    <w:rPr>
      <w:rFonts w:ascii="Times New Roman" w:eastAsia="Calibri" w:hAnsi="Times New Roman" w:cs="Times New Roman"/>
      <w:b/>
      <w:color w:val="365F91"/>
      <w:sz w:val="20"/>
      <w:szCs w:val="20"/>
      <w:lang w:val="x-none" w:eastAsia="x-none"/>
    </w:rPr>
  </w:style>
  <w:style w:type="table" w:customStyle="1" w:styleId="TableGrid1">
    <w:name w:val="Table Grid1"/>
    <w:basedOn w:val="TableNormal"/>
    <w:next w:val="TableGrid"/>
    <w:uiPriority w:val="39"/>
    <w:rsid w:val="00847853"/>
    <w:pPr>
      <w:spacing w:beforeAutospacing="1"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847853"/>
  </w:style>
  <w:style w:type="paragraph" w:customStyle="1" w:styleId="NormalTNR0bef0aft">
    <w:name w:val="Normal TNR 0bef0aft"/>
    <w:basedOn w:val="Normal"/>
    <w:qFormat/>
    <w:rsid w:val="00847853"/>
    <w:pPr>
      <w:spacing w:after="0" w:line="240" w:lineRule="auto"/>
    </w:pPr>
    <w:rPr>
      <w:rFonts w:ascii="Times New Roman" w:eastAsia="Times New Roman" w:hAnsi="Times New Roman" w:cs="Times New Roman"/>
    </w:rPr>
  </w:style>
  <w:style w:type="character" w:styleId="FollowedHyperlink">
    <w:name w:val="FollowedHyperlink"/>
    <w:uiPriority w:val="99"/>
    <w:semiHidden/>
    <w:unhideWhenUsed/>
    <w:rsid w:val="00847853"/>
    <w:rPr>
      <w:color w:val="800080"/>
      <w:u w:val="single"/>
    </w:rPr>
  </w:style>
  <w:style w:type="paragraph" w:customStyle="1" w:styleId="Table">
    <w:name w:val="Table"/>
    <w:basedOn w:val="Normal"/>
    <w:rsid w:val="00847853"/>
    <w:pPr>
      <w:keepNext/>
      <w:keepLines/>
      <w:numPr>
        <w:numId w:val="8"/>
      </w:numPr>
      <w:tabs>
        <w:tab w:val="clear" w:pos="6624"/>
        <w:tab w:val="num" w:pos="6084"/>
      </w:tabs>
      <w:spacing w:before="120" w:after="120" w:line="240" w:lineRule="auto"/>
      <w:ind w:left="6084"/>
      <w:jc w:val="center"/>
    </w:pPr>
    <w:rPr>
      <w:rFonts w:ascii="Times New Roman Bold" w:eastAsia="Times New Roman" w:hAnsi="Times New Roman Bold" w:cs="Times New Roman"/>
      <w:b/>
      <w:color w:val="000000"/>
      <w:sz w:val="24"/>
      <w:szCs w:val="24"/>
      <w:lang w:val="en-GB"/>
    </w:rPr>
  </w:style>
  <w:style w:type="paragraph" w:customStyle="1" w:styleId="Box">
    <w:name w:val="Box"/>
    <w:basedOn w:val="Table"/>
    <w:rsid w:val="00847853"/>
    <w:pPr>
      <w:numPr>
        <w:numId w:val="9"/>
      </w:numPr>
    </w:pPr>
  </w:style>
  <w:style w:type="paragraph" w:customStyle="1" w:styleId="BankNormal">
    <w:name w:val="BankNormal"/>
    <w:basedOn w:val="Normal"/>
    <w:link w:val="BankNormalChar"/>
    <w:rsid w:val="00847853"/>
    <w:pPr>
      <w:spacing w:after="240" w:line="240" w:lineRule="auto"/>
    </w:pPr>
    <w:rPr>
      <w:rFonts w:ascii="Times New Roman" w:eastAsia="Times New Roman" w:hAnsi="Times New Roman" w:cs="Times New Roman"/>
      <w:sz w:val="24"/>
      <w:szCs w:val="20"/>
      <w:lang w:val="x-none" w:eastAsia="x-none"/>
    </w:rPr>
  </w:style>
  <w:style w:type="paragraph" w:styleId="HTMLPreformatted">
    <w:name w:val="HTML Preformatted"/>
    <w:basedOn w:val="Normal"/>
    <w:link w:val="HTMLPreformattedChar"/>
    <w:uiPriority w:val="99"/>
    <w:unhideWhenUsed/>
    <w:rsid w:val="00847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847853"/>
    <w:rPr>
      <w:rFonts w:ascii="Courier New" w:eastAsia="Times New Roman" w:hAnsi="Courier New" w:cs="Times New Roman"/>
      <w:sz w:val="20"/>
      <w:szCs w:val="20"/>
      <w:lang w:val="x-none" w:eastAsia="x-none"/>
    </w:rPr>
  </w:style>
  <w:style w:type="character" w:customStyle="1" w:styleId="BankNormalChar">
    <w:name w:val="BankNormal Char"/>
    <w:link w:val="BankNormal"/>
    <w:rsid w:val="00847853"/>
    <w:rPr>
      <w:rFonts w:ascii="Times New Roman" w:eastAsia="Times New Roman" w:hAnsi="Times New Roman" w:cs="Times New Roman"/>
      <w:sz w:val="24"/>
      <w:szCs w:val="20"/>
      <w:lang w:val="x-none" w:eastAsia="x-none"/>
    </w:rPr>
  </w:style>
  <w:style w:type="paragraph" w:customStyle="1" w:styleId="BIMPSAnnexText">
    <w:name w:val="BIMPS Annex Text"/>
    <w:basedOn w:val="Normal"/>
    <w:link w:val="BIMPSAnnexTextChar"/>
    <w:qFormat/>
    <w:rsid w:val="00847853"/>
    <w:pPr>
      <w:tabs>
        <w:tab w:val="left" w:pos="540"/>
      </w:tabs>
      <w:spacing w:before="120" w:after="120" w:line="240" w:lineRule="auto"/>
      <w:jc w:val="both"/>
    </w:pPr>
    <w:rPr>
      <w:rFonts w:ascii="Times New Roman" w:eastAsia="Calibri" w:hAnsi="Times New Roman" w:cs="Times New Roman"/>
      <w:sz w:val="20"/>
      <w:szCs w:val="20"/>
      <w:lang w:val="x-none" w:eastAsia="x-none"/>
    </w:rPr>
  </w:style>
  <w:style w:type="character" w:customStyle="1" w:styleId="BIMPSAnnexTextChar">
    <w:name w:val="BIMPS Annex Text Char"/>
    <w:link w:val="BIMPSAnnexText"/>
    <w:rsid w:val="00847853"/>
    <w:rPr>
      <w:rFonts w:ascii="Times New Roman" w:eastAsia="Calibri" w:hAnsi="Times New Roman" w:cs="Times New Roman"/>
      <w:sz w:val="20"/>
      <w:szCs w:val="20"/>
      <w:lang w:val="x-none" w:eastAsia="x-none"/>
    </w:rPr>
  </w:style>
  <w:style w:type="numbering" w:customStyle="1" w:styleId="StyleNumbered12ptBlack">
    <w:name w:val="Style Numbered 12 pt Black"/>
    <w:basedOn w:val="NoList"/>
    <w:rsid w:val="00847853"/>
    <w:pPr>
      <w:numPr>
        <w:numId w:val="10"/>
      </w:numPr>
    </w:pPr>
  </w:style>
  <w:style w:type="table" w:styleId="ColorfulShading-Accent3">
    <w:name w:val="Colorful Shading Accent 3"/>
    <w:basedOn w:val="TableNormal"/>
    <w:uiPriority w:val="71"/>
    <w:rsid w:val="00847853"/>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Grid-Accent3">
    <w:name w:val="Colorful Grid Accent 3"/>
    <w:basedOn w:val="TableNormal"/>
    <w:uiPriority w:val="73"/>
    <w:rsid w:val="00847853"/>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1-Accent3">
    <w:name w:val="Medium Grid 1 Accent 3"/>
    <w:basedOn w:val="TableNormal"/>
    <w:uiPriority w:val="67"/>
    <w:rsid w:val="00847853"/>
    <w:pPr>
      <w:spacing w:after="0" w:line="240" w:lineRule="auto"/>
    </w:pPr>
    <w:rPr>
      <w:rFonts w:ascii="Calibri" w:eastAsia="Calibri"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5">
    <w:name w:val="Medium Grid 1 Accent 5"/>
    <w:basedOn w:val="TableNormal"/>
    <w:uiPriority w:val="67"/>
    <w:rsid w:val="00847853"/>
    <w:pPr>
      <w:spacing w:after="0" w:line="240" w:lineRule="auto"/>
    </w:pPr>
    <w:rPr>
      <w:rFonts w:ascii="Calibri" w:eastAsia="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1">
    <w:name w:val="Medium Grid 1 Accent 1"/>
    <w:basedOn w:val="TableNormal"/>
    <w:uiPriority w:val="67"/>
    <w:rsid w:val="0084785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4">
    <w:name w:val="Medium Grid 1 Accent 4"/>
    <w:basedOn w:val="TableNormal"/>
    <w:uiPriority w:val="67"/>
    <w:rsid w:val="00847853"/>
    <w:pPr>
      <w:spacing w:after="0" w:line="240" w:lineRule="auto"/>
    </w:pPr>
    <w:rPr>
      <w:rFonts w:ascii="Calibri" w:eastAsia="Calibri"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Shading1-Accent3">
    <w:name w:val="Medium Shading 1 Accent 3"/>
    <w:basedOn w:val="TableNormal"/>
    <w:uiPriority w:val="63"/>
    <w:rsid w:val="00847853"/>
    <w:pPr>
      <w:spacing w:after="0" w:line="240" w:lineRule="auto"/>
    </w:pPr>
    <w:rPr>
      <w:rFonts w:ascii="Calibri" w:eastAsia="Calibri"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Tabletext">
    <w:name w:val="Table text"/>
    <w:basedOn w:val="Normal"/>
    <w:qFormat/>
    <w:rsid w:val="00847853"/>
    <w:pPr>
      <w:widowControl w:val="0"/>
      <w:autoSpaceDE w:val="0"/>
      <w:autoSpaceDN w:val="0"/>
      <w:adjustRightInd w:val="0"/>
      <w:spacing w:before="60" w:after="60" w:line="240" w:lineRule="auto"/>
      <w:jc w:val="both"/>
    </w:pPr>
    <w:rPr>
      <w:rFonts w:ascii="Times New Roman" w:eastAsia="Calibri" w:hAnsi="Times New Roman" w:cs="Times New Roman"/>
      <w:bCs/>
      <w:sz w:val="20"/>
      <w:szCs w:val="20"/>
    </w:rPr>
  </w:style>
  <w:style w:type="table" w:styleId="LightShading-Accent1">
    <w:name w:val="Light Shading Accent 1"/>
    <w:basedOn w:val="TableNormal"/>
    <w:uiPriority w:val="60"/>
    <w:rsid w:val="00847853"/>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2">
    <w:name w:val="Style2"/>
    <w:uiPriority w:val="99"/>
    <w:rsid w:val="00847853"/>
    <w:pPr>
      <w:numPr>
        <w:numId w:val="11"/>
      </w:numPr>
    </w:pPr>
  </w:style>
  <w:style w:type="numbering" w:customStyle="1" w:styleId="Style3">
    <w:name w:val="Style3"/>
    <w:uiPriority w:val="99"/>
    <w:rsid w:val="00847853"/>
    <w:pPr>
      <w:numPr>
        <w:numId w:val="12"/>
      </w:numPr>
    </w:pPr>
  </w:style>
  <w:style w:type="numbering" w:customStyle="1" w:styleId="Style4">
    <w:name w:val="Style4"/>
    <w:uiPriority w:val="99"/>
    <w:rsid w:val="00847853"/>
    <w:pPr>
      <w:numPr>
        <w:numId w:val="13"/>
      </w:numPr>
    </w:pPr>
  </w:style>
  <w:style w:type="paragraph" w:styleId="TableofFigures">
    <w:name w:val="table of figures"/>
    <w:basedOn w:val="Normal"/>
    <w:next w:val="Normal"/>
    <w:uiPriority w:val="99"/>
    <w:unhideWhenUsed/>
    <w:rsid w:val="00847853"/>
    <w:pPr>
      <w:spacing w:after="0" w:line="240" w:lineRule="auto"/>
      <w:jc w:val="both"/>
    </w:pPr>
    <w:rPr>
      <w:rFonts w:ascii="Times New Roman" w:eastAsia="Calibri" w:hAnsi="Times New Roman" w:cs="Times New Roman"/>
    </w:rPr>
  </w:style>
  <w:style w:type="paragraph" w:customStyle="1" w:styleId="Attachmenttitle">
    <w:name w:val="Attachment title"/>
    <w:basedOn w:val="Normal"/>
    <w:qFormat/>
    <w:rsid w:val="00847853"/>
    <w:pPr>
      <w:spacing w:after="240" w:line="240" w:lineRule="auto"/>
    </w:pPr>
    <w:rPr>
      <w:rFonts w:ascii="Times New Roman" w:eastAsia="Times New Roman" w:hAnsi="Times New Roman" w:cs="Times New Roman"/>
      <w:b/>
      <w:spacing w:val="4"/>
      <w:sz w:val="24"/>
      <w:szCs w:val="24"/>
    </w:rPr>
  </w:style>
  <w:style w:type="character" w:customStyle="1" w:styleId="CaptionChar">
    <w:name w:val="Caption Char"/>
    <w:aliases w:val="Table/Figure Heading Char,Caption- Figure Char,Caption- Figure1 Char,Caption- Figure2 Char,AGT ESIA Char"/>
    <w:link w:val="Caption"/>
    <w:uiPriority w:val="35"/>
    <w:rsid w:val="00847853"/>
    <w:rPr>
      <w:rFonts w:ascii="Times New Roman" w:eastAsia="Calibri" w:hAnsi="Times New Roman" w:cs="Times New Roman"/>
      <w:b/>
      <w:bCs/>
      <w:sz w:val="18"/>
      <w:szCs w:val="18"/>
      <w:lang w:val="x-none" w:eastAsia="x-none"/>
    </w:rPr>
  </w:style>
  <w:style w:type="paragraph" w:customStyle="1" w:styleId="ftrefChar">
    <w:name w:val="ftref Char"/>
    <w:aliases w:val="BVI fnr Char,Footnote Char,16 Point Char,Superscript 6 Point Char,referencia nota al pie Char,Car Car Char Car Char Car Car Char Car Char Char Char,BVI fnr Char Char Char Char Char Char1 Char Char Char Char Char Char Char"/>
    <w:basedOn w:val="Normal"/>
    <w:uiPriority w:val="99"/>
    <w:rsid w:val="00847853"/>
    <w:pPr>
      <w:spacing w:line="240" w:lineRule="exact"/>
    </w:pPr>
    <w:rPr>
      <w:rFonts w:ascii="Calibri" w:eastAsia="Calibri" w:hAnsi="Calibri" w:cs="Times New Roman"/>
      <w:vertAlign w:val="superscript"/>
      <w:lang w:val="en-GB"/>
    </w:rPr>
  </w:style>
  <w:style w:type="paragraph" w:styleId="Revision">
    <w:name w:val="Revision"/>
    <w:hidden/>
    <w:uiPriority w:val="99"/>
    <w:semiHidden/>
    <w:rsid w:val="00847853"/>
    <w:pPr>
      <w:spacing w:after="0" w:line="240" w:lineRule="auto"/>
    </w:pPr>
    <w:rPr>
      <w:rFonts w:ascii="Times New Roman" w:eastAsia="Calibri" w:hAnsi="Times New Roman" w:cs="Times New Roman"/>
    </w:rPr>
  </w:style>
  <w:style w:type="character" w:customStyle="1" w:styleId="MarkeringsbobletekstTegn11">
    <w:name w:val="Markeringsbobletekst Tegn11"/>
    <w:uiPriority w:val="99"/>
    <w:semiHidden/>
    <w:rsid w:val="00847853"/>
    <w:rPr>
      <w:rFonts w:ascii="Lucida Grande" w:hAnsi="Lucida Grande"/>
      <w:sz w:val="18"/>
      <w:szCs w:val="18"/>
    </w:rPr>
  </w:style>
  <w:style w:type="numbering" w:customStyle="1" w:styleId="SDMFootnoteList1">
    <w:name w:val="SDMFootnoteList1"/>
    <w:uiPriority w:val="99"/>
    <w:rsid w:val="00847853"/>
    <w:pPr>
      <w:numPr>
        <w:numId w:val="21"/>
      </w:numPr>
    </w:pPr>
  </w:style>
  <w:style w:type="character" w:customStyle="1" w:styleId="hps">
    <w:name w:val="hps"/>
    <w:rsid w:val="00847853"/>
  </w:style>
  <w:style w:type="paragraph" w:customStyle="1" w:styleId="MainParanoChapter-Ch3">
    <w:name w:val="Main Para no Chapter #-Ch 3"/>
    <w:basedOn w:val="Normal"/>
    <w:qFormat/>
    <w:rsid w:val="00847853"/>
    <w:pPr>
      <w:spacing w:before="240" w:after="0" w:line="240" w:lineRule="auto"/>
      <w:jc w:val="both"/>
    </w:pPr>
    <w:rPr>
      <w:rFonts w:ascii="Times New Roman" w:eastAsia="Times New Roman" w:hAnsi="Times New Roman" w:cs="Times New Roman"/>
      <w:sz w:val="24"/>
      <w:szCs w:val="24"/>
    </w:rPr>
  </w:style>
  <w:style w:type="character" w:customStyle="1" w:styleId="Heading21">
    <w:name w:val="Heading 2.1"/>
    <w:uiPriority w:val="9"/>
    <w:qFormat/>
    <w:rsid w:val="004239E7"/>
    <w:rPr>
      <w:rFonts w:ascii="Times New Roman" w:hAnsi="Times New Roman" w:cs="Arial"/>
      <w:b/>
      <w:bCs/>
      <w:iCs/>
      <w:sz w:val="24"/>
      <w:szCs w:val="28"/>
      <w:lang w:val="it-IT" w:eastAsia="it-IT"/>
    </w:rPr>
  </w:style>
  <w:style w:type="paragraph" w:customStyle="1" w:styleId="Sub-Para4underX">
    <w:name w:val="Sub-Para 4 under X."/>
    <w:basedOn w:val="Normal"/>
    <w:rsid w:val="00847853"/>
    <w:pPr>
      <w:numPr>
        <w:ilvl w:val="5"/>
        <w:numId w:val="27"/>
      </w:numPr>
      <w:tabs>
        <w:tab w:val="clear" w:pos="2160"/>
      </w:tabs>
      <w:spacing w:after="240" w:line="240" w:lineRule="auto"/>
      <w:ind w:left="3600" w:hanging="720"/>
      <w:outlineLvl w:val="5"/>
    </w:pPr>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847853"/>
    <w:pPr>
      <w:spacing w:before="100" w:beforeAutospacing="1" w:after="100" w:afterAutospacing="1" w:line="240" w:lineRule="auto"/>
    </w:pPr>
    <w:rPr>
      <w:rFonts w:ascii="Times New Roman" w:eastAsia="Times New Roman" w:hAnsi="Times New Roman" w:cs="Times New Roman"/>
      <w:sz w:val="24"/>
      <w:szCs w:val="24"/>
      <w:lang w:val="en-ZW" w:eastAsia="en-ZW"/>
    </w:rPr>
  </w:style>
  <w:style w:type="paragraph" w:customStyle="1" w:styleId="BVIfnrCarCarCarCarChar">
    <w:name w:val="BVI fnr Car Car Car Car Char"/>
    <w:aliases w:val="BVI fnr Car Car,BVI fnr Car, BVI fnr Car Car Car Car Char, BVI fnr Car Car Car Car, BVI fnr Car Car Car Car Char Car Char Char, BVI fnr Car Car"/>
    <w:basedOn w:val="Normal"/>
    <w:uiPriority w:val="99"/>
    <w:rsid w:val="00847853"/>
    <w:pPr>
      <w:widowControl w:val="0"/>
      <w:adjustRightInd w:val="0"/>
      <w:spacing w:line="240" w:lineRule="exact"/>
      <w:jc w:val="both"/>
    </w:pPr>
    <w:rPr>
      <w:rFonts w:ascii="Times New Roman" w:eastAsia="SimSun" w:hAnsi="Times New Roman" w:cs="Times New Roman"/>
      <w:vertAlign w:val="superscript"/>
    </w:rPr>
  </w:style>
  <w:style w:type="paragraph" w:customStyle="1" w:styleId="wbparabodytext">
    <w:name w:val="wb para body text"/>
    <w:basedOn w:val="ListParagraph"/>
    <w:link w:val="wbparabodytextChar"/>
    <w:autoRedefine/>
    <w:qFormat/>
    <w:rsid w:val="00847853"/>
    <w:pPr>
      <w:spacing w:after="0" w:line="240" w:lineRule="auto"/>
      <w:ind w:left="0"/>
      <w:contextualSpacing w:val="0"/>
      <w:jc w:val="both"/>
    </w:pPr>
    <w:rPr>
      <w:rFonts w:ascii="Times New Roman" w:eastAsia="Calibri" w:hAnsi="Times New Roman" w:cs="Times New Roman"/>
      <w:bCs/>
      <w:sz w:val="24"/>
      <w:szCs w:val="24"/>
      <w:lang w:eastAsia="en-GB"/>
    </w:rPr>
  </w:style>
  <w:style w:type="character" w:customStyle="1" w:styleId="wbparabodytextChar">
    <w:name w:val="wb para body text Char"/>
    <w:link w:val="wbparabodytext"/>
    <w:rsid w:val="00847853"/>
    <w:rPr>
      <w:rFonts w:ascii="Times New Roman" w:eastAsia="Calibri" w:hAnsi="Times New Roman" w:cs="Times New Roman"/>
      <w:bCs/>
      <w:sz w:val="24"/>
      <w:szCs w:val="24"/>
      <w:lang w:eastAsia="en-GB"/>
    </w:rPr>
  </w:style>
  <w:style w:type="character" w:customStyle="1" w:styleId="U-Aufzhlung1OrdnungZchn">
    <w:name w:val="U-Aufzählung 1. Ordnung Zchn"/>
    <w:link w:val="U-Aufzhlung1Ordnung"/>
    <w:uiPriority w:val="5"/>
    <w:locked/>
    <w:rsid w:val="00847853"/>
    <w:rPr>
      <w:lang w:val="en-GB"/>
    </w:rPr>
  </w:style>
  <w:style w:type="paragraph" w:customStyle="1" w:styleId="U-Aufzhlung1Ordnung">
    <w:name w:val="U-Aufzählung 1. Ordnung"/>
    <w:basedOn w:val="Normal"/>
    <w:link w:val="U-Aufzhlung1OrdnungZchn"/>
    <w:uiPriority w:val="5"/>
    <w:qFormat/>
    <w:rsid w:val="00847853"/>
    <w:pPr>
      <w:numPr>
        <w:numId w:val="28"/>
      </w:numPr>
      <w:spacing w:after="60" w:line="264" w:lineRule="auto"/>
      <w:jc w:val="both"/>
    </w:pPr>
    <w:rPr>
      <w:lang w:val="en-GB"/>
    </w:rPr>
  </w:style>
  <w:style w:type="paragraph" w:customStyle="1" w:styleId="FootnoteReferenceLVL6">
    <w:name w:val="Footnote Reference_LVL6"/>
    <w:aliases w:val="Footnote Reference_LVL61,Footnote Reference_LVL62,Footnote Reference_LVL63,Footnote Reference_LVL64,BVI fn"/>
    <w:basedOn w:val="Normal"/>
    <w:next w:val="Normal"/>
    <w:uiPriority w:val="99"/>
    <w:rsid w:val="00847853"/>
    <w:pPr>
      <w:spacing w:line="240" w:lineRule="exact"/>
    </w:pPr>
    <w:rPr>
      <w:rFonts w:ascii="Symbol" w:eastAsia="Symbol" w:hAnsi="Symbol" w:cs="Times New Roman"/>
      <w:sz w:val="20"/>
      <w:szCs w:val="20"/>
      <w:vertAlign w:val="superscript"/>
      <w:lang w:val="x-none" w:eastAsia="x-none"/>
    </w:rPr>
  </w:style>
  <w:style w:type="paragraph" w:styleId="PlainText">
    <w:name w:val="Plain Text"/>
    <w:basedOn w:val="Normal"/>
    <w:link w:val="PlainTextChar"/>
    <w:rsid w:val="00FD5F6E"/>
    <w:pPr>
      <w:spacing w:after="0" w:line="240" w:lineRule="auto"/>
    </w:pPr>
    <w:rPr>
      <w:rFonts w:ascii="Courier New" w:eastAsia="Times New Roman" w:hAnsi="Courier New" w:cs="Courier New"/>
      <w:sz w:val="20"/>
      <w:szCs w:val="20"/>
      <w:lang w:val="fr-FR" w:eastAsia="fr-FR"/>
    </w:rPr>
  </w:style>
  <w:style w:type="character" w:customStyle="1" w:styleId="PlainTextChar">
    <w:name w:val="Plain Text Char"/>
    <w:basedOn w:val="DefaultParagraphFont"/>
    <w:link w:val="PlainText"/>
    <w:rsid w:val="00FD5F6E"/>
    <w:rPr>
      <w:rFonts w:ascii="Courier New" w:eastAsia="Times New Roman" w:hAnsi="Courier New" w:cs="Courier New"/>
      <w:sz w:val="20"/>
      <w:szCs w:val="20"/>
      <w:lang w:val="fr-FR" w:eastAsia="fr-FR"/>
    </w:rPr>
  </w:style>
  <w:style w:type="paragraph" w:styleId="TOCHeading">
    <w:name w:val="TOC Heading"/>
    <w:basedOn w:val="Heading1"/>
    <w:next w:val="Normal"/>
    <w:uiPriority w:val="39"/>
    <w:unhideWhenUsed/>
    <w:qFormat/>
    <w:rsid w:val="00786ADE"/>
    <w:pPr>
      <w:spacing w:before="240" w:line="259" w:lineRule="auto"/>
      <w:outlineLvl w:val="9"/>
    </w:pPr>
    <w:rPr>
      <w:rFonts w:eastAsiaTheme="majorEastAsia" w:cstheme="majorBidi"/>
      <w:color w:val="2F5496" w:themeColor="accent1" w:themeShade="BF"/>
      <w:sz w:val="32"/>
      <w:szCs w:val="32"/>
      <w:lang w:val="en-US" w:eastAsia="en-US"/>
    </w:rPr>
  </w:style>
  <w:style w:type="table" w:customStyle="1" w:styleId="TableGrid2">
    <w:name w:val="Table Grid2"/>
    <w:basedOn w:val="TableNormal"/>
    <w:next w:val="TableGrid"/>
    <w:uiPriority w:val="59"/>
    <w:rsid w:val="00376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4A2883"/>
    <w:pPr>
      <w:spacing w:before="40" w:after="40" w:line="240" w:lineRule="auto"/>
      <w:jc w:val="center"/>
    </w:pPr>
    <w:rPr>
      <w:rFonts w:ascii="Times New Roman" w:hAnsi="Times New Roman" w:cs="Times New Roman"/>
      <w:b/>
      <w:i/>
      <w:sz w:val="20"/>
      <w:szCs w:val="20"/>
    </w:rPr>
  </w:style>
  <w:style w:type="paragraph" w:customStyle="1" w:styleId="MainParanoChapter">
    <w:name w:val="Main Para no Chapter #"/>
    <w:basedOn w:val="Normal"/>
    <w:rsid w:val="004A2883"/>
    <w:pPr>
      <w:numPr>
        <w:numId w:val="43"/>
      </w:numPr>
      <w:spacing w:after="240" w:line="240" w:lineRule="auto"/>
      <w:jc w:val="both"/>
    </w:pPr>
    <w:rPr>
      <w:rFonts w:ascii="Times New Roman" w:eastAsia="Times New Roman" w:hAnsi="Times New Roman" w:cs="Times New Roman"/>
      <w:sz w:val="24"/>
      <w:szCs w:val="24"/>
    </w:rPr>
  </w:style>
  <w:style w:type="paragraph" w:customStyle="1" w:styleId="PDSAnnexHeading">
    <w:name w:val="PDS Annex Heading"/>
    <w:next w:val="Normal"/>
    <w:rsid w:val="004A2883"/>
    <w:pPr>
      <w:keepNext/>
      <w:spacing w:after="120" w:line="240" w:lineRule="auto"/>
      <w:jc w:val="center"/>
    </w:pPr>
    <w:rPr>
      <w:rFonts w:ascii="Times New Roman" w:eastAsia="Times New Roman" w:hAnsi="Times New Roman" w:cs="Times New Roman"/>
      <w:b/>
      <w:sz w:val="24"/>
      <w:szCs w:val="20"/>
    </w:rPr>
  </w:style>
  <w:style w:type="paragraph" w:customStyle="1" w:styleId="HEADINGP4RCHAPTER">
    <w:name w:val="HEADING P4R CHAPTER"/>
    <w:basedOn w:val="Normal"/>
    <w:qFormat/>
    <w:rsid w:val="004A2883"/>
    <w:pPr>
      <w:spacing w:before="240" w:after="240" w:line="240" w:lineRule="auto"/>
      <w:jc w:val="center"/>
      <w:outlineLvl w:val="0"/>
    </w:pPr>
    <w:rPr>
      <w:rFonts w:ascii="Times New Roman" w:hAnsi="Times New Roman" w:cs="Times New Roman"/>
      <w:b/>
      <w:smallCaps/>
      <w:sz w:val="28"/>
      <w:szCs w:val="24"/>
    </w:rPr>
  </w:style>
  <w:style w:type="table" w:customStyle="1" w:styleId="TableGrid21">
    <w:name w:val="Table Grid21"/>
    <w:basedOn w:val="TableNormal"/>
    <w:next w:val="TableGrid"/>
    <w:uiPriority w:val="59"/>
    <w:rsid w:val="004A288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2883"/>
    <w:rPr>
      <w:color w:val="808080"/>
      <w:shd w:val="clear" w:color="auto" w:fill="E6E6E6"/>
    </w:rPr>
  </w:style>
  <w:style w:type="character" w:customStyle="1" w:styleId="Style1Char">
    <w:name w:val="Style1 Char"/>
    <w:basedOn w:val="DefaultParagraphFont"/>
    <w:rsid w:val="004A2883"/>
    <w:rPr>
      <w:rFonts w:ascii="Times New Roman" w:hAnsi="Times New Roman" w:cs="Times New Roman"/>
    </w:rPr>
  </w:style>
  <w:style w:type="character" w:customStyle="1" w:styleId="Style2Char">
    <w:name w:val="Style2 Char"/>
    <w:basedOn w:val="Style1Char"/>
    <w:rsid w:val="004A2883"/>
    <w:rPr>
      <w:rFonts w:ascii="Times New Roman" w:eastAsia="Calibri" w:hAnsi="Times New Roman" w:cs="Times New Roman"/>
    </w:rPr>
  </w:style>
  <w:style w:type="table" w:customStyle="1" w:styleId="TableGrid3">
    <w:name w:val="Table Grid3"/>
    <w:basedOn w:val="TableNormal"/>
    <w:next w:val="TableGrid"/>
    <w:uiPriority w:val="59"/>
    <w:rsid w:val="004A2883"/>
    <w:pPr>
      <w:spacing w:after="0" w:line="240" w:lineRule="auto"/>
    </w:pPr>
    <w:rPr>
      <w:rFonts w:ascii="Times New Roman" w:hAnsi="Times New Roman" w:cs="Arial"/>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4A288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4A2883"/>
    <w:pPr>
      <w:spacing w:after="0" w:line="240" w:lineRule="auto"/>
    </w:pPr>
    <w:rPr>
      <w:rFonts w:ascii="Times New Roman" w:eastAsia="Batang"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4">
    <w:name w:val="xl24"/>
    <w:basedOn w:val="Normal"/>
    <w:uiPriority w:val="99"/>
    <w:rsid w:val="004A2883"/>
    <w:pPr>
      <w:spacing w:before="100" w:after="100" w:line="240" w:lineRule="auto"/>
    </w:pPr>
    <w:rPr>
      <w:rFonts w:ascii="Arial" w:eastAsia="Arial Unicode MS" w:hAnsi="Arial" w:cs="Times New Roman"/>
      <w:sz w:val="18"/>
      <w:szCs w:val="20"/>
      <w:lang w:val="en-GB"/>
    </w:rPr>
  </w:style>
  <w:style w:type="paragraph" w:styleId="EndnoteText">
    <w:name w:val="endnote text"/>
    <w:basedOn w:val="Normal"/>
    <w:link w:val="EndnoteTextChar"/>
    <w:uiPriority w:val="99"/>
    <w:semiHidden/>
    <w:unhideWhenUsed/>
    <w:rsid w:val="004A28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2883"/>
    <w:rPr>
      <w:sz w:val="20"/>
      <w:szCs w:val="20"/>
    </w:rPr>
  </w:style>
  <w:style w:type="character" w:styleId="EndnoteReference">
    <w:name w:val="endnote reference"/>
    <w:basedOn w:val="DefaultParagraphFont"/>
    <w:uiPriority w:val="99"/>
    <w:semiHidden/>
    <w:unhideWhenUsed/>
    <w:rsid w:val="004A2883"/>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4A2883"/>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E6E0BB0CD5A29C4E806FA4D7FDF3607F" ma:contentTypeVersion="3" ma:contentTypeDescription="" ma:contentTypeScope="" ma:versionID="09af7a7fd9a5ec45404cb84288d5e80f">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Authors xmlns="b99a068c-3844-4a16-badd-77233eea0529">000498494:Su Jung Song:ssong5@worldbank.org;</DocAuthors>
    <Authors xmlns="b99a068c-3844-4a16-badd-77233eea0529">
      <UserInfo>
        <DisplayName>i:0#.w|wb\wb498494</DisplayName>
        <AccountId>3919</AccountId>
        <AccountType/>
      </UserInfo>
    </Authors>
    <SequenceNum xmlns="b99a068c-3844-4a16-badd-77233eea0529" xsi:nil="true"/>
    <Cordis_x0020_ID xmlns="b99a068c-3844-4a16-badd-77233eea0529">ITM00329</Cordis_x0020_ID>
    <Stage xmlns="b99a068c-3844-4a16-badd-77233eea0529">APP</Stage>
    <PolicyExceptions xmlns="b99a068c-3844-4a16-badd-77233eea0529" xsi:nil="true"/>
    <IsTemplate xmlns="b99a068c-3844-4a16-badd-77233eea0529">false</IsTemplate>
    <HasUserUploaded xmlns="b99a068c-3844-4a16-badd-77233eea0529">true</HasUserUploaded>
    <DocumentDate xmlns="b99a068c-3844-4a16-badd-77233eea0529">2018-08-20T04:00:00+00:00</DocumentDate>
    <WBDocType xmlns="b99a068c-3844-4a16-badd-77233eea0529">Final Environmental and Social Systems Assessment</WBDocType>
    <SecurityClassification xmlns="b99a068c-3844-4a16-badd-77233eea0529">Public</SecurityClassification>
    <DeliverableID xmlns="b99a068c-3844-4a16-badd-77233eea0529" xsi:nil="true"/>
    <ProjectID xmlns="b99a068c-3844-4a16-badd-77233eea0529">P164451</ProjectID>
    <Task_x0020_ID xmlns="b99a068c-3844-4a16-badd-77233eea0529">TSK6901239</Task_x0020_ID>
    <Package xmlns="b99a068c-3844-4a16-badd-77233eea0529">true</Package>
    <TemplateDocVersion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APR:3.0,APP:3.0,APP:6.0</DisclosedVersion>
    <DocumentType xmlns="b99a068c-3844-4a16-badd-77233eea0529" xsi:nil="true"/>
    <ApprovedVersion xmlns="b99a068c-3844-4a16-badd-77233eea0529">APR:2.0,APP:2.0,APP:5.0</ApprovedVersion>
    <DocStatus xmlns="b99a068c-3844-4a16-badd-77233eea0529">23</DocStatus>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4.xml><?xml version="1.0" encoding="utf-8"?>
<?mso-contentType ?>
<SharedContentType xmlns="Microsoft.SharePoint.Taxonomy.ContentTypeSync" SourceId="a4117c50-33ca-4e49-9a5c-4b51d291b3ff" ContentTypeId="0x01010054E0FEF4951F9D49A6F48A35419983C7"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335BB-64B8-48F7-80AD-3123EC852F93}"/>
</file>

<file path=customXml/itemProps2.xml><?xml version="1.0" encoding="utf-8"?>
<ds:datastoreItem xmlns:ds="http://schemas.openxmlformats.org/officeDocument/2006/customXml" ds:itemID="{8083C660-7404-4FDF-9BC3-2600151146A5}"/>
</file>

<file path=customXml/itemProps3.xml><?xml version="1.0" encoding="utf-8"?>
<ds:datastoreItem xmlns:ds="http://schemas.openxmlformats.org/officeDocument/2006/customXml" ds:itemID="{86B55552-CDD7-4C7A-AE96-0E14535B35D0}"/>
</file>

<file path=customXml/itemProps4.xml><?xml version="1.0" encoding="utf-8"?>
<ds:datastoreItem xmlns:ds="http://schemas.openxmlformats.org/officeDocument/2006/customXml" ds:itemID="{DE06A964-C0AE-4F51-A2E8-5E88FCFAE922}"/>
</file>

<file path=customXml/itemProps5.xml><?xml version="1.0" encoding="utf-8"?>
<ds:datastoreItem xmlns:ds="http://schemas.openxmlformats.org/officeDocument/2006/customXml" ds:itemID="{645E3566-F352-4B19-94DD-57E67AD23ED5}"/>
</file>

<file path=docProps/app.xml><?xml version="1.0" encoding="utf-8"?>
<Properties xmlns="http://schemas.openxmlformats.org/officeDocument/2006/extended-properties" xmlns:vt="http://schemas.openxmlformats.org/officeDocument/2006/docPropsVTypes">
  <Template>Normal.dotm</Template>
  <TotalTime>1</TotalTime>
  <Pages>74</Pages>
  <Words>33003</Words>
  <Characters>188120</Characters>
  <Application>Microsoft Office Word</Application>
  <DocSecurity>0</DocSecurity>
  <Lines>1567</Lines>
  <Paragraphs>441</Paragraphs>
  <ScaleCrop>false</ScaleCrop>
  <HeadingPairs>
    <vt:vector size="2" baseType="variant">
      <vt:variant>
        <vt:lpstr>Title</vt:lpstr>
      </vt:variant>
      <vt:variant>
        <vt:i4>1</vt:i4>
      </vt:variant>
    </vt:vector>
  </HeadingPairs>
  <TitlesOfParts>
    <vt:vector size="1" baseType="lpstr">
      <vt:lpstr>Draft Environmental and Social Systems Assessment (ESSA)</vt:lpstr>
    </vt:vector>
  </TitlesOfParts>
  <Company/>
  <LinksUpToDate>false</LinksUpToDate>
  <CharactersWithSpaces>220682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Environmental and Social Systems Assessment (ESSA)</dc:title>
  <dc:subject/>
  <dc:creator>Josefo Tuyor</dc:creator>
  <cp:keywords/>
  <dc:description/>
  <cp:lastModifiedBy>Su Jung Song</cp:lastModifiedBy>
  <cp:revision>2</cp:revision>
  <cp:lastPrinted>2018-02-06T17:20:00Z</cp:lastPrinted>
  <dcterms:created xsi:type="dcterms:W3CDTF">2018-07-17T21:38:00Z</dcterms:created>
  <dcterms:modified xsi:type="dcterms:W3CDTF">2018-07-17T21:38:00Z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0x01010054E0FEF4951F9D49A6F48A35419983C700E6E0BB0CD5A29C4E806FA4D7FDF3607F</vt:lpwstr>
  </property>
  <property fmtid="{D5CDD505-2E9C-101B-9397-08002B2CF9AE}" pid="3" name="RatedBy">
    <vt:lpwstr/>
  </property>
  <property fmtid="{D5CDD505-2E9C-101B-9397-08002B2CF9AE}" pid="4" name="LikedBy">
    <vt:lpwstr/>
  </property>
  <property fmtid="{D5CDD505-2E9C-101B-9397-08002B2CF9AE}" pid="5" name="Ratings">
    <vt:lpwstr/>
  </property>
</Properties>
</file>