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F08CC" w14:textId="77777777" w:rsidR="00D35C14" w:rsidRDefault="00D35C14" w:rsidP="00D35C14">
      <w:pPr>
        <w:spacing w:after="120" w:line="360" w:lineRule="auto"/>
        <w:rPr>
          <w:rFonts w:eastAsia="Times New Roman"/>
          <w:smallCaps/>
          <w:sz w:val="36"/>
          <w:szCs w:val="36"/>
        </w:rPr>
      </w:pPr>
      <w:bookmarkStart w:id="0" w:name="_GoBack"/>
      <w:bookmarkEnd w:id="0"/>
    </w:p>
    <w:p w14:paraId="483688E7" w14:textId="149A6630" w:rsidR="002C4A68" w:rsidRPr="00D35C14" w:rsidRDefault="002C4A68" w:rsidP="00D35C14">
      <w:pPr>
        <w:spacing w:after="120" w:line="360" w:lineRule="auto"/>
        <w:rPr>
          <w:rFonts w:eastAsia="Times New Roman"/>
          <w:smallCaps/>
          <w:sz w:val="36"/>
          <w:szCs w:val="36"/>
        </w:rPr>
      </w:pPr>
      <w:r w:rsidRPr="00D35C14">
        <w:rPr>
          <w:rFonts w:eastAsia="Times New Roman"/>
          <w:smallCaps/>
          <w:sz w:val="36"/>
          <w:szCs w:val="36"/>
        </w:rPr>
        <w:t xml:space="preserve">Financial Sector Assessment </w:t>
      </w:r>
    </w:p>
    <w:p w14:paraId="6F2ED590" w14:textId="77777777" w:rsidR="002C4A68" w:rsidRPr="0074410D" w:rsidRDefault="003D2797" w:rsidP="00D35C14">
      <w:pPr>
        <w:spacing w:after="120" w:line="360" w:lineRule="auto"/>
        <w:rPr>
          <w:smallCaps/>
          <w:sz w:val="72"/>
        </w:rPr>
      </w:pPr>
      <w:bookmarkStart w:id="1" w:name="_Toc468005992"/>
      <w:bookmarkStart w:id="2" w:name="_Toc468007382"/>
      <w:bookmarkStart w:id="3" w:name="_Toc468007518"/>
      <w:r>
        <w:rPr>
          <w:smallCaps/>
          <w:sz w:val="72"/>
        </w:rPr>
        <w:t>Turkey</w:t>
      </w:r>
    </w:p>
    <w:bookmarkEnd w:id="1"/>
    <w:bookmarkEnd w:id="2"/>
    <w:bookmarkEnd w:id="3"/>
    <w:p w14:paraId="72C3F8BC" w14:textId="5C36F6AB" w:rsidR="002C4A68" w:rsidRPr="00D35C14" w:rsidRDefault="00E91F49" w:rsidP="00D35C14">
      <w:pPr>
        <w:spacing w:after="120" w:line="360" w:lineRule="auto"/>
        <w:rPr>
          <w:rFonts w:eastAsia="Times New Roman"/>
          <w:smallCaps/>
          <w:sz w:val="36"/>
          <w:szCs w:val="36"/>
        </w:rPr>
      </w:pPr>
      <w:r w:rsidRPr="00D35C14">
        <w:rPr>
          <w:rFonts w:eastAsia="Times New Roman"/>
          <w:smallCaps/>
          <w:sz w:val="36"/>
          <w:szCs w:val="36"/>
        </w:rPr>
        <w:t>December</w:t>
      </w:r>
      <w:r w:rsidR="00A92E6B" w:rsidRPr="00D35C14">
        <w:rPr>
          <w:rFonts w:eastAsia="Times New Roman"/>
          <w:smallCaps/>
          <w:sz w:val="36"/>
          <w:szCs w:val="36"/>
        </w:rPr>
        <w:t xml:space="preserve"> </w:t>
      </w:r>
      <w:r w:rsidR="00314E56" w:rsidRPr="00D35C14">
        <w:rPr>
          <w:rFonts w:eastAsia="Times New Roman"/>
          <w:smallCaps/>
          <w:sz w:val="36"/>
          <w:szCs w:val="36"/>
        </w:rPr>
        <w:t>2016</w:t>
      </w:r>
    </w:p>
    <w:p w14:paraId="4249B39D" w14:textId="77777777" w:rsidR="00D35C14" w:rsidRDefault="00D35C14" w:rsidP="00D35C14">
      <w:pPr>
        <w:keepNext/>
        <w:spacing w:after="120" w:line="360" w:lineRule="auto"/>
        <w:rPr>
          <w:smallCaps/>
          <w:sz w:val="22"/>
          <w:szCs w:val="22"/>
        </w:rPr>
      </w:pPr>
    </w:p>
    <w:p w14:paraId="632A3536" w14:textId="71FC397A" w:rsidR="007D5D38" w:rsidRPr="00D35C14" w:rsidRDefault="003D2797" w:rsidP="00D35C14">
      <w:pPr>
        <w:keepNext/>
        <w:spacing w:line="240" w:lineRule="auto"/>
        <w:rPr>
          <w:smallCaps/>
          <w:sz w:val="36"/>
          <w:szCs w:val="36"/>
        </w:rPr>
      </w:pPr>
      <w:r w:rsidRPr="00D35C14">
        <w:rPr>
          <w:smallCaps/>
          <w:sz w:val="36"/>
          <w:szCs w:val="36"/>
        </w:rPr>
        <w:t>Financ</w:t>
      </w:r>
      <w:r w:rsidR="00D35C14" w:rsidRPr="00D35C14">
        <w:rPr>
          <w:smallCaps/>
          <w:sz w:val="36"/>
          <w:szCs w:val="36"/>
        </w:rPr>
        <w:t>e</w:t>
      </w:r>
      <w:r w:rsidRPr="00D35C14">
        <w:rPr>
          <w:smallCaps/>
          <w:sz w:val="36"/>
          <w:szCs w:val="36"/>
        </w:rPr>
        <w:t xml:space="preserve"> and Markets Global Practice</w:t>
      </w:r>
    </w:p>
    <w:p w14:paraId="65484EA1" w14:textId="77777777" w:rsidR="007D5D38" w:rsidRPr="00D35C14" w:rsidRDefault="003D2797" w:rsidP="00D35C14">
      <w:pPr>
        <w:keepNext/>
        <w:spacing w:line="240" w:lineRule="auto"/>
        <w:rPr>
          <w:smallCaps/>
          <w:sz w:val="36"/>
          <w:szCs w:val="36"/>
        </w:rPr>
      </w:pPr>
      <w:r w:rsidRPr="00D35C14">
        <w:rPr>
          <w:smallCaps/>
          <w:sz w:val="36"/>
          <w:szCs w:val="36"/>
        </w:rPr>
        <w:t>Europe and Central Asia</w:t>
      </w:r>
      <w:r w:rsidR="007D5D38" w:rsidRPr="00D35C14">
        <w:rPr>
          <w:smallCaps/>
          <w:sz w:val="36"/>
          <w:szCs w:val="36"/>
        </w:rPr>
        <w:t xml:space="preserve"> Regional Vice Presidency</w:t>
      </w:r>
    </w:p>
    <w:p w14:paraId="0E7B12A1" w14:textId="519C9D0C" w:rsidR="007D5D38" w:rsidRDefault="007D5D38" w:rsidP="00BF07E1">
      <w:pPr>
        <w:spacing w:before="360"/>
        <w:rPr>
          <w:smallCaps/>
          <w:w w:val="105"/>
          <w:sz w:val="36"/>
          <w:szCs w:val="36"/>
        </w:rPr>
      </w:pPr>
    </w:p>
    <w:p w14:paraId="0041A3E3" w14:textId="77777777" w:rsidR="00D35C14" w:rsidRPr="0074410D" w:rsidRDefault="00D35C14" w:rsidP="00BF07E1">
      <w:pPr>
        <w:spacing w:before="360"/>
        <w:rPr>
          <w:smallCaps/>
          <w:w w:val="105"/>
          <w:sz w:val="36"/>
          <w:szCs w:val="36"/>
        </w:rPr>
      </w:pPr>
    </w:p>
    <w:p w14:paraId="22866C21" w14:textId="77777777" w:rsidR="002C4A68" w:rsidRPr="0074410D" w:rsidRDefault="003D2797" w:rsidP="00BF07E1">
      <w:pPr>
        <w:spacing w:before="120"/>
        <w:rPr>
          <w:smallCaps/>
          <w:w w:val="105"/>
          <w:sz w:val="36"/>
          <w:szCs w:val="36"/>
        </w:rPr>
      </w:pPr>
      <w:r w:rsidRPr="003D2797">
        <w:rPr>
          <w:bCs/>
        </w:rPr>
        <w:t>An IMF and a World Bank team visited T</w:t>
      </w:r>
      <w:r w:rsidR="005C5361">
        <w:rPr>
          <w:bCs/>
        </w:rPr>
        <w:t>urkey during 6-25 April and 13</w:t>
      </w:r>
      <w:r w:rsidRPr="003D2797">
        <w:rPr>
          <w:bCs/>
        </w:rPr>
        <w:t>-29 June 2016 to conduct an assessment under the Financial Sector Assessment Program (FSAP)</w:t>
      </w:r>
      <w:r w:rsidR="00F254CB">
        <w:rPr>
          <w:bCs/>
        </w:rPr>
        <w:t>.</w:t>
      </w:r>
      <w:r w:rsidR="000D7861" w:rsidRPr="0074410D">
        <w:rPr>
          <w:sz w:val="20"/>
          <w:vertAlign w:val="superscript"/>
        </w:rPr>
        <w:footnoteReference w:id="2"/>
      </w:r>
      <w:r w:rsidR="000D7861" w:rsidRPr="000D7861">
        <w:rPr>
          <w:bCs/>
        </w:rPr>
        <w:t xml:space="preserve">  </w:t>
      </w:r>
    </w:p>
    <w:p w14:paraId="19EEE5F6" w14:textId="77777777" w:rsidR="002C4A68" w:rsidRPr="0074410D" w:rsidRDefault="002C4A68" w:rsidP="00BF07E1">
      <w:pPr>
        <w:spacing w:before="120"/>
        <w:jc w:val="center"/>
        <w:rPr>
          <w:smallCaps/>
          <w:w w:val="105"/>
          <w:sz w:val="36"/>
          <w:szCs w:val="36"/>
        </w:rPr>
      </w:pPr>
    </w:p>
    <w:p w14:paraId="7CF8DC24" w14:textId="77777777" w:rsidR="002C4A68" w:rsidRPr="0074410D" w:rsidRDefault="002C4A68" w:rsidP="00BF07E1">
      <w:pPr>
        <w:pStyle w:val="Heading1"/>
        <w:numPr>
          <w:ilvl w:val="0"/>
          <w:numId w:val="0"/>
        </w:numPr>
        <w:sectPr w:rsidR="002C4A68" w:rsidRPr="0074410D" w:rsidSect="00D44CF2">
          <w:headerReference w:type="default" r:id="rId11"/>
          <w:pgSz w:w="12240" w:h="15840" w:code="1"/>
          <w:pgMar w:top="1440" w:right="1440" w:bottom="1440" w:left="1800" w:header="720" w:footer="720" w:gutter="0"/>
          <w:cols w:space="720"/>
          <w:titlePg/>
          <w:docGrid w:linePitch="360"/>
        </w:sectPr>
      </w:pPr>
    </w:p>
    <w:p w14:paraId="17FABA54" w14:textId="77777777" w:rsidR="007729D7" w:rsidRDefault="007729D7" w:rsidP="00D35C14">
      <w:pPr>
        <w:tabs>
          <w:tab w:val="right" w:pos="9000"/>
        </w:tabs>
        <w:jc w:val="center"/>
        <w:rPr>
          <w:b/>
          <w:smallCaps/>
        </w:rPr>
      </w:pPr>
      <w:bookmarkStart w:id="4" w:name="AddContents"/>
      <w:bookmarkStart w:id="5" w:name="_Toc278330488"/>
      <w:bookmarkStart w:id="6" w:name="_Toc274731916"/>
      <w:bookmarkStart w:id="7" w:name="bkTOCTables"/>
      <w:bookmarkStart w:id="8" w:name="_Toc278816556"/>
      <w:bookmarkStart w:id="9" w:name="_Toc278816840"/>
      <w:bookmarkStart w:id="10" w:name="_Toc278817076"/>
      <w:bookmarkStart w:id="11" w:name="_Toc278817281"/>
      <w:bookmarkStart w:id="12" w:name="_Toc278873322"/>
      <w:bookmarkStart w:id="13" w:name="_Toc278873477"/>
      <w:bookmarkStart w:id="14" w:name="_Toc278873717"/>
      <w:bookmarkStart w:id="15" w:name="_Toc278882196"/>
      <w:bookmarkStart w:id="16" w:name="_Toc278883749"/>
      <w:bookmarkStart w:id="17" w:name="_Toc278887364"/>
      <w:bookmarkStart w:id="18" w:name="_Toc278887552"/>
      <w:bookmarkStart w:id="19" w:name="_Toc278887603"/>
      <w:bookmarkStart w:id="20" w:name="_Toc278887745"/>
      <w:bookmarkStart w:id="21" w:name="_Toc278897177"/>
      <w:bookmarkStart w:id="22" w:name="_Toc290976013"/>
      <w:bookmarkStart w:id="23" w:name="_Toc290980276"/>
      <w:bookmarkStart w:id="24" w:name="_Toc304472075"/>
      <w:bookmarkEnd w:id="4"/>
    </w:p>
    <w:p w14:paraId="72223FBF" w14:textId="7235E0B7" w:rsidR="00D35319" w:rsidRPr="00D35C14" w:rsidRDefault="00D35319" w:rsidP="00D35C14">
      <w:pPr>
        <w:tabs>
          <w:tab w:val="right" w:pos="9000"/>
        </w:tabs>
        <w:jc w:val="center"/>
        <w:rPr>
          <w:b/>
          <w:smallCaps/>
        </w:rPr>
      </w:pPr>
      <w:r w:rsidRPr="00D35C14">
        <w:rPr>
          <w:b/>
          <w:smallCaps/>
        </w:rPr>
        <w:t>Contents</w:t>
      </w:r>
    </w:p>
    <w:bookmarkStart w:id="25" w:name="AddTables"/>
    <w:bookmarkEnd w:id="25"/>
    <w:p w14:paraId="2B6D7DEF" w14:textId="5F421AD3" w:rsidR="007729D7" w:rsidRDefault="00CB0E88">
      <w:pPr>
        <w:pStyle w:val="TOC1"/>
        <w:rPr>
          <w:rFonts w:asciiTheme="minorHAnsi" w:eastAsiaTheme="minorEastAsia" w:hAnsiTheme="minorHAnsi" w:cstheme="minorBidi"/>
          <w:b w:val="0"/>
          <w:sz w:val="22"/>
          <w:szCs w:val="22"/>
        </w:rPr>
      </w:pPr>
      <w:r>
        <w:fldChar w:fldCharType="begin"/>
      </w:r>
      <w:r>
        <w:instrText xml:space="preserve"> TOC \o "1-2" \t "Unnumbered Heading 1,1" </w:instrText>
      </w:r>
      <w:r>
        <w:fldChar w:fldCharType="separate"/>
      </w:r>
      <w:r w:rsidR="007729D7">
        <w:t>Overall Assessment and Main Recommendations</w:t>
      </w:r>
      <w:r w:rsidR="007729D7">
        <w:tab/>
      </w:r>
      <w:r w:rsidR="007729D7">
        <w:fldChar w:fldCharType="begin"/>
      </w:r>
      <w:r w:rsidR="007729D7">
        <w:instrText xml:space="preserve"> PAGEREF _Toc469295345 \h </w:instrText>
      </w:r>
      <w:r w:rsidR="007729D7">
        <w:fldChar w:fldCharType="separate"/>
      </w:r>
      <w:r w:rsidR="00994472">
        <w:t>4</w:t>
      </w:r>
      <w:r w:rsidR="007729D7">
        <w:fldChar w:fldCharType="end"/>
      </w:r>
    </w:p>
    <w:p w14:paraId="22850FEB" w14:textId="12ED6CEA" w:rsidR="007729D7" w:rsidRDefault="007729D7">
      <w:pPr>
        <w:pStyle w:val="TOC1"/>
        <w:rPr>
          <w:rFonts w:asciiTheme="minorHAnsi" w:eastAsiaTheme="minorEastAsia" w:hAnsiTheme="minorHAnsi" w:cstheme="minorBidi"/>
          <w:b w:val="0"/>
          <w:sz w:val="22"/>
          <w:szCs w:val="22"/>
        </w:rPr>
      </w:pPr>
      <w:r>
        <w:t>I. Macrofinancial Outlook</w:t>
      </w:r>
      <w:r>
        <w:tab/>
      </w:r>
      <w:r>
        <w:fldChar w:fldCharType="begin"/>
      </w:r>
      <w:r>
        <w:instrText xml:space="preserve"> PAGEREF _Toc469295346 \h </w:instrText>
      </w:r>
      <w:r>
        <w:fldChar w:fldCharType="separate"/>
      </w:r>
      <w:r w:rsidR="00994472">
        <w:t>6</w:t>
      </w:r>
      <w:r>
        <w:fldChar w:fldCharType="end"/>
      </w:r>
    </w:p>
    <w:p w14:paraId="65C078E5" w14:textId="4B21ED71" w:rsidR="007729D7" w:rsidRDefault="007729D7">
      <w:pPr>
        <w:pStyle w:val="TOC1"/>
        <w:rPr>
          <w:rFonts w:asciiTheme="minorHAnsi" w:eastAsiaTheme="minorEastAsia" w:hAnsiTheme="minorHAnsi" w:cstheme="minorBidi"/>
          <w:b w:val="0"/>
          <w:sz w:val="22"/>
          <w:szCs w:val="22"/>
        </w:rPr>
      </w:pPr>
      <w:r>
        <w:t>II. Banking and Corporate Sectors and Households Finances</w:t>
      </w:r>
      <w:r>
        <w:tab/>
      </w:r>
      <w:r>
        <w:fldChar w:fldCharType="begin"/>
      </w:r>
      <w:r>
        <w:instrText xml:space="preserve"> PAGEREF _Toc469295347 \h </w:instrText>
      </w:r>
      <w:r>
        <w:fldChar w:fldCharType="separate"/>
      </w:r>
      <w:r w:rsidR="00994472">
        <w:t>7</w:t>
      </w:r>
      <w:r>
        <w:fldChar w:fldCharType="end"/>
      </w:r>
    </w:p>
    <w:p w14:paraId="23EAD0D2" w14:textId="4099D37A" w:rsidR="007729D7" w:rsidRDefault="007729D7">
      <w:pPr>
        <w:pStyle w:val="TOC1"/>
        <w:rPr>
          <w:rFonts w:asciiTheme="minorHAnsi" w:eastAsiaTheme="minorEastAsia" w:hAnsiTheme="minorHAnsi" w:cstheme="minorBidi"/>
          <w:b w:val="0"/>
          <w:sz w:val="22"/>
          <w:szCs w:val="22"/>
        </w:rPr>
      </w:pPr>
      <w:r>
        <w:t>III. Vulnerabilities</w:t>
      </w:r>
      <w:r>
        <w:tab/>
      </w:r>
      <w:r>
        <w:fldChar w:fldCharType="begin"/>
      </w:r>
      <w:r>
        <w:instrText xml:space="preserve"> PAGEREF _Toc469295348 \h </w:instrText>
      </w:r>
      <w:r>
        <w:fldChar w:fldCharType="separate"/>
      </w:r>
      <w:r w:rsidR="00994472">
        <w:t>9</w:t>
      </w:r>
      <w:r>
        <w:fldChar w:fldCharType="end"/>
      </w:r>
    </w:p>
    <w:p w14:paraId="0259C3C9" w14:textId="4D51E0AB" w:rsidR="007729D7" w:rsidRDefault="007729D7">
      <w:pPr>
        <w:pStyle w:val="TOC1"/>
        <w:rPr>
          <w:rFonts w:asciiTheme="minorHAnsi" w:eastAsiaTheme="minorEastAsia" w:hAnsiTheme="minorHAnsi" w:cstheme="minorBidi"/>
          <w:b w:val="0"/>
          <w:sz w:val="22"/>
          <w:szCs w:val="22"/>
        </w:rPr>
      </w:pPr>
      <w:r>
        <w:t>IV. Policies to enhance resilience, integrity, and financial sector effectiveness</w:t>
      </w:r>
      <w:r>
        <w:tab/>
      </w:r>
      <w:r>
        <w:fldChar w:fldCharType="begin"/>
      </w:r>
      <w:r>
        <w:instrText xml:space="preserve"> PAGEREF _Toc469295349 \h </w:instrText>
      </w:r>
      <w:r>
        <w:fldChar w:fldCharType="separate"/>
      </w:r>
      <w:r w:rsidR="00994472">
        <w:t>10</w:t>
      </w:r>
      <w:r>
        <w:fldChar w:fldCharType="end"/>
      </w:r>
    </w:p>
    <w:p w14:paraId="48B8B209" w14:textId="73BF5B93" w:rsidR="007729D7" w:rsidRDefault="007729D7">
      <w:pPr>
        <w:pStyle w:val="TOC2"/>
        <w:rPr>
          <w:rFonts w:asciiTheme="minorHAnsi" w:eastAsiaTheme="minorEastAsia" w:hAnsiTheme="minorHAnsi" w:cstheme="minorBidi"/>
          <w:noProof/>
          <w:sz w:val="22"/>
          <w:szCs w:val="22"/>
        </w:rPr>
      </w:pPr>
      <w:r>
        <w:rPr>
          <w:noProof/>
        </w:rPr>
        <w:t>A. Regulatory and Supervisory Framework</w:t>
      </w:r>
      <w:r>
        <w:rPr>
          <w:noProof/>
        </w:rPr>
        <w:tab/>
      </w:r>
      <w:r>
        <w:rPr>
          <w:noProof/>
        </w:rPr>
        <w:fldChar w:fldCharType="begin"/>
      </w:r>
      <w:r>
        <w:rPr>
          <w:noProof/>
        </w:rPr>
        <w:instrText xml:space="preserve"> PAGEREF _Toc469295350 \h </w:instrText>
      </w:r>
      <w:r>
        <w:rPr>
          <w:noProof/>
        </w:rPr>
      </w:r>
      <w:r>
        <w:rPr>
          <w:noProof/>
        </w:rPr>
        <w:fldChar w:fldCharType="separate"/>
      </w:r>
      <w:r w:rsidR="00994472">
        <w:rPr>
          <w:noProof/>
        </w:rPr>
        <w:t>10</w:t>
      </w:r>
      <w:r>
        <w:rPr>
          <w:noProof/>
        </w:rPr>
        <w:fldChar w:fldCharType="end"/>
      </w:r>
    </w:p>
    <w:p w14:paraId="7092F011" w14:textId="33AEA894" w:rsidR="007729D7" w:rsidRDefault="007729D7">
      <w:pPr>
        <w:pStyle w:val="TOC2"/>
        <w:rPr>
          <w:rFonts w:asciiTheme="minorHAnsi" w:eastAsiaTheme="minorEastAsia" w:hAnsiTheme="minorHAnsi" w:cstheme="minorBidi"/>
          <w:noProof/>
          <w:sz w:val="22"/>
          <w:szCs w:val="22"/>
        </w:rPr>
      </w:pPr>
      <w:r>
        <w:rPr>
          <w:noProof/>
        </w:rPr>
        <w:t>B. Financial Market Infrastructure and its Oversight</w:t>
      </w:r>
      <w:r>
        <w:rPr>
          <w:noProof/>
        </w:rPr>
        <w:tab/>
      </w:r>
      <w:r>
        <w:rPr>
          <w:noProof/>
        </w:rPr>
        <w:fldChar w:fldCharType="begin"/>
      </w:r>
      <w:r>
        <w:rPr>
          <w:noProof/>
        </w:rPr>
        <w:instrText xml:space="preserve"> PAGEREF _Toc469295351 \h </w:instrText>
      </w:r>
      <w:r>
        <w:rPr>
          <w:noProof/>
        </w:rPr>
      </w:r>
      <w:r>
        <w:rPr>
          <w:noProof/>
        </w:rPr>
        <w:fldChar w:fldCharType="separate"/>
      </w:r>
      <w:r w:rsidR="00994472">
        <w:rPr>
          <w:noProof/>
        </w:rPr>
        <w:t>11</w:t>
      </w:r>
      <w:r>
        <w:rPr>
          <w:noProof/>
        </w:rPr>
        <w:fldChar w:fldCharType="end"/>
      </w:r>
    </w:p>
    <w:p w14:paraId="5010A320" w14:textId="05513EAB" w:rsidR="007729D7" w:rsidRDefault="007729D7">
      <w:pPr>
        <w:pStyle w:val="TOC2"/>
        <w:rPr>
          <w:rFonts w:asciiTheme="minorHAnsi" w:eastAsiaTheme="minorEastAsia" w:hAnsiTheme="minorHAnsi" w:cstheme="minorBidi"/>
          <w:noProof/>
          <w:sz w:val="22"/>
          <w:szCs w:val="22"/>
        </w:rPr>
      </w:pPr>
      <w:r>
        <w:rPr>
          <w:noProof/>
        </w:rPr>
        <w:t>C. Oversight and Management of Systemic Risks</w:t>
      </w:r>
      <w:r>
        <w:rPr>
          <w:noProof/>
        </w:rPr>
        <w:tab/>
      </w:r>
      <w:r>
        <w:rPr>
          <w:noProof/>
        </w:rPr>
        <w:fldChar w:fldCharType="begin"/>
      </w:r>
      <w:r>
        <w:rPr>
          <w:noProof/>
        </w:rPr>
        <w:instrText xml:space="preserve"> PAGEREF _Toc469295352 \h </w:instrText>
      </w:r>
      <w:r>
        <w:rPr>
          <w:noProof/>
        </w:rPr>
      </w:r>
      <w:r>
        <w:rPr>
          <w:noProof/>
        </w:rPr>
        <w:fldChar w:fldCharType="separate"/>
      </w:r>
      <w:r w:rsidR="00994472">
        <w:rPr>
          <w:noProof/>
        </w:rPr>
        <w:t>12</w:t>
      </w:r>
      <w:r>
        <w:rPr>
          <w:noProof/>
        </w:rPr>
        <w:fldChar w:fldCharType="end"/>
      </w:r>
    </w:p>
    <w:p w14:paraId="294EF2A5" w14:textId="13B4DFF4" w:rsidR="007729D7" w:rsidRDefault="007729D7">
      <w:pPr>
        <w:pStyle w:val="TOC2"/>
        <w:rPr>
          <w:rFonts w:asciiTheme="minorHAnsi" w:eastAsiaTheme="minorEastAsia" w:hAnsiTheme="minorHAnsi" w:cstheme="minorBidi"/>
          <w:noProof/>
          <w:sz w:val="22"/>
          <w:szCs w:val="22"/>
        </w:rPr>
      </w:pPr>
      <w:r>
        <w:rPr>
          <w:noProof/>
        </w:rPr>
        <w:t>D. Managing Systemic Liquidity</w:t>
      </w:r>
      <w:r>
        <w:rPr>
          <w:noProof/>
        </w:rPr>
        <w:tab/>
      </w:r>
      <w:r>
        <w:rPr>
          <w:noProof/>
        </w:rPr>
        <w:fldChar w:fldCharType="begin"/>
      </w:r>
      <w:r>
        <w:rPr>
          <w:noProof/>
        </w:rPr>
        <w:instrText xml:space="preserve"> PAGEREF _Toc469295353 \h </w:instrText>
      </w:r>
      <w:r>
        <w:rPr>
          <w:noProof/>
        </w:rPr>
      </w:r>
      <w:r>
        <w:rPr>
          <w:noProof/>
        </w:rPr>
        <w:fldChar w:fldCharType="separate"/>
      </w:r>
      <w:r w:rsidR="00994472">
        <w:rPr>
          <w:noProof/>
        </w:rPr>
        <w:t>13</w:t>
      </w:r>
      <w:r>
        <w:rPr>
          <w:noProof/>
        </w:rPr>
        <w:fldChar w:fldCharType="end"/>
      </w:r>
    </w:p>
    <w:p w14:paraId="54BF6C9F" w14:textId="2F6A336D" w:rsidR="007729D7" w:rsidRDefault="007729D7">
      <w:pPr>
        <w:pStyle w:val="TOC2"/>
        <w:rPr>
          <w:rFonts w:asciiTheme="minorHAnsi" w:eastAsiaTheme="minorEastAsia" w:hAnsiTheme="minorHAnsi" w:cstheme="minorBidi"/>
          <w:noProof/>
          <w:sz w:val="22"/>
          <w:szCs w:val="22"/>
        </w:rPr>
      </w:pPr>
      <w:r>
        <w:rPr>
          <w:noProof/>
        </w:rPr>
        <w:t>E. Financial Safety Nets, Bank Resolution, and Crisis Management Arrangements</w:t>
      </w:r>
      <w:r>
        <w:rPr>
          <w:noProof/>
        </w:rPr>
        <w:tab/>
      </w:r>
      <w:r>
        <w:rPr>
          <w:noProof/>
        </w:rPr>
        <w:fldChar w:fldCharType="begin"/>
      </w:r>
      <w:r>
        <w:rPr>
          <w:noProof/>
        </w:rPr>
        <w:instrText xml:space="preserve"> PAGEREF _Toc469295354 \h </w:instrText>
      </w:r>
      <w:r>
        <w:rPr>
          <w:noProof/>
        </w:rPr>
      </w:r>
      <w:r>
        <w:rPr>
          <w:noProof/>
        </w:rPr>
        <w:fldChar w:fldCharType="separate"/>
      </w:r>
      <w:r w:rsidR="00994472">
        <w:rPr>
          <w:noProof/>
        </w:rPr>
        <w:t>14</w:t>
      </w:r>
      <w:r>
        <w:rPr>
          <w:noProof/>
        </w:rPr>
        <w:fldChar w:fldCharType="end"/>
      </w:r>
    </w:p>
    <w:p w14:paraId="4EB6F0F1" w14:textId="743FCBF5" w:rsidR="007729D7" w:rsidRDefault="007729D7">
      <w:pPr>
        <w:pStyle w:val="TOC2"/>
        <w:rPr>
          <w:rFonts w:asciiTheme="minorHAnsi" w:eastAsiaTheme="minorEastAsia" w:hAnsiTheme="minorHAnsi" w:cstheme="minorBidi"/>
          <w:noProof/>
          <w:sz w:val="22"/>
          <w:szCs w:val="22"/>
        </w:rPr>
      </w:pPr>
      <w:r>
        <w:rPr>
          <w:noProof/>
        </w:rPr>
        <w:t>F. Financial Integrity</w:t>
      </w:r>
      <w:r>
        <w:rPr>
          <w:noProof/>
        </w:rPr>
        <w:tab/>
      </w:r>
      <w:r>
        <w:rPr>
          <w:noProof/>
        </w:rPr>
        <w:fldChar w:fldCharType="begin"/>
      </w:r>
      <w:r>
        <w:rPr>
          <w:noProof/>
        </w:rPr>
        <w:instrText xml:space="preserve"> PAGEREF _Toc469295355 \h </w:instrText>
      </w:r>
      <w:r>
        <w:rPr>
          <w:noProof/>
        </w:rPr>
      </w:r>
      <w:r>
        <w:rPr>
          <w:noProof/>
        </w:rPr>
        <w:fldChar w:fldCharType="separate"/>
      </w:r>
      <w:r w:rsidR="00994472">
        <w:rPr>
          <w:noProof/>
        </w:rPr>
        <w:t>15</w:t>
      </w:r>
      <w:r>
        <w:rPr>
          <w:noProof/>
        </w:rPr>
        <w:fldChar w:fldCharType="end"/>
      </w:r>
    </w:p>
    <w:p w14:paraId="5B463DF1" w14:textId="30664B09" w:rsidR="007729D7" w:rsidRDefault="007729D7">
      <w:pPr>
        <w:pStyle w:val="TOC1"/>
        <w:rPr>
          <w:rFonts w:asciiTheme="minorHAnsi" w:eastAsiaTheme="minorEastAsia" w:hAnsiTheme="minorHAnsi" w:cstheme="minorBidi"/>
          <w:b w:val="0"/>
          <w:sz w:val="22"/>
          <w:szCs w:val="22"/>
        </w:rPr>
      </w:pPr>
      <w:r>
        <w:t>V. Broadening markets and services</w:t>
      </w:r>
      <w:r>
        <w:tab/>
      </w:r>
      <w:r>
        <w:fldChar w:fldCharType="begin"/>
      </w:r>
      <w:r>
        <w:instrText xml:space="preserve"> PAGEREF _Toc469295356 \h </w:instrText>
      </w:r>
      <w:r>
        <w:fldChar w:fldCharType="separate"/>
      </w:r>
      <w:r w:rsidR="00994472">
        <w:t>17</w:t>
      </w:r>
      <w:r>
        <w:fldChar w:fldCharType="end"/>
      </w:r>
    </w:p>
    <w:p w14:paraId="30C33213" w14:textId="0350A6CF" w:rsidR="007729D7" w:rsidRDefault="007729D7">
      <w:pPr>
        <w:pStyle w:val="TOC2"/>
        <w:rPr>
          <w:rFonts w:asciiTheme="minorHAnsi" w:eastAsiaTheme="minorEastAsia" w:hAnsiTheme="minorHAnsi" w:cstheme="minorBidi"/>
          <w:noProof/>
          <w:sz w:val="22"/>
          <w:szCs w:val="22"/>
        </w:rPr>
      </w:pPr>
      <w:r>
        <w:rPr>
          <w:noProof/>
        </w:rPr>
        <w:t>A. Developing and Deepening Turkish Capital Markets</w:t>
      </w:r>
      <w:r>
        <w:rPr>
          <w:noProof/>
        </w:rPr>
        <w:tab/>
      </w:r>
      <w:r>
        <w:rPr>
          <w:noProof/>
        </w:rPr>
        <w:fldChar w:fldCharType="begin"/>
      </w:r>
      <w:r>
        <w:rPr>
          <w:noProof/>
        </w:rPr>
        <w:instrText xml:space="preserve"> PAGEREF _Toc469295357 \h </w:instrText>
      </w:r>
      <w:r>
        <w:rPr>
          <w:noProof/>
        </w:rPr>
      </w:r>
      <w:r>
        <w:rPr>
          <w:noProof/>
        </w:rPr>
        <w:fldChar w:fldCharType="separate"/>
      </w:r>
      <w:r w:rsidR="00994472">
        <w:rPr>
          <w:noProof/>
        </w:rPr>
        <w:t>17</w:t>
      </w:r>
      <w:r>
        <w:rPr>
          <w:noProof/>
        </w:rPr>
        <w:fldChar w:fldCharType="end"/>
      </w:r>
    </w:p>
    <w:p w14:paraId="4B64CF7B" w14:textId="749DDF03" w:rsidR="007729D7" w:rsidRDefault="007729D7">
      <w:pPr>
        <w:pStyle w:val="TOC2"/>
        <w:rPr>
          <w:rFonts w:asciiTheme="minorHAnsi" w:eastAsiaTheme="minorEastAsia" w:hAnsiTheme="minorHAnsi" w:cstheme="minorBidi"/>
          <w:noProof/>
          <w:sz w:val="22"/>
          <w:szCs w:val="22"/>
        </w:rPr>
      </w:pPr>
      <w:r>
        <w:rPr>
          <w:noProof/>
        </w:rPr>
        <w:t>B. Promoting Financial Inclusion</w:t>
      </w:r>
      <w:r>
        <w:rPr>
          <w:noProof/>
        </w:rPr>
        <w:tab/>
      </w:r>
      <w:r>
        <w:rPr>
          <w:noProof/>
        </w:rPr>
        <w:fldChar w:fldCharType="begin"/>
      </w:r>
      <w:r>
        <w:rPr>
          <w:noProof/>
        </w:rPr>
        <w:instrText xml:space="preserve"> PAGEREF _Toc469295358 \h </w:instrText>
      </w:r>
      <w:r>
        <w:rPr>
          <w:noProof/>
        </w:rPr>
      </w:r>
      <w:r>
        <w:rPr>
          <w:noProof/>
        </w:rPr>
        <w:fldChar w:fldCharType="separate"/>
      </w:r>
      <w:r w:rsidR="00994472">
        <w:rPr>
          <w:noProof/>
        </w:rPr>
        <w:t>20</w:t>
      </w:r>
      <w:r>
        <w:rPr>
          <w:noProof/>
        </w:rPr>
        <w:fldChar w:fldCharType="end"/>
      </w:r>
    </w:p>
    <w:p w14:paraId="75786D95" w14:textId="6C59305A" w:rsidR="007729D7" w:rsidRDefault="007729D7">
      <w:pPr>
        <w:pStyle w:val="TOC2"/>
        <w:rPr>
          <w:rFonts w:asciiTheme="minorHAnsi" w:eastAsiaTheme="minorEastAsia" w:hAnsiTheme="minorHAnsi" w:cstheme="minorBidi"/>
          <w:noProof/>
          <w:sz w:val="22"/>
          <w:szCs w:val="22"/>
        </w:rPr>
      </w:pPr>
      <w:r>
        <w:rPr>
          <w:noProof/>
        </w:rPr>
        <w:t>C. Islamic finance</w:t>
      </w:r>
      <w:r>
        <w:rPr>
          <w:noProof/>
        </w:rPr>
        <w:tab/>
      </w:r>
      <w:r>
        <w:rPr>
          <w:noProof/>
        </w:rPr>
        <w:fldChar w:fldCharType="begin"/>
      </w:r>
      <w:r>
        <w:rPr>
          <w:noProof/>
        </w:rPr>
        <w:instrText xml:space="preserve"> PAGEREF _Toc469295359 \h </w:instrText>
      </w:r>
      <w:r>
        <w:rPr>
          <w:noProof/>
        </w:rPr>
      </w:r>
      <w:r>
        <w:rPr>
          <w:noProof/>
        </w:rPr>
        <w:fldChar w:fldCharType="separate"/>
      </w:r>
      <w:r w:rsidR="00994472">
        <w:rPr>
          <w:noProof/>
        </w:rPr>
        <w:t>21</w:t>
      </w:r>
      <w:r>
        <w:rPr>
          <w:noProof/>
        </w:rPr>
        <w:fldChar w:fldCharType="end"/>
      </w:r>
    </w:p>
    <w:p w14:paraId="2810ED68" w14:textId="1C7667B0" w:rsidR="007729D7" w:rsidRDefault="007729D7">
      <w:pPr>
        <w:pStyle w:val="TOC2"/>
        <w:rPr>
          <w:rFonts w:asciiTheme="minorHAnsi" w:eastAsiaTheme="minorEastAsia" w:hAnsiTheme="minorHAnsi" w:cstheme="minorBidi"/>
          <w:noProof/>
          <w:sz w:val="22"/>
          <w:szCs w:val="22"/>
        </w:rPr>
      </w:pPr>
      <w:r>
        <w:rPr>
          <w:noProof/>
        </w:rPr>
        <w:t>D. Retail Payment and Systems</w:t>
      </w:r>
      <w:r>
        <w:rPr>
          <w:noProof/>
        </w:rPr>
        <w:tab/>
      </w:r>
      <w:r>
        <w:rPr>
          <w:noProof/>
        </w:rPr>
        <w:fldChar w:fldCharType="begin"/>
      </w:r>
      <w:r>
        <w:rPr>
          <w:noProof/>
        </w:rPr>
        <w:instrText xml:space="preserve"> PAGEREF _Toc469295360 \h </w:instrText>
      </w:r>
      <w:r>
        <w:rPr>
          <w:noProof/>
        </w:rPr>
      </w:r>
      <w:r>
        <w:rPr>
          <w:noProof/>
        </w:rPr>
        <w:fldChar w:fldCharType="separate"/>
      </w:r>
      <w:r w:rsidR="00994472">
        <w:rPr>
          <w:noProof/>
        </w:rPr>
        <w:t>23</w:t>
      </w:r>
      <w:r>
        <w:rPr>
          <w:noProof/>
        </w:rPr>
        <w:fldChar w:fldCharType="end"/>
      </w:r>
    </w:p>
    <w:p w14:paraId="2C70876C" w14:textId="614D983D" w:rsidR="007729D7" w:rsidRDefault="007729D7">
      <w:pPr>
        <w:pStyle w:val="TOC2"/>
        <w:rPr>
          <w:rFonts w:asciiTheme="minorHAnsi" w:eastAsiaTheme="minorEastAsia" w:hAnsiTheme="minorHAnsi" w:cstheme="minorBidi"/>
          <w:noProof/>
          <w:sz w:val="22"/>
          <w:szCs w:val="22"/>
        </w:rPr>
      </w:pPr>
      <w:r>
        <w:rPr>
          <w:noProof/>
        </w:rPr>
        <w:t>E. Enhancing Credit Reporting Systems</w:t>
      </w:r>
      <w:r>
        <w:rPr>
          <w:noProof/>
        </w:rPr>
        <w:tab/>
      </w:r>
      <w:r>
        <w:rPr>
          <w:noProof/>
        </w:rPr>
        <w:fldChar w:fldCharType="begin"/>
      </w:r>
      <w:r>
        <w:rPr>
          <w:noProof/>
        </w:rPr>
        <w:instrText xml:space="preserve"> PAGEREF _Toc469295361 \h </w:instrText>
      </w:r>
      <w:r>
        <w:rPr>
          <w:noProof/>
        </w:rPr>
      </w:r>
      <w:r>
        <w:rPr>
          <w:noProof/>
        </w:rPr>
        <w:fldChar w:fldCharType="separate"/>
      </w:r>
      <w:r w:rsidR="00994472">
        <w:rPr>
          <w:noProof/>
        </w:rPr>
        <w:t>24</w:t>
      </w:r>
      <w:r>
        <w:rPr>
          <w:noProof/>
        </w:rPr>
        <w:fldChar w:fldCharType="end"/>
      </w:r>
    </w:p>
    <w:p w14:paraId="74080F80" w14:textId="4F0D36B6" w:rsidR="007729D7" w:rsidRDefault="007729D7">
      <w:pPr>
        <w:pStyle w:val="TOC1"/>
        <w:rPr>
          <w:rFonts w:asciiTheme="minorHAnsi" w:eastAsiaTheme="minorEastAsia" w:hAnsiTheme="minorHAnsi" w:cstheme="minorBidi"/>
          <w:b w:val="0"/>
          <w:sz w:val="22"/>
          <w:szCs w:val="22"/>
        </w:rPr>
      </w:pPr>
      <w:r>
        <w:t>Annex I. Financial System Profile and Recent Trends</w:t>
      </w:r>
      <w:r>
        <w:tab/>
      </w:r>
      <w:r>
        <w:fldChar w:fldCharType="begin"/>
      </w:r>
      <w:r>
        <w:instrText xml:space="preserve"> PAGEREF _Toc469295362 \h </w:instrText>
      </w:r>
      <w:r>
        <w:fldChar w:fldCharType="separate"/>
      </w:r>
      <w:r w:rsidR="00994472">
        <w:t>26</w:t>
      </w:r>
      <w:r>
        <w:fldChar w:fldCharType="end"/>
      </w:r>
    </w:p>
    <w:p w14:paraId="74479676" w14:textId="0B17A09C" w:rsidR="007729D7" w:rsidRDefault="007729D7">
      <w:pPr>
        <w:pStyle w:val="TOC1"/>
        <w:rPr>
          <w:rFonts w:asciiTheme="minorHAnsi" w:eastAsiaTheme="minorEastAsia" w:hAnsiTheme="minorHAnsi" w:cstheme="minorBidi"/>
          <w:b w:val="0"/>
          <w:sz w:val="22"/>
          <w:szCs w:val="22"/>
        </w:rPr>
      </w:pPr>
      <w:r>
        <w:t>Annex II. Risk Assessment Matrix</w:t>
      </w:r>
      <w:r>
        <w:tab/>
      </w:r>
      <w:r>
        <w:fldChar w:fldCharType="begin"/>
      </w:r>
      <w:r>
        <w:instrText xml:space="preserve"> PAGEREF _Toc469295363 \h </w:instrText>
      </w:r>
      <w:r>
        <w:fldChar w:fldCharType="separate"/>
      </w:r>
      <w:r w:rsidR="00994472">
        <w:t>40</w:t>
      </w:r>
      <w:r>
        <w:fldChar w:fldCharType="end"/>
      </w:r>
    </w:p>
    <w:p w14:paraId="79641B88" w14:textId="57B8B426" w:rsidR="007729D7" w:rsidRDefault="007729D7">
      <w:pPr>
        <w:pStyle w:val="TOC1"/>
        <w:rPr>
          <w:rFonts w:asciiTheme="minorHAnsi" w:eastAsiaTheme="minorEastAsia" w:hAnsiTheme="minorHAnsi" w:cstheme="minorBidi"/>
          <w:b w:val="0"/>
          <w:sz w:val="22"/>
          <w:szCs w:val="22"/>
        </w:rPr>
      </w:pPr>
      <w:r>
        <w:t>Annex III. Previous FSAP Recommendations</w:t>
      </w:r>
      <w:r>
        <w:tab/>
      </w:r>
      <w:r>
        <w:fldChar w:fldCharType="begin"/>
      </w:r>
      <w:r>
        <w:instrText xml:space="preserve"> PAGEREF _Toc469295364 \h </w:instrText>
      </w:r>
      <w:r>
        <w:fldChar w:fldCharType="separate"/>
      </w:r>
      <w:r w:rsidR="00994472">
        <w:t>42</w:t>
      </w:r>
      <w:r>
        <w:fldChar w:fldCharType="end"/>
      </w:r>
    </w:p>
    <w:p w14:paraId="33C94150" w14:textId="35E84A0C" w:rsidR="00D35319" w:rsidRPr="0074410D" w:rsidRDefault="00CB0E88" w:rsidP="00BF07E1">
      <w:pPr>
        <w:tabs>
          <w:tab w:val="center" w:pos="4320"/>
          <w:tab w:val="right" w:pos="9000"/>
        </w:tabs>
        <w:ind w:left="720" w:hanging="720"/>
      </w:pPr>
      <w:r>
        <w:rPr>
          <w:noProof/>
        </w:rPr>
        <w:fldChar w:fldCharType="end"/>
      </w:r>
    </w:p>
    <w:p w14:paraId="4ADB587A" w14:textId="77777777" w:rsidR="00801A5B" w:rsidRPr="0074410D" w:rsidRDefault="00801A5B" w:rsidP="00BF07E1"/>
    <w:p w14:paraId="7461B442" w14:textId="77777777" w:rsidR="00C93108" w:rsidRPr="004333FD" w:rsidRDefault="0082408B" w:rsidP="00C93108">
      <w:pPr>
        <w:pStyle w:val="TableofFigures"/>
        <w:rPr>
          <w:rFonts w:eastAsiaTheme="minorEastAsia"/>
          <w:noProof/>
          <w:sz w:val="22"/>
          <w:szCs w:val="22"/>
        </w:rPr>
      </w:pPr>
      <w:r>
        <w:fldChar w:fldCharType="begin"/>
      </w:r>
      <w:r>
        <w:instrText xml:space="preserve"> TOC \h \z \c "Annex" </w:instrText>
      </w:r>
      <w:r>
        <w:fldChar w:fldCharType="separate"/>
      </w:r>
    </w:p>
    <w:p w14:paraId="634D4CE6" w14:textId="77777777" w:rsidR="0082408B" w:rsidRPr="004333FD" w:rsidRDefault="0082408B">
      <w:pPr>
        <w:pStyle w:val="TableofFigures"/>
        <w:rPr>
          <w:rFonts w:eastAsiaTheme="minorEastAsia"/>
          <w:noProof/>
          <w:sz w:val="22"/>
          <w:szCs w:val="22"/>
        </w:rPr>
      </w:pPr>
    </w:p>
    <w:p w14:paraId="278BF663" w14:textId="77777777" w:rsidR="003C3FBF" w:rsidRPr="0074410D" w:rsidRDefault="0082408B" w:rsidP="00BF07E1">
      <w:r>
        <w:fldChar w:fldCharType="end"/>
      </w:r>
    </w:p>
    <w:p w14:paraId="3F77FDD8" w14:textId="77777777" w:rsidR="003C3FBF" w:rsidRPr="0074410D" w:rsidRDefault="003C3FBF" w:rsidP="00BF07E1">
      <w:pPr>
        <w:spacing w:after="240"/>
      </w:pPr>
    </w:p>
    <w:p w14:paraId="7952250D" w14:textId="77777777" w:rsidR="00D35319" w:rsidRPr="0074410D" w:rsidRDefault="00D35319" w:rsidP="00BF07E1">
      <w:pPr>
        <w:spacing w:after="240"/>
      </w:pPr>
    </w:p>
    <w:p w14:paraId="586561B1" w14:textId="77777777" w:rsidR="007729D7" w:rsidRDefault="007729D7">
      <w:r>
        <w:br w:type="page"/>
      </w:r>
    </w:p>
    <w:p w14:paraId="2BD24448" w14:textId="579A6018" w:rsidR="002C4A68" w:rsidRPr="0074410D" w:rsidRDefault="00824C62" w:rsidP="002965AE">
      <w:pPr>
        <w:spacing w:after="200"/>
        <w:jc w:val="center"/>
        <w:rPr>
          <w:b/>
          <w:smallCaps/>
        </w:rPr>
      </w:pPr>
      <w:r w:rsidRPr="0074410D">
        <w:lastRenderedPageBreak/>
        <w:fldChar w:fldCharType="begin"/>
      </w:r>
      <w:r w:rsidR="002C4A68" w:rsidRPr="0074410D">
        <w:instrText xml:space="preserve"> TC "Glossary"\f A </w:instrText>
      </w:r>
      <w:r w:rsidRPr="0074410D">
        <w:fldChar w:fldCharType="end"/>
      </w:r>
      <w:r w:rsidR="002C4A68" w:rsidRPr="0074410D">
        <w:rPr>
          <w:b/>
          <w:smallCaps/>
        </w:rPr>
        <w:t>Glossary</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C9259A5" w14:textId="77777777" w:rsidR="002965AE" w:rsidRDefault="002965AE" w:rsidP="00BF07E1">
      <w:pPr>
        <w:tabs>
          <w:tab w:val="left" w:pos="1440"/>
        </w:tabs>
        <w:rPr>
          <w:sz w:val="20"/>
          <w:szCs w:val="20"/>
        </w:rPr>
        <w:sectPr w:rsidR="002965AE" w:rsidSect="00D44CF2">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800" w:header="720" w:footer="720" w:gutter="0"/>
          <w:cols w:space="720"/>
          <w:docGrid w:linePitch="360"/>
        </w:sectPr>
      </w:pPr>
    </w:p>
    <w:tbl>
      <w:tblPr>
        <w:tblW w:w="0" w:type="auto"/>
        <w:tblLook w:val="00A0" w:firstRow="1" w:lastRow="0" w:firstColumn="1" w:lastColumn="0" w:noHBand="0" w:noVBand="0"/>
      </w:tblPr>
      <w:tblGrid>
        <w:gridCol w:w="1396"/>
        <w:gridCol w:w="3014"/>
      </w:tblGrid>
      <w:tr w:rsidR="003D2797" w14:paraId="1D84100B" w14:textId="77777777" w:rsidTr="004674CA">
        <w:tc>
          <w:tcPr>
            <w:tcW w:w="1396" w:type="dxa"/>
          </w:tcPr>
          <w:p w14:paraId="5585E076" w14:textId="77777777" w:rsidR="003D2797" w:rsidRPr="003D2797" w:rsidRDefault="003D2797" w:rsidP="003D2797">
            <w:pPr>
              <w:rPr>
                <w:rFonts w:cs="Segoe UI"/>
                <w:sz w:val="22"/>
                <w:szCs w:val="22"/>
                <w:lang w:eastAsia="ja-JP"/>
              </w:rPr>
            </w:pPr>
            <w:bookmarkStart w:id="26" w:name="_Toc239065168"/>
            <w:bookmarkStart w:id="27" w:name="_Toc239065548"/>
            <w:bookmarkStart w:id="28" w:name="_Toc243698056"/>
            <w:bookmarkStart w:id="29" w:name="_Toc274731917"/>
            <w:bookmarkStart w:id="30" w:name="_Toc278816557"/>
            <w:bookmarkStart w:id="31" w:name="_Toc278816841"/>
            <w:bookmarkStart w:id="32" w:name="_Toc278817077"/>
            <w:bookmarkStart w:id="33" w:name="_Toc278817282"/>
            <w:bookmarkStart w:id="34" w:name="_Toc278873323"/>
            <w:bookmarkStart w:id="35" w:name="_Toc278873478"/>
            <w:bookmarkStart w:id="36" w:name="_Toc278873718"/>
            <w:bookmarkStart w:id="37" w:name="_Toc278882197"/>
            <w:bookmarkStart w:id="38" w:name="_Toc278883750"/>
            <w:bookmarkStart w:id="39" w:name="_Toc278887365"/>
            <w:bookmarkStart w:id="40" w:name="_Toc278887553"/>
            <w:bookmarkStart w:id="41" w:name="_Toc278887604"/>
            <w:bookmarkStart w:id="42" w:name="_Toc278887746"/>
            <w:bookmarkStart w:id="43" w:name="_Toc278897178"/>
            <w:bookmarkStart w:id="44" w:name="_Toc290976014"/>
            <w:bookmarkStart w:id="45" w:name="_Toc290980277"/>
            <w:bookmarkStart w:id="46" w:name="_Toc290982746"/>
            <w:bookmarkStart w:id="47" w:name="_Toc304472076"/>
            <w:bookmarkStart w:id="48" w:name="_Toc304472327"/>
            <w:bookmarkStart w:id="49" w:name="_Toc304472424"/>
            <w:bookmarkStart w:id="50" w:name="_Toc304472521"/>
            <w:bookmarkStart w:id="51" w:name="_Toc304472570"/>
            <w:bookmarkStart w:id="52" w:name="_Toc334478766"/>
            <w:bookmarkStart w:id="53" w:name="_Toc334547232"/>
            <w:bookmarkStart w:id="54" w:name="_Toc334547479"/>
            <w:bookmarkStart w:id="55" w:name="_Toc334549594"/>
            <w:bookmarkStart w:id="56" w:name="_Toc334549653"/>
            <w:bookmarkStart w:id="57" w:name="_Toc334549724"/>
            <w:r w:rsidRPr="003D2797">
              <w:rPr>
                <w:rFonts w:cs="Segoe UI"/>
                <w:sz w:val="22"/>
                <w:szCs w:val="22"/>
                <w:lang w:eastAsia="ja-JP"/>
              </w:rPr>
              <w:t>AAOIFI</w:t>
            </w:r>
          </w:p>
        </w:tc>
        <w:tc>
          <w:tcPr>
            <w:tcW w:w="3014" w:type="dxa"/>
          </w:tcPr>
          <w:p w14:paraId="0C0100B0" w14:textId="77777777" w:rsidR="003D2797" w:rsidRPr="003D2797" w:rsidRDefault="003D2797" w:rsidP="003D2797">
            <w:pPr>
              <w:rPr>
                <w:rFonts w:cs="Segoe UI"/>
                <w:sz w:val="22"/>
                <w:szCs w:val="22"/>
              </w:rPr>
            </w:pPr>
            <w:r w:rsidRPr="003D2797">
              <w:rPr>
                <w:rFonts w:cs="Segoe UI"/>
                <w:sz w:val="22"/>
                <w:szCs w:val="22"/>
              </w:rPr>
              <w:t>Accounting and Auditing Organization of Islamic Financial Institutions</w:t>
            </w:r>
          </w:p>
        </w:tc>
      </w:tr>
      <w:tr w:rsidR="003D2797" w14:paraId="7CE0538B" w14:textId="77777777" w:rsidTr="004674CA">
        <w:tc>
          <w:tcPr>
            <w:tcW w:w="1396" w:type="dxa"/>
          </w:tcPr>
          <w:p w14:paraId="6E6840FF" w14:textId="77777777" w:rsidR="003D2797" w:rsidRPr="003D2797" w:rsidRDefault="003D2797" w:rsidP="003D2797">
            <w:pPr>
              <w:rPr>
                <w:rFonts w:cs="Segoe UI"/>
                <w:sz w:val="22"/>
                <w:szCs w:val="22"/>
                <w:lang w:eastAsia="ja-JP"/>
              </w:rPr>
            </w:pPr>
            <w:r w:rsidRPr="003D2797">
              <w:rPr>
                <w:rFonts w:cs="Segoe UI"/>
                <w:sz w:val="22"/>
                <w:szCs w:val="22"/>
                <w:lang w:eastAsia="ja-JP"/>
              </w:rPr>
              <w:t>AML/CFT</w:t>
            </w:r>
          </w:p>
        </w:tc>
        <w:tc>
          <w:tcPr>
            <w:tcW w:w="3014" w:type="dxa"/>
          </w:tcPr>
          <w:p w14:paraId="30927006" w14:textId="77777777" w:rsidR="003D2797" w:rsidRPr="003D2797" w:rsidRDefault="003D2797" w:rsidP="003D2797">
            <w:pPr>
              <w:rPr>
                <w:rFonts w:cs="Segoe UI"/>
                <w:sz w:val="22"/>
                <w:szCs w:val="22"/>
              </w:rPr>
            </w:pPr>
            <w:r w:rsidRPr="003D2797">
              <w:rPr>
                <w:rFonts w:cs="Segoe UI"/>
                <w:sz w:val="22"/>
                <w:szCs w:val="22"/>
              </w:rPr>
              <w:t>Anti-Money Laundering and Countering Financing of Terrorism</w:t>
            </w:r>
          </w:p>
        </w:tc>
      </w:tr>
      <w:tr w:rsidR="003D2797" w14:paraId="48F10663" w14:textId="77777777" w:rsidTr="004674CA">
        <w:tc>
          <w:tcPr>
            <w:tcW w:w="1396" w:type="dxa"/>
          </w:tcPr>
          <w:p w14:paraId="44F1F2A2" w14:textId="77777777" w:rsidR="003D2797" w:rsidRPr="003D2797" w:rsidRDefault="003D2797" w:rsidP="003D2797">
            <w:pPr>
              <w:rPr>
                <w:rFonts w:cs="Segoe UI"/>
                <w:sz w:val="22"/>
                <w:szCs w:val="22"/>
                <w:lang w:eastAsia="ja-JP"/>
              </w:rPr>
            </w:pPr>
            <w:r w:rsidRPr="003D2797">
              <w:rPr>
                <w:rFonts w:cs="Segoe UI"/>
                <w:sz w:val="22"/>
                <w:szCs w:val="22"/>
                <w:lang w:eastAsia="ja-JP"/>
              </w:rPr>
              <w:t>ARA</w:t>
            </w:r>
          </w:p>
        </w:tc>
        <w:tc>
          <w:tcPr>
            <w:tcW w:w="3014" w:type="dxa"/>
          </w:tcPr>
          <w:p w14:paraId="10F60380" w14:textId="77777777" w:rsidR="003D2797" w:rsidRPr="003D2797" w:rsidRDefault="003D2797" w:rsidP="003D2797">
            <w:pPr>
              <w:rPr>
                <w:rFonts w:cs="Segoe UI"/>
                <w:sz w:val="22"/>
                <w:szCs w:val="22"/>
              </w:rPr>
            </w:pPr>
            <w:r w:rsidRPr="003D2797">
              <w:rPr>
                <w:rFonts w:cs="Segoe UI"/>
                <w:sz w:val="22"/>
                <w:szCs w:val="22"/>
              </w:rPr>
              <w:t>Assessment of Reserve Adequacy</w:t>
            </w:r>
          </w:p>
        </w:tc>
      </w:tr>
      <w:tr w:rsidR="003D2797" w14:paraId="41CF7CC7" w14:textId="77777777" w:rsidTr="004674CA">
        <w:tc>
          <w:tcPr>
            <w:tcW w:w="1396" w:type="dxa"/>
          </w:tcPr>
          <w:p w14:paraId="618EE957" w14:textId="77777777" w:rsidR="003D2797" w:rsidRPr="003D2797" w:rsidRDefault="003D2797" w:rsidP="003D2797">
            <w:pPr>
              <w:rPr>
                <w:rFonts w:cs="Segoe UI"/>
                <w:sz w:val="22"/>
                <w:szCs w:val="22"/>
                <w:lang w:eastAsia="ja-JP"/>
              </w:rPr>
            </w:pPr>
            <w:r w:rsidRPr="003D2797">
              <w:rPr>
                <w:rFonts w:cs="Segoe UI"/>
                <w:sz w:val="22"/>
                <w:szCs w:val="22"/>
                <w:lang w:eastAsia="ja-JP"/>
              </w:rPr>
              <w:t>BAT</w:t>
            </w:r>
          </w:p>
        </w:tc>
        <w:tc>
          <w:tcPr>
            <w:tcW w:w="3014" w:type="dxa"/>
          </w:tcPr>
          <w:p w14:paraId="429AA597" w14:textId="77777777" w:rsidR="003D2797" w:rsidRPr="003D2797" w:rsidRDefault="003D2797" w:rsidP="003D2797">
            <w:pPr>
              <w:rPr>
                <w:rFonts w:cs="Segoe UI"/>
                <w:sz w:val="22"/>
                <w:szCs w:val="22"/>
              </w:rPr>
            </w:pPr>
            <w:r w:rsidRPr="003D2797">
              <w:rPr>
                <w:rFonts w:cs="Segoe UI"/>
                <w:sz w:val="22"/>
                <w:szCs w:val="22"/>
              </w:rPr>
              <w:t>Banks Association of Turkey</w:t>
            </w:r>
          </w:p>
        </w:tc>
      </w:tr>
      <w:tr w:rsidR="003D2797" w14:paraId="370AD44F" w14:textId="77777777" w:rsidTr="004674CA">
        <w:tc>
          <w:tcPr>
            <w:tcW w:w="1396" w:type="dxa"/>
          </w:tcPr>
          <w:p w14:paraId="1AB949CF" w14:textId="515159B3" w:rsidR="002B61E7" w:rsidRDefault="002B61E7" w:rsidP="003D2797">
            <w:pPr>
              <w:rPr>
                <w:rFonts w:cs="Segoe UI"/>
                <w:sz w:val="22"/>
                <w:szCs w:val="22"/>
                <w:lang w:eastAsia="ja-JP"/>
              </w:rPr>
            </w:pPr>
            <w:r>
              <w:rPr>
                <w:rFonts w:cs="Segoe UI"/>
                <w:sz w:val="22"/>
                <w:szCs w:val="22"/>
                <w:lang w:eastAsia="ja-JP"/>
              </w:rPr>
              <w:t>BCP</w:t>
            </w:r>
          </w:p>
          <w:p w14:paraId="2692E7F1" w14:textId="77777777" w:rsidR="002B61E7" w:rsidRDefault="002B61E7" w:rsidP="003D2797">
            <w:pPr>
              <w:rPr>
                <w:rFonts w:cs="Segoe UI"/>
                <w:sz w:val="22"/>
                <w:szCs w:val="22"/>
                <w:lang w:eastAsia="ja-JP"/>
              </w:rPr>
            </w:pPr>
          </w:p>
          <w:p w14:paraId="4FF2BFD9" w14:textId="77777777" w:rsidR="003D2797" w:rsidRPr="003D2797" w:rsidRDefault="003D2797" w:rsidP="003D2797">
            <w:pPr>
              <w:rPr>
                <w:rFonts w:cs="Segoe UI"/>
                <w:sz w:val="22"/>
                <w:szCs w:val="22"/>
                <w:lang w:eastAsia="ja-JP"/>
              </w:rPr>
            </w:pPr>
            <w:r w:rsidRPr="003D2797">
              <w:rPr>
                <w:rFonts w:cs="Segoe UI"/>
                <w:sz w:val="22"/>
                <w:szCs w:val="22"/>
                <w:lang w:eastAsia="ja-JP"/>
              </w:rPr>
              <w:t>BIST</w:t>
            </w:r>
          </w:p>
        </w:tc>
        <w:tc>
          <w:tcPr>
            <w:tcW w:w="3014" w:type="dxa"/>
          </w:tcPr>
          <w:p w14:paraId="38EAF727" w14:textId="2806C3D1" w:rsidR="002B61E7" w:rsidRDefault="002B61E7" w:rsidP="003D2797">
            <w:pPr>
              <w:rPr>
                <w:rFonts w:cs="Segoe UI"/>
                <w:sz w:val="22"/>
                <w:szCs w:val="22"/>
              </w:rPr>
            </w:pPr>
            <w:r>
              <w:rPr>
                <w:rFonts w:cs="Segoe UI"/>
                <w:sz w:val="22"/>
                <w:szCs w:val="22"/>
              </w:rPr>
              <w:t>Basel Core Principles for Effective Banking Supervision</w:t>
            </w:r>
          </w:p>
          <w:p w14:paraId="2EB6D4B4" w14:textId="77777777" w:rsidR="003D2797" w:rsidRPr="003D2797" w:rsidRDefault="003D2797" w:rsidP="003D2797">
            <w:pPr>
              <w:rPr>
                <w:rFonts w:cs="Segoe UI"/>
                <w:sz w:val="22"/>
                <w:szCs w:val="22"/>
              </w:rPr>
            </w:pPr>
            <w:r w:rsidRPr="003D2797">
              <w:rPr>
                <w:rFonts w:cs="Segoe UI"/>
                <w:sz w:val="22"/>
                <w:szCs w:val="22"/>
              </w:rPr>
              <w:t>Istanbul Stock Exchange</w:t>
            </w:r>
          </w:p>
        </w:tc>
      </w:tr>
      <w:tr w:rsidR="003D2797" w14:paraId="0A8A4FD9" w14:textId="77777777" w:rsidTr="004674CA">
        <w:tc>
          <w:tcPr>
            <w:tcW w:w="1396" w:type="dxa"/>
          </w:tcPr>
          <w:p w14:paraId="357FA926" w14:textId="77777777" w:rsidR="003D2797" w:rsidRPr="003D2797" w:rsidRDefault="003D2797" w:rsidP="003D2797">
            <w:pPr>
              <w:rPr>
                <w:rFonts w:cs="Segoe UI"/>
                <w:sz w:val="22"/>
                <w:szCs w:val="22"/>
                <w:lang w:eastAsia="ja-JP"/>
              </w:rPr>
            </w:pPr>
            <w:r w:rsidRPr="003D2797">
              <w:rPr>
                <w:rFonts w:cs="Segoe UI"/>
                <w:sz w:val="22"/>
                <w:szCs w:val="22"/>
                <w:lang w:eastAsia="ja-JP"/>
              </w:rPr>
              <w:t>BL</w:t>
            </w:r>
          </w:p>
        </w:tc>
        <w:tc>
          <w:tcPr>
            <w:tcW w:w="3014" w:type="dxa"/>
          </w:tcPr>
          <w:p w14:paraId="7D88F775" w14:textId="77777777" w:rsidR="003D2797" w:rsidRPr="003D2797" w:rsidRDefault="003D2797" w:rsidP="003D2797">
            <w:pPr>
              <w:rPr>
                <w:rFonts w:cs="Segoe UI"/>
                <w:sz w:val="22"/>
                <w:szCs w:val="22"/>
              </w:rPr>
            </w:pPr>
            <w:r w:rsidRPr="003D2797">
              <w:rPr>
                <w:rFonts w:cs="Segoe UI"/>
                <w:sz w:val="22"/>
                <w:szCs w:val="22"/>
              </w:rPr>
              <w:t>Banking Law</w:t>
            </w:r>
          </w:p>
        </w:tc>
      </w:tr>
      <w:tr w:rsidR="003D2797" w14:paraId="1EE790DA" w14:textId="77777777" w:rsidTr="004674CA">
        <w:tc>
          <w:tcPr>
            <w:tcW w:w="1396" w:type="dxa"/>
          </w:tcPr>
          <w:p w14:paraId="5AA80272" w14:textId="77777777" w:rsidR="003D2797" w:rsidRPr="003D2797" w:rsidRDefault="003D2797" w:rsidP="003D2797">
            <w:pPr>
              <w:rPr>
                <w:rFonts w:cs="Segoe UI"/>
                <w:sz w:val="22"/>
                <w:szCs w:val="22"/>
                <w:lang w:eastAsia="ja-JP"/>
              </w:rPr>
            </w:pPr>
            <w:r w:rsidRPr="003D2797">
              <w:rPr>
                <w:rFonts w:cs="Segoe UI"/>
                <w:sz w:val="22"/>
                <w:szCs w:val="22"/>
                <w:lang w:eastAsia="ja-JP"/>
              </w:rPr>
              <w:t>BRSA</w:t>
            </w:r>
          </w:p>
        </w:tc>
        <w:tc>
          <w:tcPr>
            <w:tcW w:w="3014" w:type="dxa"/>
          </w:tcPr>
          <w:p w14:paraId="7A72BDC8" w14:textId="77777777" w:rsidR="003D2797" w:rsidRPr="003D2797" w:rsidRDefault="003D2797" w:rsidP="003D2797">
            <w:pPr>
              <w:rPr>
                <w:rFonts w:cs="Segoe UI"/>
                <w:sz w:val="22"/>
                <w:szCs w:val="22"/>
              </w:rPr>
            </w:pPr>
            <w:r w:rsidRPr="003D2797">
              <w:rPr>
                <w:rFonts w:cs="Segoe UI"/>
                <w:sz w:val="22"/>
                <w:szCs w:val="22"/>
              </w:rPr>
              <w:t>Banking Regulation and Supervision Agency</w:t>
            </w:r>
          </w:p>
        </w:tc>
      </w:tr>
      <w:tr w:rsidR="003D2797" w14:paraId="32D026DF" w14:textId="77777777" w:rsidTr="004674CA">
        <w:tc>
          <w:tcPr>
            <w:tcW w:w="1396" w:type="dxa"/>
          </w:tcPr>
          <w:p w14:paraId="03F76528" w14:textId="5224D727" w:rsidR="004674CA" w:rsidRDefault="004674CA" w:rsidP="003D2797">
            <w:pPr>
              <w:rPr>
                <w:rFonts w:cs="Segoe UI"/>
                <w:sz w:val="22"/>
                <w:szCs w:val="22"/>
                <w:lang w:eastAsia="ja-JP"/>
              </w:rPr>
            </w:pPr>
            <w:r>
              <w:rPr>
                <w:rFonts w:cs="Segoe UI"/>
                <w:sz w:val="22"/>
                <w:szCs w:val="22"/>
                <w:lang w:eastAsia="ja-JP"/>
              </w:rPr>
              <w:t>BRSB</w:t>
            </w:r>
          </w:p>
          <w:p w14:paraId="6FAF5E05" w14:textId="77777777" w:rsidR="004674CA" w:rsidRDefault="004674CA" w:rsidP="003D2797">
            <w:pPr>
              <w:rPr>
                <w:rFonts w:cs="Segoe UI"/>
                <w:sz w:val="22"/>
                <w:szCs w:val="22"/>
                <w:lang w:eastAsia="ja-JP"/>
              </w:rPr>
            </w:pPr>
          </w:p>
          <w:p w14:paraId="34ACC3F4" w14:textId="77777777" w:rsidR="003D2797" w:rsidRPr="003D2797" w:rsidRDefault="003D2797" w:rsidP="003D2797">
            <w:pPr>
              <w:rPr>
                <w:rFonts w:cs="Segoe UI"/>
                <w:sz w:val="22"/>
                <w:szCs w:val="22"/>
                <w:lang w:eastAsia="ja-JP"/>
              </w:rPr>
            </w:pPr>
            <w:r w:rsidRPr="003D2797">
              <w:rPr>
                <w:rFonts w:cs="Segoe UI"/>
                <w:sz w:val="22"/>
                <w:szCs w:val="22"/>
                <w:lang w:eastAsia="ja-JP"/>
              </w:rPr>
              <w:t>CAD</w:t>
            </w:r>
          </w:p>
        </w:tc>
        <w:tc>
          <w:tcPr>
            <w:tcW w:w="3014" w:type="dxa"/>
          </w:tcPr>
          <w:p w14:paraId="6A5ECDFB" w14:textId="5210F5B7" w:rsidR="004674CA" w:rsidRDefault="004674CA" w:rsidP="003D2797">
            <w:pPr>
              <w:rPr>
                <w:rFonts w:cs="Segoe UI"/>
                <w:sz w:val="22"/>
                <w:szCs w:val="22"/>
              </w:rPr>
            </w:pPr>
            <w:r>
              <w:rPr>
                <w:rFonts w:cs="Segoe UI"/>
                <w:sz w:val="22"/>
                <w:szCs w:val="22"/>
              </w:rPr>
              <w:t>Banking Regulation and Supervision Board</w:t>
            </w:r>
          </w:p>
          <w:p w14:paraId="62E6296D" w14:textId="77777777" w:rsidR="003D2797" w:rsidRPr="003D2797" w:rsidRDefault="003D2797" w:rsidP="003D2797">
            <w:pPr>
              <w:rPr>
                <w:rFonts w:cs="Segoe UI"/>
                <w:sz w:val="22"/>
                <w:szCs w:val="22"/>
              </w:rPr>
            </w:pPr>
            <w:r w:rsidRPr="003D2797">
              <w:rPr>
                <w:rFonts w:cs="Segoe UI"/>
                <w:sz w:val="22"/>
                <w:szCs w:val="22"/>
              </w:rPr>
              <w:t>Current Account Deficit</w:t>
            </w:r>
          </w:p>
        </w:tc>
      </w:tr>
      <w:tr w:rsidR="003D2797" w14:paraId="5A2CFD75" w14:textId="77777777" w:rsidTr="004674CA">
        <w:tc>
          <w:tcPr>
            <w:tcW w:w="1396" w:type="dxa"/>
          </w:tcPr>
          <w:p w14:paraId="78FFE2C7" w14:textId="77777777" w:rsidR="003D2797" w:rsidRPr="003D2797" w:rsidRDefault="003D2797" w:rsidP="003D2797">
            <w:pPr>
              <w:rPr>
                <w:rFonts w:cs="Segoe UI"/>
                <w:sz w:val="22"/>
                <w:szCs w:val="22"/>
                <w:lang w:eastAsia="ja-JP"/>
              </w:rPr>
            </w:pPr>
            <w:r w:rsidRPr="003D2797">
              <w:rPr>
                <w:rFonts w:cs="Segoe UI"/>
                <w:sz w:val="22"/>
                <w:szCs w:val="22"/>
                <w:lang w:eastAsia="ja-JP"/>
              </w:rPr>
              <w:t>CAR</w:t>
            </w:r>
          </w:p>
        </w:tc>
        <w:tc>
          <w:tcPr>
            <w:tcW w:w="3014" w:type="dxa"/>
          </w:tcPr>
          <w:p w14:paraId="0BABD592" w14:textId="77777777" w:rsidR="003D2797" w:rsidRPr="003D2797" w:rsidRDefault="003D2797" w:rsidP="003D2797">
            <w:pPr>
              <w:rPr>
                <w:rFonts w:cs="Segoe UI"/>
                <w:sz w:val="22"/>
                <w:szCs w:val="22"/>
              </w:rPr>
            </w:pPr>
            <w:r w:rsidRPr="003D2797">
              <w:rPr>
                <w:rFonts w:cs="Segoe UI"/>
                <w:sz w:val="22"/>
                <w:szCs w:val="22"/>
              </w:rPr>
              <w:t>Capital Adequacy Ratio</w:t>
            </w:r>
          </w:p>
        </w:tc>
      </w:tr>
      <w:tr w:rsidR="003D2797" w14:paraId="22425CAC" w14:textId="77777777" w:rsidTr="004674CA">
        <w:tc>
          <w:tcPr>
            <w:tcW w:w="1396" w:type="dxa"/>
          </w:tcPr>
          <w:p w14:paraId="0B044CEC" w14:textId="77777777" w:rsidR="003D2797" w:rsidRPr="003D2797" w:rsidRDefault="003D2797" w:rsidP="003D2797">
            <w:pPr>
              <w:rPr>
                <w:rFonts w:cs="Segoe UI"/>
                <w:sz w:val="22"/>
                <w:szCs w:val="22"/>
                <w:lang w:eastAsia="ja-JP"/>
              </w:rPr>
            </w:pPr>
            <w:r w:rsidRPr="003D2797">
              <w:rPr>
                <w:rFonts w:cs="Segoe UI"/>
                <w:sz w:val="22"/>
                <w:szCs w:val="22"/>
                <w:lang w:eastAsia="ja-JP"/>
              </w:rPr>
              <w:t>CBRT</w:t>
            </w:r>
          </w:p>
        </w:tc>
        <w:tc>
          <w:tcPr>
            <w:tcW w:w="3014" w:type="dxa"/>
          </w:tcPr>
          <w:p w14:paraId="3F079DED" w14:textId="77777777" w:rsidR="003D2797" w:rsidRPr="003D2797" w:rsidRDefault="003D2797" w:rsidP="003D2797">
            <w:pPr>
              <w:rPr>
                <w:rFonts w:cs="Segoe UI"/>
                <w:sz w:val="22"/>
                <w:szCs w:val="22"/>
              </w:rPr>
            </w:pPr>
            <w:r w:rsidRPr="003D2797">
              <w:rPr>
                <w:rFonts w:cs="Segoe UI"/>
                <w:sz w:val="22"/>
                <w:szCs w:val="22"/>
              </w:rPr>
              <w:t>Central Bank of the Republic of Turkey</w:t>
            </w:r>
          </w:p>
        </w:tc>
      </w:tr>
      <w:tr w:rsidR="003D2797" w14:paraId="35DDD282" w14:textId="77777777" w:rsidTr="004674CA">
        <w:tc>
          <w:tcPr>
            <w:tcW w:w="1396" w:type="dxa"/>
          </w:tcPr>
          <w:p w14:paraId="66EA0893" w14:textId="77777777" w:rsidR="003D2797" w:rsidRPr="003D2797" w:rsidRDefault="003D2797" w:rsidP="003D2797">
            <w:pPr>
              <w:rPr>
                <w:rFonts w:cs="Segoe UI"/>
                <w:sz w:val="22"/>
                <w:szCs w:val="22"/>
                <w:lang w:eastAsia="ja-JP"/>
              </w:rPr>
            </w:pPr>
            <w:r w:rsidRPr="003D2797">
              <w:rPr>
                <w:rFonts w:cs="Segoe UI"/>
                <w:sz w:val="22"/>
                <w:szCs w:val="22"/>
                <w:lang w:eastAsia="ja-JP"/>
              </w:rPr>
              <w:t>CCP</w:t>
            </w:r>
          </w:p>
        </w:tc>
        <w:tc>
          <w:tcPr>
            <w:tcW w:w="3014" w:type="dxa"/>
          </w:tcPr>
          <w:p w14:paraId="3B57E44B" w14:textId="77777777" w:rsidR="003D2797" w:rsidRPr="003D2797" w:rsidRDefault="003D2797" w:rsidP="003D2797">
            <w:pPr>
              <w:rPr>
                <w:rFonts w:cs="Segoe UI"/>
                <w:sz w:val="22"/>
                <w:szCs w:val="22"/>
              </w:rPr>
            </w:pPr>
            <w:r w:rsidRPr="003D2797">
              <w:rPr>
                <w:rFonts w:cs="Segoe UI"/>
                <w:sz w:val="22"/>
                <w:szCs w:val="22"/>
              </w:rPr>
              <w:t>Central Counter Party</w:t>
            </w:r>
          </w:p>
        </w:tc>
      </w:tr>
      <w:tr w:rsidR="003D2797" w14:paraId="54874086" w14:textId="77777777" w:rsidTr="004674CA">
        <w:tc>
          <w:tcPr>
            <w:tcW w:w="1396" w:type="dxa"/>
          </w:tcPr>
          <w:p w14:paraId="19E1A716" w14:textId="77777777" w:rsidR="003D2797" w:rsidRPr="003D2797" w:rsidRDefault="003D2797" w:rsidP="003D2797">
            <w:pPr>
              <w:rPr>
                <w:rFonts w:cs="Segoe UI"/>
                <w:sz w:val="22"/>
                <w:szCs w:val="22"/>
                <w:lang w:eastAsia="ja-JP"/>
              </w:rPr>
            </w:pPr>
            <w:r w:rsidRPr="003D2797">
              <w:rPr>
                <w:rFonts w:cs="Segoe UI"/>
                <w:sz w:val="22"/>
                <w:szCs w:val="22"/>
                <w:lang w:eastAsia="ja-JP"/>
              </w:rPr>
              <w:t>CMB</w:t>
            </w:r>
          </w:p>
        </w:tc>
        <w:tc>
          <w:tcPr>
            <w:tcW w:w="3014" w:type="dxa"/>
          </w:tcPr>
          <w:p w14:paraId="00D3B304" w14:textId="77777777" w:rsidR="003D2797" w:rsidRPr="003D2797" w:rsidRDefault="003D2797" w:rsidP="003D2797">
            <w:pPr>
              <w:rPr>
                <w:rFonts w:cs="Segoe UI"/>
                <w:sz w:val="22"/>
                <w:szCs w:val="22"/>
              </w:rPr>
            </w:pPr>
            <w:r w:rsidRPr="003D2797">
              <w:rPr>
                <w:rFonts w:cs="Segoe UI"/>
                <w:sz w:val="22"/>
                <w:szCs w:val="22"/>
              </w:rPr>
              <w:t>Capital Markets Board</w:t>
            </w:r>
          </w:p>
        </w:tc>
      </w:tr>
      <w:tr w:rsidR="003D2797" w14:paraId="371076F2" w14:textId="77777777" w:rsidTr="004674CA">
        <w:tc>
          <w:tcPr>
            <w:tcW w:w="1396" w:type="dxa"/>
          </w:tcPr>
          <w:p w14:paraId="63C324A1" w14:textId="77777777" w:rsidR="003D2797" w:rsidRPr="003D2797" w:rsidRDefault="003D2797" w:rsidP="003D2797">
            <w:pPr>
              <w:rPr>
                <w:rFonts w:cs="Segoe UI"/>
                <w:sz w:val="22"/>
                <w:szCs w:val="22"/>
                <w:lang w:eastAsia="ja-JP"/>
              </w:rPr>
            </w:pPr>
            <w:r w:rsidRPr="003D2797">
              <w:rPr>
                <w:rFonts w:cs="Segoe UI"/>
                <w:sz w:val="22"/>
                <w:szCs w:val="22"/>
                <w:lang w:eastAsia="ja-JP"/>
              </w:rPr>
              <w:t>CMG</w:t>
            </w:r>
          </w:p>
        </w:tc>
        <w:tc>
          <w:tcPr>
            <w:tcW w:w="3014" w:type="dxa"/>
          </w:tcPr>
          <w:p w14:paraId="50611286" w14:textId="77777777" w:rsidR="003D2797" w:rsidRPr="003D2797" w:rsidRDefault="003D2797" w:rsidP="003D2797">
            <w:pPr>
              <w:rPr>
                <w:rFonts w:cs="Segoe UI"/>
                <w:sz w:val="22"/>
                <w:szCs w:val="22"/>
              </w:rPr>
            </w:pPr>
            <w:r w:rsidRPr="003D2797">
              <w:rPr>
                <w:rFonts w:cs="Segoe UI"/>
                <w:sz w:val="22"/>
                <w:szCs w:val="22"/>
              </w:rPr>
              <w:t>Crisis Management Group</w:t>
            </w:r>
          </w:p>
        </w:tc>
      </w:tr>
      <w:tr w:rsidR="003D2797" w14:paraId="1403E9F1" w14:textId="77777777" w:rsidTr="004674CA">
        <w:tc>
          <w:tcPr>
            <w:tcW w:w="1396" w:type="dxa"/>
          </w:tcPr>
          <w:p w14:paraId="0DAFFAB5" w14:textId="77777777" w:rsidR="003D2797" w:rsidRPr="003D2797" w:rsidRDefault="003D2797" w:rsidP="003D2797">
            <w:pPr>
              <w:rPr>
                <w:rFonts w:cs="Segoe UI"/>
                <w:sz w:val="22"/>
                <w:szCs w:val="22"/>
                <w:lang w:eastAsia="ja-JP"/>
              </w:rPr>
            </w:pPr>
            <w:r w:rsidRPr="003D2797">
              <w:rPr>
                <w:rFonts w:cs="Segoe UI"/>
                <w:sz w:val="22"/>
                <w:szCs w:val="22"/>
                <w:lang w:eastAsia="ja-JP"/>
              </w:rPr>
              <w:t>CoM</w:t>
            </w:r>
          </w:p>
        </w:tc>
        <w:tc>
          <w:tcPr>
            <w:tcW w:w="3014" w:type="dxa"/>
          </w:tcPr>
          <w:p w14:paraId="3331AE99" w14:textId="77777777" w:rsidR="003D2797" w:rsidRPr="003D2797" w:rsidRDefault="003D2797" w:rsidP="003D2797">
            <w:pPr>
              <w:rPr>
                <w:rFonts w:cs="Segoe UI"/>
                <w:sz w:val="22"/>
                <w:szCs w:val="22"/>
              </w:rPr>
            </w:pPr>
            <w:r w:rsidRPr="003D2797">
              <w:rPr>
                <w:rFonts w:cs="Segoe UI"/>
                <w:sz w:val="22"/>
                <w:szCs w:val="22"/>
              </w:rPr>
              <w:t>Council of Ministers</w:t>
            </w:r>
          </w:p>
        </w:tc>
      </w:tr>
      <w:tr w:rsidR="003D2797" w14:paraId="6EC01A10" w14:textId="77777777" w:rsidTr="004674CA">
        <w:tc>
          <w:tcPr>
            <w:tcW w:w="1396" w:type="dxa"/>
          </w:tcPr>
          <w:p w14:paraId="75328B87" w14:textId="77777777" w:rsidR="003D2797" w:rsidRPr="003D2797" w:rsidRDefault="003D2797" w:rsidP="003D2797">
            <w:pPr>
              <w:rPr>
                <w:rFonts w:cs="Segoe UI"/>
                <w:sz w:val="22"/>
                <w:szCs w:val="22"/>
                <w:lang w:eastAsia="ja-JP"/>
              </w:rPr>
            </w:pPr>
            <w:r w:rsidRPr="003D2797">
              <w:rPr>
                <w:rFonts w:cs="Segoe UI"/>
                <w:sz w:val="22"/>
                <w:szCs w:val="22"/>
                <w:lang w:eastAsia="ja-JP"/>
              </w:rPr>
              <w:t>CRS</w:t>
            </w:r>
          </w:p>
        </w:tc>
        <w:tc>
          <w:tcPr>
            <w:tcW w:w="3014" w:type="dxa"/>
          </w:tcPr>
          <w:p w14:paraId="2F1FB71A" w14:textId="77777777" w:rsidR="003D2797" w:rsidRPr="003D2797" w:rsidRDefault="003D2797" w:rsidP="003D2797">
            <w:pPr>
              <w:rPr>
                <w:rFonts w:cs="Segoe UI"/>
                <w:sz w:val="22"/>
                <w:szCs w:val="22"/>
              </w:rPr>
            </w:pPr>
            <w:r w:rsidRPr="003D2797">
              <w:rPr>
                <w:rFonts w:cs="Segoe UI"/>
                <w:sz w:val="22"/>
                <w:szCs w:val="22"/>
              </w:rPr>
              <w:t>Credit Reporting System</w:t>
            </w:r>
          </w:p>
        </w:tc>
      </w:tr>
      <w:tr w:rsidR="003D2797" w14:paraId="1973AFD7" w14:textId="77777777" w:rsidTr="004674CA">
        <w:tc>
          <w:tcPr>
            <w:tcW w:w="1396" w:type="dxa"/>
          </w:tcPr>
          <w:p w14:paraId="5AB4CBCD" w14:textId="77777777" w:rsidR="003D2797" w:rsidRPr="003D2797" w:rsidRDefault="003D2797" w:rsidP="003D2797">
            <w:pPr>
              <w:rPr>
                <w:rFonts w:cs="Segoe UI"/>
                <w:sz w:val="22"/>
                <w:szCs w:val="22"/>
                <w:lang w:eastAsia="ja-JP"/>
              </w:rPr>
            </w:pPr>
            <w:r w:rsidRPr="003D2797">
              <w:rPr>
                <w:rFonts w:cs="Segoe UI"/>
                <w:sz w:val="22"/>
                <w:szCs w:val="22"/>
                <w:lang w:eastAsia="ja-JP"/>
              </w:rPr>
              <w:t>CSD</w:t>
            </w:r>
          </w:p>
        </w:tc>
        <w:tc>
          <w:tcPr>
            <w:tcW w:w="3014" w:type="dxa"/>
          </w:tcPr>
          <w:p w14:paraId="64FB5834" w14:textId="77777777" w:rsidR="003D2797" w:rsidRPr="003D2797" w:rsidRDefault="003D2797" w:rsidP="003D2797">
            <w:pPr>
              <w:rPr>
                <w:rFonts w:cs="Segoe UI"/>
                <w:sz w:val="22"/>
                <w:szCs w:val="22"/>
              </w:rPr>
            </w:pPr>
            <w:r w:rsidRPr="003D2797">
              <w:rPr>
                <w:rFonts w:cs="Segoe UI"/>
                <w:sz w:val="22"/>
                <w:szCs w:val="22"/>
              </w:rPr>
              <w:t>Central Securities Depository</w:t>
            </w:r>
          </w:p>
        </w:tc>
      </w:tr>
      <w:tr w:rsidR="003D2797" w14:paraId="630646F5" w14:textId="77777777" w:rsidTr="004674CA">
        <w:tc>
          <w:tcPr>
            <w:tcW w:w="1396" w:type="dxa"/>
          </w:tcPr>
          <w:p w14:paraId="062D82A2" w14:textId="77777777" w:rsidR="003D2797" w:rsidRPr="003D2797" w:rsidRDefault="003D2797" w:rsidP="003D2797">
            <w:pPr>
              <w:rPr>
                <w:rFonts w:cs="Segoe UI"/>
                <w:sz w:val="22"/>
                <w:szCs w:val="22"/>
                <w:lang w:eastAsia="ja-JP"/>
              </w:rPr>
            </w:pPr>
            <w:r w:rsidRPr="003D2797">
              <w:rPr>
                <w:rFonts w:cs="Segoe UI"/>
                <w:sz w:val="22"/>
                <w:szCs w:val="22"/>
                <w:lang w:eastAsia="ja-JP"/>
              </w:rPr>
              <w:t>EBITDA</w:t>
            </w:r>
          </w:p>
        </w:tc>
        <w:tc>
          <w:tcPr>
            <w:tcW w:w="3014" w:type="dxa"/>
          </w:tcPr>
          <w:p w14:paraId="1AF924D2" w14:textId="77777777" w:rsidR="003D2797" w:rsidRPr="003D2797" w:rsidRDefault="003D2797" w:rsidP="003D2797">
            <w:pPr>
              <w:rPr>
                <w:rFonts w:cs="Segoe UI"/>
                <w:sz w:val="22"/>
                <w:szCs w:val="22"/>
              </w:rPr>
            </w:pPr>
            <w:r w:rsidRPr="003D2797">
              <w:rPr>
                <w:rFonts w:cs="Segoe UI"/>
                <w:sz w:val="22"/>
                <w:szCs w:val="22"/>
              </w:rPr>
              <w:t>Earnings Before Interest, Taxes, Depreciation and Amortization</w:t>
            </w:r>
          </w:p>
        </w:tc>
      </w:tr>
      <w:tr w:rsidR="003D2797" w14:paraId="2247ADE6" w14:textId="77777777" w:rsidTr="004674CA">
        <w:tc>
          <w:tcPr>
            <w:tcW w:w="1396" w:type="dxa"/>
          </w:tcPr>
          <w:p w14:paraId="02DD0777" w14:textId="77777777" w:rsidR="003D2797" w:rsidRPr="003D2797" w:rsidRDefault="003D2797" w:rsidP="003D2797">
            <w:pPr>
              <w:rPr>
                <w:rFonts w:cs="Segoe UI"/>
                <w:sz w:val="22"/>
                <w:szCs w:val="22"/>
                <w:lang w:eastAsia="ja-JP"/>
              </w:rPr>
            </w:pPr>
            <w:r w:rsidRPr="003D2797">
              <w:rPr>
                <w:rFonts w:cs="Segoe UI"/>
                <w:sz w:val="22"/>
                <w:szCs w:val="22"/>
                <w:lang w:eastAsia="ja-JP"/>
              </w:rPr>
              <w:t>ECA</w:t>
            </w:r>
          </w:p>
        </w:tc>
        <w:tc>
          <w:tcPr>
            <w:tcW w:w="3014" w:type="dxa"/>
          </w:tcPr>
          <w:p w14:paraId="74740744" w14:textId="77777777" w:rsidR="003D2797" w:rsidRPr="003D2797" w:rsidRDefault="003D2797" w:rsidP="003D2797">
            <w:pPr>
              <w:rPr>
                <w:rFonts w:cs="Segoe UI"/>
                <w:sz w:val="22"/>
                <w:szCs w:val="22"/>
              </w:rPr>
            </w:pPr>
            <w:r w:rsidRPr="003D2797">
              <w:rPr>
                <w:rFonts w:cs="Segoe UI"/>
                <w:sz w:val="22"/>
                <w:szCs w:val="22"/>
              </w:rPr>
              <w:t>Europe and Central Asia</w:t>
            </w:r>
          </w:p>
        </w:tc>
      </w:tr>
      <w:tr w:rsidR="003D2797" w14:paraId="1091F78B" w14:textId="77777777" w:rsidTr="004674CA">
        <w:tc>
          <w:tcPr>
            <w:tcW w:w="1396" w:type="dxa"/>
          </w:tcPr>
          <w:p w14:paraId="32E71437" w14:textId="77777777" w:rsidR="003D2797" w:rsidRPr="003D2797" w:rsidRDefault="003D2797" w:rsidP="003D2797">
            <w:pPr>
              <w:rPr>
                <w:rFonts w:cs="Segoe UI"/>
                <w:sz w:val="22"/>
                <w:szCs w:val="22"/>
                <w:lang w:eastAsia="ja-JP"/>
              </w:rPr>
            </w:pPr>
            <w:r w:rsidRPr="003D2797">
              <w:rPr>
                <w:rFonts w:cs="Segoe UI"/>
                <w:sz w:val="22"/>
                <w:szCs w:val="22"/>
                <w:lang w:eastAsia="ja-JP"/>
              </w:rPr>
              <w:t>EFT</w:t>
            </w:r>
          </w:p>
        </w:tc>
        <w:tc>
          <w:tcPr>
            <w:tcW w:w="3014" w:type="dxa"/>
          </w:tcPr>
          <w:p w14:paraId="65FF5CA4" w14:textId="77777777" w:rsidR="003D2797" w:rsidRPr="003D2797" w:rsidRDefault="003D2797" w:rsidP="003D2797">
            <w:pPr>
              <w:rPr>
                <w:rFonts w:cs="Segoe UI"/>
                <w:sz w:val="22"/>
                <w:szCs w:val="22"/>
              </w:rPr>
            </w:pPr>
            <w:r w:rsidRPr="003D2797">
              <w:rPr>
                <w:rFonts w:cs="Segoe UI"/>
                <w:sz w:val="22"/>
                <w:szCs w:val="22"/>
              </w:rPr>
              <w:t>Electronic Fund Transfer</w:t>
            </w:r>
          </w:p>
        </w:tc>
      </w:tr>
      <w:tr w:rsidR="003D2797" w14:paraId="7FE90433" w14:textId="77777777" w:rsidTr="004674CA">
        <w:tc>
          <w:tcPr>
            <w:tcW w:w="1396" w:type="dxa"/>
          </w:tcPr>
          <w:p w14:paraId="4AD23B8E" w14:textId="77777777" w:rsidR="003D2797" w:rsidRPr="003D2797" w:rsidRDefault="003D2797" w:rsidP="003D2797">
            <w:pPr>
              <w:rPr>
                <w:rFonts w:cs="Segoe UI"/>
                <w:sz w:val="22"/>
                <w:szCs w:val="22"/>
                <w:lang w:eastAsia="ja-JP"/>
              </w:rPr>
            </w:pPr>
            <w:r w:rsidRPr="003D2797">
              <w:rPr>
                <w:rFonts w:cs="Segoe UI"/>
                <w:sz w:val="22"/>
                <w:szCs w:val="22"/>
                <w:lang w:eastAsia="ja-JP"/>
              </w:rPr>
              <w:t>ELA</w:t>
            </w:r>
          </w:p>
        </w:tc>
        <w:tc>
          <w:tcPr>
            <w:tcW w:w="3014" w:type="dxa"/>
          </w:tcPr>
          <w:p w14:paraId="7E4388EE" w14:textId="77777777" w:rsidR="003D2797" w:rsidRPr="003D2797" w:rsidRDefault="003D2797" w:rsidP="003D2797">
            <w:pPr>
              <w:rPr>
                <w:rFonts w:cs="Segoe UI"/>
                <w:sz w:val="22"/>
                <w:szCs w:val="22"/>
              </w:rPr>
            </w:pPr>
            <w:r w:rsidRPr="003D2797">
              <w:rPr>
                <w:rFonts w:cs="Segoe UI"/>
                <w:sz w:val="22"/>
                <w:szCs w:val="22"/>
              </w:rPr>
              <w:t>Emergency Liquidity Assistance</w:t>
            </w:r>
          </w:p>
        </w:tc>
      </w:tr>
      <w:tr w:rsidR="003D2797" w14:paraId="2674A571" w14:textId="77777777" w:rsidTr="004674CA">
        <w:tc>
          <w:tcPr>
            <w:tcW w:w="1396" w:type="dxa"/>
          </w:tcPr>
          <w:p w14:paraId="29530E8B" w14:textId="77777777" w:rsidR="003D2797" w:rsidRPr="003D2797" w:rsidRDefault="003D2797" w:rsidP="003D2797">
            <w:pPr>
              <w:rPr>
                <w:rFonts w:cs="Segoe UI"/>
                <w:sz w:val="22"/>
                <w:szCs w:val="22"/>
                <w:lang w:eastAsia="ja-JP"/>
              </w:rPr>
            </w:pPr>
            <w:r w:rsidRPr="003D2797">
              <w:rPr>
                <w:rFonts w:cs="Segoe UI"/>
                <w:sz w:val="22"/>
                <w:szCs w:val="22"/>
                <w:lang w:eastAsia="ja-JP"/>
              </w:rPr>
              <w:t>ERM</w:t>
            </w:r>
          </w:p>
        </w:tc>
        <w:tc>
          <w:tcPr>
            <w:tcW w:w="3014" w:type="dxa"/>
          </w:tcPr>
          <w:p w14:paraId="7261A144" w14:textId="77777777" w:rsidR="003D2797" w:rsidRPr="003D2797" w:rsidRDefault="003D2797" w:rsidP="003D2797">
            <w:pPr>
              <w:rPr>
                <w:rFonts w:cs="Segoe UI"/>
                <w:sz w:val="22"/>
                <w:szCs w:val="22"/>
              </w:rPr>
            </w:pPr>
            <w:r w:rsidRPr="003D2797">
              <w:rPr>
                <w:rFonts w:cs="Segoe UI"/>
                <w:sz w:val="22"/>
                <w:szCs w:val="22"/>
              </w:rPr>
              <w:t>Enterprise Risk Management</w:t>
            </w:r>
          </w:p>
        </w:tc>
      </w:tr>
      <w:tr w:rsidR="003D2797" w14:paraId="5C674E00" w14:textId="77777777" w:rsidTr="004674CA">
        <w:tc>
          <w:tcPr>
            <w:tcW w:w="1396" w:type="dxa"/>
          </w:tcPr>
          <w:p w14:paraId="63FB9DB7" w14:textId="77777777" w:rsidR="003D2797" w:rsidRPr="003D2797" w:rsidRDefault="003D2797" w:rsidP="003D2797">
            <w:pPr>
              <w:rPr>
                <w:rFonts w:cs="Segoe UI"/>
                <w:sz w:val="22"/>
                <w:szCs w:val="22"/>
                <w:lang w:eastAsia="ja-JP"/>
              </w:rPr>
            </w:pPr>
            <w:r w:rsidRPr="003D2797">
              <w:rPr>
                <w:rFonts w:cs="Segoe UI"/>
                <w:sz w:val="22"/>
                <w:szCs w:val="22"/>
                <w:lang w:eastAsia="ja-JP"/>
              </w:rPr>
              <w:t>ESTS</w:t>
            </w:r>
          </w:p>
        </w:tc>
        <w:tc>
          <w:tcPr>
            <w:tcW w:w="3014" w:type="dxa"/>
          </w:tcPr>
          <w:p w14:paraId="46DE6220" w14:textId="77777777" w:rsidR="003D2797" w:rsidRPr="003D2797" w:rsidRDefault="003D2797" w:rsidP="003D2797">
            <w:pPr>
              <w:rPr>
                <w:rFonts w:cs="Segoe UI"/>
                <w:sz w:val="22"/>
                <w:szCs w:val="22"/>
              </w:rPr>
            </w:pPr>
            <w:r w:rsidRPr="003D2797">
              <w:rPr>
                <w:rFonts w:cs="Segoe UI"/>
                <w:sz w:val="22"/>
                <w:szCs w:val="22"/>
              </w:rPr>
              <w:t>Electronic Securities Transfer System</w:t>
            </w:r>
          </w:p>
        </w:tc>
      </w:tr>
      <w:tr w:rsidR="003D2797" w14:paraId="30B03844" w14:textId="77777777" w:rsidTr="004674CA">
        <w:tc>
          <w:tcPr>
            <w:tcW w:w="1396" w:type="dxa"/>
          </w:tcPr>
          <w:p w14:paraId="5012432E" w14:textId="38D936AB" w:rsidR="004674CA" w:rsidRDefault="004674CA" w:rsidP="003D2797">
            <w:pPr>
              <w:rPr>
                <w:rFonts w:cs="Segoe UI"/>
                <w:sz w:val="22"/>
                <w:szCs w:val="22"/>
                <w:lang w:eastAsia="ja-JP"/>
              </w:rPr>
            </w:pPr>
            <w:r>
              <w:rPr>
                <w:rFonts w:cs="Segoe UI"/>
                <w:sz w:val="22"/>
                <w:szCs w:val="22"/>
                <w:lang w:eastAsia="ja-JP"/>
              </w:rPr>
              <w:t>FATF</w:t>
            </w:r>
          </w:p>
          <w:p w14:paraId="022830D1" w14:textId="77777777" w:rsidR="003D2797" w:rsidRPr="003D2797" w:rsidRDefault="003D2797" w:rsidP="003D2797">
            <w:pPr>
              <w:rPr>
                <w:rFonts w:cs="Segoe UI"/>
                <w:sz w:val="22"/>
                <w:szCs w:val="22"/>
                <w:lang w:eastAsia="ja-JP"/>
              </w:rPr>
            </w:pPr>
            <w:r w:rsidRPr="003D2797">
              <w:rPr>
                <w:rFonts w:cs="Segoe UI"/>
                <w:sz w:val="22"/>
                <w:szCs w:val="22"/>
                <w:lang w:eastAsia="ja-JP"/>
              </w:rPr>
              <w:t>FMI</w:t>
            </w:r>
          </w:p>
        </w:tc>
        <w:tc>
          <w:tcPr>
            <w:tcW w:w="3014" w:type="dxa"/>
          </w:tcPr>
          <w:p w14:paraId="67A8267B" w14:textId="15605E55" w:rsidR="004674CA" w:rsidRDefault="004674CA" w:rsidP="003D2797">
            <w:pPr>
              <w:rPr>
                <w:rFonts w:cs="Segoe UI"/>
                <w:sz w:val="22"/>
                <w:szCs w:val="22"/>
              </w:rPr>
            </w:pPr>
            <w:r>
              <w:rPr>
                <w:rFonts w:cs="Segoe UI"/>
                <w:sz w:val="22"/>
                <w:szCs w:val="22"/>
              </w:rPr>
              <w:t>Financial Action Task Force</w:t>
            </w:r>
          </w:p>
          <w:p w14:paraId="5AE57B18" w14:textId="77777777" w:rsidR="003D2797" w:rsidRPr="003D2797" w:rsidRDefault="003D2797" w:rsidP="003D2797">
            <w:pPr>
              <w:rPr>
                <w:rFonts w:cs="Segoe UI"/>
                <w:sz w:val="22"/>
                <w:szCs w:val="22"/>
              </w:rPr>
            </w:pPr>
            <w:r w:rsidRPr="003D2797">
              <w:rPr>
                <w:rFonts w:cs="Segoe UI"/>
                <w:sz w:val="22"/>
                <w:szCs w:val="22"/>
              </w:rPr>
              <w:t>Financial Market Infrastructure</w:t>
            </w:r>
          </w:p>
        </w:tc>
      </w:tr>
      <w:tr w:rsidR="003D2797" w14:paraId="66768556" w14:textId="77777777" w:rsidTr="004674CA">
        <w:tc>
          <w:tcPr>
            <w:tcW w:w="1396" w:type="dxa"/>
          </w:tcPr>
          <w:p w14:paraId="736B4C6F" w14:textId="77777777" w:rsidR="003D2797" w:rsidRPr="003D2797" w:rsidRDefault="003D2797" w:rsidP="003D2797">
            <w:pPr>
              <w:rPr>
                <w:rFonts w:cs="Segoe UI"/>
                <w:sz w:val="22"/>
                <w:szCs w:val="22"/>
                <w:lang w:eastAsia="ja-JP"/>
              </w:rPr>
            </w:pPr>
            <w:r w:rsidRPr="003D2797">
              <w:rPr>
                <w:rFonts w:cs="Segoe UI"/>
                <w:sz w:val="22"/>
                <w:szCs w:val="22"/>
                <w:lang w:eastAsia="ja-JP"/>
              </w:rPr>
              <w:t>FSC</w:t>
            </w:r>
          </w:p>
        </w:tc>
        <w:tc>
          <w:tcPr>
            <w:tcW w:w="3014" w:type="dxa"/>
          </w:tcPr>
          <w:p w14:paraId="76604651" w14:textId="77777777" w:rsidR="003D2797" w:rsidRPr="003D2797" w:rsidRDefault="003D2797" w:rsidP="003D2797">
            <w:pPr>
              <w:rPr>
                <w:rFonts w:cs="Segoe UI"/>
                <w:sz w:val="22"/>
                <w:szCs w:val="22"/>
              </w:rPr>
            </w:pPr>
            <w:r w:rsidRPr="003D2797">
              <w:rPr>
                <w:rFonts w:cs="Segoe UI"/>
                <w:sz w:val="22"/>
                <w:szCs w:val="22"/>
              </w:rPr>
              <w:t>Financial Stability Committee</w:t>
            </w:r>
          </w:p>
        </w:tc>
      </w:tr>
      <w:tr w:rsidR="003D2797" w14:paraId="5D59E488" w14:textId="77777777" w:rsidTr="004674CA">
        <w:tc>
          <w:tcPr>
            <w:tcW w:w="1396" w:type="dxa"/>
          </w:tcPr>
          <w:p w14:paraId="6BE63471" w14:textId="77777777" w:rsidR="003D2797" w:rsidRPr="003D2797" w:rsidRDefault="003D2797" w:rsidP="003D2797">
            <w:pPr>
              <w:rPr>
                <w:rFonts w:cs="Segoe UI"/>
                <w:sz w:val="22"/>
                <w:szCs w:val="22"/>
                <w:lang w:eastAsia="ja-JP"/>
              </w:rPr>
            </w:pPr>
            <w:r w:rsidRPr="003D2797">
              <w:rPr>
                <w:rFonts w:cs="Segoe UI"/>
                <w:sz w:val="22"/>
                <w:szCs w:val="22"/>
                <w:lang w:eastAsia="ja-JP"/>
              </w:rPr>
              <w:t>GIR</w:t>
            </w:r>
          </w:p>
        </w:tc>
        <w:tc>
          <w:tcPr>
            <w:tcW w:w="3014" w:type="dxa"/>
          </w:tcPr>
          <w:p w14:paraId="7976CB15" w14:textId="77777777" w:rsidR="003D2797" w:rsidRPr="003D2797" w:rsidRDefault="003D2797" w:rsidP="003D2797">
            <w:pPr>
              <w:rPr>
                <w:rFonts w:cs="Segoe UI"/>
                <w:sz w:val="22"/>
                <w:szCs w:val="22"/>
              </w:rPr>
            </w:pPr>
            <w:r w:rsidRPr="003D2797">
              <w:rPr>
                <w:rFonts w:cs="Segoe UI"/>
                <w:sz w:val="22"/>
                <w:szCs w:val="22"/>
              </w:rPr>
              <w:t>Gross International Reserves</w:t>
            </w:r>
          </w:p>
        </w:tc>
      </w:tr>
      <w:tr w:rsidR="003D2797" w14:paraId="5C5944D7" w14:textId="77777777" w:rsidTr="004674CA">
        <w:tc>
          <w:tcPr>
            <w:tcW w:w="1396" w:type="dxa"/>
          </w:tcPr>
          <w:p w14:paraId="5CA111A4" w14:textId="77777777" w:rsidR="003D2797" w:rsidRPr="003D2797" w:rsidRDefault="003D2797" w:rsidP="003D2797">
            <w:pPr>
              <w:rPr>
                <w:rFonts w:cs="Segoe UI"/>
                <w:sz w:val="22"/>
                <w:szCs w:val="22"/>
                <w:lang w:eastAsia="ja-JP"/>
              </w:rPr>
            </w:pPr>
            <w:r w:rsidRPr="003D2797">
              <w:rPr>
                <w:rFonts w:cs="Segoe UI"/>
                <w:sz w:val="22"/>
                <w:szCs w:val="22"/>
                <w:lang w:eastAsia="ja-JP"/>
              </w:rPr>
              <w:t>ICAAP</w:t>
            </w:r>
          </w:p>
        </w:tc>
        <w:tc>
          <w:tcPr>
            <w:tcW w:w="3014" w:type="dxa"/>
          </w:tcPr>
          <w:p w14:paraId="2A2EB16C" w14:textId="77777777" w:rsidR="003D2797" w:rsidRPr="003D2797" w:rsidRDefault="003D2797" w:rsidP="003D2797">
            <w:pPr>
              <w:rPr>
                <w:rFonts w:cs="Segoe UI"/>
                <w:sz w:val="22"/>
                <w:szCs w:val="22"/>
              </w:rPr>
            </w:pPr>
            <w:r w:rsidRPr="003D2797">
              <w:rPr>
                <w:rFonts w:cs="Segoe UI"/>
                <w:sz w:val="22"/>
                <w:szCs w:val="22"/>
              </w:rPr>
              <w:t>Internal Capital Adequacy Assessment Process</w:t>
            </w:r>
          </w:p>
        </w:tc>
      </w:tr>
      <w:tr w:rsidR="00327D2E" w14:paraId="4E43B356" w14:textId="77777777" w:rsidTr="004674CA">
        <w:tc>
          <w:tcPr>
            <w:tcW w:w="1396" w:type="dxa"/>
          </w:tcPr>
          <w:p w14:paraId="67B2C651" w14:textId="77777777" w:rsidR="00327D2E" w:rsidRPr="003D2797" w:rsidRDefault="00327D2E" w:rsidP="003D2797">
            <w:pPr>
              <w:rPr>
                <w:rFonts w:cs="Segoe UI"/>
                <w:sz w:val="22"/>
                <w:szCs w:val="22"/>
                <w:lang w:eastAsia="ja-JP"/>
              </w:rPr>
            </w:pPr>
            <w:r>
              <w:rPr>
                <w:rFonts w:cs="Segoe UI"/>
                <w:sz w:val="22"/>
                <w:szCs w:val="22"/>
                <w:lang w:eastAsia="ja-JP"/>
              </w:rPr>
              <w:t>ICP</w:t>
            </w:r>
          </w:p>
        </w:tc>
        <w:tc>
          <w:tcPr>
            <w:tcW w:w="3014" w:type="dxa"/>
          </w:tcPr>
          <w:p w14:paraId="506F05F0" w14:textId="77777777" w:rsidR="00327D2E" w:rsidRPr="003D2797" w:rsidRDefault="00327D2E" w:rsidP="003D2797">
            <w:pPr>
              <w:rPr>
                <w:rFonts w:cs="Segoe UI"/>
                <w:sz w:val="22"/>
                <w:szCs w:val="22"/>
              </w:rPr>
            </w:pPr>
            <w:r>
              <w:rPr>
                <w:rFonts w:cs="Segoe UI"/>
                <w:sz w:val="22"/>
                <w:szCs w:val="22"/>
              </w:rPr>
              <w:t>Insurance Core Principles</w:t>
            </w:r>
          </w:p>
        </w:tc>
      </w:tr>
      <w:tr w:rsidR="003D2797" w14:paraId="0DB63C94" w14:textId="77777777" w:rsidTr="004674CA">
        <w:tc>
          <w:tcPr>
            <w:tcW w:w="1396" w:type="dxa"/>
          </w:tcPr>
          <w:p w14:paraId="1643BA58" w14:textId="77777777" w:rsidR="003D2797" w:rsidRPr="003D2797" w:rsidRDefault="003D2797" w:rsidP="003D2797">
            <w:pPr>
              <w:rPr>
                <w:rFonts w:cs="Segoe UI"/>
                <w:sz w:val="22"/>
                <w:szCs w:val="22"/>
                <w:lang w:eastAsia="ja-JP"/>
              </w:rPr>
            </w:pPr>
            <w:r w:rsidRPr="003D2797">
              <w:rPr>
                <w:rFonts w:cs="Segoe UI"/>
                <w:sz w:val="22"/>
                <w:szCs w:val="22"/>
                <w:lang w:eastAsia="ja-JP"/>
              </w:rPr>
              <w:t>ICR</w:t>
            </w:r>
          </w:p>
        </w:tc>
        <w:tc>
          <w:tcPr>
            <w:tcW w:w="3014" w:type="dxa"/>
          </w:tcPr>
          <w:p w14:paraId="3F507C1D" w14:textId="77777777" w:rsidR="003D2797" w:rsidRPr="003D2797" w:rsidRDefault="003D2797" w:rsidP="003D2797">
            <w:pPr>
              <w:rPr>
                <w:rFonts w:cs="Segoe UI"/>
                <w:sz w:val="22"/>
                <w:szCs w:val="22"/>
              </w:rPr>
            </w:pPr>
            <w:r w:rsidRPr="003D2797">
              <w:rPr>
                <w:rFonts w:cs="Segoe UI"/>
                <w:sz w:val="22"/>
                <w:szCs w:val="22"/>
              </w:rPr>
              <w:t>Interest Coverage Ratio</w:t>
            </w:r>
          </w:p>
        </w:tc>
      </w:tr>
      <w:tr w:rsidR="003D2797" w14:paraId="156FEE9D" w14:textId="77777777" w:rsidTr="004674CA">
        <w:tc>
          <w:tcPr>
            <w:tcW w:w="1396" w:type="dxa"/>
          </w:tcPr>
          <w:p w14:paraId="233EBDA7" w14:textId="77777777" w:rsidR="003D2797" w:rsidRPr="003D2797" w:rsidRDefault="003D2797" w:rsidP="003D2797">
            <w:pPr>
              <w:rPr>
                <w:rFonts w:cs="Segoe UI"/>
                <w:sz w:val="22"/>
                <w:szCs w:val="22"/>
                <w:lang w:eastAsia="ja-JP"/>
              </w:rPr>
            </w:pPr>
            <w:r w:rsidRPr="003D2797">
              <w:rPr>
                <w:rFonts w:cs="Segoe UI"/>
                <w:sz w:val="22"/>
                <w:szCs w:val="22"/>
                <w:lang w:eastAsia="ja-JP"/>
              </w:rPr>
              <w:t>IIFCB</w:t>
            </w:r>
          </w:p>
        </w:tc>
        <w:tc>
          <w:tcPr>
            <w:tcW w:w="3014" w:type="dxa"/>
          </w:tcPr>
          <w:p w14:paraId="38FE78E0" w14:textId="77777777" w:rsidR="003D2797" w:rsidRPr="003D2797" w:rsidRDefault="003D2797" w:rsidP="003D2797">
            <w:pPr>
              <w:rPr>
                <w:rFonts w:cs="Segoe UI"/>
                <w:sz w:val="22"/>
                <w:szCs w:val="22"/>
              </w:rPr>
            </w:pPr>
            <w:r w:rsidRPr="003D2797">
              <w:rPr>
                <w:rFonts w:cs="Segoe UI"/>
                <w:sz w:val="22"/>
                <w:szCs w:val="22"/>
              </w:rPr>
              <w:t>Interest-Free Finance Coordination Board</w:t>
            </w:r>
          </w:p>
        </w:tc>
      </w:tr>
      <w:tr w:rsidR="003D2797" w14:paraId="733B1BEA" w14:textId="77777777" w:rsidTr="004674CA">
        <w:tc>
          <w:tcPr>
            <w:tcW w:w="1396" w:type="dxa"/>
          </w:tcPr>
          <w:p w14:paraId="0221AA39" w14:textId="77777777" w:rsidR="003D2797" w:rsidRPr="003D2797" w:rsidRDefault="003D2797" w:rsidP="003D2797">
            <w:pPr>
              <w:rPr>
                <w:rFonts w:cs="Segoe UI"/>
                <w:sz w:val="22"/>
                <w:szCs w:val="22"/>
                <w:lang w:eastAsia="ja-JP"/>
              </w:rPr>
            </w:pPr>
            <w:r w:rsidRPr="003D2797">
              <w:rPr>
                <w:rFonts w:cs="Segoe UI"/>
                <w:sz w:val="22"/>
                <w:szCs w:val="22"/>
                <w:lang w:eastAsia="ja-JP"/>
              </w:rPr>
              <w:t>IFSB</w:t>
            </w:r>
          </w:p>
        </w:tc>
        <w:tc>
          <w:tcPr>
            <w:tcW w:w="3014" w:type="dxa"/>
          </w:tcPr>
          <w:p w14:paraId="608BEE20" w14:textId="77777777" w:rsidR="003D2797" w:rsidRPr="003D2797" w:rsidRDefault="003D2797" w:rsidP="003D2797">
            <w:pPr>
              <w:rPr>
                <w:rFonts w:cs="Segoe UI"/>
                <w:sz w:val="22"/>
                <w:szCs w:val="22"/>
              </w:rPr>
            </w:pPr>
            <w:r w:rsidRPr="003D2797">
              <w:rPr>
                <w:rFonts w:cs="Segoe UI"/>
                <w:sz w:val="22"/>
                <w:szCs w:val="22"/>
              </w:rPr>
              <w:t>Islamic Financial Services Board</w:t>
            </w:r>
          </w:p>
        </w:tc>
      </w:tr>
      <w:tr w:rsidR="003D2797" w14:paraId="4D1C7A72" w14:textId="77777777" w:rsidTr="004674CA">
        <w:tc>
          <w:tcPr>
            <w:tcW w:w="1396" w:type="dxa"/>
          </w:tcPr>
          <w:p w14:paraId="3DAACC21" w14:textId="77777777" w:rsidR="003D2797" w:rsidRPr="003D2797" w:rsidRDefault="003D2797" w:rsidP="003D2797">
            <w:pPr>
              <w:rPr>
                <w:rFonts w:cs="Segoe UI"/>
                <w:sz w:val="22"/>
                <w:szCs w:val="22"/>
                <w:lang w:eastAsia="ja-JP"/>
              </w:rPr>
            </w:pPr>
            <w:r w:rsidRPr="003D2797">
              <w:rPr>
                <w:rFonts w:cs="Segoe UI"/>
                <w:sz w:val="22"/>
                <w:szCs w:val="22"/>
                <w:lang w:eastAsia="ja-JP"/>
              </w:rPr>
              <w:t>IMF</w:t>
            </w:r>
          </w:p>
        </w:tc>
        <w:tc>
          <w:tcPr>
            <w:tcW w:w="3014" w:type="dxa"/>
          </w:tcPr>
          <w:p w14:paraId="5C65EC06" w14:textId="77777777" w:rsidR="003D2797" w:rsidRPr="003D2797" w:rsidRDefault="003D2797" w:rsidP="003D2797">
            <w:pPr>
              <w:rPr>
                <w:rFonts w:cs="Segoe UI"/>
                <w:sz w:val="22"/>
                <w:szCs w:val="22"/>
              </w:rPr>
            </w:pPr>
            <w:r w:rsidRPr="003D2797">
              <w:rPr>
                <w:rFonts w:cs="Segoe UI"/>
                <w:sz w:val="22"/>
                <w:szCs w:val="22"/>
              </w:rPr>
              <w:t>International Monetary Fund</w:t>
            </w:r>
          </w:p>
        </w:tc>
      </w:tr>
      <w:tr w:rsidR="003D2797" w14:paraId="477BFB71" w14:textId="77777777" w:rsidTr="004674CA">
        <w:tc>
          <w:tcPr>
            <w:tcW w:w="1396" w:type="dxa"/>
          </w:tcPr>
          <w:p w14:paraId="7C1C5AB1" w14:textId="66D0374D" w:rsidR="004674CA" w:rsidRDefault="004674CA" w:rsidP="003D2797">
            <w:pPr>
              <w:rPr>
                <w:rFonts w:cs="Segoe UI"/>
                <w:sz w:val="22"/>
                <w:szCs w:val="22"/>
                <w:lang w:eastAsia="ja-JP"/>
              </w:rPr>
            </w:pPr>
            <w:r>
              <w:rPr>
                <w:rFonts w:cs="Segoe UI"/>
                <w:sz w:val="22"/>
                <w:szCs w:val="22"/>
                <w:lang w:eastAsia="ja-JP"/>
              </w:rPr>
              <w:t>IOSCO</w:t>
            </w:r>
          </w:p>
          <w:p w14:paraId="58ED3150" w14:textId="77777777" w:rsidR="004674CA" w:rsidRDefault="004674CA" w:rsidP="003D2797">
            <w:pPr>
              <w:rPr>
                <w:rFonts w:cs="Segoe UI"/>
                <w:sz w:val="22"/>
                <w:szCs w:val="22"/>
                <w:lang w:eastAsia="ja-JP"/>
              </w:rPr>
            </w:pPr>
          </w:p>
          <w:p w14:paraId="58924034" w14:textId="77777777" w:rsidR="003D2797" w:rsidRPr="003D2797" w:rsidRDefault="003D2797" w:rsidP="003D2797">
            <w:pPr>
              <w:rPr>
                <w:rFonts w:cs="Segoe UI"/>
                <w:sz w:val="22"/>
                <w:szCs w:val="22"/>
                <w:lang w:eastAsia="ja-JP"/>
              </w:rPr>
            </w:pPr>
            <w:r w:rsidRPr="003D2797">
              <w:rPr>
                <w:rFonts w:cs="Segoe UI"/>
                <w:sz w:val="22"/>
                <w:szCs w:val="22"/>
                <w:lang w:eastAsia="ja-JP"/>
              </w:rPr>
              <w:t>IPO</w:t>
            </w:r>
          </w:p>
        </w:tc>
        <w:tc>
          <w:tcPr>
            <w:tcW w:w="3014" w:type="dxa"/>
          </w:tcPr>
          <w:p w14:paraId="5CE680AE" w14:textId="5C3784C4" w:rsidR="004674CA" w:rsidRDefault="004674CA" w:rsidP="003D2797">
            <w:pPr>
              <w:rPr>
                <w:rFonts w:cs="Segoe UI"/>
                <w:sz w:val="22"/>
                <w:szCs w:val="22"/>
              </w:rPr>
            </w:pPr>
            <w:r>
              <w:rPr>
                <w:rFonts w:cs="Segoe UI"/>
                <w:sz w:val="22"/>
                <w:szCs w:val="22"/>
              </w:rPr>
              <w:t>International Organization of Securities Commissions</w:t>
            </w:r>
          </w:p>
          <w:p w14:paraId="7DB5EE18" w14:textId="77777777" w:rsidR="003D2797" w:rsidRPr="003D2797" w:rsidRDefault="003D2797" w:rsidP="003D2797">
            <w:pPr>
              <w:rPr>
                <w:rFonts w:cs="Segoe UI"/>
                <w:sz w:val="22"/>
                <w:szCs w:val="22"/>
              </w:rPr>
            </w:pPr>
            <w:r w:rsidRPr="003D2797">
              <w:rPr>
                <w:rFonts w:cs="Segoe UI"/>
                <w:sz w:val="22"/>
                <w:szCs w:val="22"/>
              </w:rPr>
              <w:t>Initial Public Offering</w:t>
            </w:r>
          </w:p>
        </w:tc>
      </w:tr>
      <w:tr w:rsidR="003D2797" w14:paraId="188ADB89" w14:textId="77777777" w:rsidTr="004674CA">
        <w:tc>
          <w:tcPr>
            <w:tcW w:w="1396" w:type="dxa"/>
          </w:tcPr>
          <w:p w14:paraId="7A69E71A" w14:textId="77777777" w:rsidR="003D2797" w:rsidRPr="003D2797" w:rsidRDefault="003D2797" w:rsidP="003D2797">
            <w:pPr>
              <w:rPr>
                <w:rFonts w:cs="Segoe UI"/>
                <w:sz w:val="22"/>
                <w:szCs w:val="22"/>
                <w:lang w:eastAsia="ja-JP"/>
              </w:rPr>
            </w:pPr>
            <w:r w:rsidRPr="003D2797">
              <w:rPr>
                <w:rFonts w:cs="Segoe UI"/>
                <w:sz w:val="22"/>
                <w:szCs w:val="22"/>
                <w:lang w:eastAsia="ja-JP"/>
              </w:rPr>
              <w:t>IRB</w:t>
            </w:r>
          </w:p>
        </w:tc>
        <w:tc>
          <w:tcPr>
            <w:tcW w:w="3014" w:type="dxa"/>
          </w:tcPr>
          <w:p w14:paraId="4BD3D478" w14:textId="77777777" w:rsidR="003D2797" w:rsidRPr="003D2797" w:rsidRDefault="003D2797" w:rsidP="003D2797">
            <w:pPr>
              <w:rPr>
                <w:rFonts w:cs="Segoe UI"/>
                <w:sz w:val="22"/>
                <w:szCs w:val="22"/>
              </w:rPr>
            </w:pPr>
            <w:r w:rsidRPr="003D2797">
              <w:rPr>
                <w:rFonts w:cs="Segoe UI"/>
                <w:sz w:val="22"/>
                <w:szCs w:val="22"/>
              </w:rPr>
              <w:t>Internal Ratings-Based</w:t>
            </w:r>
          </w:p>
        </w:tc>
      </w:tr>
      <w:tr w:rsidR="003D2797" w14:paraId="1197F873" w14:textId="77777777" w:rsidTr="004674CA">
        <w:tc>
          <w:tcPr>
            <w:tcW w:w="1396" w:type="dxa"/>
          </w:tcPr>
          <w:p w14:paraId="2214C561" w14:textId="77777777" w:rsidR="003D2797" w:rsidRPr="003D2797" w:rsidRDefault="003D2797" w:rsidP="003D2797">
            <w:pPr>
              <w:rPr>
                <w:rFonts w:cs="Segoe UI"/>
                <w:sz w:val="22"/>
                <w:szCs w:val="22"/>
                <w:lang w:eastAsia="ja-JP"/>
              </w:rPr>
            </w:pPr>
            <w:r w:rsidRPr="003D2797">
              <w:rPr>
                <w:rFonts w:cs="Segoe UI"/>
                <w:sz w:val="22"/>
                <w:szCs w:val="22"/>
                <w:lang w:eastAsia="ja-JP"/>
              </w:rPr>
              <w:t>KKB</w:t>
            </w:r>
          </w:p>
        </w:tc>
        <w:tc>
          <w:tcPr>
            <w:tcW w:w="3014" w:type="dxa"/>
          </w:tcPr>
          <w:p w14:paraId="11E4CCF8" w14:textId="117AD0CC" w:rsidR="003D2797" w:rsidRPr="003D2797" w:rsidRDefault="003D2797" w:rsidP="00242217">
            <w:pPr>
              <w:rPr>
                <w:rFonts w:cs="Segoe UI"/>
                <w:sz w:val="22"/>
                <w:szCs w:val="22"/>
              </w:rPr>
            </w:pPr>
            <w:r w:rsidRPr="003D2797">
              <w:rPr>
                <w:rFonts w:cs="Segoe UI"/>
                <w:sz w:val="22"/>
                <w:szCs w:val="22"/>
              </w:rPr>
              <w:t xml:space="preserve">Credit Bureau </w:t>
            </w:r>
          </w:p>
        </w:tc>
      </w:tr>
      <w:tr w:rsidR="003D2797" w14:paraId="42FC7869" w14:textId="77777777" w:rsidTr="004674CA">
        <w:tc>
          <w:tcPr>
            <w:tcW w:w="1396" w:type="dxa"/>
          </w:tcPr>
          <w:p w14:paraId="0E2309A7" w14:textId="77777777" w:rsidR="003D2797" w:rsidRPr="003D2797" w:rsidRDefault="003D2797" w:rsidP="003D2797">
            <w:pPr>
              <w:rPr>
                <w:rFonts w:cs="Segoe UI"/>
                <w:sz w:val="22"/>
                <w:szCs w:val="22"/>
                <w:lang w:eastAsia="ja-JP"/>
              </w:rPr>
            </w:pPr>
            <w:r w:rsidRPr="003D2797">
              <w:rPr>
                <w:rFonts w:cs="Segoe UI"/>
                <w:sz w:val="22"/>
                <w:szCs w:val="22"/>
                <w:lang w:eastAsia="ja-JP"/>
              </w:rPr>
              <w:t>KYC</w:t>
            </w:r>
          </w:p>
        </w:tc>
        <w:tc>
          <w:tcPr>
            <w:tcW w:w="3014" w:type="dxa"/>
          </w:tcPr>
          <w:p w14:paraId="71361625" w14:textId="77777777" w:rsidR="003D2797" w:rsidRPr="003D2797" w:rsidRDefault="003D2797" w:rsidP="003D2797">
            <w:pPr>
              <w:rPr>
                <w:rFonts w:cs="Segoe UI"/>
                <w:sz w:val="22"/>
                <w:szCs w:val="22"/>
              </w:rPr>
            </w:pPr>
            <w:r w:rsidRPr="003D2797">
              <w:rPr>
                <w:rFonts w:cs="Segoe UI"/>
                <w:sz w:val="22"/>
                <w:szCs w:val="22"/>
              </w:rPr>
              <w:t>Know Your Customer</w:t>
            </w:r>
          </w:p>
        </w:tc>
      </w:tr>
      <w:tr w:rsidR="003D2797" w14:paraId="175A2F14" w14:textId="77777777" w:rsidTr="004674CA">
        <w:tc>
          <w:tcPr>
            <w:tcW w:w="1396" w:type="dxa"/>
          </w:tcPr>
          <w:p w14:paraId="6AA42E6E" w14:textId="77777777" w:rsidR="003D2797" w:rsidRPr="003D2797" w:rsidRDefault="003D2797" w:rsidP="003D2797">
            <w:pPr>
              <w:rPr>
                <w:rFonts w:cs="Segoe UI"/>
                <w:sz w:val="22"/>
                <w:szCs w:val="22"/>
                <w:lang w:eastAsia="ja-JP"/>
              </w:rPr>
            </w:pPr>
            <w:r w:rsidRPr="003D2797">
              <w:rPr>
                <w:rFonts w:cs="Segoe UI"/>
                <w:sz w:val="22"/>
                <w:szCs w:val="22"/>
                <w:lang w:eastAsia="ja-JP"/>
              </w:rPr>
              <w:t>LCR</w:t>
            </w:r>
          </w:p>
        </w:tc>
        <w:tc>
          <w:tcPr>
            <w:tcW w:w="3014" w:type="dxa"/>
          </w:tcPr>
          <w:p w14:paraId="37962D72" w14:textId="77777777" w:rsidR="003D2797" w:rsidRPr="003D2797" w:rsidRDefault="003D2797" w:rsidP="003D2797">
            <w:pPr>
              <w:rPr>
                <w:rFonts w:cs="Segoe UI"/>
                <w:sz w:val="22"/>
                <w:szCs w:val="22"/>
              </w:rPr>
            </w:pPr>
            <w:r w:rsidRPr="003D2797">
              <w:rPr>
                <w:rFonts w:cs="Segoe UI"/>
                <w:sz w:val="22"/>
                <w:szCs w:val="22"/>
              </w:rPr>
              <w:t>Liquidity Coverage Ratio</w:t>
            </w:r>
          </w:p>
        </w:tc>
      </w:tr>
      <w:tr w:rsidR="003D2797" w14:paraId="18CD28D1" w14:textId="77777777" w:rsidTr="004674CA">
        <w:tc>
          <w:tcPr>
            <w:tcW w:w="1396" w:type="dxa"/>
          </w:tcPr>
          <w:p w14:paraId="79CCE2BC" w14:textId="77777777" w:rsidR="003D2797" w:rsidRPr="003D2797" w:rsidRDefault="003D2797" w:rsidP="003D2797">
            <w:pPr>
              <w:rPr>
                <w:rFonts w:cs="Segoe UI"/>
                <w:sz w:val="22"/>
                <w:szCs w:val="22"/>
                <w:lang w:eastAsia="ja-JP"/>
              </w:rPr>
            </w:pPr>
            <w:r w:rsidRPr="003D2797">
              <w:rPr>
                <w:rFonts w:cs="Segoe UI"/>
                <w:sz w:val="22"/>
                <w:szCs w:val="22"/>
                <w:lang w:eastAsia="ja-JP"/>
              </w:rPr>
              <w:t>MASAK</w:t>
            </w:r>
          </w:p>
        </w:tc>
        <w:tc>
          <w:tcPr>
            <w:tcW w:w="3014" w:type="dxa"/>
          </w:tcPr>
          <w:p w14:paraId="442349A5" w14:textId="77777777" w:rsidR="003D2797" w:rsidRPr="003D2797" w:rsidRDefault="003D2797" w:rsidP="003D2797">
            <w:pPr>
              <w:rPr>
                <w:rFonts w:cs="Segoe UI"/>
                <w:sz w:val="22"/>
                <w:szCs w:val="22"/>
              </w:rPr>
            </w:pPr>
            <w:r w:rsidRPr="003D2797">
              <w:rPr>
                <w:rFonts w:cs="Segoe UI"/>
                <w:sz w:val="22"/>
                <w:szCs w:val="22"/>
              </w:rPr>
              <w:t>Financial Crimes Investigation Board</w:t>
            </w:r>
          </w:p>
        </w:tc>
      </w:tr>
      <w:tr w:rsidR="003D2797" w14:paraId="1C2E02E7" w14:textId="77777777" w:rsidTr="004674CA">
        <w:tc>
          <w:tcPr>
            <w:tcW w:w="1396" w:type="dxa"/>
          </w:tcPr>
          <w:p w14:paraId="11A3A6A8" w14:textId="77777777" w:rsidR="003D2797" w:rsidRPr="003D2797" w:rsidRDefault="003D2797" w:rsidP="003D2797">
            <w:pPr>
              <w:rPr>
                <w:rFonts w:cs="Segoe UI"/>
                <w:sz w:val="22"/>
                <w:szCs w:val="22"/>
                <w:lang w:eastAsia="ja-JP"/>
              </w:rPr>
            </w:pPr>
            <w:r w:rsidRPr="003D2797">
              <w:rPr>
                <w:rFonts w:cs="Segoe UI"/>
                <w:sz w:val="22"/>
                <w:szCs w:val="22"/>
                <w:lang w:eastAsia="ja-JP"/>
              </w:rPr>
              <w:t>MKK</w:t>
            </w:r>
          </w:p>
        </w:tc>
        <w:tc>
          <w:tcPr>
            <w:tcW w:w="3014" w:type="dxa"/>
          </w:tcPr>
          <w:p w14:paraId="4E3D2E82" w14:textId="77777777" w:rsidR="003D2797" w:rsidRPr="003D2797" w:rsidRDefault="003D2797" w:rsidP="003D2797">
            <w:pPr>
              <w:rPr>
                <w:rFonts w:cs="Segoe UI"/>
                <w:sz w:val="22"/>
                <w:szCs w:val="22"/>
              </w:rPr>
            </w:pPr>
            <w:r w:rsidRPr="003D2797">
              <w:rPr>
                <w:rFonts w:cs="Segoe UI"/>
                <w:sz w:val="22"/>
                <w:szCs w:val="22"/>
              </w:rPr>
              <w:t>Central Registry Agency of Turkey</w:t>
            </w:r>
          </w:p>
        </w:tc>
      </w:tr>
      <w:tr w:rsidR="003D2797" w14:paraId="5F3D94D4" w14:textId="77777777" w:rsidTr="004674CA">
        <w:tc>
          <w:tcPr>
            <w:tcW w:w="1396" w:type="dxa"/>
          </w:tcPr>
          <w:p w14:paraId="2C320AF2" w14:textId="77777777" w:rsidR="003D2797" w:rsidRPr="003D2797" w:rsidRDefault="003D2797" w:rsidP="003D2797">
            <w:pPr>
              <w:rPr>
                <w:rFonts w:cs="Segoe UI"/>
                <w:sz w:val="22"/>
                <w:szCs w:val="22"/>
                <w:lang w:eastAsia="ja-JP"/>
              </w:rPr>
            </w:pPr>
            <w:r w:rsidRPr="003D2797">
              <w:rPr>
                <w:rFonts w:cs="Segoe UI"/>
                <w:sz w:val="22"/>
                <w:szCs w:val="22"/>
                <w:lang w:eastAsia="ja-JP"/>
              </w:rPr>
              <w:t>MOF</w:t>
            </w:r>
          </w:p>
        </w:tc>
        <w:tc>
          <w:tcPr>
            <w:tcW w:w="3014" w:type="dxa"/>
          </w:tcPr>
          <w:p w14:paraId="16DAB424" w14:textId="77777777" w:rsidR="003D2797" w:rsidRPr="003D2797" w:rsidRDefault="003D2797" w:rsidP="003D2797">
            <w:pPr>
              <w:rPr>
                <w:rFonts w:cs="Segoe UI"/>
                <w:sz w:val="22"/>
                <w:szCs w:val="22"/>
              </w:rPr>
            </w:pPr>
            <w:r w:rsidRPr="003D2797">
              <w:rPr>
                <w:rFonts w:cs="Segoe UI"/>
                <w:sz w:val="22"/>
                <w:szCs w:val="22"/>
              </w:rPr>
              <w:t>Ministry of Finance</w:t>
            </w:r>
          </w:p>
        </w:tc>
      </w:tr>
      <w:tr w:rsidR="003D2797" w14:paraId="394F1C12" w14:textId="77777777" w:rsidTr="004674CA">
        <w:tc>
          <w:tcPr>
            <w:tcW w:w="1396" w:type="dxa"/>
          </w:tcPr>
          <w:p w14:paraId="58837B5B" w14:textId="77777777" w:rsidR="003D2797" w:rsidRPr="003D2797" w:rsidRDefault="003D2797" w:rsidP="003D2797">
            <w:pPr>
              <w:rPr>
                <w:rFonts w:cs="Segoe UI"/>
                <w:sz w:val="22"/>
                <w:szCs w:val="22"/>
                <w:lang w:eastAsia="ja-JP"/>
              </w:rPr>
            </w:pPr>
            <w:r w:rsidRPr="003D2797">
              <w:rPr>
                <w:rFonts w:cs="Segoe UI"/>
                <w:sz w:val="22"/>
                <w:szCs w:val="22"/>
                <w:lang w:eastAsia="ja-JP"/>
              </w:rPr>
              <w:t>MSME</w:t>
            </w:r>
          </w:p>
        </w:tc>
        <w:tc>
          <w:tcPr>
            <w:tcW w:w="3014" w:type="dxa"/>
          </w:tcPr>
          <w:p w14:paraId="472032F1" w14:textId="77777777" w:rsidR="003D2797" w:rsidRPr="003D2797" w:rsidRDefault="003D2797" w:rsidP="003D2797">
            <w:pPr>
              <w:rPr>
                <w:rFonts w:cs="Segoe UI"/>
                <w:sz w:val="22"/>
                <w:szCs w:val="22"/>
              </w:rPr>
            </w:pPr>
            <w:r w:rsidRPr="003D2797">
              <w:rPr>
                <w:rFonts w:cs="Segoe UI"/>
                <w:sz w:val="22"/>
                <w:szCs w:val="22"/>
              </w:rPr>
              <w:t>Micro, Small and Medium Enterprises</w:t>
            </w:r>
          </w:p>
        </w:tc>
      </w:tr>
      <w:tr w:rsidR="003D2797" w14:paraId="1210C429" w14:textId="77777777" w:rsidTr="004674CA">
        <w:tc>
          <w:tcPr>
            <w:tcW w:w="1396" w:type="dxa"/>
          </w:tcPr>
          <w:p w14:paraId="2AF4B42F" w14:textId="77777777" w:rsidR="003D2797" w:rsidRPr="003D2797" w:rsidRDefault="003D2797" w:rsidP="003D2797">
            <w:pPr>
              <w:rPr>
                <w:rFonts w:cs="Segoe UI"/>
                <w:sz w:val="22"/>
                <w:szCs w:val="22"/>
                <w:lang w:eastAsia="ja-JP"/>
              </w:rPr>
            </w:pPr>
            <w:r w:rsidRPr="003D2797">
              <w:rPr>
                <w:rFonts w:cs="Segoe UI"/>
                <w:sz w:val="22"/>
                <w:szCs w:val="22"/>
                <w:lang w:eastAsia="ja-JP"/>
              </w:rPr>
              <w:t>NFC</w:t>
            </w:r>
          </w:p>
        </w:tc>
        <w:tc>
          <w:tcPr>
            <w:tcW w:w="3014" w:type="dxa"/>
          </w:tcPr>
          <w:p w14:paraId="08B13A28" w14:textId="77777777" w:rsidR="003D2797" w:rsidRPr="003D2797" w:rsidRDefault="003D2797" w:rsidP="003D2797">
            <w:pPr>
              <w:rPr>
                <w:rFonts w:cs="Segoe UI"/>
                <w:sz w:val="22"/>
                <w:szCs w:val="22"/>
              </w:rPr>
            </w:pPr>
            <w:r w:rsidRPr="003D2797">
              <w:rPr>
                <w:rFonts w:cs="Segoe UI"/>
                <w:sz w:val="22"/>
                <w:szCs w:val="22"/>
              </w:rPr>
              <w:t>Non-Financial Corporate</w:t>
            </w:r>
          </w:p>
        </w:tc>
      </w:tr>
      <w:tr w:rsidR="003D2797" w14:paraId="32FB68BF" w14:textId="77777777" w:rsidTr="004674CA">
        <w:tc>
          <w:tcPr>
            <w:tcW w:w="1396" w:type="dxa"/>
          </w:tcPr>
          <w:p w14:paraId="28421224" w14:textId="77777777" w:rsidR="003D2797" w:rsidRPr="003D2797" w:rsidRDefault="003D2797" w:rsidP="003D2797">
            <w:pPr>
              <w:rPr>
                <w:rFonts w:cs="Segoe UI"/>
                <w:sz w:val="22"/>
                <w:szCs w:val="22"/>
                <w:lang w:eastAsia="ja-JP"/>
              </w:rPr>
            </w:pPr>
            <w:r w:rsidRPr="003D2797">
              <w:rPr>
                <w:rFonts w:cs="Segoe UI"/>
                <w:sz w:val="22"/>
                <w:szCs w:val="22"/>
                <w:lang w:eastAsia="ja-JP"/>
              </w:rPr>
              <w:t>NIR</w:t>
            </w:r>
          </w:p>
          <w:p w14:paraId="09BEC03B" w14:textId="77777777" w:rsidR="003D2797" w:rsidRPr="003D2797" w:rsidRDefault="003D2797" w:rsidP="003D2797">
            <w:pPr>
              <w:rPr>
                <w:rFonts w:cs="Segoe UI"/>
                <w:sz w:val="22"/>
                <w:szCs w:val="22"/>
                <w:lang w:eastAsia="ja-JP"/>
              </w:rPr>
            </w:pPr>
            <w:r w:rsidRPr="003D2797">
              <w:rPr>
                <w:rFonts w:cs="Segoe UI"/>
                <w:sz w:val="22"/>
                <w:szCs w:val="22"/>
                <w:lang w:eastAsia="ja-JP"/>
              </w:rPr>
              <w:t>NPLs</w:t>
            </w:r>
          </w:p>
        </w:tc>
        <w:tc>
          <w:tcPr>
            <w:tcW w:w="3014" w:type="dxa"/>
          </w:tcPr>
          <w:p w14:paraId="75E1400B" w14:textId="77777777" w:rsidR="003D2797" w:rsidRPr="003D2797" w:rsidRDefault="003D2797" w:rsidP="003D2797">
            <w:pPr>
              <w:rPr>
                <w:rFonts w:cs="Segoe UI"/>
                <w:sz w:val="22"/>
                <w:szCs w:val="22"/>
              </w:rPr>
            </w:pPr>
            <w:r w:rsidRPr="003D2797">
              <w:rPr>
                <w:rFonts w:cs="Segoe UI"/>
                <w:sz w:val="22"/>
                <w:szCs w:val="22"/>
              </w:rPr>
              <w:t>Net International Reserves</w:t>
            </w:r>
          </w:p>
          <w:p w14:paraId="5D62D111" w14:textId="77777777" w:rsidR="003D2797" w:rsidRPr="003D2797" w:rsidRDefault="003D2797" w:rsidP="003D2797">
            <w:pPr>
              <w:rPr>
                <w:rFonts w:cs="Segoe UI"/>
                <w:sz w:val="22"/>
                <w:szCs w:val="22"/>
              </w:rPr>
            </w:pPr>
            <w:r w:rsidRPr="003D2797">
              <w:rPr>
                <w:rFonts w:cs="Segoe UI"/>
                <w:sz w:val="22"/>
                <w:szCs w:val="22"/>
              </w:rPr>
              <w:t>Non-Performing Loans</w:t>
            </w:r>
          </w:p>
        </w:tc>
      </w:tr>
      <w:tr w:rsidR="003D2797" w14:paraId="06AFD58F" w14:textId="77777777" w:rsidTr="004674CA">
        <w:tc>
          <w:tcPr>
            <w:tcW w:w="1396" w:type="dxa"/>
          </w:tcPr>
          <w:p w14:paraId="71EE2C9E" w14:textId="77777777" w:rsidR="003D2797" w:rsidRPr="003D2797" w:rsidRDefault="003D2797" w:rsidP="003D2797">
            <w:pPr>
              <w:rPr>
                <w:rFonts w:cs="Segoe UI"/>
                <w:sz w:val="22"/>
                <w:szCs w:val="22"/>
                <w:lang w:eastAsia="ja-JP"/>
              </w:rPr>
            </w:pPr>
            <w:r w:rsidRPr="003D2797">
              <w:rPr>
                <w:rFonts w:cs="Segoe UI"/>
                <w:sz w:val="22"/>
                <w:szCs w:val="22"/>
                <w:lang w:eastAsia="ja-JP"/>
              </w:rPr>
              <w:t>NPS</w:t>
            </w:r>
          </w:p>
        </w:tc>
        <w:tc>
          <w:tcPr>
            <w:tcW w:w="3014" w:type="dxa"/>
          </w:tcPr>
          <w:p w14:paraId="5932A34E" w14:textId="77777777" w:rsidR="003D2797" w:rsidRPr="003D2797" w:rsidRDefault="003D2797" w:rsidP="003D2797">
            <w:pPr>
              <w:rPr>
                <w:rFonts w:cs="Segoe UI"/>
                <w:sz w:val="22"/>
                <w:szCs w:val="22"/>
              </w:rPr>
            </w:pPr>
            <w:r w:rsidRPr="003D2797">
              <w:rPr>
                <w:rFonts w:cs="Segoe UI"/>
                <w:sz w:val="22"/>
                <w:szCs w:val="22"/>
              </w:rPr>
              <w:t>National Payments System</w:t>
            </w:r>
          </w:p>
        </w:tc>
      </w:tr>
      <w:tr w:rsidR="003D2797" w14:paraId="1BB360A2" w14:textId="77777777" w:rsidTr="004674CA">
        <w:tc>
          <w:tcPr>
            <w:tcW w:w="1396" w:type="dxa"/>
          </w:tcPr>
          <w:p w14:paraId="22A089D8" w14:textId="77777777" w:rsidR="003D2797" w:rsidRPr="003D2797" w:rsidRDefault="003D2797" w:rsidP="003D2797">
            <w:pPr>
              <w:rPr>
                <w:rFonts w:cs="Segoe UI"/>
                <w:sz w:val="22"/>
                <w:szCs w:val="22"/>
                <w:lang w:eastAsia="ja-JP"/>
              </w:rPr>
            </w:pPr>
            <w:r w:rsidRPr="003D2797">
              <w:rPr>
                <w:rFonts w:cs="Segoe UI"/>
                <w:sz w:val="22"/>
                <w:szCs w:val="22"/>
                <w:lang w:eastAsia="ja-JP"/>
              </w:rPr>
              <w:t>NRA</w:t>
            </w:r>
          </w:p>
        </w:tc>
        <w:tc>
          <w:tcPr>
            <w:tcW w:w="3014" w:type="dxa"/>
          </w:tcPr>
          <w:p w14:paraId="03D4F478" w14:textId="77777777" w:rsidR="003D2797" w:rsidRPr="003D2797" w:rsidRDefault="003D2797" w:rsidP="003D2797">
            <w:pPr>
              <w:rPr>
                <w:rFonts w:cs="Segoe UI"/>
                <w:sz w:val="22"/>
                <w:szCs w:val="22"/>
              </w:rPr>
            </w:pPr>
            <w:r w:rsidRPr="003D2797">
              <w:rPr>
                <w:rFonts w:cs="Segoe UI"/>
                <w:sz w:val="22"/>
                <w:szCs w:val="22"/>
              </w:rPr>
              <w:t>National Risk Assessment</w:t>
            </w:r>
          </w:p>
        </w:tc>
      </w:tr>
      <w:tr w:rsidR="003D2797" w14:paraId="1E5E9FA8" w14:textId="77777777" w:rsidTr="004674CA">
        <w:tc>
          <w:tcPr>
            <w:tcW w:w="1396" w:type="dxa"/>
          </w:tcPr>
          <w:p w14:paraId="4B8EF3CD" w14:textId="4334556B" w:rsidR="003D2797" w:rsidRPr="003D2797" w:rsidRDefault="003D2797" w:rsidP="00A12DB3">
            <w:pPr>
              <w:rPr>
                <w:rFonts w:cs="Segoe UI"/>
                <w:sz w:val="22"/>
                <w:szCs w:val="22"/>
                <w:lang w:eastAsia="ja-JP"/>
              </w:rPr>
            </w:pPr>
            <w:r w:rsidRPr="003D2797">
              <w:rPr>
                <w:rFonts w:cs="Segoe UI"/>
                <w:sz w:val="22"/>
                <w:szCs w:val="22"/>
                <w:lang w:eastAsia="ja-JP"/>
              </w:rPr>
              <w:t>PPP</w:t>
            </w:r>
          </w:p>
        </w:tc>
        <w:tc>
          <w:tcPr>
            <w:tcW w:w="3014" w:type="dxa"/>
          </w:tcPr>
          <w:p w14:paraId="462BEE37" w14:textId="77777777" w:rsidR="003D2797" w:rsidRPr="003D2797" w:rsidRDefault="003D2797" w:rsidP="003D2797">
            <w:pPr>
              <w:rPr>
                <w:rFonts w:cs="Segoe UI"/>
                <w:sz w:val="22"/>
                <w:szCs w:val="22"/>
              </w:rPr>
            </w:pPr>
            <w:r w:rsidRPr="003D2797">
              <w:rPr>
                <w:rFonts w:cs="Segoe UI"/>
                <w:sz w:val="22"/>
                <w:szCs w:val="22"/>
              </w:rPr>
              <w:t>Public-Private Partnership</w:t>
            </w:r>
          </w:p>
        </w:tc>
      </w:tr>
      <w:tr w:rsidR="003D2797" w14:paraId="19DAA0F6" w14:textId="77777777" w:rsidTr="004674CA">
        <w:tc>
          <w:tcPr>
            <w:tcW w:w="1396" w:type="dxa"/>
          </w:tcPr>
          <w:p w14:paraId="2F1FA42F" w14:textId="77777777" w:rsidR="003D2797" w:rsidRPr="003D2797" w:rsidRDefault="003D2797" w:rsidP="003D2797">
            <w:pPr>
              <w:rPr>
                <w:rFonts w:cs="Segoe UI"/>
                <w:sz w:val="22"/>
                <w:szCs w:val="22"/>
                <w:lang w:eastAsia="ja-JP"/>
              </w:rPr>
            </w:pPr>
            <w:r w:rsidRPr="003D2797">
              <w:rPr>
                <w:rFonts w:cs="Segoe UI"/>
                <w:sz w:val="22"/>
                <w:szCs w:val="22"/>
                <w:lang w:eastAsia="ja-JP"/>
              </w:rPr>
              <w:t>RAM</w:t>
            </w:r>
          </w:p>
        </w:tc>
        <w:tc>
          <w:tcPr>
            <w:tcW w:w="3014" w:type="dxa"/>
          </w:tcPr>
          <w:p w14:paraId="6BEA62BB" w14:textId="77777777" w:rsidR="003D2797" w:rsidRPr="003D2797" w:rsidRDefault="003D2797" w:rsidP="003D2797">
            <w:pPr>
              <w:rPr>
                <w:rFonts w:cs="Segoe UI"/>
                <w:sz w:val="22"/>
                <w:szCs w:val="22"/>
              </w:rPr>
            </w:pPr>
            <w:r w:rsidRPr="003D2797">
              <w:rPr>
                <w:rFonts w:cs="Segoe UI"/>
                <w:sz w:val="22"/>
                <w:szCs w:val="22"/>
              </w:rPr>
              <w:t>Risk Assessment Matrix</w:t>
            </w:r>
          </w:p>
        </w:tc>
      </w:tr>
      <w:tr w:rsidR="003D2797" w14:paraId="463AFA72" w14:textId="77777777" w:rsidTr="004674CA">
        <w:tc>
          <w:tcPr>
            <w:tcW w:w="1396" w:type="dxa"/>
          </w:tcPr>
          <w:p w14:paraId="735DCF1C" w14:textId="77777777" w:rsidR="003D2797" w:rsidRPr="003D2797" w:rsidRDefault="003D2797" w:rsidP="003D2797">
            <w:pPr>
              <w:rPr>
                <w:rFonts w:cs="Segoe UI"/>
                <w:sz w:val="22"/>
                <w:szCs w:val="22"/>
                <w:lang w:eastAsia="ja-JP"/>
              </w:rPr>
            </w:pPr>
            <w:r w:rsidRPr="003D2797">
              <w:rPr>
                <w:rFonts w:cs="Segoe UI"/>
                <w:sz w:val="22"/>
                <w:szCs w:val="22"/>
                <w:lang w:eastAsia="ja-JP"/>
              </w:rPr>
              <w:t>ROM</w:t>
            </w:r>
          </w:p>
        </w:tc>
        <w:tc>
          <w:tcPr>
            <w:tcW w:w="3014" w:type="dxa"/>
          </w:tcPr>
          <w:p w14:paraId="70DF6BE4" w14:textId="77777777" w:rsidR="003D2797" w:rsidRPr="003D2797" w:rsidRDefault="003D2797" w:rsidP="003D2797">
            <w:pPr>
              <w:rPr>
                <w:rFonts w:cs="Segoe UI"/>
                <w:sz w:val="22"/>
                <w:szCs w:val="22"/>
              </w:rPr>
            </w:pPr>
            <w:r w:rsidRPr="003D2797">
              <w:rPr>
                <w:rFonts w:cs="Segoe UI"/>
                <w:sz w:val="22"/>
                <w:szCs w:val="22"/>
              </w:rPr>
              <w:t>Reserve Options Mechanism</w:t>
            </w:r>
          </w:p>
        </w:tc>
      </w:tr>
      <w:tr w:rsidR="003D2797" w14:paraId="3A07ED79" w14:textId="77777777" w:rsidTr="004674CA">
        <w:tc>
          <w:tcPr>
            <w:tcW w:w="1396" w:type="dxa"/>
          </w:tcPr>
          <w:p w14:paraId="5FA6C18D" w14:textId="77777777" w:rsidR="003D2797" w:rsidRPr="003D2797" w:rsidRDefault="003D2797" w:rsidP="003D2797">
            <w:pPr>
              <w:rPr>
                <w:rFonts w:cs="Segoe UI"/>
                <w:sz w:val="22"/>
                <w:szCs w:val="22"/>
                <w:lang w:eastAsia="ja-JP"/>
              </w:rPr>
            </w:pPr>
            <w:r w:rsidRPr="003D2797">
              <w:rPr>
                <w:rFonts w:cs="Segoe UI"/>
                <w:sz w:val="22"/>
                <w:szCs w:val="22"/>
                <w:lang w:eastAsia="ja-JP"/>
              </w:rPr>
              <w:t>SDIF</w:t>
            </w:r>
          </w:p>
        </w:tc>
        <w:tc>
          <w:tcPr>
            <w:tcW w:w="3014" w:type="dxa"/>
          </w:tcPr>
          <w:p w14:paraId="1B5C2BC5" w14:textId="77777777" w:rsidR="003D2797" w:rsidRPr="003D2797" w:rsidRDefault="003D2797" w:rsidP="003D2797">
            <w:pPr>
              <w:rPr>
                <w:rFonts w:cs="Segoe UI"/>
                <w:sz w:val="22"/>
                <w:szCs w:val="22"/>
              </w:rPr>
            </w:pPr>
            <w:r w:rsidRPr="003D2797">
              <w:rPr>
                <w:rFonts w:cs="Segoe UI"/>
                <w:sz w:val="22"/>
                <w:szCs w:val="22"/>
              </w:rPr>
              <w:t xml:space="preserve">Savings Deposit Insurance Fund </w:t>
            </w:r>
          </w:p>
        </w:tc>
      </w:tr>
      <w:tr w:rsidR="003D2797" w14:paraId="5D6FA5CE" w14:textId="77777777" w:rsidTr="004674CA">
        <w:tc>
          <w:tcPr>
            <w:tcW w:w="1396" w:type="dxa"/>
          </w:tcPr>
          <w:p w14:paraId="5D2E0AAE" w14:textId="77777777" w:rsidR="003D2797" w:rsidRPr="003D2797" w:rsidRDefault="003D2797" w:rsidP="003D2797">
            <w:pPr>
              <w:rPr>
                <w:rFonts w:cs="Segoe UI"/>
                <w:sz w:val="22"/>
                <w:szCs w:val="22"/>
                <w:lang w:eastAsia="ja-JP"/>
              </w:rPr>
            </w:pPr>
            <w:r w:rsidRPr="003D2797">
              <w:rPr>
                <w:rFonts w:cs="Segoe UI"/>
                <w:sz w:val="22"/>
                <w:szCs w:val="22"/>
                <w:lang w:eastAsia="ja-JP"/>
              </w:rPr>
              <w:t>SIFI</w:t>
            </w:r>
          </w:p>
        </w:tc>
        <w:tc>
          <w:tcPr>
            <w:tcW w:w="3014" w:type="dxa"/>
          </w:tcPr>
          <w:p w14:paraId="4A5C993D" w14:textId="77777777" w:rsidR="003D2797" w:rsidRPr="003D2797" w:rsidRDefault="003D2797" w:rsidP="003D2797">
            <w:pPr>
              <w:rPr>
                <w:rFonts w:cs="Segoe UI"/>
                <w:sz w:val="22"/>
                <w:szCs w:val="22"/>
              </w:rPr>
            </w:pPr>
            <w:r w:rsidRPr="003D2797">
              <w:rPr>
                <w:rFonts w:cs="Segoe UI"/>
                <w:sz w:val="22"/>
                <w:szCs w:val="22"/>
              </w:rPr>
              <w:t>Systemically-Important Financial Institution</w:t>
            </w:r>
          </w:p>
        </w:tc>
      </w:tr>
      <w:tr w:rsidR="003D2797" w14:paraId="33DEA586" w14:textId="77777777" w:rsidTr="004674CA">
        <w:tc>
          <w:tcPr>
            <w:tcW w:w="1396" w:type="dxa"/>
          </w:tcPr>
          <w:p w14:paraId="1F38B837" w14:textId="77777777" w:rsidR="003D2797" w:rsidRPr="003D2797" w:rsidRDefault="003D2797" w:rsidP="003D2797">
            <w:pPr>
              <w:rPr>
                <w:rFonts w:cs="Segoe UI"/>
                <w:sz w:val="22"/>
                <w:szCs w:val="22"/>
                <w:lang w:eastAsia="ja-JP"/>
              </w:rPr>
            </w:pPr>
            <w:r w:rsidRPr="003D2797">
              <w:rPr>
                <w:rFonts w:cs="Segoe UI"/>
                <w:sz w:val="22"/>
                <w:szCs w:val="22"/>
                <w:lang w:eastAsia="ja-JP"/>
              </w:rPr>
              <w:t>SME</w:t>
            </w:r>
          </w:p>
          <w:p w14:paraId="7872A182" w14:textId="77777777" w:rsidR="00A12DB3" w:rsidRDefault="00A12DB3" w:rsidP="003D2797">
            <w:pPr>
              <w:rPr>
                <w:rFonts w:cs="Segoe UI"/>
                <w:sz w:val="22"/>
                <w:szCs w:val="22"/>
                <w:lang w:eastAsia="ja-JP"/>
              </w:rPr>
            </w:pPr>
          </w:p>
          <w:p w14:paraId="5DFFCA6E" w14:textId="77777777" w:rsidR="003D2797" w:rsidRPr="003D2797" w:rsidRDefault="003D2797" w:rsidP="003D2797">
            <w:pPr>
              <w:rPr>
                <w:rFonts w:cs="Segoe UI"/>
                <w:sz w:val="22"/>
                <w:szCs w:val="22"/>
                <w:lang w:eastAsia="ja-JP"/>
              </w:rPr>
            </w:pPr>
            <w:r w:rsidRPr="003D2797">
              <w:rPr>
                <w:rFonts w:cs="Segoe UI"/>
                <w:sz w:val="22"/>
                <w:szCs w:val="22"/>
                <w:lang w:eastAsia="ja-JP"/>
              </w:rPr>
              <w:t>SOE</w:t>
            </w:r>
          </w:p>
        </w:tc>
        <w:tc>
          <w:tcPr>
            <w:tcW w:w="3014" w:type="dxa"/>
          </w:tcPr>
          <w:p w14:paraId="3905BD7F" w14:textId="77777777" w:rsidR="003D2797" w:rsidRPr="003D2797" w:rsidRDefault="003D2797" w:rsidP="003D2797">
            <w:pPr>
              <w:rPr>
                <w:rFonts w:cs="Segoe UI"/>
                <w:sz w:val="22"/>
                <w:szCs w:val="22"/>
              </w:rPr>
            </w:pPr>
            <w:r w:rsidRPr="003D2797">
              <w:rPr>
                <w:rFonts w:cs="Segoe UI"/>
                <w:sz w:val="22"/>
                <w:szCs w:val="22"/>
              </w:rPr>
              <w:t>Small- and/or Medium-Sized Enterprise</w:t>
            </w:r>
          </w:p>
          <w:p w14:paraId="2C437B51" w14:textId="77777777" w:rsidR="003D2797" w:rsidRPr="003D2797" w:rsidRDefault="003D2797" w:rsidP="003D2797">
            <w:pPr>
              <w:rPr>
                <w:rFonts w:cs="Segoe UI"/>
                <w:sz w:val="22"/>
                <w:szCs w:val="22"/>
              </w:rPr>
            </w:pPr>
            <w:r w:rsidRPr="003D2797">
              <w:rPr>
                <w:rFonts w:cs="Segoe UI"/>
                <w:sz w:val="22"/>
                <w:szCs w:val="22"/>
              </w:rPr>
              <w:t>State-Owned Enterprise</w:t>
            </w:r>
          </w:p>
        </w:tc>
      </w:tr>
      <w:tr w:rsidR="003D2797" w14:paraId="535386C1" w14:textId="77777777" w:rsidTr="004674CA">
        <w:tc>
          <w:tcPr>
            <w:tcW w:w="1396" w:type="dxa"/>
          </w:tcPr>
          <w:p w14:paraId="7F80CA03" w14:textId="77777777" w:rsidR="003D2797" w:rsidRPr="003D2797" w:rsidRDefault="003D2797" w:rsidP="003D2797">
            <w:pPr>
              <w:rPr>
                <w:rFonts w:cs="Segoe UI"/>
                <w:sz w:val="22"/>
                <w:szCs w:val="22"/>
                <w:lang w:eastAsia="ja-JP"/>
              </w:rPr>
            </w:pPr>
            <w:r w:rsidRPr="003D2797">
              <w:rPr>
                <w:rFonts w:cs="Segoe UI"/>
                <w:sz w:val="22"/>
                <w:szCs w:val="22"/>
                <w:lang w:eastAsia="ja-JP"/>
              </w:rPr>
              <w:t>SRAG</w:t>
            </w:r>
          </w:p>
        </w:tc>
        <w:tc>
          <w:tcPr>
            <w:tcW w:w="3014" w:type="dxa"/>
          </w:tcPr>
          <w:p w14:paraId="0AD2C81C" w14:textId="77777777" w:rsidR="003D2797" w:rsidRPr="003D2797" w:rsidRDefault="003D2797" w:rsidP="003D2797">
            <w:pPr>
              <w:rPr>
                <w:rFonts w:cs="Segoe UI"/>
                <w:sz w:val="22"/>
                <w:szCs w:val="22"/>
              </w:rPr>
            </w:pPr>
            <w:r w:rsidRPr="003D2797">
              <w:rPr>
                <w:rFonts w:cs="Segoe UI"/>
                <w:sz w:val="22"/>
                <w:szCs w:val="22"/>
              </w:rPr>
              <w:t>Systemic Risk Assessment Group</w:t>
            </w:r>
          </w:p>
        </w:tc>
      </w:tr>
      <w:tr w:rsidR="003D2797" w14:paraId="55DBAF65" w14:textId="77777777" w:rsidTr="004674CA">
        <w:tc>
          <w:tcPr>
            <w:tcW w:w="1396" w:type="dxa"/>
          </w:tcPr>
          <w:p w14:paraId="7B7B5745" w14:textId="77777777" w:rsidR="003D2797" w:rsidRPr="003D2797" w:rsidRDefault="003D2797" w:rsidP="003D2797">
            <w:pPr>
              <w:rPr>
                <w:rFonts w:cs="Segoe UI"/>
                <w:sz w:val="22"/>
                <w:szCs w:val="22"/>
                <w:lang w:eastAsia="ja-JP"/>
              </w:rPr>
            </w:pPr>
            <w:r w:rsidRPr="003D2797">
              <w:rPr>
                <w:rFonts w:cs="Segoe UI"/>
                <w:sz w:val="22"/>
                <w:szCs w:val="22"/>
                <w:lang w:eastAsia="ja-JP"/>
              </w:rPr>
              <w:t>TEBC</w:t>
            </w:r>
          </w:p>
        </w:tc>
        <w:tc>
          <w:tcPr>
            <w:tcW w:w="3014" w:type="dxa"/>
          </w:tcPr>
          <w:p w14:paraId="45CFF44B" w14:textId="77777777" w:rsidR="003D2797" w:rsidRPr="003D2797" w:rsidRDefault="003D2797" w:rsidP="003D2797">
            <w:pPr>
              <w:rPr>
                <w:rFonts w:cs="Segoe UI"/>
                <w:sz w:val="22"/>
                <w:szCs w:val="22"/>
              </w:rPr>
            </w:pPr>
            <w:r w:rsidRPr="003D2797">
              <w:rPr>
                <w:rFonts w:cs="Segoe UI"/>
                <w:sz w:val="22"/>
                <w:szCs w:val="22"/>
              </w:rPr>
              <w:t>Turkish Execution and Bankruptcy Code</w:t>
            </w:r>
          </w:p>
        </w:tc>
      </w:tr>
      <w:tr w:rsidR="003D2797" w14:paraId="66423365" w14:textId="77777777" w:rsidTr="004674CA">
        <w:tc>
          <w:tcPr>
            <w:tcW w:w="1396" w:type="dxa"/>
          </w:tcPr>
          <w:p w14:paraId="67E4A0D6" w14:textId="77777777" w:rsidR="003D2797" w:rsidRPr="003D2797" w:rsidRDefault="003D2797" w:rsidP="003D2797">
            <w:pPr>
              <w:rPr>
                <w:rFonts w:cs="Segoe UI"/>
                <w:sz w:val="22"/>
                <w:szCs w:val="22"/>
                <w:lang w:eastAsia="ja-JP"/>
              </w:rPr>
            </w:pPr>
            <w:r w:rsidRPr="003D2797">
              <w:rPr>
                <w:rFonts w:cs="Segoe UI"/>
                <w:sz w:val="22"/>
                <w:szCs w:val="22"/>
                <w:lang w:eastAsia="ja-JP"/>
              </w:rPr>
              <w:t>TL</w:t>
            </w:r>
          </w:p>
        </w:tc>
        <w:tc>
          <w:tcPr>
            <w:tcW w:w="3014" w:type="dxa"/>
          </w:tcPr>
          <w:p w14:paraId="48FB2834" w14:textId="77777777" w:rsidR="003D2797" w:rsidRPr="003D2797" w:rsidRDefault="003D2797" w:rsidP="003D2797">
            <w:pPr>
              <w:rPr>
                <w:rFonts w:cs="Segoe UI"/>
                <w:sz w:val="22"/>
                <w:szCs w:val="22"/>
              </w:rPr>
            </w:pPr>
            <w:r w:rsidRPr="003D2797">
              <w:rPr>
                <w:rFonts w:cs="Segoe UI"/>
                <w:sz w:val="22"/>
                <w:szCs w:val="22"/>
              </w:rPr>
              <w:t>Turkish Lira</w:t>
            </w:r>
          </w:p>
        </w:tc>
      </w:tr>
      <w:tr w:rsidR="003D2797" w14:paraId="5013154C" w14:textId="77777777" w:rsidTr="004674CA">
        <w:tc>
          <w:tcPr>
            <w:tcW w:w="1396" w:type="dxa"/>
          </w:tcPr>
          <w:p w14:paraId="14BAA819" w14:textId="77777777" w:rsidR="003D2797" w:rsidRPr="003D2797" w:rsidRDefault="003D2797" w:rsidP="003D2797">
            <w:pPr>
              <w:rPr>
                <w:rFonts w:cs="Segoe UI"/>
                <w:sz w:val="22"/>
                <w:szCs w:val="22"/>
                <w:lang w:eastAsia="ja-JP"/>
              </w:rPr>
            </w:pPr>
            <w:r w:rsidRPr="003D2797">
              <w:rPr>
                <w:rFonts w:cs="Segoe UI"/>
                <w:sz w:val="22"/>
                <w:szCs w:val="22"/>
                <w:lang w:eastAsia="ja-JP"/>
              </w:rPr>
              <w:t>TR</w:t>
            </w:r>
          </w:p>
        </w:tc>
        <w:tc>
          <w:tcPr>
            <w:tcW w:w="3014" w:type="dxa"/>
          </w:tcPr>
          <w:p w14:paraId="57CF8AF7" w14:textId="77777777" w:rsidR="003D2797" w:rsidRPr="003D2797" w:rsidRDefault="003D2797" w:rsidP="003D2797">
            <w:pPr>
              <w:rPr>
                <w:rFonts w:cs="Segoe UI"/>
                <w:sz w:val="22"/>
                <w:szCs w:val="22"/>
              </w:rPr>
            </w:pPr>
            <w:r w:rsidRPr="003D2797">
              <w:rPr>
                <w:rFonts w:cs="Segoe UI"/>
                <w:sz w:val="22"/>
                <w:szCs w:val="22"/>
              </w:rPr>
              <w:t>Trade Repository</w:t>
            </w:r>
          </w:p>
        </w:tc>
      </w:tr>
      <w:tr w:rsidR="003D2797" w14:paraId="3DB5921D" w14:textId="77777777" w:rsidTr="004674CA">
        <w:tc>
          <w:tcPr>
            <w:tcW w:w="1396" w:type="dxa"/>
          </w:tcPr>
          <w:p w14:paraId="2F1FF4CD" w14:textId="77777777" w:rsidR="00551CF9" w:rsidRPr="003D2797" w:rsidRDefault="00551CF9" w:rsidP="003D2797">
            <w:pPr>
              <w:rPr>
                <w:rFonts w:cs="Segoe UI"/>
                <w:sz w:val="22"/>
                <w:szCs w:val="22"/>
                <w:lang w:eastAsia="ja-JP"/>
              </w:rPr>
            </w:pPr>
            <w:r>
              <w:rPr>
                <w:rFonts w:cs="Segoe UI"/>
                <w:sz w:val="22"/>
                <w:szCs w:val="22"/>
                <w:lang w:eastAsia="ja-JP"/>
              </w:rPr>
              <w:t>UNSCR</w:t>
            </w:r>
          </w:p>
        </w:tc>
        <w:tc>
          <w:tcPr>
            <w:tcW w:w="3014" w:type="dxa"/>
          </w:tcPr>
          <w:p w14:paraId="121EABE8" w14:textId="77777777" w:rsidR="004C4FA6" w:rsidRPr="003D2797" w:rsidRDefault="004C4FA6" w:rsidP="003D2797">
            <w:pPr>
              <w:rPr>
                <w:rFonts w:cs="Segoe UI"/>
                <w:sz w:val="22"/>
                <w:szCs w:val="22"/>
              </w:rPr>
            </w:pPr>
            <w:r>
              <w:rPr>
                <w:rFonts w:cs="Segoe UI"/>
                <w:sz w:val="22"/>
                <w:szCs w:val="22"/>
              </w:rPr>
              <w:t>United Nations Security Council Resolution</w:t>
            </w:r>
          </w:p>
        </w:tc>
      </w:tr>
      <w:tr w:rsidR="003D2797" w14:paraId="75EB50E4" w14:textId="77777777" w:rsidTr="004674CA">
        <w:tc>
          <w:tcPr>
            <w:tcW w:w="1396" w:type="dxa"/>
          </w:tcPr>
          <w:p w14:paraId="79B32A2A" w14:textId="77777777" w:rsidR="003D2797" w:rsidRPr="003D2797" w:rsidRDefault="003D2797" w:rsidP="003D2797">
            <w:pPr>
              <w:rPr>
                <w:rFonts w:cs="Segoe UI"/>
                <w:sz w:val="22"/>
                <w:szCs w:val="22"/>
                <w:lang w:eastAsia="ja-JP"/>
              </w:rPr>
            </w:pPr>
            <w:r w:rsidRPr="003D2797">
              <w:rPr>
                <w:rFonts w:cs="Segoe UI"/>
                <w:sz w:val="22"/>
                <w:szCs w:val="22"/>
                <w:lang w:eastAsia="ja-JP"/>
              </w:rPr>
              <w:t>WB</w:t>
            </w:r>
          </w:p>
        </w:tc>
        <w:tc>
          <w:tcPr>
            <w:tcW w:w="3014" w:type="dxa"/>
          </w:tcPr>
          <w:p w14:paraId="69657FF9" w14:textId="77777777" w:rsidR="003D2797" w:rsidRPr="003D2797" w:rsidRDefault="003D2797" w:rsidP="003D2797">
            <w:pPr>
              <w:rPr>
                <w:rFonts w:cs="Segoe UI"/>
                <w:sz w:val="22"/>
                <w:szCs w:val="22"/>
              </w:rPr>
            </w:pPr>
            <w:r w:rsidRPr="003D2797">
              <w:rPr>
                <w:rFonts w:cs="Segoe UI"/>
                <w:sz w:val="22"/>
                <w:szCs w:val="22"/>
              </w:rPr>
              <w:t>World Bank</w:t>
            </w:r>
          </w:p>
        </w:tc>
      </w:tr>
    </w:tbl>
    <w:p w14:paraId="5F8B2812" w14:textId="77777777" w:rsidR="002965AE" w:rsidRDefault="002965AE" w:rsidP="002965AE">
      <w:pPr>
        <w:rPr>
          <w:sz w:val="20"/>
          <w:szCs w:val="20"/>
        </w:rPr>
        <w:sectPr w:rsidR="002965AE" w:rsidSect="002965AE">
          <w:type w:val="continuous"/>
          <w:pgSz w:w="12240" w:h="15840" w:code="1"/>
          <w:pgMar w:top="1440" w:right="1440" w:bottom="1440" w:left="1800" w:header="720" w:footer="720" w:gutter="0"/>
          <w:cols w:num="2" w:space="180"/>
          <w:docGrid w:linePitch="360"/>
        </w:sectPr>
      </w:pPr>
    </w:p>
    <w:p w14:paraId="5C21E78F" w14:textId="77777777" w:rsidR="002C4A68" w:rsidRPr="0074410D" w:rsidRDefault="00117391" w:rsidP="00D35C14">
      <w:pPr>
        <w:pStyle w:val="Heading1"/>
        <w:numPr>
          <w:ilvl w:val="0"/>
          <w:numId w:val="0"/>
        </w:numPr>
      </w:pPr>
      <w:bookmarkStart w:id="58" w:name="_Toc243698057"/>
      <w:bookmarkStart w:id="59" w:name="_Toc274731918"/>
      <w:bookmarkStart w:id="60" w:name="_Toc278330489"/>
      <w:bookmarkStart w:id="61" w:name="_Toc278816558"/>
      <w:bookmarkStart w:id="62" w:name="_Toc278816842"/>
      <w:bookmarkStart w:id="63" w:name="_Toc278817078"/>
      <w:bookmarkStart w:id="64" w:name="_Toc278817283"/>
      <w:bookmarkStart w:id="65" w:name="_Toc278873324"/>
      <w:bookmarkStart w:id="66" w:name="_Toc278873479"/>
      <w:bookmarkStart w:id="67" w:name="_Toc278873719"/>
      <w:bookmarkStart w:id="68" w:name="_Toc278882198"/>
      <w:bookmarkStart w:id="69" w:name="_Toc278883751"/>
      <w:bookmarkStart w:id="70" w:name="_Toc278887366"/>
      <w:bookmarkStart w:id="71" w:name="_Toc278887554"/>
      <w:bookmarkStart w:id="72" w:name="_Toc278887605"/>
      <w:bookmarkStart w:id="73" w:name="_Toc278887747"/>
      <w:bookmarkStart w:id="74" w:name="_Toc278897179"/>
      <w:bookmarkStart w:id="75" w:name="_Toc290976015"/>
      <w:bookmarkStart w:id="76" w:name="_Toc290980278"/>
      <w:bookmarkStart w:id="77" w:name="_Toc290982747"/>
      <w:bookmarkStart w:id="78" w:name="_Toc304472077"/>
      <w:bookmarkStart w:id="79" w:name="_Toc304472328"/>
      <w:bookmarkStart w:id="80" w:name="_Toc304472425"/>
      <w:bookmarkStart w:id="81" w:name="_Toc304472522"/>
      <w:bookmarkStart w:id="82" w:name="_Toc304472571"/>
      <w:bookmarkStart w:id="83" w:name="_Toc334478767"/>
      <w:bookmarkStart w:id="84" w:name="_Toc334547233"/>
      <w:bookmarkStart w:id="85" w:name="_Toc334547480"/>
      <w:bookmarkStart w:id="86" w:name="_Toc334549595"/>
      <w:bookmarkStart w:id="87" w:name="_Toc334549654"/>
      <w:bookmarkStart w:id="88" w:name="_Toc334549725"/>
      <w:bookmarkStart w:id="89" w:name="_Toc46929534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lastRenderedPageBreak/>
        <w:t>Overall Assessment and Main Recommendatio</w:t>
      </w:r>
      <w:r w:rsidR="00D63F26">
        <w:t>n</w:t>
      </w:r>
      <w:r>
        <w:t>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BBD3364" w14:textId="4CAC8ED8" w:rsidR="003D2797" w:rsidRPr="006C4B99" w:rsidRDefault="003D2797" w:rsidP="00D35C14">
      <w:pPr>
        <w:pStyle w:val="ParagraphNumbering"/>
        <w:numPr>
          <w:ilvl w:val="0"/>
          <w:numId w:val="0"/>
        </w:numPr>
        <w:rPr>
          <w:b/>
          <w:sz w:val="23"/>
        </w:rPr>
      </w:pPr>
      <w:bookmarkStart w:id="90" w:name="_Toc278330490"/>
      <w:bookmarkStart w:id="91" w:name="_Toc278816560"/>
      <w:bookmarkStart w:id="92" w:name="_Toc278816844"/>
      <w:bookmarkStart w:id="93" w:name="_Toc278817080"/>
      <w:bookmarkStart w:id="94" w:name="_Toc278817285"/>
      <w:bookmarkStart w:id="95" w:name="_Toc278873326"/>
      <w:bookmarkStart w:id="96" w:name="_Toc278873481"/>
      <w:bookmarkStart w:id="97" w:name="_Toc278873721"/>
      <w:bookmarkStart w:id="98" w:name="_Toc278882200"/>
      <w:bookmarkStart w:id="99" w:name="_Toc278883753"/>
      <w:bookmarkStart w:id="100" w:name="_Toc278887368"/>
      <w:bookmarkStart w:id="101" w:name="_Toc278887556"/>
      <w:bookmarkStart w:id="102" w:name="_Toc278887607"/>
      <w:bookmarkStart w:id="103" w:name="_Toc278887749"/>
      <w:bookmarkStart w:id="104" w:name="_Toc278897181"/>
      <w:bookmarkStart w:id="105" w:name="_Toc274731919"/>
      <w:r w:rsidRPr="006C4B99">
        <w:rPr>
          <w:b/>
          <w:sz w:val="23"/>
        </w:rPr>
        <w:t xml:space="preserve">The fundamental challenges confronting the Turkish financial system are to reduce dependence on external and foreign currency financing and to increase the maturity and diversity of funding instruments on which banks and firms depend. </w:t>
      </w:r>
      <w:r w:rsidRPr="006C4B99">
        <w:rPr>
          <w:sz w:val="23"/>
        </w:rPr>
        <w:t xml:space="preserve">The long-standing shortfall of national savings to finance domestic investment, persistent elevated inflation, and bouts of exchange rate volatility </w:t>
      </w:r>
      <w:r w:rsidR="00A369A0">
        <w:rPr>
          <w:sz w:val="23"/>
        </w:rPr>
        <w:t>have boosted reliance on foreign currency financing from international capital markets and have also incentivized households and firms to place their own savings in short term deposits, as well as in foreign currency</w:t>
      </w:r>
      <w:r w:rsidR="006C4B99">
        <w:rPr>
          <w:sz w:val="23"/>
        </w:rPr>
        <w:t xml:space="preserve">. </w:t>
      </w:r>
      <w:r w:rsidR="006C4B99" w:rsidRPr="006C4B99">
        <w:rPr>
          <w:sz w:val="23"/>
        </w:rPr>
        <w:t xml:space="preserve">These </w:t>
      </w:r>
      <w:r w:rsidR="00A369A0">
        <w:rPr>
          <w:sz w:val="23"/>
        </w:rPr>
        <w:t>deep-seated</w:t>
      </w:r>
      <w:r w:rsidR="006C4B99" w:rsidRPr="006C4B99">
        <w:rPr>
          <w:sz w:val="23"/>
        </w:rPr>
        <w:t xml:space="preserve"> </w:t>
      </w:r>
      <w:r w:rsidR="00CA5C01">
        <w:rPr>
          <w:sz w:val="23"/>
        </w:rPr>
        <w:t>challenges</w:t>
      </w:r>
      <w:r w:rsidR="006C4B99" w:rsidRPr="006C4B99">
        <w:rPr>
          <w:sz w:val="23"/>
        </w:rPr>
        <w:t xml:space="preserve"> underpin current heightened financial stability risks</w:t>
      </w:r>
      <w:r w:rsidR="00A369A0">
        <w:rPr>
          <w:sz w:val="23"/>
        </w:rPr>
        <w:t xml:space="preserve"> from several potential sources -</w:t>
      </w:r>
      <w:r w:rsidR="006C4B99" w:rsidRPr="006C4B99">
        <w:rPr>
          <w:sz w:val="23"/>
        </w:rPr>
        <w:t xml:space="preserve">—tighter </w:t>
      </w:r>
      <w:r w:rsidR="00A369A0">
        <w:rPr>
          <w:sz w:val="23"/>
        </w:rPr>
        <w:t>or more volatile global</w:t>
      </w:r>
      <w:r w:rsidR="006C4B99" w:rsidRPr="006C4B99">
        <w:rPr>
          <w:sz w:val="23"/>
        </w:rPr>
        <w:t xml:space="preserve"> funding conditions, weaker euro area growth, geo-political tensions</w:t>
      </w:r>
      <w:r w:rsidR="00CA5C01">
        <w:rPr>
          <w:sz w:val="23"/>
        </w:rPr>
        <w:t xml:space="preserve"> and</w:t>
      </w:r>
      <w:r w:rsidR="006C4B99" w:rsidRPr="006C4B99">
        <w:rPr>
          <w:sz w:val="23"/>
        </w:rPr>
        <w:t xml:space="preserve"> </w:t>
      </w:r>
      <w:r w:rsidR="00A369A0">
        <w:rPr>
          <w:sz w:val="23"/>
        </w:rPr>
        <w:t xml:space="preserve">loss of market confidence in </w:t>
      </w:r>
      <w:r w:rsidR="006C4B99" w:rsidRPr="006C4B99">
        <w:rPr>
          <w:sz w:val="23"/>
        </w:rPr>
        <w:t xml:space="preserve">domestic </w:t>
      </w:r>
      <w:r w:rsidR="00A369A0">
        <w:rPr>
          <w:sz w:val="23"/>
        </w:rPr>
        <w:t>policies</w:t>
      </w:r>
      <w:r w:rsidR="00CA5C01">
        <w:rPr>
          <w:sz w:val="23"/>
        </w:rPr>
        <w:t>. B</w:t>
      </w:r>
      <w:r w:rsidR="006C4B99" w:rsidRPr="006C4B99">
        <w:rPr>
          <w:sz w:val="23"/>
        </w:rPr>
        <w:t>alance-sheet fragilities could amplify their impact</w:t>
      </w:r>
      <w:r w:rsidR="00E91F49">
        <w:rPr>
          <w:sz w:val="23"/>
        </w:rPr>
        <w:t>.</w:t>
      </w:r>
    </w:p>
    <w:p w14:paraId="44694005" w14:textId="613DCB5A" w:rsidR="003D2797" w:rsidRPr="006C4B99" w:rsidRDefault="003D2797" w:rsidP="00D35C14">
      <w:pPr>
        <w:pStyle w:val="ParagraphNumbering"/>
        <w:numPr>
          <w:ilvl w:val="0"/>
          <w:numId w:val="0"/>
        </w:numPr>
      </w:pPr>
      <w:r w:rsidRPr="006C4B99">
        <w:rPr>
          <w:b/>
        </w:rPr>
        <w:t>Th</w:t>
      </w:r>
      <w:r w:rsidR="00120930">
        <w:rPr>
          <w:b/>
        </w:rPr>
        <w:t>is combination of</w:t>
      </w:r>
      <w:r w:rsidRPr="006C4B99">
        <w:rPr>
          <w:b/>
        </w:rPr>
        <w:t xml:space="preserve"> vulnerabilities underscore</w:t>
      </w:r>
      <w:r w:rsidR="00120930">
        <w:rPr>
          <w:b/>
        </w:rPr>
        <w:t>s</w:t>
      </w:r>
      <w:r w:rsidRPr="006C4B99">
        <w:rPr>
          <w:b/>
        </w:rPr>
        <w:t xml:space="preserve"> the importance of a strong financial system oversight and policy framework</w:t>
      </w:r>
      <w:r w:rsidR="00120930">
        <w:rPr>
          <w:b/>
        </w:rPr>
        <w:t>.</w:t>
      </w:r>
      <w:r w:rsidRPr="006C4B99">
        <w:t xml:space="preserve"> </w:t>
      </w:r>
      <w:r w:rsidR="00120930">
        <w:t xml:space="preserve">The </w:t>
      </w:r>
      <w:r w:rsidR="006C4B99" w:rsidRPr="006C4B99">
        <w:t>oversight and management of systemic risks</w:t>
      </w:r>
      <w:r w:rsidR="00120930">
        <w:t xml:space="preserve"> has been strengthened significantly</w:t>
      </w:r>
      <w:r w:rsidR="006C4B99" w:rsidRPr="006C4B99">
        <w:t xml:space="preserve"> since the previous FSAP</w:t>
      </w:r>
      <w:r w:rsidR="006C4B99">
        <w:t xml:space="preserve">. However, </w:t>
      </w:r>
      <w:r w:rsidR="006C4B99" w:rsidRPr="006C4B99">
        <w:rPr>
          <w:sz w:val="23"/>
        </w:rPr>
        <w:t>f</w:t>
      </w:r>
      <w:r w:rsidR="006C4B99">
        <w:rPr>
          <w:sz w:val="23"/>
        </w:rPr>
        <w:t>urther steps are recommended to</w:t>
      </w:r>
      <w:r w:rsidR="006C4B99" w:rsidRPr="006C4B99">
        <w:rPr>
          <w:sz w:val="23"/>
        </w:rPr>
        <w:t xml:space="preserve"> raise the effectiveness of fin</w:t>
      </w:r>
      <w:r w:rsidR="006C4B99">
        <w:rPr>
          <w:sz w:val="23"/>
        </w:rPr>
        <w:t xml:space="preserve">ancial supervision; </w:t>
      </w:r>
      <w:r w:rsidR="006C4B99" w:rsidRPr="006C4B99">
        <w:rPr>
          <w:sz w:val="23"/>
        </w:rPr>
        <w:t xml:space="preserve">strengthen systemic risk identification and the coordination of macroprudential policies; lower systemic liquidity risks; and </w:t>
      </w:r>
      <w:r w:rsidR="00120930">
        <w:rPr>
          <w:sz w:val="23"/>
        </w:rPr>
        <w:t xml:space="preserve">address current gaps in </w:t>
      </w:r>
      <w:r w:rsidR="006C4B99" w:rsidRPr="006C4B99">
        <w:rPr>
          <w:sz w:val="23"/>
        </w:rPr>
        <w:t>crisis management</w:t>
      </w:r>
      <w:r w:rsidR="00BC1DE6">
        <w:rPr>
          <w:sz w:val="23"/>
        </w:rPr>
        <w:t xml:space="preserve"> arrangements</w:t>
      </w:r>
      <w:r w:rsidR="006C4B99">
        <w:rPr>
          <w:sz w:val="23"/>
        </w:rPr>
        <w:t>.</w:t>
      </w:r>
      <w:r w:rsidR="00BC1DE6">
        <w:rPr>
          <w:sz w:val="23"/>
        </w:rPr>
        <w:t xml:space="preserve"> Assessments against international standards spotlighted areas where further enhancements to the supervision of banks, insurance companies and FMIs.</w:t>
      </w:r>
    </w:p>
    <w:p w14:paraId="14C9DE9B" w14:textId="7D2056DC" w:rsidR="006C4B99" w:rsidRPr="006C4B99" w:rsidRDefault="006C4B99" w:rsidP="00D35C14">
      <w:pPr>
        <w:pStyle w:val="ParagraphNumbering"/>
        <w:numPr>
          <w:ilvl w:val="0"/>
          <w:numId w:val="0"/>
        </w:numPr>
      </w:pPr>
      <w:r w:rsidRPr="003D2797">
        <w:rPr>
          <w:b/>
          <w:sz w:val="23"/>
        </w:rPr>
        <w:t xml:space="preserve">Development of capital markets </w:t>
      </w:r>
      <w:r w:rsidR="00BC1DE6">
        <w:rPr>
          <w:b/>
          <w:sz w:val="23"/>
        </w:rPr>
        <w:t>would alleviate</w:t>
      </w:r>
      <w:r w:rsidRPr="003D2797">
        <w:rPr>
          <w:b/>
          <w:sz w:val="23"/>
        </w:rPr>
        <w:t xml:space="preserve"> duration mismatches of banks and corporates, lowering reliance on foreign currency and supporting growth. </w:t>
      </w:r>
      <w:r w:rsidRPr="006C4B99">
        <w:rPr>
          <w:sz w:val="23"/>
        </w:rPr>
        <w:t>This is particularly important given the vulnerabilities associated with the short term nature of funding in lira and foreign currency, as well as the very high dependence on bank finance. The domestic market is developing but important challenges hamper longer-term financing. Policies to support the consolidation of an interest rate derivatives market and stimulate liquidity in government and corporate bond markets could facilitate hedging against interest rate fluctuations and enhance demand for capital market products. Improvements in issuance regulations, disclosure and governance standards could help strengthen and reinforce</w:t>
      </w:r>
      <w:r w:rsidR="008C1082">
        <w:rPr>
          <w:sz w:val="23"/>
        </w:rPr>
        <w:t xml:space="preserve"> investor confidence</w:t>
      </w:r>
      <w:r w:rsidRPr="006C4B99">
        <w:rPr>
          <w:sz w:val="23"/>
        </w:rPr>
        <w:t>. On the demand side, efforts to stimulate savings should continue and authorities could assess current limitations for more effective allocation of capital by different types of investors.</w:t>
      </w:r>
    </w:p>
    <w:p w14:paraId="1F6D8B2B" w14:textId="5CB13B38" w:rsidR="006C4B99" w:rsidRPr="00776354" w:rsidRDefault="006C4B99" w:rsidP="00D35C14">
      <w:pPr>
        <w:pStyle w:val="ParagraphNumbering"/>
        <w:numPr>
          <w:ilvl w:val="0"/>
          <w:numId w:val="0"/>
        </w:numPr>
        <w:rPr>
          <w:rFonts w:ascii="Arial" w:eastAsiaTheme="minorEastAsia" w:hAnsi="Arial" w:cs="Arial"/>
          <w:bCs/>
        </w:rPr>
      </w:pPr>
      <w:r w:rsidRPr="004D69AB">
        <w:rPr>
          <w:b/>
          <w:sz w:val="23"/>
        </w:rPr>
        <w:t>Financial inclusion challenges relate to the gender gap, lack of savings, and limited access to finance in under-serve</w:t>
      </w:r>
      <w:r w:rsidR="008C1082" w:rsidRPr="004D69AB">
        <w:rPr>
          <w:b/>
          <w:sz w:val="23"/>
        </w:rPr>
        <w:t>d regions</w:t>
      </w:r>
      <w:r w:rsidR="008C1082">
        <w:rPr>
          <w:sz w:val="23"/>
        </w:rPr>
        <w:t xml:space="preserve">. Islamic finance is </w:t>
      </w:r>
      <w:r w:rsidRPr="008C1082">
        <w:rPr>
          <w:sz w:val="23"/>
        </w:rPr>
        <w:t>an emerging and rapidly growing market and could serve as a catalyst for enhancing financial inclusion but issues related to the regulatory and governance frameworks, capacity, financial awareness, and literacy should be addressed</w:t>
      </w:r>
      <w:r w:rsidRPr="003D2797">
        <w:rPr>
          <w:b/>
          <w:sz w:val="23"/>
        </w:rPr>
        <w:t xml:space="preserve">. </w:t>
      </w:r>
      <w:r w:rsidRPr="008C1082">
        <w:rPr>
          <w:sz w:val="23"/>
        </w:rPr>
        <w:t xml:space="preserve">Further inclusion could be achieved by </w:t>
      </w:r>
      <w:r w:rsidR="008C1082">
        <w:rPr>
          <w:sz w:val="23"/>
        </w:rPr>
        <w:t>better</w:t>
      </w:r>
      <w:r w:rsidRPr="008C1082">
        <w:rPr>
          <w:sz w:val="23"/>
        </w:rPr>
        <w:t xml:space="preserve"> targeting under-served segments, strengthening pub</w:t>
      </w:r>
      <w:r w:rsidR="008C1082">
        <w:rPr>
          <w:sz w:val="23"/>
        </w:rPr>
        <w:t xml:space="preserve">lic/private sector coordination; </w:t>
      </w:r>
      <w:r w:rsidR="008C1082" w:rsidRPr="008C1082">
        <w:rPr>
          <w:sz w:val="23"/>
        </w:rPr>
        <w:t xml:space="preserve">enhancing the Monitoring and Evaluation </w:t>
      </w:r>
      <w:r w:rsidRPr="008C1082">
        <w:rPr>
          <w:sz w:val="23"/>
        </w:rPr>
        <w:t>framework; ensuring a level playing field between banks and non-banks;</w:t>
      </w:r>
      <w:r w:rsidRPr="003D2797">
        <w:rPr>
          <w:b/>
          <w:sz w:val="23"/>
        </w:rPr>
        <w:t xml:space="preserve"> </w:t>
      </w:r>
      <w:r w:rsidRPr="008C1082">
        <w:rPr>
          <w:sz w:val="23"/>
        </w:rPr>
        <w:t>and fine-tuning the design of payment mechanisms for government payments.</w:t>
      </w:r>
    </w:p>
    <w:p w14:paraId="4880C690" w14:textId="77777777" w:rsidR="00A530C4" w:rsidRPr="00F76E81" w:rsidRDefault="00824C62" w:rsidP="00776354">
      <w:pPr>
        <w:pStyle w:val="ParagraphNumbering"/>
        <w:numPr>
          <w:ilvl w:val="0"/>
          <w:numId w:val="0"/>
        </w:numPr>
        <w:jc w:val="center"/>
        <w:rPr>
          <w:rFonts w:eastAsiaTheme="minorEastAsia"/>
          <w:b/>
          <w:bCs/>
        </w:rPr>
      </w:pPr>
      <w:r w:rsidRPr="00F76E81">
        <w:rPr>
          <w:rFonts w:eastAsiaTheme="minorEastAsia"/>
          <w:b/>
          <w:bCs/>
        </w:rPr>
        <w:lastRenderedPageBreak/>
        <w:fldChar w:fldCharType="begin"/>
      </w:r>
      <w:r w:rsidR="00A530C4" w:rsidRPr="00F76E81">
        <w:rPr>
          <w:rFonts w:eastAsiaTheme="minorEastAsia"/>
          <w:b/>
          <w:bCs/>
        </w:rPr>
        <w:instrText xml:space="preserve"> TC "</w:instrText>
      </w:r>
      <w:bookmarkStart w:id="106" w:name="_Toc335662428"/>
      <w:r w:rsidR="00A530C4" w:rsidRPr="00F76E81">
        <w:rPr>
          <w:rFonts w:eastAsiaTheme="minorEastAsia"/>
          <w:b/>
          <w:bCs/>
        </w:rPr>
        <w:instrText>1. FSAP Update: Main Recommendations</w:instrText>
      </w:r>
      <w:bookmarkEnd w:id="106"/>
      <w:r w:rsidR="00A530C4" w:rsidRPr="00F76E81">
        <w:rPr>
          <w:rFonts w:eastAsiaTheme="minorEastAsia"/>
          <w:b/>
          <w:bCs/>
        </w:rPr>
        <w:instrText xml:space="preserve">"\f B </w:instrText>
      </w:r>
      <w:r w:rsidRPr="00F76E81">
        <w:rPr>
          <w:rFonts w:eastAsiaTheme="minorEastAsia"/>
          <w:b/>
          <w:bCs/>
        </w:rPr>
        <w:fldChar w:fldCharType="end"/>
      </w:r>
      <w:bookmarkStart w:id="107" w:name="_Toc335662480"/>
      <w:r w:rsidR="00AF7AE9" w:rsidRPr="00F76E81">
        <w:rPr>
          <w:rFonts w:eastAsiaTheme="minorEastAsia"/>
          <w:b/>
        </w:rPr>
        <w:t xml:space="preserve">Table </w:t>
      </w:r>
      <w:r w:rsidRPr="00F76E81">
        <w:rPr>
          <w:rFonts w:eastAsiaTheme="minorEastAsia"/>
          <w:b/>
        </w:rPr>
        <w:fldChar w:fldCharType="begin"/>
      </w:r>
      <w:r w:rsidR="00AF7AE9" w:rsidRPr="00F76E81">
        <w:rPr>
          <w:rFonts w:eastAsiaTheme="minorEastAsia"/>
          <w:b/>
        </w:rPr>
        <w:instrText xml:space="preserve"> SEQ Table \* ARABIC </w:instrText>
      </w:r>
      <w:r w:rsidRPr="00F76E81">
        <w:rPr>
          <w:rFonts w:eastAsiaTheme="minorEastAsia"/>
          <w:b/>
        </w:rPr>
        <w:fldChar w:fldCharType="separate"/>
      </w:r>
      <w:r w:rsidR="0081339A" w:rsidRPr="00F76E81">
        <w:rPr>
          <w:rFonts w:eastAsiaTheme="minorEastAsia"/>
          <w:b/>
          <w:noProof/>
        </w:rPr>
        <w:t>1</w:t>
      </w:r>
      <w:r w:rsidRPr="00F76E81">
        <w:rPr>
          <w:rFonts w:eastAsiaTheme="minorEastAsia"/>
          <w:b/>
        </w:rPr>
        <w:fldChar w:fldCharType="end"/>
      </w:r>
      <w:r w:rsidR="00B71BC0" w:rsidRPr="00F76E81">
        <w:rPr>
          <w:rFonts w:eastAsiaTheme="minorEastAsia"/>
          <w:b/>
        </w:rPr>
        <w:t>.</w:t>
      </w:r>
      <w:r w:rsidR="006D733F" w:rsidRPr="00F76E81">
        <w:rPr>
          <w:rFonts w:eastAsiaTheme="minorEastAsia"/>
          <w:b/>
          <w:bCs/>
        </w:rPr>
        <w:t xml:space="preserve"> </w:t>
      </w:r>
      <w:r w:rsidR="00EA1C12">
        <w:rPr>
          <w:rFonts w:eastAsiaTheme="minorEastAsia"/>
          <w:b/>
          <w:bCs/>
        </w:rPr>
        <w:t>Turkey 2016</w:t>
      </w:r>
      <w:r w:rsidR="005100A5" w:rsidRPr="00F76E81">
        <w:rPr>
          <w:rFonts w:eastAsiaTheme="minorEastAsia"/>
          <w:b/>
          <w:bCs/>
        </w:rPr>
        <w:t xml:space="preserve"> FSAP</w:t>
      </w:r>
      <w:r w:rsidR="004C1771" w:rsidRPr="00F76E81">
        <w:rPr>
          <w:rFonts w:eastAsiaTheme="minorEastAsia"/>
          <w:b/>
          <w:bCs/>
        </w:rPr>
        <w:t>–</w:t>
      </w:r>
      <w:r w:rsidR="00A530C4" w:rsidRPr="00F76E81">
        <w:rPr>
          <w:rFonts w:eastAsiaTheme="minorEastAsia"/>
          <w:b/>
          <w:bCs/>
        </w:rPr>
        <w:t xml:space="preserve"> </w:t>
      </w:r>
      <w:r w:rsidR="00266D45" w:rsidRPr="00F76E81">
        <w:rPr>
          <w:rFonts w:eastAsiaTheme="minorEastAsia"/>
          <w:b/>
          <w:bCs/>
        </w:rPr>
        <w:t>Key</w:t>
      </w:r>
      <w:r w:rsidR="00A530C4" w:rsidRPr="00F76E81">
        <w:rPr>
          <w:rFonts w:eastAsiaTheme="minorEastAsia"/>
          <w:b/>
          <w:bCs/>
        </w:rPr>
        <w:t xml:space="preserve"> Recommendations</w:t>
      </w:r>
      <w:bookmarkEnd w:id="107"/>
      <w:r w:rsidR="0020131E">
        <w:rPr>
          <w:rFonts w:eastAsiaTheme="minorEastAsia"/>
          <w:b/>
          <w:bCs/>
        </w:rPr>
        <w:t xml:space="preserve"> and Time Frame</w:t>
      </w:r>
      <w:r w:rsidR="0020131E" w:rsidRPr="0020131E">
        <w:rPr>
          <w:rFonts w:ascii="Arial" w:eastAsiaTheme="minorEastAsia" w:hAnsi="Arial" w:cs="Arial"/>
          <w:b/>
          <w:bCs/>
          <w:sz w:val="22"/>
          <w:szCs w:val="22"/>
          <w:vertAlign w:val="superscript"/>
        </w:rPr>
        <w:t xml:space="preserve"> </w:t>
      </w:r>
      <w:r w:rsidR="0020131E" w:rsidRPr="0020131E">
        <w:rPr>
          <w:rFonts w:ascii="Arial" w:eastAsiaTheme="minorEastAsia" w:hAnsi="Arial" w:cs="Arial"/>
          <w:b/>
          <w:bCs/>
          <w:sz w:val="22"/>
          <w:szCs w:val="22"/>
          <w:vertAlign w:val="superscript"/>
        </w:rPr>
        <w:footnoteReference w:id="3"/>
      </w:r>
    </w:p>
    <w:tbl>
      <w:tblPr>
        <w:tblW w:w="10237"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7"/>
      </w:tblGrid>
      <w:tr w:rsidR="009754F0" w:rsidRPr="0020131E" w14:paraId="4E291F35" w14:textId="77777777" w:rsidTr="00401A6D">
        <w:trPr>
          <w:trHeight w:val="233"/>
        </w:trPr>
        <w:tc>
          <w:tcPr>
            <w:tcW w:w="102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F4E6944" w14:textId="77777777" w:rsidR="009754F0" w:rsidRPr="0020131E" w:rsidRDefault="009754F0" w:rsidP="00EA1C12">
            <w:pPr>
              <w:rPr>
                <w:rFonts w:cs="Segoe UI"/>
                <w:sz w:val="22"/>
                <w:szCs w:val="22"/>
              </w:rPr>
            </w:pPr>
            <w:r w:rsidRPr="0020131E">
              <w:rPr>
                <w:b/>
                <w:sz w:val="22"/>
                <w:szCs w:val="22"/>
              </w:rPr>
              <w:t>Policies Addressing Resilience, Integrity and Financial Sector Effectiveness</w:t>
            </w:r>
          </w:p>
        </w:tc>
      </w:tr>
      <w:tr w:rsidR="004163A1" w:rsidRPr="009754F0" w14:paraId="6C07DB04" w14:textId="77777777" w:rsidTr="00401A6D">
        <w:trPr>
          <w:trHeight w:val="1358"/>
        </w:trPr>
        <w:tc>
          <w:tcPr>
            <w:tcW w:w="10237" w:type="dxa"/>
            <w:tcBorders>
              <w:top w:val="single" w:sz="4" w:space="0" w:color="000000"/>
              <w:left w:val="single" w:sz="4" w:space="0" w:color="000000"/>
              <w:right w:val="single" w:sz="4" w:space="0" w:color="000000"/>
            </w:tcBorders>
          </w:tcPr>
          <w:p w14:paraId="1A9F155D" w14:textId="77777777" w:rsidR="004163A1" w:rsidRPr="009754F0" w:rsidRDefault="004163A1" w:rsidP="00EA1C12">
            <w:pPr>
              <w:rPr>
                <w:b/>
                <w:i/>
                <w:sz w:val="20"/>
                <w:szCs w:val="20"/>
              </w:rPr>
            </w:pPr>
            <w:r w:rsidRPr="009754F0">
              <w:rPr>
                <w:b/>
                <w:i/>
                <w:sz w:val="20"/>
                <w:szCs w:val="20"/>
              </w:rPr>
              <w:t>Banking Supervision</w:t>
            </w:r>
          </w:p>
          <w:p w14:paraId="640353D8" w14:textId="77777777" w:rsidR="004163A1" w:rsidRPr="009754F0" w:rsidRDefault="004163A1" w:rsidP="009754F0">
            <w:pPr>
              <w:rPr>
                <w:sz w:val="20"/>
                <w:szCs w:val="20"/>
              </w:rPr>
            </w:pPr>
            <w:r w:rsidRPr="009754F0">
              <w:rPr>
                <w:sz w:val="20"/>
                <w:szCs w:val="20"/>
              </w:rPr>
              <w:t>Revise legislation to further strengthen BRSA independence</w:t>
            </w:r>
            <w:r w:rsidR="0020131E">
              <w:rPr>
                <w:sz w:val="20"/>
                <w:szCs w:val="20"/>
              </w:rPr>
              <w:t>.</w:t>
            </w:r>
            <w:r>
              <w:rPr>
                <w:sz w:val="20"/>
                <w:szCs w:val="20"/>
              </w:rPr>
              <w:t xml:space="preserve"> (MT)</w:t>
            </w:r>
          </w:p>
          <w:p w14:paraId="6EB4751C" w14:textId="77777777" w:rsidR="004163A1" w:rsidRPr="009754F0" w:rsidRDefault="004163A1" w:rsidP="009754F0">
            <w:pPr>
              <w:rPr>
                <w:sz w:val="20"/>
                <w:szCs w:val="20"/>
              </w:rPr>
            </w:pPr>
            <w:r w:rsidRPr="009754F0">
              <w:rPr>
                <w:sz w:val="20"/>
                <w:szCs w:val="20"/>
              </w:rPr>
              <w:t>Deepen and broaden the risk assessment nature of banking inspections and follow up</w:t>
            </w:r>
            <w:r w:rsidR="0020131E">
              <w:rPr>
                <w:sz w:val="20"/>
                <w:szCs w:val="20"/>
              </w:rPr>
              <w:t>.</w:t>
            </w:r>
            <w:r>
              <w:rPr>
                <w:sz w:val="20"/>
                <w:szCs w:val="20"/>
              </w:rPr>
              <w:t xml:space="preserve"> (MT)</w:t>
            </w:r>
          </w:p>
          <w:p w14:paraId="1BFDA5BD" w14:textId="77777777" w:rsidR="004163A1" w:rsidRPr="009754F0" w:rsidRDefault="004163A1" w:rsidP="009754F0">
            <w:pPr>
              <w:rPr>
                <w:sz w:val="20"/>
                <w:szCs w:val="20"/>
              </w:rPr>
            </w:pPr>
            <w:r w:rsidRPr="009754F0">
              <w:rPr>
                <w:sz w:val="20"/>
                <w:szCs w:val="20"/>
              </w:rPr>
              <w:t>Strengthen corporate governance rules and enforcement</w:t>
            </w:r>
            <w:r w:rsidR="0020131E">
              <w:rPr>
                <w:sz w:val="20"/>
                <w:szCs w:val="20"/>
              </w:rPr>
              <w:t>. (MT)</w:t>
            </w:r>
          </w:p>
          <w:p w14:paraId="6CCC1328" w14:textId="77777777" w:rsidR="004163A1" w:rsidRPr="009754F0" w:rsidRDefault="004163A1" w:rsidP="009754F0">
            <w:pPr>
              <w:rPr>
                <w:b/>
                <w:i/>
                <w:sz w:val="20"/>
                <w:szCs w:val="20"/>
              </w:rPr>
            </w:pPr>
            <w:r w:rsidRPr="009754F0">
              <w:rPr>
                <w:sz w:val="20"/>
                <w:szCs w:val="20"/>
              </w:rPr>
              <w:t>Evaluate and revise the definition of credit classifica</w:t>
            </w:r>
            <w:r>
              <w:rPr>
                <w:sz w:val="20"/>
                <w:szCs w:val="20"/>
              </w:rPr>
              <w:t>tions and strengthen enforcement</w:t>
            </w:r>
            <w:r w:rsidR="0020131E">
              <w:rPr>
                <w:sz w:val="20"/>
                <w:szCs w:val="20"/>
              </w:rPr>
              <w:t>.</w:t>
            </w:r>
            <w:r>
              <w:rPr>
                <w:sz w:val="20"/>
                <w:szCs w:val="20"/>
              </w:rPr>
              <w:t xml:space="preserve"> (ST)</w:t>
            </w:r>
          </w:p>
        </w:tc>
      </w:tr>
      <w:tr w:rsidR="004163A1" w:rsidRPr="009754F0" w14:paraId="215C6474" w14:textId="77777777" w:rsidTr="00AD37EA">
        <w:trPr>
          <w:trHeight w:val="845"/>
        </w:trPr>
        <w:tc>
          <w:tcPr>
            <w:tcW w:w="10237" w:type="dxa"/>
            <w:tcBorders>
              <w:top w:val="single" w:sz="4" w:space="0" w:color="000000"/>
              <w:left w:val="single" w:sz="4" w:space="0" w:color="000000"/>
              <w:right w:val="single" w:sz="4" w:space="0" w:color="000000"/>
            </w:tcBorders>
          </w:tcPr>
          <w:p w14:paraId="046A2177" w14:textId="77777777" w:rsidR="004163A1" w:rsidRPr="009754F0" w:rsidRDefault="004163A1" w:rsidP="00EA1C12">
            <w:pPr>
              <w:rPr>
                <w:b/>
                <w:i/>
                <w:sz w:val="20"/>
                <w:szCs w:val="20"/>
              </w:rPr>
            </w:pPr>
            <w:r w:rsidRPr="009754F0">
              <w:rPr>
                <w:b/>
                <w:i/>
                <w:sz w:val="20"/>
                <w:szCs w:val="20"/>
              </w:rPr>
              <w:t>Insurance Supervision</w:t>
            </w:r>
          </w:p>
          <w:p w14:paraId="70239D74" w14:textId="2468A7CB" w:rsidR="004163A1" w:rsidRPr="009754F0" w:rsidRDefault="004163A1" w:rsidP="00265657">
            <w:pPr>
              <w:rPr>
                <w:sz w:val="20"/>
                <w:szCs w:val="20"/>
              </w:rPr>
            </w:pPr>
            <w:r w:rsidRPr="009754F0">
              <w:rPr>
                <w:sz w:val="20"/>
                <w:szCs w:val="20"/>
              </w:rPr>
              <w:t>Improve independence, governance and accountability of supervisor</w:t>
            </w:r>
            <w:r w:rsidR="00217E29">
              <w:rPr>
                <w:sz w:val="20"/>
                <w:szCs w:val="20"/>
              </w:rPr>
              <w:t>; increase</w:t>
            </w:r>
            <w:r w:rsidRPr="009754F0">
              <w:rPr>
                <w:sz w:val="20"/>
                <w:szCs w:val="20"/>
              </w:rPr>
              <w:t xml:space="preserve"> resources f</w:t>
            </w:r>
            <w:r>
              <w:rPr>
                <w:sz w:val="20"/>
                <w:szCs w:val="20"/>
              </w:rPr>
              <w:t>or internal control functions</w:t>
            </w:r>
            <w:r w:rsidR="00217E29">
              <w:rPr>
                <w:sz w:val="20"/>
                <w:szCs w:val="20"/>
              </w:rPr>
              <w:t>;</w:t>
            </w:r>
            <w:r w:rsidR="00AD37EA">
              <w:rPr>
                <w:sz w:val="20"/>
                <w:szCs w:val="20"/>
              </w:rPr>
              <w:t xml:space="preserve"> </w:t>
            </w:r>
            <w:r w:rsidR="00217E29">
              <w:rPr>
                <w:sz w:val="20"/>
                <w:szCs w:val="20"/>
              </w:rPr>
              <w:t>i</w:t>
            </w:r>
            <w:r w:rsidRPr="009754F0">
              <w:rPr>
                <w:sz w:val="20"/>
                <w:szCs w:val="20"/>
              </w:rPr>
              <w:t>ntegrate offsite, onsite and enforcement activities</w:t>
            </w:r>
            <w:r w:rsidR="00217E29">
              <w:rPr>
                <w:sz w:val="20"/>
                <w:szCs w:val="20"/>
              </w:rPr>
              <w:t>;</w:t>
            </w:r>
            <w:r w:rsidRPr="009754F0">
              <w:rPr>
                <w:sz w:val="20"/>
                <w:szCs w:val="20"/>
              </w:rPr>
              <w:t xml:space="preserve"> develop risk based</w:t>
            </w:r>
            <w:r w:rsidR="00265657">
              <w:rPr>
                <w:sz w:val="20"/>
                <w:szCs w:val="20"/>
              </w:rPr>
              <w:t>,</w:t>
            </w:r>
            <w:r w:rsidRPr="009754F0">
              <w:rPr>
                <w:sz w:val="20"/>
                <w:szCs w:val="20"/>
              </w:rPr>
              <w:t xml:space="preserve"> </w:t>
            </w:r>
            <w:r>
              <w:rPr>
                <w:sz w:val="20"/>
                <w:szCs w:val="20"/>
              </w:rPr>
              <w:t>group supervision</w:t>
            </w:r>
            <w:r w:rsidR="0020131E">
              <w:rPr>
                <w:sz w:val="20"/>
                <w:szCs w:val="20"/>
              </w:rPr>
              <w:t xml:space="preserve">. </w:t>
            </w:r>
            <w:r>
              <w:rPr>
                <w:sz w:val="20"/>
                <w:szCs w:val="20"/>
              </w:rPr>
              <w:t>(</w:t>
            </w:r>
            <w:r w:rsidR="00265657">
              <w:rPr>
                <w:sz w:val="20"/>
                <w:szCs w:val="20"/>
              </w:rPr>
              <w:t>ST/</w:t>
            </w:r>
            <w:r>
              <w:rPr>
                <w:sz w:val="20"/>
                <w:szCs w:val="20"/>
              </w:rPr>
              <w:t>MT)</w:t>
            </w:r>
          </w:p>
        </w:tc>
      </w:tr>
      <w:tr w:rsidR="004163A1" w:rsidRPr="0074410D" w14:paraId="0939ABB5" w14:textId="77777777" w:rsidTr="00401A6D">
        <w:trPr>
          <w:trHeight w:val="578"/>
        </w:trPr>
        <w:tc>
          <w:tcPr>
            <w:tcW w:w="10237" w:type="dxa"/>
            <w:tcBorders>
              <w:top w:val="single" w:sz="4" w:space="0" w:color="000000"/>
              <w:left w:val="single" w:sz="4" w:space="0" w:color="000000"/>
              <w:right w:val="single" w:sz="4" w:space="0" w:color="000000"/>
            </w:tcBorders>
          </w:tcPr>
          <w:p w14:paraId="70866C9C" w14:textId="77777777" w:rsidR="004163A1" w:rsidRPr="009754F0" w:rsidRDefault="004163A1" w:rsidP="00EA1C12">
            <w:pPr>
              <w:rPr>
                <w:sz w:val="20"/>
                <w:szCs w:val="20"/>
              </w:rPr>
            </w:pPr>
            <w:r w:rsidRPr="009754F0">
              <w:rPr>
                <w:b/>
                <w:i/>
                <w:sz w:val="20"/>
                <w:szCs w:val="20"/>
              </w:rPr>
              <w:t>Financial Market Infrastructure</w:t>
            </w:r>
          </w:p>
          <w:p w14:paraId="70019EE5" w14:textId="77777777" w:rsidR="004163A1" w:rsidRPr="009754F0" w:rsidRDefault="004163A1" w:rsidP="00EA1C12">
            <w:pPr>
              <w:rPr>
                <w:sz w:val="20"/>
                <w:szCs w:val="20"/>
              </w:rPr>
            </w:pPr>
            <w:r w:rsidRPr="009754F0">
              <w:rPr>
                <w:sz w:val="20"/>
                <w:szCs w:val="20"/>
              </w:rPr>
              <w:t>Improve risk management of EFT/ESTS li</w:t>
            </w:r>
            <w:r>
              <w:rPr>
                <w:sz w:val="20"/>
                <w:szCs w:val="20"/>
              </w:rPr>
              <w:t>quidity and FMI interlinkages</w:t>
            </w:r>
            <w:r w:rsidR="000077F5">
              <w:rPr>
                <w:sz w:val="20"/>
                <w:szCs w:val="20"/>
              </w:rPr>
              <w:t>.</w:t>
            </w:r>
            <w:r>
              <w:rPr>
                <w:sz w:val="20"/>
                <w:szCs w:val="20"/>
              </w:rPr>
              <w:t xml:space="preserve"> (ST/MT)</w:t>
            </w:r>
          </w:p>
        </w:tc>
      </w:tr>
      <w:tr w:rsidR="004163A1" w:rsidRPr="0074410D" w14:paraId="02B22C00" w14:textId="77777777" w:rsidTr="00401A6D">
        <w:trPr>
          <w:trHeight w:val="1250"/>
        </w:trPr>
        <w:tc>
          <w:tcPr>
            <w:tcW w:w="10237" w:type="dxa"/>
            <w:tcBorders>
              <w:top w:val="single" w:sz="4" w:space="0" w:color="000000"/>
              <w:left w:val="single" w:sz="4" w:space="0" w:color="000000"/>
              <w:right w:val="single" w:sz="4" w:space="0" w:color="000000"/>
            </w:tcBorders>
          </w:tcPr>
          <w:p w14:paraId="047D039E" w14:textId="77777777" w:rsidR="004163A1" w:rsidRPr="009754F0" w:rsidRDefault="004163A1" w:rsidP="00EA1C12">
            <w:pPr>
              <w:rPr>
                <w:b/>
                <w:i/>
                <w:sz w:val="20"/>
                <w:szCs w:val="20"/>
              </w:rPr>
            </w:pPr>
            <w:r w:rsidRPr="009754F0">
              <w:rPr>
                <w:b/>
                <w:i/>
                <w:sz w:val="20"/>
                <w:szCs w:val="20"/>
              </w:rPr>
              <w:t xml:space="preserve">Systemic Risk Oversight </w:t>
            </w:r>
          </w:p>
          <w:p w14:paraId="676B7F36" w14:textId="6ABE339B" w:rsidR="00082E1E" w:rsidRDefault="00082E1E" w:rsidP="00EA1C12">
            <w:pPr>
              <w:rPr>
                <w:sz w:val="20"/>
                <w:szCs w:val="20"/>
              </w:rPr>
            </w:pPr>
            <w:r>
              <w:rPr>
                <w:sz w:val="20"/>
                <w:szCs w:val="20"/>
              </w:rPr>
              <w:t>Strengthen macroprudential measures to lower foreign exchange risk in the economy (I)</w:t>
            </w:r>
          </w:p>
          <w:p w14:paraId="4B00751A" w14:textId="48CF2033" w:rsidR="004163A1" w:rsidRPr="004163A1" w:rsidRDefault="004D69AB" w:rsidP="00EA1C12">
            <w:pPr>
              <w:rPr>
                <w:i/>
                <w:sz w:val="20"/>
                <w:szCs w:val="20"/>
              </w:rPr>
            </w:pPr>
            <w:r>
              <w:rPr>
                <w:sz w:val="20"/>
                <w:szCs w:val="20"/>
              </w:rPr>
              <w:t>Strengthen FSC’s governance/</w:t>
            </w:r>
            <w:r w:rsidR="004163A1" w:rsidRPr="009754F0">
              <w:rPr>
                <w:sz w:val="20"/>
                <w:szCs w:val="20"/>
              </w:rPr>
              <w:t>powers</w:t>
            </w:r>
            <w:r w:rsidR="00265657">
              <w:rPr>
                <w:sz w:val="20"/>
                <w:szCs w:val="20"/>
              </w:rPr>
              <w:t>, provide explicit financial stability objective to all members, and limit CoM role</w:t>
            </w:r>
            <w:r w:rsidR="0020131E">
              <w:rPr>
                <w:sz w:val="20"/>
                <w:szCs w:val="20"/>
              </w:rPr>
              <w:t>.</w:t>
            </w:r>
            <w:r w:rsidR="004163A1">
              <w:rPr>
                <w:sz w:val="20"/>
                <w:szCs w:val="20"/>
              </w:rPr>
              <w:t xml:space="preserve"> (ST)</w:t>
            </w:r>
          </w:p>
          <w:p w14:paraId="6B9942D4" w14:textId="51D9888E" w:rsidR="004163A1" w:rsidRPr="009754F0" w:rsidRDefault="004163A1" w:rsidP="00EA1C12">
            <w:pPr>
              <w:rPr>
                <w:sz w:val="20"/>
                <w:szCs w:val="20"/>
              </w:rPr>
            </w:pPr>
            <w:r w:rsidRPr="009754F0">
              <w:rPr>
                <w:sz w:val="20"/>
                <w:szCs w:val="20"/>
              </w:rPr>
              <w:t>Develop procedures for improved systemic risk assessment and coordination of macroprudential policies</w:t>
            </w:r>
            <w:r w:rsidR="00265657">
              <w:rPr>
                <w:sz w:val="20"/>
                <w:szCs w:val="20"/>
              </w:rPr>
              <w:t>; agree to table policy proposals for ex ante FSC discussion and request formal responses to recommendations</w:t>
            </w:r>
            <w:r w:rsidR="0020131E">
              <w:rPr>
                <w:sz w:val="20"/>
                <w:szCs w:val="20"/>
              </w:rPr>
              <w:t>.</w:t>
            </w:r>
            <w:r w:rsidRPr="009754F0">
              <w:rPr>
                <w:sz w:val="20"/>
                <w:szCs w:val="20"/>
              </w:rPr>
              <w:t xml:space="preserve"> </w:t>
            </w:r>
            <w:r w:rsidR="0020131E">
              <w:rPr>
                <w:sz w:val="20"/>
                <w:szCs w:val="20"/>
              </w:rPr>
              <w:t>(ST/MT)</w:t>
            </w:r>
          </w:p>
          <w:p w14:paraId="71A5BDCB" w14:textId="77777777" w:rsidR="004163A1" w:rsidRPr="009754F0" w:rsidRDefault="004163A1" w:rsidP="00EA1C12">
            <w:pPr>
              <w:rPr>
                <w:sz w:val="20"/>
                <w:szCs w:val="20"/>
              </w:rPr>
            </w:pPr>
            <w:r w:rsidRPr="009754F0">
              <w:rPr>
                <w:sz w:val="20"/>
                <w:szCs w:val="20"/>
              </w:rPr>
              <w:t>Base choice of policy tools on integrated assessment of systemic risk and cost-benefit analysis of alternative options</w:t>
            </w:r>
            <w:r w:rsidR="0020131E">
              <w:rPr>
                <w:sz w:val="20"/>
                <w:szCs w:val="20"/>
              </w:rPr>
              <w:t>. (ST)</w:t>
            </w:r>
          </w:p>
          <w:p w14:paraId="7E6EFB78" w14:textId="215888C1" w:rsidR="004163A1" w:rsidRPr="009754F0" w:rsidRDefault="004163A1" w:rsidP="00265657">
            <w:pPr>
              <w:rPr>
                <w:sz w:val="20"/>
                <w:szCs w:val="20"/>
              </w:rPr>
            </w:pPr>
            <w:r w:rsidRPr="009754F0">
              <w:rPr>
                <w:sz w:val="20"/>
                <w:szCs w:val="20"/>
              </w:rPr>
              <w:t>Strengthen transpare</w:t>
            </w:r>
            <w:r>
              <w:rPr>
                <w:sz w:val="20"/>
                <w:szCs w:val="20"/>
              </w:rPr>
              <w:t>ncy</w:t>
            </w:r>
            <w:r w:rsidR="00265657">
              <w:rPr>
                <w:sz w:val="20"/>
                <w:szCs w:val="20"/>
              </w:rPr>
              <w:t xml:space="preserve"> (</w:t>
            </w:r>
            <w:r>
              <w:rPr>
                <w:sz w:val="20"/>
                <w:szCs w:val="20"/>
              </w:rPr>
              <w:t xml:space="preserve">including </w:t>
            </w:r>
            <w:r w:rsidR="00265657">
              <w:rPr>
                <w:sz w:val="20"/>
                <w:szCs w:val="20"/>
              </w:rPr>
              <w:t xml:space="preserve">publishing </w:t>
            </w:r>
            <w:r>
              <w:rPr>
                <w:sz w:val="20"/>
                <w:szCs w:val="20"/>
              </w:rPr>
              <w:t>an Annual Report</w:t>
            </w:r>
            <w:r w:rsidR="00265657">
              <w:rPr>
                <w:sz w:val="20"/>
                <w:szCs w:val="20"/>
              </w:rPr>
              <w:t>)</w:t>
            </w:r>
            <w:r w:rsidR="0020131E">
              <w:rPr>
                <w:sz w:val="20"/>
                <w:szCs w:val="20"/>
              </w:rPr>
              <w:t>.</w:t>
            </w:r>
            <w:r>
              <w:rPr>
                <w:sz w:val="20"/>
                <w:szCs w:val="20"/>
              </w:rPr>
              <w:t xml:space="preserve"> (ST)</w:t>
            </w:r>
          </w:p>
        </w:tc>
      </w:tr>
      <w:tr w:rsidR="004163A1" w:rsidRPr="0074410D" w14:paraId="726D780F" w14:textId="77777777" w:rsidTr="00401A6D">
        <w:trPr>
          <w:trHeight w:val="1322"/>
        </w:trPr>
        <w:tc>
          <w:tcPr>
            <w:tcW w:w="10237" w:type="dxa"/>
            <w:tcBorders>
              <w:top w:val="single" w:sz="4" w:space="0" w:color="000000"/>
              <w:left w:val="single" w:sz="4" w:space="0" w:color="000000"/>
              <w:right w:val="single" w:sz="4" w:space="0" w:color="000000"/>
            </w:tcBorders>
          </w:tcPr>
          <w:p w14:paraId="084EA3CA" w14:textId="77777777" w:rsidR="004163A1" w:rsidRPr="00EA1C12" w:rsidRDefault="004163A1" w:rsidP="00EA1C12">
            <w:pPr>
              <w:rPr>
                <w:sz w:val="20"/>
                <w:szCs w:val="20"/>
              </w:rPr>
            </w:pPr>
            <w:r w:rsidRPr="00EA1C12">
              <w:rPr>
                <w:b/>
                <w:i/>
                <w:sz w:val="20"/>
                <w:szCs w:val="20"/>
              </w:rPr>
              <w:t>Managing Systemic Liquidity</w:t>
            </w:r>
          </w:p>
          <w:p w14:paraId="4BEE412B" w14:textId="77777777" w:rsidR="004163A1" w:rsidRPr="009754F0" w:rsidRDefault="004163A1" w:rsidP="009754F0">
            <w:pPr>
              <w:rPr>
                <w:sz w:val="20"/>
                <w:szCs w:val="20"/>
              </w:rPr>
            </w:pPr>
            <w:r w:rsidRPr="009754F0">
              <w:rPr>
                <w:sz w:val="20"/>
                <w:szCs w:val="20"/>
              </w:rPr>
              <w:t>Orient liquidity provision towards a single key policy rate</w:t>
            </w:r>
            <w:r w:rsidR="0020131E">
              <w:rPr>
                <w:sz w:val="20"/>
                <w:szCs w:val="20"/>
              </w:rPr>
              <w:t>. (I)</w:t>
            </w:r>
          </w:p>
          <w:p w14:paraId="0E46F5B7" w14:textId="77777777" w:rsidR="004163A1" w:rsidRPr="009754F0" w:rsidRDefault="004163A1" w:rsidP="009754F0">
            <w:pPr>
              <w:rPr>
                <w:sz w:val="20"/>
                <w:szCs w:val="20"/>
              </w:rPr>
            </w:pPr>
            <w:r w:rsidRPr="009754F0">
              <w:rPr>
                <w:sz w:val="20"/>
                <w:szCs w:val="20"/>
              </w:rPr>
              <w:t>Increase net reserves such that gross reser</w:t>
            </w:r>
            <w:r>
              <w:rPr>
                <w:sz w:val="20"/>
                <w:szCs w:val="20"/>
              </w:rPr>
              <w:t xml:space="preserve">ves are within the range of 100-150 percent of the </w:t>
            </w:r>
            <w:r w:rsidR="00265657">
              <w:rPr>
                <w:sz w:val="20"/>
                <w:szCs w:val="20"/>
              </w:rPr>
              <w:t>Assessment of Reserves Adequacy (</w:t>
            </w:r>
            <w:r>
              <w:rPr>
                <w:sz w:val="20"/>
                <w:szCs w:val="20"/>
              </w:rPr>
              <w:t>ARA</w:t>
            </w:r>
            <w:r w:rsidR="00265657">
              <w:rPr>
                <w:sz w:val="20"/>
                <w:szCs w:val="20"/>
              </w:rPr>
              <w:t>)</w:t>
            </w:r>
            <w:r>
              <w:rPr>
                <w:sz w:val="20"/>
                <w:szCs w:val="20"/>
              </w:rPr>
              <w:t xml:space="preserve"> metric</w:t>
            </w:r>
            <w:r w:rsidR="0020131E">
              <w:rPr>
                <w:sz w:val="20"/>
                <w:szCs w:val="20"/>
              </w:rPr>
              <w:t>.</w:t>
            </w:r>
            <w:r>
              <w:rPr>
                <w:sz w:val="20"/>
                <w:szCs w:val="20"/>
              </w:rPr>
              <w:t xml:space="preserve"> (MT)</w:t>
            </w:r>
          </w:p>
          <w:p w14:paraId="540F84FB" w14:textId="4D1BD5D2" w:rsidR="004163A1" w:rsidRDefault="009469A1" w:rsidP="009469A1">
            <w:r>
              <w:rPr>
                <w:sz w:val="20"/>
                <w:szCs w:val="20"/>
              </w:rPr>
              <w:t>Improve ELA capacity; r</w:t>
            </w:r>
            <w:r w:rsidR="004163A1" w:rsidRPr="009754F0">
              <w:rPr>
                <w:sz w:val="20"/>
                <w:szCs w:val="20"/>
              </w:rPr>
              <w:t>edefine CBRT FX lending facility as ELA and increase conditionality</w:t>
            </w:r>
            <w:r w:rsidR="0020131E">
              <w:rPr>
                <w:sz w:val="20"/>
                <w:szCs w:val="20"/>
              </w:rPr>
              <w:t>. (ST)</w:t>
            </w:r>
          </w:p>
        </w:tc>
      </w:tr>
      <w:tr w:rsidR="004163A1" w:rsidRPr="009754F0" w14:paraId="0F1C552D" w14:textId="77777777" w:rsidTr="00AD37EA">
        <w:trPr>
          <w:trHeight w:val="962"/>
        </w:trPr>
        <w:tc>
          <w:tcPr>
            <w:tcW w:w="10237" w:type="dxa"/>
            <w:tcBorders>
              <w:top w:val="single" w:sz="4" w:space="0" w:color="000000"/>
              <w:left w:val="single" w:sz="4" w:space="0" w:color="000000"/>
              <w:right w:val="single" w:sz="4" w:space="0" w:color="000000"/>
            </w:tcBorders>
          </w:tcPr>
          <w:p w14:paraId="6CA3C059" w14:textId="3FE6B633" w:rsidR="004163A1" w:rsidRPr="009754F0" w:rsidRDefault="004163A1" w:rsidP="009754F0">
            <w:pPr>
              <w:rPr>
                <w:b/>
                <w:i/>
                <w:sz w:val="20"/>
                <w:szCs w:val="20"/>
              </w:rPr>
            </w:pPr>
            <w:r w:rsidRPr="009754F0">
              <w:rPr>
                <w:b/>
                <w:i/>
                <w:sz w:val="20"/>
                <w:szCs w:val="20"/>
              </w:rPr>
              <w:t xml:space="preserve">Financial </w:t>
            </w:r>
            <w:r w:rsidR="009469A1">
              <w:rPr>
                <w:b/>
                <w:i/>
                <w:sz w:val="20"/>
                <w:szCs w:val="20"/>
              </w:rPr>
              <w:t>Crisis Management</w:t>
            </w:r>
          </w:p>
          <w:p w14:paraId="6116FB8F" w14:textId="7E810326" w:rsidR="004163A1" w:rsidRPr="009754F0" w:rsidRDefault="004163A1" w:rsidP="009754F0">
            <w:pPr>
              <w:rPr>
                <w:sz w:val="20"/>
                <w:szCs w:val="20"/>
              </w:rPr>
            </w:pPr>
            <w:r w:rsidRPr="009754F0">
              <w:rPr>
                <w:sz w:val="20"/>
                <w:szCs w:val="20"/>
              </w:rPr>
              <w:t>Strengthen recovery and resolution planning and enhance resolution powers</w:t>
            </w:r>
            <w:r w:rsidR="009469A1">
              <w:rPr>
                <w:sz w:val="20"/>
                <w:szCs w:val="20"/>
              </w:rPr>
              <w:t xml:space="preserve"> by: (i) Strengthening the Banking Law; (ii) Developing guidance</w:t>
            </w:r>
            <w:r w:rsidR="00AD37EA">
              <w:rPr>
                <w:sz w:val="20"/>
                <w:szCs w:val="20"/>
              </w:rPr>
              <w:t>.</w:t>
            </w:r>
            <w:r w:rsidR="009469A1">
              <w:rPr>
                <w:sz w:val="20"/>
                <w:szCs w:val="20"/>
              </w:rPr>
              <w:t xml:space="preserve"> (MT)</w:t>
            </w:r>
          </w:p>
          <w:p w14:paraId="06CD5AAD" w14:textId="422A832E" w:rsidR="004163A1" w:rsidRPr="009754F0" w:rsidRDefault="004163A1" w:rsidP="009469A1">
            <w:pPr>
              <w:rPr>
                <w:b/>
                <w:i/>
                <w:sz w:val="20"/>
                <w:szCs w:val="20"/>
              </w:rPr>
            </w:pPr>
            <w:r w:rsidRPr="009754F0">
              <w:rPr>
                <w:sz w:val="20"/>
                <w:szCs w:val="20"/>
              </w:rPr>
              <w:t>Strengthen domestic and cross-bo</w:t>
            </w:r>
            <w:r>
              <w:rPr>
                <w:sz w:val="20"/>
                <w:szCs w:val="20"/>
              </w:rPr>
              <w:t>rder coordinat</w:t>
            </w:r>
            <w:r w:rsidR="00401A6D">
              <w:rPr>
                <w:sz w:val="20"/>
                <w:szCs w:val="20"/>
              </w:rPr>
              <w:t xml:space="preserve">ion arrangements. </w:t>
            </w:r>
            <w:r>
              <w:rPr>
                <w:sz w:val="20"/>
                <w:szCs w:val="20"/>
              </w:rPr>
              <w:t>(ST)</w:t>
            </w:r>
          </w:p>
        </w:tc>
      </w:tr>
      <w:tr w:rsidR="004163A1" w:rsidRPr="009754F0" w14:paraId="6DA10E5D" w14:textId="77777777" w:rsidTr="00401A6D">
        <w:trPr>
          <w:trHeight w:val="1277"/>
        </w:trPr>
        <w:tc>
          <w:tcPr>
            <w:tcW w:w="10237" w:type="dxa"/>
            <w:tcBorders>
              <w:top w:val="single" w:sz="4" w:space="0" w:color="000000"/>
              <w:left w:val="single" w:sz="4" w:space="0" w:color="000000"/>
              <w:right w:val="single" w:sz="4" w:space="0" w:color="000000"/>
            </w:tcBorders>
          </w:tcPr>
          <w:p w14:paraId="4CFC46E9" w14:textId="77777777" w:rsidR="004163A1" w:rsidRPr="009754F0" w:rsidRDefault="004163A1" w:rsidP="009754F0">
            <w:pPr>
              <w:rPr>
                <w:b/>
                <w:i/>
                <w:sz w:val="20"/>
                <w:szCs w:val="20"/>
              </w:rPr>
            </w:pPr>
            <w:r w:rsidRPr="009754F0">
              <w:rPr>
                <w:b/>
                <w:i/>
                <w:sz w:val="20"/>
                <w:szCs w:val="20"/>
              </w:rPr>
              <w:t>AML-CFT</w:t>
            </w:r>
          </w:p>
          <w:p w14:paraId="05392EE4" w14:textId="709A666E" w:rsidR="004163A1" w:rsidRPr="009754F0" w:rsidRDefault="004163A1" w:rsidP="009754F0">
            <w:pPr>
              <w:rPr>
                <w:sz w:val="20"/>
                <w:szCs w:val="20"/>
              </w:rPr>
            </w:pPr>
            <w:r w:rsidRPr="009754F0">
              <w:rPr>
                <w:sz w:val="20"/>
                <w:szCs w:val="20"/>
              </w:rPr>
              <w:t xml:space="preserve">Determine reason for low ML conviction rates and </w:t>
            </w:r>
            <w:r>
              <w:rPr>
                <w:sz w:val="20"/>
                <w:szCs w:val="20"/>
              </w:rPr>
              <w:t>plan to address them</w:t>
            </w:r>
            <w:r w:rsidR="00401A6D">
              <w:rPr>
                <w:sz w:val="20"/>
                <w:szCs w:val="20"/>
              </w:rPr>
              <w:t>. (MT)</w:t>
            </w:r>
          </w:p>
          <w:p w14:paraId="7DC896EC" w14:textId="77777777" w:rsidR="004163A1" w:rsidRPr="009754F0" w:rsidRDefault="004163A1" w:rsidP="009754F0">
            <w:pPr>
              <w:rPr>
                <w:sz w:val="20"/>
                <w:szCs w:val="20"/>
              </w:rPr>
            </w:pPr>
            <w:r w:rsidRPr="009754F0">
              <w:rPr>
                <w:sz w:val="20"/>
                <w:szCs w:val="20"/>
              </w:rPr>
              <w:t>Introduce customer due diligence requirements for politically exposed persons</w:t>
            </w:r>
            <w:r w:rsidR="00401A6D">
              <w:rPr>
                <w:sz w:val="20"/>
                <w:szCs w:val="20"/>
              </w:rPr>
              <w:t>. (ST)</w:t>
            </w:r>
          </w:p>
          <w:p w14:paraId="1352E17C" w14:textId="005120C2" w:rsidR="004163A1" w:rsidRPr="009754F0" w:rsidRDefault="00DE70EC" w:rsidP="00DE70EC">
            <w:pPr>
              <w:rPr>
                <w:b/>
                <w:i/>
                <w:sz w:val="20"/>
                <w:szCs w:val="20"/>
              </w:rPr>
            </w:pPr>
            <w:r>
              <w:rPr>
                <w:sz w:val="20"/>
                <w:szCs w:val="20"/>
              </w:rPr>
              <w:t xml:space="preserve">Ensure compliance with requirements of the </w:t>
            </w:r>
            <w:r w:rsidR="004163A1" w:rsidRPr="009754F0">
              <w:rPr>
                <w:sz w:val="20"/>
                <w:szCs w:val="20"/>
              </w:rPr>
              <w:t>UNSCR</w:t>
            </w:r>
            <w:r w:rsidR="009469A1">
              <w:rPr>
                <w:sz w:val="20"/>
                <w:szCs w:val="20"/>
              </w:rPr>
              <w:t>,</w:t>
            </w:r>
            <w:r w:rsidR="004163A1" w:rsidRPr="009754F0">
              <w:rPr>
                <w:sz w:val="20"/>
                <w:szCs w:val="20"/>
              </w:rPr>
              <w:t xml:space="preserve"> and strengthen </w:t>
            </w:r>
            <w:r>
              <w:rPr>
                <w:sz w:val="20"/>
                <w:szCs w:val="20"/>
              </w:rPr>
              <w:t xml:space="preserve">border </w:t>
            </w:r>
            <w:r w:rsidR="004163A1" w:rsidRPr="009754F0">
              <w:rPr>
                <w:sz w:val="20"/>
                <w:szCs w:val="20"/>
              </w:rPr>
              <w:t xml:space="preserve">controls on </w:t>
            </w:r>
            <w:r w:rsidR="004163A1">
              <w:rPr>
                <w:sz w:val="20"/>
                <w:szCs w:val="20"/>
              </w:rPr>
              <w:t>currency transportation</w:t>
            </w:r>
            <w:r w:rsidR="00401A6D">
              <w:rPr>
                <w:sz w:val="20"/>
                <w:szCs w:val="20"/>
              </w:rPr>
              <w:t>.</w:t>
            </w:r>
            <w:r w:rsidR="004163A1">
              <w:rPr>
                <w:sz w:val="20"/>
                <w:szCs w:val="20"/>
              </w:rPr>
              <w:t xml:space="preserve"> (MT)</w:t>
            </w:r>
          </w:p>
        </w:tc>
      </w:tr>
    </w:tbl>
    <w:tbl>
      <w:tblPr>
        <w:tblStyle w:val="TableGrid"/>
        <w:tblW w:w="10260" w:type="dxa"/>
        <w:tblInd w:w="-725" w:type="dxa"/>
        <w:tblLayout w:type="fixed"/>
        <w:tblLook w:val="04A0" w:firstRow="1" w:lastRow="0" w:firstColumn="1" w:lastColumn="0" w:noHBand="0" w:noVBand="1"/>
      </w:tblPr>
      <w:tblGrid>
        <w:gridCol w:w="10260"/>
      </w:tblGrid>
      <w:tr w:rsidR="004163A1" w:rsidRPr="0020131E" w14:paraId="5BC4A02F" w14:textId="77777777" w:rsidTr="00401A6D">
        <w:tc>
          <w:tcPr>
            <w:tcW w:w="10260" w:type="dxa"/>
            <w:shd w:val="clear" w:color="auto" w:fill="D9D9D9" w:themeFill="background1" w:themeFillShade="D9"/>
          </w:tcPr>
          <w:p w14:paraId="56B0E817" w14:textId="77777777" w:rsidR="004163A1" w:rsidRPr="0020131E" w:rsidRDefault="004163A1" w:rsidP="004163A1">
            <w:pPr>
              <w:spacing w:line="264" w:lineRule="auto"/>
              <w:rPr>
                <w:b/>
                <w:sz w:val="22"/>
                <w:szCs w:val="22"/>
              </w:rPr>
            </w:pPr>
            <w:r w:rsidRPr="0020131E">
              <w:rPr>
                <w:b/>
                <w:sz w:val="22"/>
                <w:szCs w:val="22"/>
              </w:rPr>
              <w:t>Broadening markets and services</w:t>
            </w:r>
          </w:p>
        </w:tc>
      </w:tr>
      <w:tr w:rsidR="0020131E" w14:paraId="1D6039D8" w14:textId="77777777" w:rsidTr="004D69AB">
        <w:trPr>
          <w:trHeight w:val="980"/>
        </w:trPr>
        <w:tc>
          <w:tcPr>
            <w:tcW w:w="10260" w:type="dxa"/>
          </w:tcPr>
          <w:p w14:paraId="2141FF25" w14:textId="77777777" w:rsidR="0020131E" w:rsidRPr="0020131E" w:rsidRDefault="0020131E" w:rsidP="008D5E9B">
            <w:pPr>
              <w:rPr>
                <w:b/>
                <w:i/>
                <w:sz w:val="20"/>
                <w:szCs w:val="20"/>
              </w:rPr>
            </w:pPr>
            <w:r w:rsidRPr="0020131E">
              <w:rPr>
                <w:b/>
                <w:i/>
                <w:sz w:val="20"/>
                <w:szCs w:val="20"/>
              </w:rPr>
              <w:t>Developing / deepening capital markets</w:t>
            </w:r>
          </w:p>
          <w:p w14:paraId="41B35105" w14:textId="12F0C552" w:rsidR="0020131E" w:rsidRPr="004D69AB" w:rsidRDefault="0020131E" w:rsidP="008D5E9B">
            <w:pPr>
              <w:rPr>
                <w:i/>
                <w:sz w:val="20"/>
                <w:szCs w:val="20"/>
              </w:rPr>
            </w:pPr>
            <w:r w:rsidRPr="0020131E">
              <w:rPr>
                <w:sz w:val="20"/>
                <w:szCs w:val="20"/>
              </w:rPr>
              <w:t>Support and prom</w:t>
            </w:r>
            <w:r w:rsidR="004E72A8">
              <w:rPr>
                <w:sz w:val="20"/>
                <w:szCs w:val="20"/>
              </w:rPr>
              <w:t>ote BIST overnight repo futures and i</w:t>
            </w:r>
            <w:r w:rsidRPr="0020131E">
              <w:rPr>
                <w:sz w:val="20"/>
                <w:szCs w:val="20"/>
              </w:rPr>
              <w:t>ntroduce an organized call market. (ST)</w:t>
            </w:r>
          </w:p>
          <w:p w14:paraId="1738048F" w14:textId="77777777" w:rsidR="0020131E" w:rsidRPr="0020131E" w:rsidRDefault="0020131E" w:rsidP="008D5E9B">
            <w:pPr>
              <w:rPr>
                <w:sz w:val="20"/>
                <w:szCs w:val="20"/>
              </w:rPr>
            </w:pPr>
            <w:r w:rsidRPr="0020131E">
              <w:rPr>
                <w:sz w:val="20"/>
                <w:szCs w:val="20"/>
              </w:rPr>
              <w:t>Strengthen issuance regulations and disclosure of corporate bonds. (I)</w:t>
            </w:r>
          </w:p>
          <w:p w14:paraId="5B13B053" w14:textId="77777777" w:rsidR="0020131E" w:rsidRDefault="0020131E" w:rsidP="008D5E9B">
            <w:r w:rsidRPr="0020131E">
              <w:rPr>
                <w:sz w:val="20"/>
                <w:szCs w:val="20"/>
              </w:rPr>
              <w:t>Enhance governance standards and launch special segment for firms listed in BIST. (MT)</w:t>
            </w:r>
          </w:p>
        </w:tc>
      </w:tr>
      <w:tr w:rsidR="0020131E" w14:paraId="54B72A53" w14:textId="77777777" w:rsidTr="00401A6D">
        <w:trPr>
          <w:trHeight w:val="800"/>
        </w:trPr>
        <w:tc>
          <w:tcPr>
            <w:tcW w:w="10260" w:type="dxa"/>
          </w:tcPr>
          <w:p w14:paraId="0F97D735" w14:textId="77777777" w:rsidR="0020131E" w:rsidRPr="0020131E" w:rsidRDefault="0020131E" w:rsidP="008D5E9B">
            <w:pPr>
              <w:rPr>
                <w:b/>
                <w:i/>
                <w:sz w:val="20"/>
                <w:szCs w:val="20"/>
              </w:rPr>
            </w:pPr>
            <w:r w:rsidRPr="0020131E">
              <w:rPr>
                <w:b/>
                <w:i/>
                <w:sz w:val="20"/>
                <w:szCs w:val="20"/>
              </w:rPr>
              <w:t>Islamic Finance</w:t>
            </w:r>
          </w:p>
          <w:p w14:paraId="441E2D28" w14:textId="77777777" w:rsidR="0020131E" w:rsidRDefault="0020131E" w:rsidP="008D5E9B">
            <w:r w:rsidRPr="0020131E">
              <w:rPr>
                <w:sz w:val="20"/>
                <w:szCs w:val="20"/>
              </w:rPr>
              <w:t>Enhance regula</w:t>
            </w:r>
            <w:r w:rsidR="00401A6D">
              <w:rPr>
                <w:sz w:val="20"/>
                <w:szCs w:val="20"/>
              </w:rPr>
              <w:t>tory and governance framework; b</w:t>
            </w:r>
            <w:r w:rsidRPr="0020131E">
              <w:rPr>
                <w:sz w:val="20"/>
                <w:szCs w:val="20"/>
              </w:rPr>
              <w:t>uild capacity, financial awareness and literacy. (ST/MT)</w:t>
            </w:r>
          </w:p>
        </w:tc>
      </w:tr>
      <w:tr w:rsidR="0020131E" w:rsidRPr="00F17B15" w14:paraId="6B3BDCBF" w14:textId="77777777" w:rsidTr="00401A6D">
        <w:trPr>
          <w:trHeight w:val="980"/>
        </w:trPr>
        <w:tc>
          <w:tcPr>
            <w:tcW w:w="10260" w:type="dxa"/>
          </w:tcPr>
          <w:p w14:paraId="11DFA758" w14:textId="77777777" w:rsidR="0020131E" w:rsidRPr="0020131E" w:rsidRDefault="0020131E" w:rsidP="008D5E9B">
            <w:pPr>
              <w:rPr>
                <w:b/>
                <w:i/>
                <w:sz w:val="20"/>
                <w:szCs w:val="20"/>
              </w:rPr>
            </w:pPr>
            <w:r w:rsidRPr="0020131E">
              <w:rPr>
                <w:b/>
                <w:i/>
                <w:sz w:val="20"/>
                <w:szCs w:val="20"/>
              </w:rPr>
              <w:t>Promoting Financial Inclusion</w:t>
            </w:r>
          </w:p>
          <w:p w14:paraId="4C2391BE" w14:textId="77777777" w:rsidR="0020131E" w:rsidRPr="0020131E" w:rsidRDefault="0020131E" w:rsidP="008D5E9B">
            <w:pPr>
              <w:rPr>
                <w:sz w:val="20"/>
                <w:szCs w:val="20"/>
              </w:rPr>
            </w:pPr>
            <w:r w:rsidRPr="0020131E">
              <w:rPr>
                <w:sz w:val="20"/>
                <w:szCs w:val="20"/>
              </w:rPr>
              <w:t>Target underserved segments, enhance public/private sector coordination a</w:t>
            </w:r>
            <w:r>
              <w:rPr>
                <w:sz w:val="20"/>
                <w:szCs w:val="20"/>
              </w:rPr>
              <w:t>nd</w:t>
            </w:r>
            <w:r w:rsidRPr="0020131E">
              <w:rPr>
                <w:sz w:val="20"/>
                <w:szCs w:val="20"/>
              </w:rPr>
              <w:t xml:space="preserve"> M&amp;E framework. (ST/MT)</w:t>
            </w:r>
          </w:p>
          <w:p w14:paraId="0B9AF766" w14:textId="77777777" w:rsidR="0020131E" w:rsidRPr="0020131E" w:rsidRDefault="0020131E" w:rsidP="008D5E9B">
            <w:pPr>
              <w:rPr>
                <w:sz w:val="20"/>
                <w:szCs w:val="20"/>
              </w:rPr>
            </w:pPr>
            <w:r w:rsidRPr="0020131E">
              <w:rPr>
                <w:sz w:val="20"/>
                <w:szCs w:val="20"/>
              </w:rPr>
              <w:t>Ensure level playing field between banks and non-banks. (MT)</w:t>
            </w:r>
          </w:p>
          <w:p w14:paraId="5311C192" w14:textId="77777777" w:rsidR="0020131E" w:rsidRPr="0020131E" w:rsidRDefault="0020131E" w:rsidP="008D5E9B">
            <w:pPr>
              <w:rPr>
                <w:sz w:val="20"/>
                <w:szCs w:val="20"/>
              </w:rPr>
            </w:pPr>
            <w:r w:rsidRPr="0020131E">
              <w:rPr>
                <w:sz w:val="20"/>
                <w:szCs w:val="20"/>
              </w:rPr>
              <w:t>Improve oversight of CRS, retail payment services and design of electronic instruments for government payments. (ST/MT)</w:t>
            </w:r>
          </w:p>
        </w:tc>
      </w:tr>
    </w:tbl>
    <w:p w14:paraId="72907C00" w14:textId="77777777" w:rsidR="002C4A68" w:rsidRPr="0074410D" w:rsidRDefault="002C4A68" w:rsidP="00BF07E1">
      <w:pPr>
        <w:spacing w:after="240"/>
        <w:sectPr w:rsidR="002C4A68" w:rsidRPr="0074410D" w:rsidSect="00D44CF2">
          <w:pgSz w:w="12240" w:h="15840" w:code="1"/>
          <w:pgMar w:top="1440" w:right="1440" w:bottom="1440" w:left="1800" w:header="720" w:footer="720" w:gutter="0"/>
          <w:cols w:space="720"/>
          <w:docGrid w:linePitch="360"/>
        </w:sectPr>
      </w:pPr>
    </w:p>
    <w:p w14:paraId="2BF20C81" w14:textId="77777777" w:rsidR="00522C15" w:rsidRPr="0074410D" w:rsidRDefault="00522C15" w:rsidP="00D35C14">
      <w:pPr>
        <w:pStyle w:val="Heading1"/>
        <w:ind w:left="0"/>
      </w:pPr>
      <w:bookmarkStart w:id="108" w:name="_Toc334478768"/>
      <w:bookmarkStart w:id="109" w:name="_Toc334547234"/>
      <w:bookmarkStart w:id="110" w:name="_Toc334547481"/>
      <w:bookmarkStart w:id="111" w:name="_Toc334549596"/>
      <w:bookmarkStart w:id="112" w:name="_Toc334549655"/>
      <w:bookmarkStart w:id="113" w:name="_Toc334549726"/>
      <w:bookmarkStart w:id="114" w:name="_Toc46929534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4410D">
        <w:lastRenderedPageBreak/>
        <w:t xml:space="preserve">Macrofinancial </w:t>
      </w:r>
      <w:bookmarkEnd w:id="108"/>
      <w:bookmarkEnd w:id="109"/>
      <w:bookmarkEnd w:id="110"/>
      <w:bookmarkEnd w:id="111"/>
      <w:bookmarkEnd w:id="112"/>
      <w:bookmarkEnd w:id="113"/>
      <w:r w:rsidR="006B2678" w:rsidRPr="0074410D">
        <w:t>Outlook</w:t>
      </w:r>
      <w:bookmarkEnd w:id="114"/>
    </w:p>
    <w:p w14:paraId="7FD6781E" w14:textId="4DE76CE3" w:rsidR="007D6C5D" w:rsidRPr="00AD37EA" w:rsidRDefault="007D6C5D" w:rsidP="00D35C14">
      <w:pPr>
        <w:pStyle w:val="ParagraphNumbering"/>
        <w:tabs>
          <w:tab w:val="clear" w:pos="1260"/>
        </w:tabs>
        <w:spacing w:line="240" w:lineRule="auto"/>
        <w:ind w:left="0"/>
      </w:pPr>
      <w:bookmarkStart w:id="115" w:name="_Toc334478770"/>
      <w:bookmarkStart w:id="116" w:name="_Toc334547236"/>
      <w:bookmarkStart w:id="117" w:name="_Toc334547483"/>
      <w:bookmarkStart w:id="118" w:name="_Toc334549598"/>
      <w:bookmarkStart w:id="119" w:name="_Toc334549657"/>
      <w:bookmarkStart w:id="120" w:name="_Toc334549728"/>
      <w:r>
        <w:rPr>
          <w:b/>
        </w:rPr>
        <w:t xml:space="preserve">The Turkish economy has slowed down considerably following strong performance in 2015 </w:t>
      </w:r>
      <w:r w:rsidRPr="00AD37EA">
        <w:rPr>
          <w:b/>
        </w:rPr>
        <w:t>(Figure 1)</w:t>
      </w:r>
      <w:r>
        <w:rPr>
          <w:b/>
        </w:rPr>
        <w:t>.</w:t>
      </w:r>
      <w:r w:rsidRPr="00AD37EA">
        <w:rPr>
          <w:b/>
        </w:rPr>
        <w:t xml:space="preserve"> </w:t>
      </w:r>
      <w:r w:rsidRPr="007D6C5D">
        <w:t>Turkey has experienced serious domestic and external shocks which, together with increasing private indebtedness, have contributed to weaker business confidence, lower private investment demand and tourism revenues, and a tightening of credit standards. As a result, economic gro</w:t>
      </w:r>
      <w:r w:rsidR="006666B8">
        <w:t>wth is projected to decline to 2.</w:t>
      </w:r>
      <w:r w:rsidR="00585796">
        <w:t>7</w:t>
      </w:r>
      <w:r w:rsidR="00585796" w:rsidRPr="007D6C5D">
        <w:t xml:space="preserve"> </w:t>
      </w:r>
      <w:r w:rsidRPr="007D6C5D">
        <w:t>percent this year. In the medium-term the economy is expected to recover gradually.</w:t>
      </w:r>
    </w:p>
    <w:p w14:paraId="61CB0D22" w14:textId="2B5CA7E2" w:rsidR="007D6C5D" w:rsidRPr="00AD37EA" w:rsidRDefault="007D6C5D" w:rsidP="00D35C14">
      <w:pPr>
        <w:pStyle w:val="ParagraphNumbering"/>
        <w:tabs>
          <w:tab w:val="clear" w:pos="1260"/>
        </w:tabs>
        <w:spacing w:line="240" w:lineRule="auto"/>
        <w:ind w:left="0"/>
      </w:pPr>
      <w:r>
        <w:rPr>
          <w:b/>
        </w:rPr>
        <w:t>External vulnerabilities remain elevated.</w:t>
      </w:r>
      <w:r w:rsidRPr="00AD37EA">
        <w:rPr>
          <w:b/>
        </w:rPr>
        <w:t xml:space="preserve"> </w:t>
      </w:r>
      <w:r w:rsidRPr="007D6C5D">
        <w:t xml:space="preserve">Notwithstanding a favorable external financing requirement in 2016, external imbalances remain significant, reflecting the persistent wedge between private domestic demand and structurally low savings. </w:t>
      </w:r>
      <w:r w:rsidRPr="00AD37EA">
        <w:t xml:space="preserve">The economy’s external position is weaker than the level consistent with medium-term fundamentals. The current account deficit </w:t>
      </w:r>
      <w:r w:rsidR="006666B8">
        <w:t>is projected to deteriorate to 4.</w:t>
      </w:r>
      <w:r w:rsidR="00E94251">
        <w:t>5</w:t>
      </w:r>
      <w:r w:rsidR="00E94251" w:rsidRPr="00AD37EA">
        <w:t xml:space="preserve"> </w:t>
      </w:r>
      <w:r w:rsidRPr="00AD37EA">
        <w:t xml:space="preserve">percent of GDP in 2016, and, </w:t>
      </w:r>
      <w:r w:rsidR="006666B8">
        <w:t xml:space="preserve">at </w:t>
      </w:r>
      <w:r w:rsidR="00E94251">
        <w:t>60</w:t>
      </w:r>
      <w:r w:rsidR="00E94251" w:rsidRPr="00AD37EA">
        <w:t xml:space="preserve"> </w:t>
      </w:r>
      <w:r w:rsidRPr="00AD37EA">
        <w:t xml:space="preserve">percent of GDP, the external debt burden is high, with gross annual financing needs over one quarter of GDP. </w:t>
      </w:r>
      <w:r w:rsidRPr="007D6C5D">
        <w:t>Foreign exchange (FX) reserves are low compared to external debt and the foreign currency refinancing needs of banks and non-financial corporates. Gross international reserves (GIR) are below the IMF ARA metric.</w:t>
      </w:r>
    </w:p>
    <w:p w14:paraId="45C3C378" w14:textId="71A91F68" w:rsidR="007D6C5D" w:rsidRPr="00AD37EA" w:rsidRDefault="007D6C5D" w:rsidP="00D35C14">
      <w:pPr>
        <w:pStyle w:val="ParagraphNumbering"/>
        <w:tabs>
          <w:tab w:val="clear" w:pos="1260"/>
        </w:tabs>
        <w:spacing w:line="240" w:lineRule="auto"/>
        <w:ind w:left="0"/>
        <w:rPr>
          <w:sz w:val="23"/>
        </w:rPr>
      </w:pPr>
      <w:r>
        <w:rPr>
          <w:b/>
        </w:rPr>
        <w:t>Risks to the outlook are tilted to the downside.</w:t>
      </w:r>
      <w:r>
        <w:t xml:space="preserve"> On the upside, the fiscal position is strong, and the recent agreements to </w:t>
      </w:r>
      <w:r w:rsidR="00666E81">
        <w:t xml:space="preserve">open new </w:t>
      </w:r>
      <w:r>
        <w:t xml:space="preserve">EU accession chapters could </w:t>
      </w:r>
      <w:r w:rsidR="00666E81">
        <w:t>be supportive</w:t>
      </w:r>
      <w:r>
        <w:t xml:space="preserve"> for reforms. Downside risks relate to the large annual external financing need, against the backdrop of low net international reserves. The growth outlook in key export markets remains tepid, and the lowering of the sovereign credit rating below investment grade implies potentially greater adverse impact on Turkey of shocks in global funding markets. These factors increase the risk of a large and protracted capital flow reversal given weaknesses in banks’ and NFCs’ balance-sheets in an environment of heightened global and regional uncertainties.</w:t>
      </w:r>
      <w:r w:rsidRPr="00F828AD">
        <w:rPr>
          <w:b/>
          <w:sz w:val="23"/>
        </w:rPr>
        <w:t xml:space="preserve"> </w:t>
      </w:r>
    </w:p>
    <w:p w14:paraId="22B65D42" w14:textId="77777777" w:rsidR="00F828AD" w:rsidRPr="00A85811" w:rsidRDefault="00F828AD" w:rsidP="00A85811">
      <w:pPr>
        <w:pStyle w:val="ParagraphNumbering"/>
        <w:rPr>
          <w:sz w:val="23"/>
        </w:rPr>
        <w:sectPr w:rsidR="00F828AD" w:rsidRPr="00A85811">
          <w:pgSz w:w="12240" w:h="15840"/>
          <w:pgMar w:top="1440" w:right="1469" w:bottom="1440" w:left="1469" w:header="720" w:footer="720" w:gutter="0"/>
          <w:cols w:space="720"/>
          <w:docGrid w:type="lines" w:linePitch="360"/>
        </w:sectPr>
      </w:pPr>
    </w:p>
    <w:p w14:paraId="49247342" w14:textId="77777777" w:rsidR="00522C15" w:rsidRPr="005C5361" w:rsidRDefault="00DC0887" w:rsidP="00D35C14">
      <w:pPr>
        <w:pStyle w:val="Heading1"/>
        <w:ind w:left="0"/>
      </w:pPr>
      <w:bookmarkStart w:id="121" w:name="_Toc469295347"/>
      <w:bookmarkEnd w:id="115"/>
      <w:bookmarkEnd w:id="116"/>
      <w:bookmarkEnd w:id="117"/>
      <w:bookmarkEnd w:id="118"/>
      <w:bookmarkEnd w:id="119"/>
      <w:bookmarkEnd w:id="120"/>
      <w:r>
        <w:lastRenderedPageBreak/>
        <w:t>Banking and</w:t>
      </w:r>
      <w:r w:rsidR="00DD0496" w:rsidRPr="00DD0496">
        <w:t xml:space="preserve"> Corporate Sector</w:t>
      </w:r>
      <w:r>
        <w:t>s</w:t>
      </w:r>
      <w:r w:rsidR="00DD0496" w:rsidRPr="00DD0496">
        <w:t xml:space="preserve"> and Households Finances</w:t>
      </w:r>
      <w:bookmarkEnd w:id="121"/>
    </w:p>
    <w:p w14:paraId="1666935B" w14:textId="77777777" w:rsidR="00DD0496" w:rsidRPr="00D35C14" w:rsidRDefault="00DD0496" w:rsidP="00D35C14">
      <w:pPr>
        <w:pStyle w:val="ParagraphNumbering"/>
        <w:tabs>
          <w:tab w:val="clear" w:pos="1260"/>
        </w:tabs>
        <w:spacing w:line="240" w:lineRule="auto"/>
        <w:ind w:left="0"/>
      </w:pPr>
      <w:r w:rsidRPr="00D35C14">
        <w:rPr>
          <w:b/>
        </w:rPr>
        <w:t>Banks, at over 90 percent of the financial system by asset ownership, are vital to financial stability in Turkey (Figure 2).</w:t>
      </w:r>
      <w:r w:rsidRPr="00D35C14">
        <w:t xml:space="preserve"> Non-bank financial institutions are small by peer emerging market levels</w:t>
      </w:r>
      <w:r w:rsidR="008743B8" w:rsidRPr="00D35C14">
        <w:t xml:space="preserve"> and c</w:t>
      </w:r>
      <w:r w:rsidRPr="00D35C14">
        <w:t xml:space="preserve">apital market intermediation remains </w:t>
      </w:r>
      <w:r w:rsidR="008743B8" w:rsidRPr="00D35C14">
        <w:t>insignificant.</w:t>
      </w:r>
      <w:r w:rsidRPr="00D35C14">
        <w:t xml:space="preserve"> The financial system </w:t>
      </w:r>
      <w:r w:rsidR="008743B8" w:rsidRPr="00D35C14">
        <w:t>at 118</w:t>
      </w:r>
      <w:r w:rsidRPr="00D35C14">
        <w:t> percent of 2015 GDP by assets</w:t>
      </w:r>
      <w:r w:rsidR="008743B8" w:rsidRPr="00D35C14">
        <w:t>,</w:t>
      </w:r>
      <w:r w:rsidRPr="00D35C14">
        <w:t xml:space="preserve"> has been growing significantly faster than GDP since 2008.</w:t>
      </w:r>
      <w:r w:rsidR="000D11B2" w:rsidRPr="00D35C14">
        <w:t xml:space="preserve"> </w:t>
      </w:r>
      <w:r w:rsidR="008743B8" w:rsidRPr="00D35C14">
        <w:t>The banking system is of average size relative to peer emerging markets but the proportion of credit financed by non-deposit channels is larger (Figure 3, panels A—B). Concentration is not significant and market share is equally distributed among private domestic, foreign-owned, and state-owned banks. Acquisition-based entry by foreign banks in recent years has led to a substantial increase in their asset ownership share (Figure 3; panels C—D).</w:t>
      </w:r>
    </w:p>
    <w:p w14:paraId="782FBE81" w14:textId="47105C85" w:rsidR="00DD0496" w:rsidRPr="005C5361" w:rsidRDefault="00DD0496" w:rsidP="00D35C14">
      <w:pPr>
        <w:pStyle w:val="ParagraphNumbering"/>
        <w:tabs>
          <w:tab w:val="clear" w:pos="1260"/>
        </w:tabs>
        <w:spacing w:line="240" w:lineRule="auto"/>
        <w:ind w:left="0"/>
        <w:rPr>
          <w:sz w:val="23"/>
          <w:szCs w:val="23"/>
        </w:rPr>
      </w:pPr>
      <w:r w:rsidRPr="00DC0887">
        <w:rPr>
          <w:b/>
          <w:sz w:val="23"/>
          <w:szCs w:val="23"/>
        </w:rPr>
        <w:t>The business models of the</w:t>
      </w:r>
      <w:r w:rsidR="008743B8">
        <w:rPr>
          <w:b/>
          <w:sz w:val="23"/>
          <w:szCs w:val="23"/>
        </w:rPr>
        <w:t xml:space="preserve"> 10</w:t>
      </w:r>
      <w:r w:rsidRPr="00DC0887">
        <w:rPr>
          <w:b/>
          <w:sz w:val="23"/>
          <w:szCs w:val="23"/>
        </w:rPr>
        <w:t xml:space="preserve"> largest banks appear to have converged significantly over the last five years</w:t>
      </w:r>
      <w:r w:rsidR="00990C3E">
        <w:rPr>
          <w:b/>
          <w:sz w:val="23"/>
          <w:szCs w:val="23"/>
        </w:rPr>
        <w:t>,</w:t>
      </w:r>
      <w:r w:rsidRPr="00DC0887">
        <w:rPr>
          <w:b/>
          <w:sz w:val="23"/>
          <w:szCs w:val="23"/>
        </w:rPr>
        <w:t xml:space="preserve"> increasing systemic exposure to adverse common shocks</w:t>
      </w:r>
      <w:r w:rsidRPr="005C5361">
        <w:rPr>
          <w:sz w:val="23"/>
          <w:szCs w:val="23"/>
        </w:rPr>
        <w:t xml:space="preserve">. </w:t>
      </w:r>
      <w:r w:rsidR="008743B8" w:rsidRPr="00F828AD">
        <w:rPr>
          <w:sz w:val="23"/>
          <w:szCs w:val="23"/>
        </w:rPr>
        <w:t>On the asset side, banks have substituted away from securities into lending with increasing foreign currency (FX) and non-financial corporate (NFC) exposures (</w:t>
      </w:r>
      <w:r w:rsidR="008743B8" w:rsidRPr="006666B8">
        <w:rPr>
          <w:i/>
          <w:sz w:val="23"/>
          <w:szCs w:val="23"/>
        </w:rPr>
        <w:t>Figure 4; panels A-C</w:t>
      </w:r>
      <w:r w:rsidR="008743B8" w:rsidRPr="00F828AD">
        <w:rPr>
          <w:sz w:val="23"/>
          <w:szCs w:val="23"/>
        </w:rPr>
        <w:t>)</w:t>
      </w:r>
      <w:r w:rsidRPr="00DC0887">
        <w:rPr>
          <w:i/>
          <w:sz w:val="23"/>
          <w:szCs w:val="23"/>
        </w:rPr>
        <w:t>.</w:t>
      </w:r>
      <w:r w:rsidRPr="005C5361">
        <w:rPr>
          <w:sz w:val="23"/>
          <w:szCs w:val="23"/>
        </w:rPr>
        <w:t xml:space="preserve"> </w:t>
      </w:r>
      <w:r w:rsidR="007262F2">
        <w:t xml:space="preserve">Partly in response to </w:t>
      </w:r>
      <w:r w:rsidR="007262F2" w:rsidRPr="00B52391">
        <w:t xml:space="preserve">macroprudential measures, </w:t>
      </w:r>
      <w:r w:rsidR="007262F2">
        <w:t>credit growth has shifted</w:t>
      </w:r>
      <w:r w:rsidR="007262F2" w:rsidRPr="00B52391">
        <w:t xml:space="preserve"> from </w:t>
      </w:r>
      <w:r w:rsidR="007262F2">
        <w:t>retail</w:t>
      </w:r>
      <w:r w:rsidR="007262F2" w:rsidRPr="00B52391">
        <w:t xml:space="preserve"> towards corporate </w:t>
      </w:r>
      <w:r w:rsidR="007262F2">
        <w:t xml:space="preserve">and SMEs </w:t>
      </w:r>
      <w:r w:rsidR="007262F2" w:rsidRPr="00B52391">
        <w:t xml:space="preserve">since </w:t>
      </w:r>
      <w:r w:rsidR="007262F2">
        <w:t xml:space="preserve">2012 and this segment now constitutes over </w:t>
      </w:r>
      <w:r w:rsidR="001F13DA">
        <w:t xml:space="preserve">75 </w:t>
      </w:r>
      <w:r w:rsidR="007262F2">
        <w:t>percent of the loan book.</w:t>
      </w:r>
      <w:r w:rsidR="007262F2" w:rsidRPr="00D809C2">
        <w:rPr>
          <w:rFonts w:cs="Segoe UI"/>
          <w:szCs w:val="21"/>
        </w:rPr>
        <w:t xml:space="preserve"> </w:t>
      </w:r>
      <w:r w:rsidR="007262F2">
        <w:rPr>
          <w:rFonts w:cs="Segoe UI"/>
          <w:szCs w:val="21"/>
        </w:rPr>
        <w:t xml:space="preserve">Lending in FX has risen strongly although </w:t>
      </w:r>
      <w:r w:rsidR="007262F2" w:rsidRPr="00D809C2">
        <w:rPr>
          <w:rFonts w:cs="Segoe UI"/>
          <w:szCs w:val="21"/>
        </w:rPr>
        <w:t>two-third</w:t>
      </w:r>
      <w:r w:rsidR="007262F2">
        <w:rPr>
          <w:rFonts w:cs="Segoe UI"/>
          <w:szCs w:val="21"/>
        </w:rPr>
        <w:t>s</w:t>
      </w:r>
      <w:r w:rsidR="007262F2" w:rsidRPr="00D809C2">
        <w:rPr>
          <w:rFonts w:cs="Segoe UI"/>
          <w:szCs w:val="21"/>
        </w:rPr>
        <w:t xml:space="preserve"> of </w:t>
      </w:r>
      <w:r w:rsidR="007262F2">
        <w:rPr>
          <w:rFonts w:cs="Segoe UI"/>
          <w:szCs w:val="21"/>
        </w:rPr>
        <w:t xml:space="preserve">credit exposures remain </w:t>
      </w:r>
      <w:r w:rsidR="007262F2" w:rsidRPr="00D809C2">
        <w:rPr>
          <w:rFonts w:cs="Segoe UI"/>
          <w:szCs w:val="21"/>
        </w:rPr>
        <w:t xml:space="preserve">in </w:t>
      </w:r>
      <w:r w:rsidR="007262F2">
        <w:rPr>
          <w:rFonts w:cs="Segoe UI"/>
          <w:szCs w:val="21"/>
        </w:rPr>
        <w:t>TL</w:t>
      </w:r>
      <w:r w:rsidRPr="005C5361">
        <w:rPr>
          <w:sz w:val="23"/>
          <w:szCs w:val="23"/>
        </w:rPr>
        <w:t xml:space="preserve">. Most funding is raised at very short maturities and more than half in FX </w:t>
      </w:r>
      <w:r w:rsidRPr="00DC0887">
        <w:rPr>
          <w:i/>
          <w:sz w:val="23"/>
          <w:szCs w:val="23"/>
        </w:rPr>
        <w:t>(Figure 4; panels D-F).</w:t>
      </w:r>
      <w:r w:rsidRPr="005C5361">
        <w:rPr>
          <w:sz w:val="23"/>
          <w:szCs w:val="23"/>
        </w:rPr>
        <w:t xml:space="preserve"> Elevated inflation, exchange rate volatility and the absence of a term premium offered by banks, incentivize holding of savings (households) and reserves (NFCs) at short maturities and in FX.</w:t>
      </w:r>
      <w:r w:rsidR="00AA2309" w:rsidRPr="005C5361">
        <w:rPr>
          <w:sz w:val="23"/>
          <w:szCs w:val="23"/>
        </w:rPr>
        <w:t xml:space="preserve"> </w:t>
      </w:r>
      <w:r w:rsidR="0085140B" w:rsidRPr="00AD37EA">
        <w:rPr>
          <w:sz w:val="23"/>
          <w:szCs w:val="23"/>
        </w:rPr>
        <w:t>Systemic risk measures reveal elevated common vulnerability of banks to adverse shocks during episodes of global market disruption and periods of geopolitical uncertainty</w:t>
      </w:r>
      <w:r w:rsidR="0085140B">
        <w:rPr>
          <w:b/>
          <w:i/>
        </w:rPr>
        <w:t xml:space="preserve"> </w:t>
      </w:r>
      <w:r w:rsidR="0085140B">
        <w:rPr>
          <w:bCs/>
          <w:iCs/>
        </w:rPr>
        <w:t>(</w:t>
      </w:r>
      <w:r w:rsidR="0085140B">
        <w:rPr>
          <w:bCs/>
          <w:i/>
        </w:rPr>
        <w:t>Figure 5</w:t>
      </w:r>
      <w:r w:rsidR="0085140B">
        <w:rPr>
          <w:bCs/>
          <w:iCs/>
        </w:rPr>
        <w:t>).</w:t>
      </w:r>
      <w:r w:rsidR="0085140B" w:rsidRPr="005C5361">
        <w:rPr>
          <w:sz w:val="23"/>
          <w:szCs w:val="23"/>
        </w:rPr>
        <w:t xml:space="preserve"> </w:t>
      </w:r>
      <w:r w:rsidRPr="005C5361">
        <w:rPr>
          <w:sz w:val="23"/>
          <w:szCs w:val="23"/>
        </w:rPr>
        <w:t xml:space="preserve">Large FX positions generated by banks’ funding </w:t>
      </w:r>
      <w:r w:rsidR="00121C5A">
        <w:rPr>
          <w:sz w:val="23"/>
          <w:szCs w:val="23"/>
        </w:rPr>
        <w:t xml:space="preserve">strategy </w:t>
      </w:r>
      <w:r w:rsidRPr="005C5361">
        <w:rPr>
          <w:sz w:val="23"/>
          <w:szCs w:val="23"/>
        </w:rPr>
        <w:t xml:space="preserve">are closed through derivatives transacted with foreign counterparties </w:t>
      </w:r>
      <w:r w:rsidRPr="00DC0887">
        <w:rPr>
          <w:i/>
          <w:sz w:val="23"/>
          <w:szCs w:val="23"/>
        </w:rPr>
        <w:t xml:space="preserve">(Figure </w:t>
      </w:r>
      <w:r w:rsidR="0085140B">
        <w:rPr>
          <w:i/>
          <w:sz w:val="23"/>
          <w:szCs w:val="23"/>
        </w:rPr>
        <w:t>6</w:t>
      </w:r>
      <w:r w:rsidRPr="00DC0887">
        <w:rPr>
          <w:i/>
          <w:sz w:val="23"/>
          <w:szCs w:val="23"/>
        </w:rPr>
        <w:t>; panels A-B).</w:t>
      </w:r>
      <w:r w:rsidRPr="005C5361">
        <w:rPr>
          <w:sz w:val="23"/>
          <w:szCs w:val="23"/>
        </w:rPr>
        <w:t xml:space="preserve"> Liquidity risk management has become more challenging </w:t>
      </w:r>
      <w:r w:rsidRPr="00DC0887">
        <w:rPr>
          <w:i/>
          <w:sz w:val="23"/>
          <w:szCs w:val="23"/>
        </w:rPr>
        <w:t xml:space="preserve">(Figure </w:t>
      </w:r>
      <w:r w:rsidR="0085140B">
        <w:rPr>
          <w:i/>
          <w:sz w:val="23"/>
          <w:szCs w:val="23"/>
        </w:rPr>
        <w:t>6</w:t>
      </w:r>
      <w:r w:rsidRPr="00DC0887">
        <w:rPr>
          <w:i/>
          <w:sz w:val="23"/>
          <w:szCs w:val="23"/>
        </w:rPr>
        <w:t>; panels C-F).</w:t>
      </w:r>
      <w:r w:rsidRPr="005C5361">
        <w:rPr>
          <w:sz w:val="23"/>
          <w:szCs w:val="23"/>
        </w:rPr>
        <w:t xml:space="preserve"> High TL loan </w:t>
      </w:r>
      <w:r w:rsidR="00121C5A">
        <w:rPr>
          <w:sz w:val="23"/>
          <w:szCs w:val="23"/>
        </w:rPr>
        <w:t xml:space="preserve">(term and risk) </w:t>
      </w:r>
      <w:r w:rsidRPr="005C5361">
        <w:rPr>
          <w:sz w:val="23"/>
          <w:szCs w:val="23"/>
        </w:rPr>
        <w:t>premia have incentivized rising maturity transformation and increasing balance-sheet maturity mismatches as banks have moved out of government securities and into private credit.</w:t>
      </w:r>
      <w:r w:rsidR="00AA2309" w:rsidRPr="005C5361">
        <w:rPr>
          <w:sz w:val="23"/>
          <w:szCs w:val="23"/>
        </w:rPr>
        <w:t xml:space="preserve"> </w:t>
      </w:r>
      <w:r w:rsidRPr="005C5361">
        <w:rPr>
          <w:sz w:val="23"/>
          <w:szCs w:val="23"/>
        </w:rPr>
        <w:t xml:space="preserve">Returns have declined significantly over the past five years </w:t>
      </w:r>
      <w:r w:rsidR="00AA2309" w:rsidRPr="005C5361">
        <w:rPr>
          <w:sz w:val="23"/>
          <w:szCs w:val="23"/>
        </w:rPr>
        <w:t>and a</w:t>
      </w:r>
      <w:r w:rsidRPr="005C5361">
        <w:rPr>
          <w:sz w:val="23"/>
          <w:szCs w:val="23"/>
        </w:rPr>
        <w:t xml:space="preserve">sset quality pressures appear to be rising </w:t>
      </w:r>
      <w:r w:rsidRPr="00DC0887">
        <w:rPr>
          <w:i/>
          <w:sz w:val="23"/>
          <w:szCs w:val="23"/>
        </w:rPr>
        <w:t xml:space="preserve">(Figure </w:t>
      </w:r>
      <w:r w:rsidR="0085140B">
        <w:rPr>
          <w:i/>
          <w:sz w:val="23"/>
          <w:szCs w:val="23"/>
        </w:rPr>
        <w:t>7</w:t>
      </w:r>
      <w:r w:rsidRPr="00DC0887">
        <w:rPr>
          <w:i/>
          <w:sz w:val="23"/>
          <w:szCs w:val="23"/>
        </w:rPr>
        <w:t>).</w:t>
      </w:r>
      <w:r w:rsidRPr="005C5361">
        <w:rPr>
          <w:sz w:val="23"/>
          <w:szCs w:val="23"/>
        </w:rPr>
        <w:t xml:space="preserve"> </w:t>
      </w:r>
      <w:r w:rsidR="007E716C">
        <w:rPr>
          <w:sz w:val="23"/>
          <w:szCs w:val="23"/>
        </w:rPr>
        <w:t>R</w:t>
      </w:r>
      <w:r w:rsidR="007E716C">
        <w:rPr>
          <w:bCs/>
        </w:rPr>
        <w:t xml:space="preserve">eported </w:t>
      </w:r>
      <w:r w:rsidR="007E716C" w:rsidRPr="008D113E">
        <w:rPr>
          <w:bCs/>
        </w:rPr>
        <w:t xml:space="preserve">asset quality has held </w:t>
      </w:r>
      <w:r w:rsidR="007E716C">
        <w:rPr>
          <w:bCs/>
        </w:rPr>
        <w:t>steady over this period with NPLs standing at between 2½ and 3 percent of gross lending since end-2011</w:t>
      </w:r>
      <w:r w:rsidR="00AD37EA">
        <w:rPr>
          <w:bCs/>
        </w:rPr>
        <w:t>.</w:t>
      </w:r>
      <w:r w:rsidR="007E716C">
        <w:rPr>
          <w:sz w:val="23"/>
          <w:szCs w:val="23"/>
        </w:rPr>
        <w:t xml:space="preserve"> </w:t>
      </w:r>
      <w:r w:rsidR="007E716C">
        <w:rPr>
          <w:bCs/>
        </w:rPr>
        <w:t xml:space="preserve">Even as </w:t>
      </w:r>
      <w:r w:rsidR="0085140B">
        <w:rPr>
          <w:bCs/>
        </w:rPr>
        <w:t xml:space="preserve">reported </w:t>
      </w:r>
      <w:r w:rsidR="007E716C">
        <w:rPr>
          <w:bCs/>
        </w:rPr>
        <w:t xml:space="preserve">NPLs </w:t>
      </w:r>
      <w:r w:rsidR="0085140B">
        <w:rPr>
          <w:bCs/>
        </w:rPr>
        <w:t>remained low,</w:t>
      </w:r>
      <w:r w:rsidR="007E716C">
        <w:rPr>
          <w:bCs/>
        </w:rPr>
        <w:t xml:space="preserve"> there has been a sharp increase in restructured credits held by banks, from around one percent to 3 percent of gross loans between 2011 and 2015</w:t>
      </w:r>
      <w:r w:rsidR="0085140B">
        <w:rPr>
          <w:bCs/>
        </w:rPr>
        <w:t>,</w:t>
      </w:r>
      <w:r w:rsidR="007E716C">
        <w:rPr>
          <w:bCs/>
        </w:rPr>
        <w:t xml:space="preserve"> giving cause for concern</w:t>
      </w:r>
      <w:r w:rsidR="00F828AD">
        <w:rPr>
          <w:bCs/>
        </w:rPr>
        <w:t>.</w:t>
      </w:r>
    </w:p>
    <w:p w14:paraId="5AAC60C2" w14:textId="00E7F91C" w:rsidR="000D11B2" w:rsidRPr="005C5361" w:rsidRDefault="00DD0496" w:rsidP="00D35C14">
      <w:pPr>
        <w:pStyle w:val="ParagraphNumbering"/>
        <w:tabs>
          <w:tab w:val="clear" w:pos="1260"/>
        </w:tabs>
        <w:spacing w:line="240" w:lineRule="auto"/>
        <w:ind w:left="0"/>
        <w:rPr>
          <w:sz w:val="23"/>
          <w:szCs w:val="23"/>
        </w:rPr>
      </w:pPr>
      <w:r w:rsidRPr="00DC0887">
        <w:rPr>
          <w:b/>
          <w:sz w:val="23"/>
          <w:szCs w:val="23"/>
        </w:rPr>
        <w:t xml:space="preserve">Banks’ </w:t>
      </w:r>
      <w:r w:rsidR="00371C15">
        <w:rPr>
          <w:b/>
          <w:sz w:val="23"/>
          <w:szCs w:val="23"/>
        </w:rPr>
        <w:t>capital</w:t>
      </w:r>
      <w:r w:rsidRPr="00DC0887">
        <w:rPr>
          <w:b/>
          <w:sz w:val="23"/>
          <w:szCs w:val="23"/>
        </w:rPr>
        <w:t xml:space="preserve"> buffers remain high but have been falling </w:t>
      </w:r>
      <w:r w:rsidR="007E716C">
        <w:rPr>
          <w:b/>
          <w:bCs/>
        </w:rPr>
        <w:t>over the medium term</w:t>
      </w:r>
      <w:r w:rsidRPr="005C5361">
        <w:rPr>
          <w:sz w:val="23"/>
          <w:szCs w:val="23"/>
        </w:rPr>
        <w:t xml:space="preserve"> </w:t>
      </w:r>
      <w:r w:rsidRPr="00DC0887">
        <w:rPr>
          <w:b/>
          <w:sz w:val="23"/>
          <w:szCs w:val="23"/>
        </w:rPr>
        <w:t xml:space="preserve">(Figure </w:t>
      </w:r>
      <w:r w:rsidR="00371C15">
        <w:rPr>
          <w:b/>
          <w:sz w:val="23"/>
          <w:szCs w:val="23"/>
        </w:rPr>
        <w:t>7</w:t>
      </w:r>
      <w:r w:rsidRPr="00DC0887">
        <w:rPr>
          <w:b/>
          <w:sz w:val="23"/>
          <w:szCs w:val="23"/>
        </w:rPr>
        <w:t>C).</w:t>
      </w:r>
      <w:r w:rsidRPr="005C5361">
        <w:rPr>
          <w:sz w:val="23"/>
          <w:szCs w:val="23"/>
        </w:rPr>
        <w:t xml:space="preserve"> In part, this reflects falling returns and in part, the rapid balance-sheet expansion towards riskier loans and away from sovereign securities. Rising asset quality challenges represent, </w:t>
      </w:r>
      <w:r w:rsidRPr="005C5361">
        <w:rPr>
          <w:sz w:val="23"/>
          <w:szCs w:val="23"/>
        </w:rPr>
        <w:lastRenderedPageBreak/>
        <w:t>therefore, a material risk factor given that estimated cost of equity demanded by investors is higher than bank returns, implying that it could be challenging for banks to raise capital if required.</w:t>
      </w:r>
    </w:p>
    <w:p w14:paraId="2208E319" w14:textId="5783D34C" w:rsidR="000D11B2" w:rsidRPr="005C5361" w:rsidRDefault="000D11B2" w:rsidP="00D35C14">
      <w:pPr>
        <w:pStyle w:val="ParagraphNumbering"/>
        <w:tabs>
          <w:tab w:val="clear" w:pos="1260"/>
        </w:tabs>
        <w:spacing w:line="240" w:lineRule="auto"/>
        <w:ind w:left="0"/>
        <w:rPr>
          <w:sz w:val="23"/>
          <w:szCs w:val="23"/>
        </w:rPr>
      </w:pPr>
      <w:r w:rsidRPr="00DC0887">
        <w:rPr>
          <w:b/>
          <w:sz w:val="23"/>
          <w:szCs w:val="23"/>
        </w:rPr>
        <w:t>The NFC sector is a key financial counterparty of Turkish banks</w:t>
      </w:r>
      <w:r w:rsidRPr="005C5361">
        <w:rPr>
          <w:sz w:val="23"/>
          <w:szCs w:val="23"/>
        </w:rPr>
        <w:t xml:space="preserve">. NFC liabilities have grown sharply since the global financial crisis from 30 percent of GDP in 2007 to over 60 percent in 2015 with a significant portion of borrowing being in </w:t>
      </w:r>
      <w:r w:rsidR="007E716C">
        <w:rPr>
          <w:sz w:val="23"/>
          <w:szCs w:val="23"/>
        </w:rPr>
        <w:t>FX</w:t>
      </w:r>
      <w:r w:rsidRPr="005C5361">
        <w:rPr>
          <w:sz w:val="23"/>
          <w:szCs w:val="23"/>
        </w:rPr>
        <w:t xml:space="preserve"> (45 percent of financial debt). The lion’s share of financial debt, at </w:t>
      </w:r>
      <w:r w:rsidR="00C3601F">
        <w:rPr>
          <w:sz w:val="23"/>
          <w:szCs w:val="23"/>
        </w:rPr>
        <w:t>about</w:t>
      </w:r>
      <w:r w:rsidR="00C3601F" w:rsidRPr="005C5361">
        <w:rPr>
          <w:sz w:val="23"/>
          <w:szCs w:val="23"/>
        </w:rPr>
        <w:t xml:space="preserve"> </w:t>
      </w:r>
      <w:r w:rsidR="00C3601F">
        <w:rPr>
          <w:sz w:val="23"/>
          <w:szCs w:val="23"/>
        </w:rPr>
        <w:t>83</w:t>
      </w:r>
      <w:r w:rsidR="00C3601F" w:rsidRPr="005C5361">
        <w:rPr>
          <w:sz w:val="23"/>
          <w:szCs w:val="23"/>
        </w:rPr>
        <w:t xml:space="preserve"> </w:t>
      </w:r>
      <w:r w:rsidRPr="005C5361">
        <w:rPr>
          <w:sz w:val="23"/>
          <w:szCs w:val="23"/>
        </w:rPr>
        <w:t>percent, is from Turkish banks. NFC FX assets, while substantial, are significantly lower than FX liabilities, covering less than 40 percent of FX liabilities. NFCs run a negative net FX position of $188 billion</w:t>
      </w:r>
      <w:r w:rsidR="00371C15">
        <w:rPr>
          <w:sz w:val="23"/>
          <w:szCs w:val="23"/>
        </w:rPr>
        <w:t xml:space="preserve"> as of March 2016,</w:t>
      </w:r>
      <w:r w:rsidRPr="005C5361">
        <w:rPr>
          <w:sz w:val="23"/>
          <w:szCs w:val="23"/>
        </w:rPr>
        <w:t xml:space="preserve"> although their short-term FX position is closed.</w:t>
      </w:r>
    </w:p>
    <w:p w14:paraId="49FCE9C8" w14:textId="5BCAA936" w:rsidR="000D11B2" w:rsidRPr="005C5361" w:rsidRDefault="000D11B2" w:rsidP="00D35C14">
      <w:pPr>
        <w:pStyle w:val="ParagraphNumbering"/>
        <w:tabs>
          <w:tab w:val="clear" w:pos="1260"/>
        </w:tabs>
        <w:spacing w:line="240" w:lineRule="auto"/>
        <w:ind w:left="0"/>
        <w:rPr>
          <w:sz w:val="23"/>
          <w:szCs w:val="23"/>
        </w:rPr>
      </w:pPr>
      <w:r w:rsidRPr="00DC0887">
        <w:rPr>
          <w:b/>
          <w:sz w:val="23"/>
          <w:szCs w:val="23"/>
        </w:rPr>
        <w:t>The NFC sector faces a number of challenges</w:t>
      </w:r>
      <w:r w:rsidR="007E716C">
        <w:rPr>
          <w:b/>
          <w:sz w:val="23"/>
          <w:szCs w:val="23"/>
        </w:rPr>
        <w:t xml:space="preserve">, </w:t>
      </w:r>
      <w:r w:rsidR="007E716C">
        <w:rPr>
          <w:b/>
        </w:rPr>
        <w:t>most significantly, the runaway growth in leverage, particularly in FX, the corresponding boost in interest expenses, falling earnings and a</w:t>
      </w:r>
      <w:r w:rsidR="00371C15">
        <w:rPr>
          <w:b/>
        </w:rPr>
        <w:t>n unsettled</w:t>
      </w:r>
      <w:r w:rsidR="007E716C">
        <w:rPr>
          <w:b/>
        </w:rPr>
        <w:t xml:space="preserve"> outlook</w:t>
      </w:r>
      <w:r w:rsidRPr="00DC0887">
        <w:rPr>
          <w:b/>
          <w:sz w:val="23"/>
          <w:szCs w:val="23"/>
        </w:rPr>
        <w:t xml:space="preserve"> (Figure </w:t>
      </w:r>
      <w:r w:rsidR="00371C15">
        <w:rPr>
          <w:b/>
          <w:sz w:val="23"/>
          <w:szCs w:val="23"/>
        </w:rPr>
        <w:t>8)</w:t>
      </w:r>
      <w:r w:rsidRPr="005C5361">
        <w:rPr>
          <w:sz w:val="23"/>
          <w:szCs w:val="23"/>
        </w:rPr>
        <w:t xml:space="preserve">. </w:t>
      </w:r>
      <w:r w:rsidR="00746DF0">
        <w:t xml:space="preserve">On the expense side, higher leverage and interest burdens have </w:t>
      </w:r>
      <w:r w:rsidR="00746DF0" w:rsidRPr="00CA3191">
        <w:t xml:space="preserve">left firms more </w:t>
      </w:r>
      <w:r w:rsidR="00746DF0">
        <w:t xml:space="preserve">vulnerable </w:t>
      </w:r>
      <w:r w:rsidR="00746DF0" w:rsidRPr="00CA3191">
        <w:t>to funding and FX shocks</w:t>
      </w:r>
      <w:r w:rsidR="00746DF0">
        <w:t xml:space="preserve">. On the earnings front, </w:t>
      </w:r>
      <w:r w:rsidR="00746DF0" w:rsidRPr="00D55093">
        <w:t>TL</w:t>
      </w:r>
      <w:r w:rsidR="00746DF0">
        <w:t xml:space="preserve"> depreciation has failed to lift e</w:t>
      </w:r>
      <w:r w:rsidR="00746DF0" w:rsidRPr="00711F53">
        <w:t>xporters</w:t>
      </w:r>
      <w:r w:rsidR="00746DF0">
        <w:t>’ revenues due to w</w:t>
      </w:r>
      <w:r w:rsidR="00746DF0" w:rsidRPr="00711F53">
        <w:t>eak extern</w:t>
      </w:r>
      <w:r w:rsidR="00746DF0">
        <w:t>al demand. Diverging interest rates between the U.S. and Europe has squeezed profits further (given that exporters tend to earn in euros and service debt in U.S. dollars).</w:t>
      </w:r>
      <w:r w:rsidR="0030623E">
        <w:t xml:space="preserve"> </w:t>
      </w:r>
      <w:r w:rsidRPr="005C5361">
        <w:rPr>
          <w:sz w:val="23"/>
          <w:szCs w:val="23"/>
        </w:rPr>
        <w:t>These challenges extend to (unlisted) SMEs. Leverage has risen sharply since 2009 including in FX while the SME sector’s profitability has steadily deteriorated since 2011</w:t>
      </w:r>
      <w:r w:rsidR="005F79C2">
        <w:rPr>
          <w:sz w:val="23"/>
          <w:szCs w:val="23"/>
        </w:rPr>
        <w:t>,</w:t>
      </w:r>
      <w:r w:rsidRPr="005C5361">
        <w:rPr>
          <w:sz w:val="23"/>
          <w:szCs w:val="23"/>
        </w:rPr>
        <w:t xml:space="preserve"> diminishing resilience to shocks. Bankruptcies have been rising, the current market view of credit quality is dim</w:t>
      </w:r>
      <w:r w:rsidR="005F79C2">
        <w:rPr>
          <w:sz w:val="23"/>
          <w:szCs w:val="23"/>
        </w:rPr>
        <w:t>,</w:t>
      </w:r>
      <w:r w:rsidRPr="005C5361">
        <w:rPr>
          <w:sz w:val="23"/>
          <w:szCs w:val="23"/>
        </w:rPr>
        <w:t xml:space="preserve"> and the knock-on impact of NFC distress on banks is likely to be significant. </w:t>
      </w:r>
    </w:p>
    <w:p w14:paraId="06A1843D" w14:textId="4C1D142A" w:rsidR="000D11B2" w:rsidRPr="005C5361" w:rsidRDefault="000D11B2" w:rsidP="00D35C14">
      <w:pPr>
        <w:pStyle w:val="ParagraphNumbering"/>
        <w:tabs>
          <w:tab w:val="clear" w:pos="1260"/>
        </w:tabs>
        <w:spacing w:line="240" w:lineRule="auto"/>
        <w:ind w:left="0"/>
        <w:rPr>
          <w:sz w:val="23"/>
          <w:szCs w:val="23"/>
        </w:rPr>
      </w:pPr>
      <w:r w:rsidRPr="00DC0887">
        <w:rPr>
          <w:b/>
          <w:sz w:val="23"/>
          <w:szCs w:val="23"/>
        </w:rPr>
        <w:t>Household credit remains an important component of bank lending, although there are restrictions preventing lending to households in FX</w:t>
      </w:r>
      <w:r w:rsidRPr="005C5361">
        <w:rPr>
          <w:sz w:val="23"/>
          <w:szCs w:val="23"/>
        </w:rPr>
        <w:t xml:space="preserve">. While analysis indicates that there is some degree of exuberance in the housing market, there is no evidence of a household debt overhang (given that household debt-to-GDP and financial net worth have held steady). Yet, debt-to-disposable income was rising until recently and loan losses on retail (mainly credit card) loans </w:t>
      </w:r>
      <w:r w:rsidR="00BB0AAB">
        <w:rPr>
          <w:sz w:val="23"/>
          <w:szCs w:val="23"/>
        </w:rPr>
        <w:t>were</w:t>
      </w:r>
      <w:r w:rsidRPr="005C5361">
        <w:rPr>
          <w:sz w:val="23"/>
          <w:szCs w:val="23"/>
        </w:rPr>
        <w:t xml:space="preserve"> higher by over 40 percent in 2015 relative to 2011. In this context, the authorities’ </w:t>
      </w:r>
      <w:r w:rsidR="00746DF0">
        <w:rPr>
          <w:sz w:val="23"/>
          <w:szCs w:val="23"/>
        </w:rPr>
        <w:t xml:space="preserve">recent </w:t>
      </w:r>
      <w:r w:rsidRPr="005C5361">
        <w:rPr>
          <w:sz w:val="23"/>
          <w:szCs w:val="23"/>
        </w:rPr>
        <w:t>decision</w:t>
      </w:r>
      <w:r w:rsidR="00746DF0">
        <w:rPr>
          <w:sz w:val="23"/>
          <w:szCs w:val="23"/>
        </w:rPr>
        <w:t>s</w:t>
      </w:r>
      <w:r w:rsidRPr="005C5361">
        <w:rPr>
          <w:sz w:val="23"/>
          <w:szCs w:val="23"/>
        </w:rPr>
        <w:t xml:space="preserve"> </w:t>
      </w:r>
      <w:r w:rsidR="00746DF0">
        <w:rPr>
          <w:sz w:val="23"/>
          <w:szCs w:val="23"/>
        </w:rPr>
        <w:t xml:space="preserve">to ease macroprudential policies on household lending </w:t>
      </w:r>
      <w:r w:rsidRPr="005C5361">
        <w:rPr>
          <w:sz w:val="23"/>
          <w:szCs w:val="23"/>
        </w:rPr>
        <w:t>to support</w:t>
      </w:r>
      <w:r w:rsidR="00746DF0">
        <w:rPr>
          <w:sz w:val="23"/>
          <w:szCs w:val="23"/>
        </w:rPr>
        <w:t xml:space="preserve"> demand comes at a time whe</w:t>
      </w:r>
      <w:r w:rsidR="00BB0AAB">
        <w:rPr>
          <w:sz w:val="23"/>
          <w:szCs w:val="23"/>
        </w:rPr>
        <w:t>n</w:t>
      </w:r>
      <w:r w:rsidR="00746DF0">
        <w:rPr>
          <w:sz w:val="23"/>
          <w:szCs w:val="23"/>
        </w:rPr>
        <w:t xml:space="preserve"> risks to financial stability are elevated</w:t>
      </w:r>
      <w:r w:rsidR="00AA2309" w:rsidRPr="005C5361">
        <w:rPr>
          <w:sz w:val="23"/>
          <w:szCs w:val="23"/>
        </w:rPr>
        <w:t>.</w:t>
      </w:r>
    </w:p>
    <w:p w14:paraId="570AB9DA" w14:textId="77777777" w:rsidR="00D35C14" w:rsidRDefault="00D35C14">
      <w:pPr>
        <w:rPr>
          <w:rFonts w:cs="Arial"/>
          <w:b/>
          <w:bCs/>
          <w:smallCaps/>
          <w:kern w:val="28"/>
          <w:szCs w:val="32"/>
        </w:rPr>
      </w:pPr>
      <w:r>
        <w:br w:type="page"/>
      </w:r>
    </w:p>
    <w:p w14:paraId="7D5ABED2" w14:textId="61E2DB7A" w:rsidR="00AA2309" w:rsidRPr="005C5361" w:rsidRDefault="00AA2309" w:rsidP="00D35C14">
      <w:pPr>
        <w:pStyle w:val="Heading1"/>
        <w:ind w:left="0"/>
      </w:pPr>
      <w:bookmarkStart w:id="122" w:name="_Toc469295348"/>
      <w:r>
        <w:lastRenderedPageBreak/>
        <w:t>Vulnerabilities</w:t>
      </w:r>
      <w:bookmarkEnd w:id="122"/>
    </w:p>
    <w:p w14:paraId="1D577401" w14:textId="77777777" w:rsidR="00AA2309" w:rsidRPr="005C5361" w:rsidRDefault="00202B8C" w:rsidP="00D35C14">
      <w:pPr>
        <w:pStyle w:val="ParagraphNumbering"/>
        <w:tabs>
          <w:tab w:val="clear" w:pos="1260"/>
        </w:tabs>
        <w:spacing w:line="240" w:lineRule="auto"/>
        <w:ind w:left="0"/>
        <w:rPr>
          <w:sz w:val="23"/>
          <w:szCs w:val="23"/>
        </w:rPr>
      </w:pPr>
      <w:r w:rsidRPr="00EC48B9">
        <w:rPr>
          <w:b/>
          <w:sz w:val="23"/>
          <w:szCs w:val="23"/>
        </w:rPr>
        <w:t>Structural and cyclical factors combine to increase the vulnerability of the Turkish financial system to common adverse shocks</w:t>
      </w:r>
      <w:r w:rsidR="00AA2309" w:rsidRPr="005C5361">
        <w:rPr>
          <w:sz w:val="23"/>
          <w:szCs w:val="23"/>
        </w:rPr>
        <w:t>. Structural factors include the high proportion of wealth and debt held in foreign currency and at short maturities, the dependence on cross-border financing, and the convergence in major banks’ business models. Cyclical factors include growing corporate leverage, an apparently weak underbelly of mid-sized companies below the largest firms, rising corporate-bank and (contingent) corporate-sovereign exposures, and deterioration in banks’ asset quality at a time when returns are below the cost of equity.</w:t>
      </w:r>
    </w:p>
    <w:p w14:paraId="3F0A0BA0" w14:textId="6E4EB374" w:rsidR="00583C5E" w:rsidRDefault="00AA2309" w:rsidP="00D35C14">
      <w:pPr>
        <w:pStyle w:val="ParagraphNumbering"/>
        <w:tabs>
          <w:tab w:val="clear" w:pos="1260"/>
        </w:tabs>
        <w:spacing w:line="240" w:lineRule="auto"/>
        <w:ind w:left="0"/>
        <w:rPr>
          <w:bCs/>
        </w:rPr>
      </w:pPr>
      <w:r w:rsidRPr="00DC0887">
        <w:rPr>
          <w:b/>
          <w:sz w:val="23"/>
          <w:szCs w:val="23"/>
        </w:rPr>
        <w:t xml:space="preserve">Stress tests show that large existing </w:t>
      </w:r>
      <w:r w:rsidR="00BB0AAB">
        <w:rPr>
          <w:b/>
          <w:sz w:val="23"/>
          <w:szCs w:val="23"/>
        </w:rPr>
        <w:t>capital</w:t>
      </w:r>
      <w:r w:rsidRPr="00DC0887">
        <w:rPr>
          <w:b/>
          <w:sz w:val="23"/>
          <w:szCs w:val="23"/>
        </w:rPr>
        <w:t xml:space="preserve"> buffers appear to render banks resilient in the face of a severe, adverse economic shock, provided it is of sufficiently short duration</w:t>
      </w:r>
      <w:r w:rsidRPr="005C5361">
        <w:rPr>
          <w:sz w:val="23"/>
          <w:szCs w:val="23"/>
        </w:rPr>
        <w:t xml:space="preserve">. </w:t>
      </w:r>
      <w:r w:rsidR="00202B8C">
        <w:rPr>
          <w:sz w:val="23"/>
          <w:szCs w:val="23"/>
        </w:rPr>
        <w:t>But a p</w:t>
      </w:r>
      <w:r w:rsidRPr="005C5361">
        <w:rPr>
          <w:sz w:val="23"/>
          <w:szCs w:val="23"/>
        </w:rPr>
        <w:t>rotracted recession would generate large capital shortfalls</w:t>
      </w:r>
      <w:r w:rsidR="00202B8C">
        <w:rPr>
          <w:sz w:val="23"/>
          <w:szCs w:val="23"/>
        </w:rPr>
        <w:t>.</w:t>
      </w:r>
      <w:r w:rsidRPr="005C5361">
        <w:rPr>
          <w:sz w:val="23"/>
          <w:szCs w:val="23"/>
        </w:rPr>
        <w:t xml:space="preserve"> Under </w:t>
      </w:r>
      <w:r w:rsidR="00EC772B">
        <w:rPr>
          <w:sz w:val="23"/>
          <w:szCs w:val="23"/>
        </w:rPr>
        <w:t xml:space="preserve">these </w:t>
      </w:r>
      <w:r w:rsidRPr="005C5361">
        <w:rPr>
          <w:sz w:val="23"/>
          <w:szCs w:val="23"/>
        </w:rPr>
        <w:t>stress scenarios</w:t>
      </w:r>
      <w:r w:rsidRPr="00EC48B9">
        <w:rPr>
          <w:sz w:val="23"/>
          <w:szCs w:val="23"/>
          <w:vertAlign w:val="superscript"/>
        </w:rPr>
        <w:footnoteReference w:id="4"/>
      </w:r>
      <w:r w:rsidRPr="005C5361">
        <w:rPr>
          <w:sz w:val="23"/>
          <w:szCs w:val="23"/>
        </w:rPr>
        <w:t>, liquidity risks may add significantly to pressure on solvency</w:t>
      </w:r>
      <w:r w:rsidR="00884DB1">
        <w:rPr>
          <w:sz w:val="23"/>
          <w:szCs w:val="23"/>
        </w:rPr>
        <w:t>, which would</w:t>
      </w:r>
      <w:r w:rsidRPr="005C5361">
        <w:rPr>
          <w:sz w:val="23"/>
          <w:szCs w:val="23"/>
        </w:rPr>
        <w:t xml:space="preserve"> push up capital needs</w:t>
      </w:r>
      <w:r w:rsidR="00EC772B">
        <w:rPr>
          <w:sz w:val="23"/>
          <w:szCs w:val="23"/>
        </w:rPr>
        <w:t xml:space="preserve"> even further</w:t>
      </w:r>
      <w:r w:rsidRPr="005C5361">
        <w:rPr>
          <w:sz w:val="23"/>
          <w:szCs w:val="23"/>
        </w:rPr>
        <w:t xml:space="preserve">. </w:t>
      </w:r>
      <w:r w:rsidR="00884DB1">
        <w:rPr>
          <w:sz w:val="23"/>
          <w:szCs w:val="23"/>
        </w:rPr>
        <w:t>Under the stress scenarios, m</w:t>
      </w:r>
      <w:r w:rsidRPr="005C5361">
        <w:rPr>
          <w:sz w:val="23"/>
          <w:szCs w:val="23"/>
        </w:rPr>
        <w:t xml:space="preserve">id-to-large sized </w:t>
      </w:r>
      <w:r w:rsidR="00EC772B">
        <w:rPr>
          <w:sz w:val="23"/>
          <w:szCs w:val="23"/>
        </w:rPr>
        <w:t>NFCs</w:t>
      </w:r>
      <w:r w:rsidRPr="005C5361">
        <w:rPr>
          <w:sz w:val="23"/>
          <w:szCs w:val="23"/>
        </w:rPr>
        <w:t xml:space="preserve"> face significant difficulties in servicing their debt burdens because of higher interest </w:t>
      </w:r>
      <w:r w:rsidR="00884DB1">
        <w:rPr>
          <w:sz w:val="23"/>
          <w:szCs w:val="23"/>
        </w:rPr>
        <w:t>expenses</w:t>
      </w:r>
      <w:r w:rsidRPr="005C5361">
        <w:rPr>
          <w:sz w:val="23"/>
          <w:szCs w:val="23"/>
        </w:rPr>
        <w:t xml:space="preserve"> implied by rising cost of funds and TL depreciation and </w:t>
      </w:r>
      <w:r w:rsidR="00EC772B">
        <w:rPr>
          <w:sz w:val="23"/>
          <w:szCs w:val="23"/>
        </w:rPr>
        <w:t xml:space="preserve">a </w:t>
      </w:r>
      <w:r w:rsidRPr="005C5361">
        <w:rPr>
          <w:sz w:val="23"/>
          <w:szCs w:val="23"/>
        </w:rPr>
        <w:t>recession induced decrease in earnings</w:t>
      </w:r>
      <w:r w:rsidR="00884DB1">
        <w:rPr>
          <w:sz w:val="23"/>
          <w:szCs w:val="23"/>
        </w:rPr>
        <w:t>.</w:t>
      </w:r>
      <w:r w:rsidR="008843D5">
        <w:rPr>
          <w:rStyle w:val="FootnoteReference"/>
          <w:szCs w:val="23"/>
        </w:rPr>
        <w:footnoteReference w:id="5"/>
      </w:r>
      <w:r w:rsidRPr="005C5361">
        <w:rPr>
          <w:sz w:val="23"/>
          <w:szCs w:val="23"/>
        </w:rPr>
        <w:t xml:space="preserve"> </w:t>
      </w:r>
    </w:p>
    <w:p w14:paraId="7F6CDAFA" w14:textId="187E6D0E" w:rsidR="00AA2309" w:rsidRPr="00D35C14" w:rsidRDefault="00AA2309" w:rsidP="00D35C14">
      <w:pPr>
        <w:pStyle w:val="Heading1"/>
        <w:ind w:left="0"/>
      </w:pPr>
      <w:bookmarkStart w:id="123" w:name="_Toc454814965"/>
      <w:bookmarkStart w:id="124" w:name="_Toc469295349"/>
      <w:r w:rsidRPr="00D35C14">
        <w:lastRenderedPageBreak/>
        <w:t xml:space="preserve">Policies </w:t>
      </w:r>
      <w:r w:rsidR="00485973" w:rsidRPr="00D35C14">
        <w:t>to enhance</w:t>
      </w:r>
      <w:r w:rsidRPr="00D35C14">
        <w:t xml:space="preserve"> resilience, integrity, and financial sector effectiveness</w:t>
      </w:r>
      <w:bookmarkEnd w:id="123"/>
      <w:bookmarkEnd w:id="124"/>
    </w:p>
    <w:p w14:paraId="0E19B191" w14:textId="77777777" w:rsidR="006F2392" w:rsidRPr="006F2392" w:rsidRDefault="00AA2309" w:rsidP="00D35C14">
      <w:pPr>
        <w:pStyle w:val="Heading2"/>
        <w:ind w:left="0"/>
      </w:pPr>
      <w:bookmarkStart w:id="125" w:name="_Toc469295350"/>
      <w:r>
        <w:t>Regulatory and Supervisory Framework</w:t>
      </w:r>
      <w:bookmarkEnd w:id="125"/>
    </w:p>
    <w:p w14:paraId="0ABDCE30" w14:textId="77777777" w:rsidR="006F2392" w:rsidRPr="00DC0887" w:rsidRDefault="006F2392" w:rsidP="007729D7">
      <w:pPr>
        <w:pStyle w:val="ParagraphNumbering"/>
        <w:tabs>
          <w:tab w:val="clear" w:pos="1260"/>
        </w:tabs>
        <w:spacing w:line="240" w:lineRule="auto"/>
        <w:ind w:left="0"/>
        <w:rPr>
          <w:sz w:val="23"/>
          <w:szCs w:val="23"/>
        </w:rPr>
      </w:pPr>
      <w:r w:rsidRPr="008D5E9B">
        <w:rPr>
          <w:b/>
          <w:sz w:val="23"/>
          <w:szCs w:val="23"/>
        </w:rPr>
        <w:t>Since the previous FSAP in 2011, the authorities have made significant efforts to further strengthen banking regulation and the supervisory process</w:t>
      </w:r>
      <w:r w:rsidRPr="00DC0887">
        <w:rPr>
          <w:sz w:val="23"/>
          <w:szCs w:val="23"/>
        </w:rPr>
        <w:t>. Turkey has built a good foundation for banking supervision. The Banking Law (BL) provides a broadly appropriate supervision framework with clear responsibilities and necessary supervisory powers. The established methodology for banking supervision is comprehensive and grounded on extensive databases and on regulation largely in compliance with international standards. The Basel Core Principles assessment highlights the significant</w:t>
      </w:r>
      <w:r w:rsidR="00327D2E">
        <w:rPr>
          <w:sz w:val="23"/>
          <w:szCs w:val="23"/>
        </w:rPr>
        <w:t xml:space="preserve"> strengthening of the framework. </w:t>
      </w:r>
      <w:r w:rsidRPr="00DC0887">
        <w:rPr>
          <w:sz w:val="23"/>
          <w:szCs w:val="23"/>
        </w:rPr>
        <w:t>However, the assessment also emphasizes the need to reinforce implementation.</w:t>
      </w:r>
    </w:p>
    <w:p w14:paraId="2E9BB7FE" w14:textId="77777777" w:rsidR="006F2392" w:rsidRPr="00DC0887" w:rsidRDefault="006F2392" w:rsidP="007729D7">
      <w:pPr>
        <w:pStyle w:val="ParagraphNumbering"/>
        <w:tabs>
          <w:tab w:val="clear" w:pos="1260"/>
        </w:tabs>
        <w:spacing w:line="240" w:lineRule="auto"/>
        <w:ind w:left="0"/>
        <w:rPr>
          <w:sz w:val="23"/>
          <w:szCs w:val="23"/>
        </w:rPr>
      </w:pPr>
      <w:r w:rsidRPr="008D5E9B">
        <w:rPr>
          <w:b/>
          <w:sz w:val="23"/>
          <w:szCs w:val="23"/>
        </w:rPr>
        <w:t>Several important elements of the framework potentially limit the BRSA’s operational and organizational independence as well as its mandate.</w:t>
      </w:r>
      <w:r w:rsidRPr="00DC0887">
        <w:rPr>
          <w:sz w:val="23"/>
          <w:szCs w:val="23"/>
        </w:rPr>
        <w:t xml:space="preserve"> The BL establishes the BRSA’s general independence and a clear mandate. However, legal parameters and other arrangements which </w:t>
      </w:r>
      <w:r w:rsidR="004B6DD9">
        <w:rPr>
          <w:sz w:val="23"/>
          <w:szCs w:val="23"/>
        </w:rPr>
        <w:t>can</w:t>
      </w:r>
      <w:r w:rsidRPr="00DC0887">
        <w:rPr>
          <w:sz w:val="23"/>
          <w:szCs w:val="23"/>
        </w:rPr>
        <w:t xml:space="preserve"> compromise independence remain in place, including issues within the BRSA board appointments process and the ability of the relevant minister to take action against the BRSA. Moreover, the BRSA’s twin objectives of financial sector stability and financial sector development require prioritization to prevent potential conflict. Financial stability should be assigned the primary role.</w:t>
      </w:r>
    </w:p>
    <w:p w14:paraId="26EE59BA" w14:textId="4E66AB1A" w:rsidR="006F2392" w:rsidRPr="00DC0887" w:rsidRDefault="006F2392" w:rsidP="007729D7">
      <w:pPr>
        <w:pStyle w:val="ParagraphNumbering"/>
        <w:tabs>
          <w:tab w:val="clear" w:pos="1260"/>
        </w:tabs>
        <w:spacing w:line="240" w:lineRule="auto"/>
        <w:ind w:left="0"/>
        <w:rPr>
          <w:sz w:val="23"/>
          <w:szCs w:val="23"/>
        </w:rPr>
      </w:pPr>
      <w:r w:rsidRPr="00327D2E">
        <w:rPr>
          <w:b/>
          <w:sz w:val="23"/>
          <w:szCs w:val="23"/>
        </w:rPr>
        <w:t>Further enhancement of the supervisory process would raise the effectiveness of banking supervision</w:t>
      </w:r>
      <w:r w:rsidRPr="00DC0887">
        <w:rPr>
          <w:sz w:val="23"/>
          <w:szCs w:val="23"/>
        </w:rPr>
        <w:t>. The current process is skewed towards validation of compliance processes and constrains active, more forceful supervisory judgments and decisions.</w:t>
      </w:r>
      <w:r w:rsidR="0030623E">
        <w:rPr>
          <w:sz w:val="23"/>
          <w:szCs w:val="23"/>
        </w:rPr>
        <w:t xml:space="preserve"> </w:t>
      </w:r>
      <w:r w:rsidR="00327D2E" w:rsidRPr="00DC0887">
        <w:rPr>
          <w:sz w:val="23"/>
          <w:szCs w:val="23"/>
        </w:rPr>
        <w:t>The risk management framework is centered in the ICAAP process which needs further development.</w:t>
      </w:r>
      <w:r w:rsidR="00327D2E" w:rsidRPr="00327D2E">
        <w:rPr>
          <w:sz w:val="23"/>
          <w:szCs w:val="23"/>
        </w:rPr>
        <w:t xml:space="preserve"> </w:t>
      </w:r>
      <w:r w:rsidR="00327D2E" w:rsidRPr="00DC0887">
        <w:rPr>
          <w:sz w:val="23"/>
          <w:szCs w:val="23"/>
        </w:rPr>
        <w:t xml:space="preserve">The framework for credit classification and provisioning requires strengthening, particularly in the areas of asset classification definitions and </w:t>
      </w:r>
      <w:r w:rsidR="0093185C">
        <w:rPr>
          <w:sz w:val="23"/>
          <w:szCs w:val="23"/>
        </w:rPr>
        <w:t xml:space="preserve">the </w:t>
      </w:r>
      <w:r w:rsidR="00327D2E" w:rsidRPr="00DC0887">
        <w:rPr>
          <w:sz w:val="23"/>
          <w:szCs w:val="23"/>
        </w:rPr>
        <w:t xml:space="preserve">supervisory credit review process. </w:t>
      </w:r>
    </w:p>
    <w:p w14:paraId="20F4EEDE" w14:textId="77777777" w:rsidR="006F2392" w:rsidRPr="00DC0887" w:rsidRDefault="0093185C" w:rsidP="007729D7">
      <w:pPr>
        <w:pStyle w:val="ParagraphNumbering"/>
        <w:tabs>
          <w:tab w:val="clear" w:pos="1260"/>
        </w:tabs>
        <w:spacing w:line="240" w:lineRule="auto"/>
        <w:ind w:left="0"/>
        <w:rPr>
          <w:sz w:val="23"/>
          <w:szCs w:val="23"/>
        </w:rPr>
      </w:pPr>
      <w:r w:rsidRPr="0093185C">
        <w:rPr>
          <w:b/>
          <w:sz w:val="23"/>
          <w:szCs w:val="23"/>
        </w:rPr>
        <w:t>The</w:t>
      </w:r>
      <w:r w:rsidR="006F2392" w:rsidRPr="007D34CD">
        <w:rPr>
          <w:b/>
          <w:sz w:val="23"/>
          <w:szCs w:val="23"/>
        </w:rPr>
        <w:t xml:space="preserve"> regulation and supervision of insurance</w:t>
      </w:r>
      <w:r w:rsidRPr="0093185C">
        <w:rPr>
          <w:b/>
          <w:sz w:val="23"/>
          <w:szCs w:val="23"/>
        </w:rPr>
        <w:t xml:space="preserve"> has been significantly enhanced</w:t>
      </w:r>
      <w:r w:rsidR="006F2392" w:rsidRPr="0093185C">
        <w:rPr>
          <w:b/>
          <w:sz w:val="23"/>
          <w:szCs w:val="23"/>
        </w:rPr>
        <w:t xml:space="preserve"> during the </w:t>
      </w:r>
      <w:r w:rsidRPr="0093185C">
        <w:rPr>
          <w:b/>
          <w:sz w:val="23"/>
          <w:szCs w:val="23"/>
        </w:rPr>
        <w:t>past</w:t>
      </w:r>
      <w:r w:rsidR="006F2392" w:rsidRPr="0093185C">
        <w:rPr>
          <w:b/>
          <w:sz w:val="23"/>
          <w:szCs w:val="23"/>
        </w:rPr>
        <w:t xml:space="preserve"> five years</w:t>
      </w:r>
      <w:r w:rsidR="006F2392" w:rsidRPr="00DC0887">
        <w:rPr>
          <w:sz w:val="23"/>
          <w:szCs w:val="23"/>
        </w:rPr>
        <w:t xml:space="preserve">. </w:t>
      </w:r>
      <w:r w:rsidR="00236230">
        <w:rPr>
          <w:sz w:val="23"/>
          <w:szCs w:val="23"/>
        </w:rPr>
        <w:t>In particular, t</w:t>
      </w:r>
      <w:r w:rsidR="006F2392" w:rsidRPr="00DC0887">
        <w:rPr>
          <w:sz w:val="23"/>
          <w:szCs w:val="23"/>
        </w:rPr>
        <w:t>he efficiency of information reporting, insurer monitoring and supervision have increased</w:t>
      </w:r>
      <w:r w:rsidR="00236230">
        <w:rPr>
          <w:sz w:val="23"/>
          <w:szCs w:val="23"/>
        </w:rPr>
        <w:t>, solvency</w:t>
      </w:r>
      <w:r w:rsidR="006F2392" w:rsidRPr="00DC0887">
        <w:rPr>
          <w:sz w:val="23"/>
          <w:szCs w:val="23"/>
        </w:rPr>
        <w:t xml:space="preserve"> ratios have been strengthened</w:t>
      </w:r>
      <w:r w:rsidR="00236230">
        <w:rPr>
          <w:sz w:val="23"/>
          <w:szCs w:val="23"/>
        </w:rPr>
        <w:t>, and r</w:t>
      </w:r>
      <w:r w:rsidR="006F2392" w:rsidRPr="00DC0887">
        <w:rPr>
          <w:sz w:val="23"/>
          <w:szCs w:val="23"/>
        </w:rPr>
        <w:t xml:space="preserve">eserving and investment practices have been improved. </w:t>
      </w:r>
    </w:p>
    <w:p w14:paraId="6F7C7A43" w14:textId="77777777" w:rsidR="00170144" w:rsidRPr="00DC0887" w:rsidRDefault="00236230" w:rsidP="007729D7">
      <w:pPr>
        <w:pStyle w:val="ParagraphNumbering"/>
        <w:tabs>
          <w:tab w:val="clear" w:pos="1260"/>
        </w:tabs>
        <w:spacing w:line="240" w:lineRule="auto"/>
        <w:ind w:left="0"/>
        <w:rPr>
          <w:sz w:val="23"/>
          <w:szCs w:val="23"/>
        </w:rPr>
      </w:pPr>
      <w:r>
        <w:rPr>
          <w:b/>
          <w:sz w:val="23"/>
          <w:szCs w:val="23"/>
        </w:rPr>
        <w:t>Notwithstanding this welcome</w:t>
      </w:r>
      <w:r w:rsidR="006F2392" w:rsidRPr="00327D2E">
        <w:rPr>
          <w:b/>
          <w:sz w:val="23"/>
          <w:szCs w:val="23"/>
        </w:rPr>
        <w:t xml:space="preserve"> progress, much work remains to close the gap between current practices and international standards</w:t>
      </w:r>
      <w:r w:rsidR="006F2392" w:rsidRPr="00DC0887">
        <w:rPr>
          <w:sz w:val="23"/>
          <w:szCs w:val="23"/>
        </w:rPr>
        <w:t xml:space="preserve">. The </w:t>
      </w:r>
      <w:r w:rsidR="00327D2E">
        <w:rPr>
          <w:sz w:val="23"/>
          <w:szCs w:val="23"/>
        </w:rPr>
        <w:t>Insurance Core Principles (ICP)</w:t>
      </w:r>
      <w:r w:rsidR="006F2392" w:rsidRPr="00DC0887">
        <w:rPr>
          <w:sz w:val="23"/>
          <w:szCs w:val="23"/>
        </w:rPr>
        <w:t xml:space="preserve"> assessment includes main findings and recommendations. Among the most relevant ones, first, </w:t>
      </w:r>
      <w:r w:rsidR="00EC48B9">
        <w:rPr>
          <w:sz w:val="23"/>
          <w:szCs w:val="23"/>
        </w:rPr>
        <w:t>o</w:t>
      </w:r>
      <w:r w:rsidR="00802875">
        <w:rPr>
          <w:sz w:val="23"/>
          <w:szCs w:val="23"/>
        </w:rPr>
        <w:t xml:space="preserve">ptions should be explored </w:t>
      </w:r>
      <w:r w:rsidR="006F2392" w:rsidRPr="00DC0887">
        <w:rPr>
          <w:sz w:val="23"/>
          <w:szCs w:val="23"/>
        </w:rPr>
        <w:t xml:space="preserve">to improve the independence, governance and accountability of the insurance </w:t>
      </w:r>
      <w:r w:rsidR="006F2392" w:rsidRPr="00DC0887">
        <w:rPr>
          <w:sz w:val="23"/>
          <w:szCs w:val="23"/>
        </w:rPr>
        <w:lastRenderedPageBreak/>
        <w:t>supervision authority</w:t>
      </w:r>
      <w:r w:rsidR="00802875">
        <w:rPr>
          <w:sz w:val="23"/>
          <w:szCs w:val="23"/>
        </w:rPr>
        <w:t xml:space="preserve">, </w:t>
      </w:r>
      <w:r w:rsidR="00802875">
        <w:t>as well as to integrate offsite, onsite and enforcement activities within a single supervisory organization. Completing the development of a risk-based approach and a group wide supervisory framework remain important priorities. The supervisory authorities are also encouraged to take action to strengthen c</w:t>
      </w:r>
      <w:r w:rsidR="00802875" w:rsidRPr="00791A7D">
        <w:t>orporate governance requi</w:t>
      </w:r>
      <w:r w:rsidR="00802875">
        <w:t xml:space="preserve">rements, as well as to ensure that key internal control functions are established and </w:t>
      </w:r>
      <w:r w:rsidR="00802875" w:rsidRPr="00791A7D">
        <w:t>have appropriate independence and resources.</w:t>
      </w:r>
    </w:p>
    <w:p w14:paraId="156B3E59" w14:textId="77777777" w:rsidR="006F2392" w:rsidRPr="006F2392" w:rsidRDefault="00C54697" w:rsidP="00D35C14">
      <w:pPr>
        <w:pStyle w:val="Heading2"/>
        <w:ind w:left="0"/>
      </w:pPr>
      <w:bookmarkStart w:id="126" w:name="_Toc469295351"/>
      <w:r w:rsidRPr="0074410D">
        <w:t xml:space="preserve">Financial </w:t>
      </w:r>
      <w:r w:rsidR="006F2392">
        <w:t>Market Infrastructure and its Oversight</w:t>
      </w:r>
      <w:bookmarkEnd w:id="126"/>
    </w:p>
    <w:p w14:paraId="4E43A649" w14:textId="1A3D36E3" w:rsidR="006F2392" w:rsidRPr="004642C6" w:rsidRDefault="006F2392" w:rsidP="007729D7">
      <w:pPr>
        <w:pStyle w:val="ParagraphNumbering"/>
        <w:tabs>
          <w:tab w:val="clear" w:pos="1260"/>
        </w:tabs>
        <w:spacing w:line="240" w:lineRule="auto"/>
        <w:ind w:left="0"/>
        <w:rPr>
          <w:b/>
          <w:sz w:val="23"/>
          <w:szCs w:val="23"/>
        </w:rPr>
      </w:pPr>
      <w:r w:rsidRPr="004642C6">
        <w:rPr>
          <w:b/>
          <w:sz w:val="23"/>
          <w:szCs w:val="23"/>
        </w:rPr>
        <w:t xml:space="preserve">The National Payments System (NPS) in Turkey is well developed, safe and efficient: yet there are opportunities for improvement. </w:t>
      </w:r>
      <w:r w:rsidRPr="004642C6">
        <w:rPr>
          <w:sz w:val="23"/>
          <w:szCs w:val="23"/>
        </w:rPr>
        <w:t>The EFT and ESTS, owned and operated by the CBRT, and, the responsibilities of authorities with respect to FMIs, were assessed against the CPMI-IOSCO Principles of Fi</w:t>
      </w:r>
      <w:r w:rsidR="004642C6">
        <w:rPr>
          <w:sz w:val="23"/>
          <w:szCs w:val="23"/>
        </w:rPr>
        <w:t>nancial Markets Infrastructures.</w:t>
      </w:r>
      <w:r w:rsidRPr="004642C6">
        <w:rPr>
          <w:sz w:val="23"/>
          <w:szCs w:val="23"/>
        </w:rPr>
        <w:t xml:space="preserve"> The assessment also took into account the interlinkages of the EFT and ESTS with the other FM</w:t>
      </w:r>
      <w:r w:rsidR="004642C6">
        <w:rPr>
          <w:sz w:val="23"/>
          <w:szCs w:val="23"/>
        </w:rPr>
        <w:t xml:space="preserve">Is in Turkey: Takasbank and MKK. </w:t>
      </w:r>
      <w:r w:rsidRPr="004642C6">
        <w:rPr>
          <w:sz w:val="23"/>
          <w:szCs w:val="23"/>
        </w:rPr>
        <w:t xml:space="preserve">The legal framework has been significantly enhanced in recent years and institutional arrangements are clear and well organized. However, some improvement opportunities </w:t>
      </w:r>
      <w:r w:rsidR="00A713C5" w:rsidRPr="004642C6">
        <w:rPr>
          <w:sz w:val="23"/>
          <w:szCs w:val="23"/>
        </w:rPr>
        <w:t>includ</w:t>
      </w:r>
      <w:r w:rsidR="00A713C5">
        <w:rPr>
          <w:sz w:val="23"/>
          <w:szCs w:val="23"/>
        </w:rPr>
        <w:t>e</w:t>
      </w:r>
      <w:r w:rsidRPr="004642C6">
        <w:rPr>
          <w:sz w:val="23"/>
          <w:szCs w:val="23"/>
        </w:rPr>
        <w:t>: i) fine tuning the legal framework (with respect to addressing some legal ambiguities in respect to protection of customer's assets in Takasbank); ii) further strengthening the governance framework considering system-wide performance indicators; iii) addressing risk management framework in a more integral way considering risks among FMIs; iv) exploring and implementing liquidity mechanisms to address concentration of payments at the end of the day; v) fine tuning default management, operational risk management and implementing effective monitoring arrangements for tiered participation; and vi) introducing some efficiency measures in the infrastructure for government securities.</w:t>
      </w:r>
      <w:r w:rsidRPr="004642C6">
        <w:rPr>
          <w:b/>
          <w:sz w:val="23"/>
          <w:szCs w:val="23"/>
        </w:rPr>
        <w:t xml:space="preserve"> </w:t>
      </w:r>
    </w:p>
    <w:p w14:paraId="144F2314" w14:textId="77777777" w:rsidR="00B94880" w:rsidRPr="004642C6" w:rsidRDefault="006F2392" w:rsidP="007729D7">
      <w:pPr>
        <w:pStyle w:val="ParagraphNumbering"/>
        <w:tabs>
          <w:tab w:val="clear" w:pos="1260"/>
        </w:tabs>
        <w:spacing w:line="240" w:lineRule="auto"/>
        <w:ind w:left="0"/>
        <w:rPr>
          <w:sz w:val="23"/>
          <w:szCs w:val="23"/>
        </w:rPr>
      </w:pPr>
      <w:r w:rsidRPr="004642C6">
        <w:rPr>
          <w:b/>
          <w:sz w:val="23"/>
          <w:szCs w:val="23"/>
        </w:rPr>
        <w:t xml:space="preserve">CBRT, CMB and BRSA are the authorities with responsibility for specific elements of the Turkish NPS. CBRT has regulatory and oversight responsibility for payment and securities settlement systems. </w:t>
      </w:r>
      <w:r w:rsidRPr="004642C6">
        <w:rPr>
          <w:sz w:val="23"/>
          <w:szCs w:val="23"/>
        </w:rPr>
        <w:t>CMB has responsibility for safe and efficient functioning of the capital markets and is responsible for the Central Securities Depositories (CSDs), Central Counterparties (CCPs) and Trade Repositories (TRs). The BRSA is responsible for regulation of payment instruments and also regulation and supervision of non-bank e-money and payment institutions. The authorities’ scope and powers related to regulation, supervision and oversight of the NPS are adequate. The CMB however has not established dedicated organization arrangements and allocated dedicated resources for its oversight activities. Also the regulatory and oversight framework for Trade Repositories (TRs), which are in the purview of the CMB, is still in process of development. CBRT should consider a clear articulation of criteria for PFMI application in the proposed oversight framework and CMB should finalize regulatory framework for TRs and dedicate more resources for FMI oversight.</w:t>
      </w:r>
    </w:p>
    <w:p w14:paraId="3B01609A" w14:textId="77777777" w:rsidR="006F2392" w:rsidRPr="006F2392" w:rsidRDefault="006F2392" w:rsidP="00D35C14">
      <w:pPr>
        <w:pStyle w:val="Heading2"/>
        <w:ind w:left="0"/>
      </w:pPr>
      <w:bookmarkStart w:id="127" w:name="_Toc469295352"/>
      <w:bookmarkStart w:id="128" w:name="_Toc334547253"/>
      <w:bookmarkStart w:id="129" w:name="_Toc334547500"/>
      <w:bookmarkStart w:id="130" w:name="_Toc334549621"/>
      <w:bookmarkStart w:id="131" w:name="_Toc334549674"/>
      <w:bookmarkStart w:id="132" w:name="_Toc334549745"/>
      <w:r w:rsidRPr="006F2392">
        <w:lastRenderedPageBreak/>
        <w:t>Oversight and Management of Systemic Risks</w:t>
      </w:r>
      <w:bookmarkEnd w:id="127"/>
    </w:p>
    <w:bookmarkEnd w:id="128"/>
    <w:bookmarkEnd w:id="129"/>
    <w:bookmarkEnd w:id="130"/>
    <w:bookmarkEnd w:id="131"/>
    <w:bookmarkEnd w:id="132"/>
    <w:p w14:paraId="3EE3BF79" w14:textId="457D0D16" w:rsidR="004642C6" w:rsidRPr="004642C6" w:rsidRDefault="006F2392" w:rsidP="007729D7">
      <w:pPr>
        <w:pStyle w:val="ParagraphNumbering"/>
        <w:tabs>
          <w:tab w:val="clear" w:pos="1260"/>
        </w:tabs>
        <w:spacing w:line="240" w:lineRule="auto"/>
        <w:ind w:left="0"/>
        <w:rPr>
          <w:sz w:val="23"/>
          <w:szCs w:val="23"/>
        </w:rPr>
      </w:pPr>
      <w:r w:rsidRPr="005F44DC">
        <w:rPr>
          <w:b/>
          <w:sz w:val="23"/>
          <w:szCs w:val="23"/>
        </w:rPr>
        <w:t>Turkey has made significant progress in developing a macroprudential policy framework in recent years.</w:t>
      </w:r>
      <w:r w:rsidRPr="004642C6">
        <w:rPr>
          <w:sz w:val="23"/>
          <w:szCs w:val="23"/>
        </w:rPr>
        <w:t xml:space="preserve"> The FSC brings together the heads of the five agencies with financial sector oversight responsibilities, to support the identification and management of systemic risks. The FSC is primarily an oversight and discussion body, as operational responsibilities are </w:t>
      </w:r>
      <w:r w:rsidR="004642C6" w:rsidRPr="004642C6">
        <w:rPr>
          <w:sz w:val="23"/>
          <w:szCs w:val="23"/>
        </w:rPr>
        <w:t xml:space="preserve">retained by the member agencies. </w:t>
      </w:r>
      <w:r w:rsidR="005F44DC">
        <w:rPr>
          <w:sz w:val="23"/>
          <w:szCs w:val="23"/>
        </w:rPr>
        <w:t>C</w:t>
      </w:r>
      <w:r w:rsidR="004642C6" w:rsidRPr="004642C6">
        <w:rPr>
          <w:sz w:val="23"/>
          <w:szCs w:val="23"/>
        </w:rPr>
        <w:t>urrent arrangements have provided considerable benefits. These have supported information sharing across the FSC member agencies</w:t>
      </w:r>
      <w:r w:rsidR="003A5496">
        <w:rPr>
          <w:sz w:val="23"/>
          <w:szCs w:val="23"/>
        </w:rPr>
        <w:t xml:space="preserve"> and improved the focus and attention on addressing systemic risks.</w:t>
      </w:r>
      <w:r w:rsidR="004642C6" w:rsidRPr="004642C6">
        <w:rPr>
          <w:sz w:val="23"/>
          <w:szCs w:val="23"/>
        </w:rPr>
        <w:t xml:space="preserve"> </w:t>
      </w:r>
    </w:p>
    <w:p w14:paraId="42356265" w14:textId="23C0FDD8" w:rsidR="006F2392" w:rsidRPr="004642C6" w:rsidRDefault="006F2392" w:rsidP="007729D7">
      <w:pPr>
        <w:pStyle w:val="ParagraphNumbering"/>
        <w:tabs>
          <w:tab w:val="clear" w:pos="1260"/>
        </w:tabs>
        <w:spacing w:line="240" w:lineRule="auto"/>
        <w:ind w:left="0"/>
        <w:rPr>
          <w:sz w:val="23"/>
          <w:szCs w:val="23"/>
        </w:rPr>
      </w:pPr>
      <w:r w:rsidRPr="00A85811">
        <w:rPr>
          <w:b/>
          <w:sz w:val="23"/>
          <w:szCs w:val="23"/>
        </w:rPr>
        <w:t>Strengthening governance, powers and disclosure would increase the effectiveness of the FSC</w:t>
      </w:r>
      <w:r w:rsidRPr="004642C6">
        <w:rPr>
          <w:sz w:val="23"/>
          <w:szCs w:val="23"/>
        </w:rPr>
        <w:t xml:space="preserve">. Several steps may be envisaged. Although some would require changes in legal frameworks, many of the proposals could be </w:t>
      </w:r>
      <w:r w:rsidR="00147680">
        <w:rPr>
          <w:sz w:val="23"/>
          <w:szCs w:val="23"/>
        </w:rPr>
        <w:t>implemented</w:t>
      </w:r>
      <w:r w:rsidRPr="004642C6">
        <w:rPr>
          <w:sz w:val="23"/>
          <w:szCs w:val="23"/>
        </w:rPr>
        <w:t xml:space="preserve"> by agreement among the member agencies on internal processes and protocols. First, enhanced governance, including restricting</w:t>
      </w:r>
      <w:r w:rsidR="003A5496">
        <w:rPr>
          <w:sz w:val="23"/>
          <w:szCs w:val="23"/>
        </w:rPr>
        <w:t xml:space="preserve"> the role of the Council of Ministers</w:t>
      </w:r>
      <w:r w:rsidRPr="004642C6">
        <w:rPr>
          <w:sz w:val="23"/>
          <w:szCs w:val="23"/>
        </w:rPr>
        <w:t xml:space="preserve"> to crisis resolution decisions beyond the mandates of the member agencies, would strengthen the independence of FSC members and enhance the ex ante policy-making role of the FSC. Similarly, </w:t>
      </w:r>
      <w:r w:rsidR="003A5496">
        <w:rPr>
          <w:sz w:val="23"/>
          <w:szCs w:val="23"/>
        </w:rPr>
        <w:t xml:space="preserve">institutionalizing </w:t>
      </w:r>
      <w:r w:rsidRPr="004642C6">
        <w:rPr>
          <w:sz w:val="23"/>
          <w:szCs w:val="23"/>
        </w:rPr>
        <w:t>stronger operational arrangements, including</w:t>
      </w:r>
      <w:r w:rsidR="003A5496">
        <w:rPr>
          <w:sz w:val="23"/>
          <w:szCs w:val="23"/>
        </w:rPr>
        <w:t xml:space="preserve"> agreeing a commitment</w:t>
      </w:r>
      <w:r w:rsidRPr="004642C6">
        <w:rPr>
          <w:sz w:val="23"/>
          <w:szCs w:val="23"/>
        </w:rPr>
        <w:t xml:space="preserve"> among the members to table policy proposals for discussion by the Committee </w:t>
      </w:r>
      <w:r w:rsidR="00147680">
        <w:rPr>
          <w:sz w:val="23"/>
          <w:szCs w:val="23"/>
        </w:rPr>
        <w:t>at the formulation stage</w:t>
      </w:r>
      <w:r w:rsidR="003A5496">
        <w:rPr>
          <w:sz w:val="23"/>
          <w:szCs w:val="23"/>
        </w:rPr>
        <w:t xml:space="preserve"> </w:t>
      </w:r>
      <w:r w:rsidRPr="004642C6">
        <w:rPr>
          <w:sz w:val="23"/>
          <w:szCs w:val="23"/>
        </w:rPr>
        <w:t>and including a formal mechanism for member agencies to follow up on its recommendations and provide a response to the Committee on decisions subsequently taken, would enhance proactive policy making, while retaining individual agency responsibility</w:t>
      </w:r>
      <w:r w:rsidR="003A5496">
        <w:rPr>
          <w:sz w:val="23"/>
          <w:szCs w:val="23"/>
        </w:rPr>
        <w:t>.</w:t>
      </w:r>
      <w:r w:rsidRPr="004642C6">
        <w:rPr>
          <w:sz w:val="23"/>
          <w:szCs w:val="23"/>
        </w:rPr>
        <w:t xml:space="preserve"> Strengthening the analytical support available to the FSC and SRAG through an integrated and enhanced Secretariat would also help the quality of the discussions and recommendations</w:t>
      </w:r>
      <w:r w:rsidR="003A5496">
        <w:rPr>
          <w:sz w:val="23"/>
          <w:szCs w:val="23"/>
        </w:rPr>
        <w:t>.</w:t>
      </w:r>
      <w:r w:rsidRPr="004642C6">
        <w:rPr>
          <w:sz w:val="23"/>
          <w:szCs w:val="23"/>
        </w:rPr>
        <w:t xml:space="preserve"> Finally, a more structured communication strategy, including publishing periodical information such as an Annual Report to relevant stakeholders </w:t>
      </w:r>
      <w:r w:rsidR="00147680">
        <w:rPr>
          <w:sz w:val="23"/>
          <w:szCs w:val="23"/>
        </w:rPr>
        <w:t>outlining FSC</w:t>
      </w:r>
      <w:r w:rsidRPr="004642C6">
        <w:rPr>
          <w:sz w:val="23"/>
          <w:szCs w:val="23"/>
        </w:rPr>
        <w:t xml:space="preserve"> risk assessment, activities, and decisions, would strengthen public recognition of the FSC role, enhance accountability on how the Committee is fulfilling its legal mandate, </w:t>
      </w:r>
      <w:r w:rsidR="00C81944">
        <w:rPr>
          <w:sz w:val="23"/>
          <w:szCs w:val="23"/>
        </w:rPr>
        <w:t xml:space="preserve">and </w:t>
      </w:r>
      <w:r w:rsidRPr="004642C6">
        <w:rPr>
          <w:sz w:val="23"/>
          <w:szCs w:val="23"/>
        </w:rPr>
        <w:t xml:space="preserve">also help the Turkish authorities collectively to demonstrate firm oversight and control of systemic risks. A published Protocol or Charter on the responsibilities and organizational practices of the FSC would also support this process. </w:t>
      </w:r>
    </w:p>
    <w:p w14:paraId="150C8394" w14:textId="77777777" w:rsidR="006F2392" w:rsidRDefault="006F2392" w:rsidP="007729D7">
      <w:pPr>
        <w:pStyle w:val="ParagraphNumbering"/>
        <w:tabs>
          <w:tab w:val="clear" w:pos="1260"/>
        </w:tabs>
        <w:spacing w:line="240" w:lineRule="auto"/>
        <w:ind w:left="0"/>
        <w:rPr>
          <w:sz w:val="23"/>
          <w:szCs w:val="23"/>
        </w:rPr>
      </w:pPr>
      <w:r w:rsidRPr="005F44DC">
        <w:rPr>
          <w:b/>
          <w:sz w:val="23"/>
          <w:szCs w:val="23"/>
        </w:rPr>
        <w:t>There are notable improvements to the systemic risk assessment capability in Turkey since the last FSAP</w:t>
      </w:r>
      <w:r w:rsidRPr="004642C6">
        <w:rPr>
          <w:sz w:val="23"/>
          <w:szCs w:val="23"/>
        </w:rPr>
        <w:t xml:space="preserve">. The FSC (and the SRAG), promote a collaborative approach to systemic risk assessment by enabling each member to bring to the table their respective risk analyses as well as joint analysis. </w:t>
      </w:r>
      <w:r w:rsidR="00C81944">
        <w:rPr>
          <w:sz w:val="23"/>
          <w:szCs w:val="23"/>
        </w:rPr>
        <w:t>To strengthen the collective review, the SRAG has recently developed the first version of a heat map, as a collaborative tool to support the assessment of systemic risk</w:t>
      </w:r>
      <w:r w:rsidRPr="004642C6">
        <w:rPr>
          <w:sz w:val="23"/>
          <w:szCs w:val="23"/>
        </w:rPr>
        <w:t xml:space="preserve">. </w:t>
      </w:r>
      <w:r w:rsidR="005F44DC" w:rsidRPr="005F44DC">
        <w:rPr>
          <w:sz w:val="23"/>
          <w:szCs w:val="23"/>
        </w:rPr>
        <w:t xml:space="preserve">The FSC </w:t>
      </w:r>
      <w:r w:rsidR="005F44DC" w:rsidRPr="005F44DC">
        <w:rPr>
          <w:sz w:val="23"/>
          <w:szCs w:val="23"/>
        </w:rPr>
        <w:lastRenderedPageBreak/>
        <w:t>should build on this</w:t>
      </w:r>
      <w:r w:rsidR="00C81944">
        <w:rPr>
          <w:sz w:val="23"/>
          <w:szCs w:val="23"/>
        </w:rPr>
        <w:t xml:space="preserve"> welcome progress</w:t>
      </w:r>
      <w:r w:rsidR="005F44DC" w:rsidRPr="005F44DC">
        <w:rPr>
          <w:sz w:val="23"/>
          <w:szCs w:val="23"/>
        </w:rPr>
        <w:t xml:space="preserve"> to foster further improvements and support a more integrated and holistic assessment of systemic risks and their on-going monitoring</w:t>
      </w:r>
      <w:r w:rsidR="005F44DC">
        <w:rPr>
          <w:sz w:val="23"/>
          <w:szCs w:val="23"/>
        </w:rPr>
        <w:t>.</w:t>
      </w:r>
    </w:p>
    <w:p w14:paraId="1C2071CD" w14:textId="4B14E730" w:rsidR="005F44DC" w:rsidRPr="005F44DC" w:rsidRDefault="005239E6" w:rsidP="007729D7">
      <w:pPr>
        <w:pStyle w:val="ParagraphNumbering"/>
        <w:tabs>
          <w:tab w:val="clear" w:pos="1260"/>
        </w:tabs>
        <w:spacing w:line="240" w:lineRule="auto"/>
        <w:ind w:left="0"/>
        <w:rPr>
          <w:sz w:val="23"/>
          <w:szCs w:val="23"/>
        </w:rPr>
      </w:pPr>
      <w:r w:rsidRPr="005239E6">
        <w:rPr>
          <w:b/>
          <w:sz w:val="23"/>
          <w:szCs w:val="23"/>
        </w:rPr>
        <w:t>The choice of the policy tools should be better informed by the (proposed) integrated assessment of systemic risk and by cost-benefit considerations of alternative options.</w:t>
      </w:r>
      <w:r w:rsidRPr="005239E6">
        <w:rPr>
          <w:sz w:val="23"/>
          <w:szCs w:val="23"/>
        </w:rPr>
        <w:t xml:space="preserve"> Some of the policy tools deployed in the past combine both monetary policy and macroprudential objectives which raise questions of their appropriateness in achieving each policy goal. It also raises questions on whether monetary policy was used instead of macroprudential policy and vice versa. Usage of macroprudential tools should be confined to systemic risk. A systematic review of the costs and benefits of potential options by the FSC at the risk identification and policy formulation stage would help strengthen policy coordination and effectiveness</w:t>
      </w:r>
    </w:p>
    <w:p w14:paraId="63EF1194" w14:textId="06FBCFF0" w:rsidR="006F2392" w:rsidRPr="006666B8" w:rsidRDefault="006F2392" w:rsidP="00D35C14">
      <w:pPr>
        <w:pStyle w:val="Heading2"/>
        <w:ind w:left="0"/>
      </w:pPr>
      <w:bookmarkStart w:id="133" w:name="_Toc469295353"/>
      <w:r>
        <w:t>Managing Systemic Liquidity</w:t>
      </w:r>
      <w:bookmarkEnd w:id="133"/>
    </w:p>
    <w:p w14:paraId="4B1959DA" w14:textId="2698D025" w:rsidR="0025305E" w:rsidRPr="005239E6" w:rsidRDefault="0025305E" w:rsidP="007729D7">
      <w:pPr>
        <w:pStyle w:val="ParagraphNumbering"/>
        <w:tabs>
          <w:tab w:val="clear" w:pos="1260"/>
        </w:tabs>
        <w:spacing w:line="240" w:lineRule="auto"/>
        <w:ind w:left="0"/>
        <w:rPr>
          <w:sz w:val="23"/>
          <w:szCs w:val="23"/>
        </w:rPr>
      </w:pPr>
      <w:r w:rsidRPr="001F11CF">
        <w:rPr>
          <w:b/>
        </w:rPr>
        <w:t>The CBRT’s liquidity provision framework raises three key questions relevant to financial stability.</w:t>
      </w:r>
      <w:r w:rsidRPr="001F11CF">
        <w:t xml:space="preserve"> First, to what extent does the CBRT’s monetary policy implementation framework support the development of the domestic money and capital markets to push against the </w:t>
      </w:r>
      <w:r>
        <w:t>extensive reliance</w:t>
      </w:r>
      <w:r w:rsidRPr="001F11CF">
        <w:t xml:space="preserve"> </w:t>
      </w:r>
      <w:r>
        <w:t>on</w:t>
      </w:r>
      <w:r w:rsidRPr="001F11CF">
        <w:t xml:space="preserve"> FX funding? Secondly, how robust is the CBRT’s capacity to manage the FX liquidity risks </w:t>
      </w:r>
      <w:r>
        <w:t>in</w:t>
      </w:r>
      <w:r w:rsidRPr="001F11CF">
        <w:t xml:space="preserve"> the system? And thirdly, is the CBRT’s ELA framework sufficiently robust to buffer the system in the event of a systemic crisis?</w:t>
      </w:r>
    </w:p>
    <w:p w14:paraId="14315F78" w14:textId="509EB24C" w:rsidR="0025305E" w:rsidRDefault="0025305E" w:rsidP="007729D7">
      <w:pPr>
        <w:pStyle w:val="ParagraphNumbering"/>
        <w:tabs>
          <w:tab w:val="clear" w:pos="1260"/>
        </w:tabs>
        <w:spacing w:line="240" w:lineRule="auto"/>
        <w:ind w:left="0"/>
        <w:rPr>
          <w:sz w:val="23"/>
          <w:szCs w:val="23"/>
        </w:rPr>
      </w:pPr>
      <w:r w:rsidRPr="005239E6">
        <w:rPr>
          <w:b/>
          <w:sz w:val="23"/>
          <w:szCs w:val="23"/>
        </w:rPr>
        <w:t>T</w:t>
      </w:r>
      <w:r w:rsidR="00AA1360" w:rsidRPr="005239E6">
        <w:rPr>
          <w:b/>
          <w:sz w:val="23"/>
          <w:szCs w:val="23"/>
        </w:rPr>
        <w:t>he CBRT could provide a more secure backdrop for the Lira markets to flourish by focusing interest rate tools on inflation, applying those tools more transparently and predictably, and making liquidity more readily available at its key policy rate</w:t>
      </w:r>
      <w:r w:rsidR="00AA1360" w:rsidRPr="00AA1360">
        <w:rPr>
          <w:sz w:val="23"/>
          <w:szCs w:val="23"/>
        </w:rPr>
        <w:t>. These practices would enhance the CBRT’s credibility, encouraging investors to participate in the unsecured or longer term TL markets that are lacking</w:t>
      </w:r>
      <w:r w:rsidR="00AA1360" w:rsidRPr="00AA59FF">
        <w:rPr>
          <w:sz w:val="23"/>
          <w:szCs w:val="23"/>
          <w:vertAlign w:val="superscript"/>
        </w:rPr>
        <w:footnoteReference w:id="6"/>
      </w:r>
      <w:r w:rsidR="00AA1360" w:rsidRPr="00AA1360">
        <w:rPr>
          <w:sz w:val="23"/>
          <w:szCs w:val="23"/>
        </w:rPr>
        <w:t xml:space="preserve">. </w:t>
      </w:r>
    </w:p>
    <w:p w14:paraId="0867881D" w14:textId="1FC31894" w:rsidR="00806384" w:rsidRDefault="0025305E" w:rsidP="007729D7">
      <w:pPr>
        <w:pStyle w:val="ParagraphNumbering"/>
        <w:tabs>
          <w:tab w:val="clear" w:pos="1260"/>
        </w:tabs>
        <w:spacing w:line="240" w:lineRule="auto"/>
        <w:ind w:left="0"/>
        <w:rPr>
          <w:sz w:val="23"/>
          <w:szCs w:val="23"/>
        </w:rPr>
      </w:pPr>
      <w:r w:rsidRPr="005239E6">
        <w:rPr>
          <w:b/>
          <w:sz w:val="23"/>
          <w:szCs w:val="23"/>
        </w:rPr>
        <w:t>T</w:t>
      </w:r>
      <w:r w:rsidR="006F2392" w:rsidRPr="005239E6">
        <w:rPr>
          <w:b/>
          <w:sz w:val="23"/>
          <w:szCs w:val="23"/>
        </w:rPr>
        <w:t>he CBRT has limited capacity to manage FX liquidity pressures and needs to build it.</w:t>
      </w:r>
      <w:r w:rsidR="006F2392" w:rsidRPr="003B758C">
        <w:rPr>
          <w:sz w:val="23"/>
          <w:szCs w:val="23"/>
        </w:rPr>
        <w:t xml:space="preserve"> Net FX reserves are relatively low</w:t>
      </w:r>
      <w:r>
        <w:rPr>
          <w:sz w:val="23"/>
          <w:szCs w:val="23"/>
        </w:rPr>
        <w:t xml:space="preserve"> and need to be rebuilt such that CBRT FX reserves are within the standard ARA metric range. Moreover, </w:t>
      </w:r>
      <w:r w:rsidR="006F2392" w:rsidRPr="003B758C">
        <w:rPr>
          <w:sz w:val="23"/>
          <w:szCs w:val="23"/>
        </w:rPr>
        <w:t>much of the CBRT’s gross reserves are funded by the reserve requirements of banks which may need access to those funds in the event of stress</w:t>
      </w:r>
      <w:r>
        <w:rPr>
          <w:sz w:val="23"/>
          <w:szCs w:val="23"/>
        </w:rPr>
        <w:t>. Other</w:t>
      </w:r>
      <w:r w:rsidR="006F2392" w:rsidRPr="003B758C">
        <w:rPr>
          <w:sz w:val="23"/>
          <w:szCs w:val="23"/>
        </w:rPr>
        <w:t xml:space="preserve"> significant contingent claims on the CBRT’s reserves such as FX auctions</w:t>
      </w:r>
      <w:r w:rsidR="00806384">
        <w:rPr>
          <w:sz w:val="23"/>
          <w:szCs w:val="23"/>
        </w:rPr>
        <w:t xml:space="preserve">, FX sales to the state </w:t>
      </w:r>
      <w:r w:rsidR="00806384">
        <w:rPr>
          <w:sz w:val="23"/>
          <w:szCs w:val="23"/>
        </w:rPr>
        <w:lastRenderedPageBreak/>
        <w:t>energy company and the large FX lending facility</w:t>
      </w:r>
      <w:r w:rsidR="00AA1360" w:rsidRPr="003B758C">
        <w:rPr>
          <w:sz w:val="23"/>
          <w:szCs w:val="23"/>
        </w:rPr>
        <w:t xml:space="preserve"> </w:t>
      </w:r>
      <w:r w:rsidR="006F2392" w:rsidRPr="003B758C">
        <w:rPr>
          <w:sz w:val="23"/>
          <w:szCs w:val="23"/>
        </w:rPr>
        <w:t>limit its flexibility to respond to a systemic crisis</w:t>
      </w:r>
      <w:r w:rsidR="00806384">
        <w:rPr>
          <w:sz w:val="23"/>
          <w:szCs w:val="23"/>
        </w:rPr>
        <w:t xml:space="preserve">. Eliminating regular FX </w:t>
      </w:r>
      <w:r w:rsidR="005239E6">
        <w:rPr>
          <w:sz w:val="23"/>
          <w:szCs w:val="23"/>
        </w:rPr>
        <w:t xml:space="preserve">auctions </w:t>
      </w:r>
      <w:r w:rsidR="00806384">
        <w:rPr>
          <w:sz w:val="23"/>
          <w:szCs w:val="23"/>
        </w:rPr>
        <w:t xml:space="preserve">and </w:t>
      </w:r>
      <w:r w:rsidR="005239E6">
        <w:rPr>
          <w:sz w:val="23"/>
          <w:szCs w:val="23"/>
        </w:rPr>
        <w:t xml:space="preserve">sales </w:t>
      </w:r>
      <w:r w:rsidR="00806384">
        <w:rPr>
          <w:sz w:val="23"/>
          <w:szCs w:val="23"/>
        </w:rPr>
        <w:t>would increase flexibility while fostering FX market development and liquidity.</w:t>
      </w:r>
      <w:r w:rsidR="00806384" w:rsidRPr="00806384">
        <w:rPr>
          <w:rStyle w:val="FootnoteReference"/>
        </w:rPr>
        <w:t xml:space="preserve"> </w:t>
      </w:r>
      <w:r w:rsidR="00806384">
        <w:rPr>
          <w:rStyle w:val="FootnoteReference"/>
        </w:rPr>
        <w:footnoteReference w:id="7"/>
      </w:r>
      <w:r w:rsidR="00806384" w:rsidRPr="001F11CF">
        <w:t xml:space="preserve"> </w:t>
      </w:r>
      <w:r w:rsidR="003B758C" w:rsidRPr="003B758C">
        <w:rPr>
          <w:sz w:val="23"/>
          <w:szCs w:val="23"/>
        </w:rPr>
        <w:t xml:space="preserve"> </w:t>
      </w:r>
    </w:p>
    <w:p w14:paraId="65825472" w14:textId="2DA6D503" w:rsidR="00CB1A85" w:rsidRPr="003B758C" w:rsidRDefault="00806384" w:rsidP="007729D7">
      <w:pPr>
        <w:pStyle w:val="ParagraphNumbering"/>
        <w:tabs>
          <w:tab w:val="clear" w:pos="1260"/>
        </w:tabs>
        <w:spacing w:line="240" w:lineRule="auto"/>
        <w:ind w:left="0"/>
        <w:rPr>
          <w:sz w:val="23"/>
          <w:szCs w:val="23"/>
        </w:rPr>
      </w:pPr>
      <w:r w:rsidRPr="005239E6">
        <w:rPr>
          <w:b/>
          <w:sz w:val="23"/>
          <w:szCs w:val="23"/>
        </w:rPr>
        <w:t>T</w:t>
      </w:r>
      <w:r w:rsidR="006F2392" w:rsidRPr="005239E6">
        <w:rPr>
          <w:b/>
          <w:sz w:val="23"/>
          <w:szCs w:val="23"/>
        </w:rPr>
        <w:t xml:space="preserve">he CBRT’s ELA function should be </w:t>
      </w:r>
      <w:r w:rsidR="00A850D3" w:rsidRPr="005239E6">
        <w:rPr>
          <w:b/>
          <w:sz w:val="23"/>
          <w:szCs w:val="23"/>
        </w:rPr>
        <w:t>enhanced</w:t>
      </w:r>
      <w:r w:rsidR="006F2392" w:rsidRPr="00806384">
        <w:rPr>
          <w:b/>
          <w:sz w:val="23"/>
          <w:szCs w:val="23"/>
        </w:rPr>
        <w:t>.</w:t>
      </w:r>
      <w:r w:rsidR="006F2392" w:rsidRPr="003B758C">
        <w:rPr>
          <w:b/>
          <w:sz w:val="23"/>
          <w:szCs w:val="23"/>
        </w:rPr>
        <w:t xml:space="preserve"> </w:t>
      </w:r>
      <w:r w:rsidR="006F2392" w:rsidRPr="0012139E">
        <w:rPr>
          <w:sz w:val="23"/>
          <w:szCs w:val="23"/>
        </w:rPr>
        <w:t>Some operations such as the FX lending facility should be considered ELA and separated from standard operations</w:t>
      </w:r>
      <w:r w:rsidR="006F2392" w:rsidRPr="003B758C">
        <w:rPr>
          <w:sz w:val="23"/>
          <w:szCs w:val="23"/>
        </w:rPr>
        <w:t xml:space="preserve">. </w:t>
      </w:r>
      <w:r w:rsidR="003B758C">
        <w:rPr>
          <w:sz w:val="23"/>
          <w:szCs w:val="23"/>
        </w:rPr>
        <w:t xml:space="preserve">This </w:t>
      </w:r>
      <w:r w:rsidR="00A850D3" w:rsidRPr="003B758C">
        <w:rPr>
          <w:sz w:val="23"/>
          <w:szCs w:val="23"/>
        </w:rPr>
        <w:t>would</w:t>
      </w:r>
      <w:r w:rsidR="006F2392" w:rsidRPr="003B758C">
        <w:rPr>
          <w:sz w:val="23"/>
          <w:szCs w:val="23"/>
        </w:rPr>
        <w:t xml:space="preserve"> give the CBRT additional flexibility in a crisis and bolster incentives for banks to self-insure</w:t>
      </w:r>
      <w:r w:rsidR="00A850D3" w:rsidRPr="003B758C">
        <w:rPr>
          <w:sz w:val="23"/>
          <w:szCs w:val="23"/>
        </w:rPr>
        <w:t xml:space="preserve"> against FX liquidity risks.</w:t>
      </w:r>
      <w:r w:rsidR="0030623E">
        <w:rPr>
          <w:sz w:val="23"/>
          <w:szCs w:val="23"/>
        </w:rPr>
        <w:t xml:space="preserve"> </w:t>
      </w:r>
      <w:r>
        <w:rPr>
          <w:sz w:val="23"/>
          <w:szCs w:val="23"/>
        </w:rPr>
        <w:t>Horizon scanning processes for identifying potential ELA needs should be enhanced and regular tests of procedures undertaken. An expanded range of ELA collateral should be introduced (including accepting bank loans)</w:t>
      </w:r>
      <w:r w:rsidR="006666B8">
        <w:rPr>
          <w:sz w:val="23"/>
          <w:szCs w:val="23"/>
        </w:rPr>
        <w:t xml:space="preserve"> </w:t>
      </w:r>
      <w:r>
        <w:rPr>
          <w:sz w:val="23"/>
          <w:szCs w:val="23"/>
        </w:rPr>
        <w:t>and prepositioned to facilitate its use.</w:t>
      </w:r>
    </w:p>
    <w:p w14:paraId="53EE9904" w14:textId="77777777" w:rsidR="006F2392" w:rsidRPr="006F2392" w:rsidRDefault="006F2392" w:rsidP="00D35C14">
      <w:pPr>
        <w:pStyle w:val="Heading2"/>
        <w:ind w:left="0"/>
      </w:pPr>
      <w:bookmarkStart w:id="134" w:name="_Toc469295354"/>
      <w:r w:rsidRPr="006F2392">
        <w:t>Financial Safety Nets, Bank Resolution, and Crisis Management Arrangements</w:t>
      </w:r>
      <w:bookmarkEnd w:id="134"/>
      <w:r w:rsidRPr="006F2392">
        <w:t xml:space="preserve"> </w:t>
      </w:r>
    </w:p>
    <w:p w14:paraId="0371151C" w14:textId="77777777" w:rsidR="006F2392" w:rsidRPr="00DE051C" w:rsidRDefault="006F2392" w:rsidP="007729D7">
      <w:pPr>
        <w:pStyle w:val="ParagraphNumbering"/>
        <w:tabs>
          <w:tab w:val="clear" w:pos="1260"/>
        </w:tabs>
        <w:spacing w:line="240" w:lineRule="auto"/>
        <w:ind w:left="0"/>
        <w:rPr>
          <w:sz w:val="23"/>
          <w:szCs w:val="23"/>
        </w:rPr>
      </w:pPr>
      <w:r w:rsidRPr="00AA408C">
        <w:rPr>
          <w:b/>
          <w:sz w:val="23"/>
          <w:szCs w:val="23"/>
        </w:rPr>
        <w:t>Turkey has a number of the elements in place for effective financial safety nets, recovery and resolution frameworks, and crisis management arrangements</w:t>
      </w:r>
      <w:r w:rsidRPr="00DE051C">
        <w:rPr>
          <w:sz w:val="23"/>
          <w:szCs w:val="23"/>
        </w:rPr>
        <w:t xml:space="preserve">. There is a reasonably clear institutional framework for recovery and resolution, with specific tasks allocated to the supervisory agency, resolution authority, central bank and the Treasury, as well as structures to facilitate domestic coordination. The laws applicable to bank recovery and resolution also contain many essential provisions, including corrective action powers, triggers for entry into resolution and a broad range of resolution powers. </w:t>
      </w:r>
    </w:p>
    <w:p w14:paraId="244380CE" w14:textId="5A000A06" w:rsidR="006F2392" w:rsidRPr="00DE051C" w:rsidRDefault="006F2392" w:rsidP="007729D7">
      <w:pPr>
        <w:pStyle w:val="ParagraphNumbering"/>
        <w:tabs>
          <w:tab w:val="clear" w:pos="1260"/>
        </w:tabs>
        <w:spacing w:line="240" w:lineRule="auto"/>
        <w:ind w:left="0"/>
        <w:rPr>
          <w:sz w:val="23"/>
          <w:szCs w:val="23"/>
        </w:rPr>
      </w:pPr>
      <w:r w:rsidRPr="00AA408C">
        <w:rPr>
          <w:b/>
          <w:sz w:val="23"/>
          <w:szCs w:val="23"/>
        </w:rPr>
        <w:t>The deposit insurance arrangements in Turkey are well developed</w:t>
      </w:r>
      <w:r w:rsidRPr="00DE051C">
        <w:rPr>
          <w:sz w:val="23"/>
          <w:szCs w:val="23"/>
        </w:rPr>
        <w:t xml:space="preserve">. SDIF has many of the powers required to make payouts to insured depositors and has developed systems </w:t>
      </w:r>
      <w:r w:rsidR="00F22348">
        <w:rPr>
          <w:sz w:val="23"/>
          <w:szCs w:val="23"/>
        </w:rPr>
        <w:t>and controls</w:t>
      </w:r>
      <w:r w:rsidRPr="00DE051C">
        <w:rPr>
          <w:sz w:val="23"/>
          <w:szCs w:val="23"/>
        </w:rPr>
        <w:t xml:space="preserve"> to achieve this in a relatively short period. The d</w:t>
      </w:r>
      <w:r w:rsidR="00F52422">
        <w:rPr>
          <w:sz w:val="23"/>
          <w:szCs w:val="23"/>
        </w:rPr>
        <w:t>eposit insurance limit of TL100,</w:t>
      </w:r>
      <w:r w:rsidRPr="00DE051C">
        <w:rPr>
          <w:sz w:val="23"/>
          <w:szCs w:val="23"/>
        </w:rPr>
        <w:t>000 per depositor per bank provides full coverage to over 95 percent of natural person depositors. The deposit insurance fund is financed on an ex ante basis and as of June 2016 represent</w:t>
      </w:r>
      <w:r w:rsidR="00F22348">
        <w:rPr>
          <w:sz w:val="23"/>
          <w:szCs w:val="23"/>
        </w:rPr>
        <w:t>ed</w:t>
      </w:r>
      <w:r w:rsidRPr="00DE051C">
        <w:rPr>
          <w:sz w:val="23"/>
          <w:szCs w:val="23"/>
        </w:rPr>
        <w:t xml:space="preserve"> </w:t>
      </w:r>
      <w:r w:rsidR="00E9325C">
        <w:rPr>
          <w:sz w:val="23"/>
          <w:szCs w:val="23"/>
        </w:rPr>
        <w:t>over six</w:t>
      </w:r>
      <w:r w:rsidRPr="00DE051C">
        <w:rPr>
          <w:sz w:val="23"/>
          <w:szCs w:val="23"/>
        </w:rPr>
        <w:t xml:space="preserve"> percent of insured deposits</w:t>
      </w:r>
      <w:r w:rsidR="00F418DA">
        <w:rPr>
          <w:sz w:val="23"/>
          <w:szCs w:val="23"/>
        </w:rPr>
        <w:t xml:space="preserve"> – relatively high by international standards</w:t>
      </w:r>
      <w:r w:rsidRPr="00DE051C">
        <w:rPr>
          <w:sz w:val="23"/>
          <w:szCs w:val="23"/>
        </w:rPr>
        <w:t>.</w:t>
      </w:r>
      <w:r w:rsidR="00F22348">
        <w:rPr>
          <w:sz w:val="23"/>
          <w:szCs w:val="23"/>
        </w:rPr>
        <w:t xml:space="preserve"> As recognized by the SDIF, there is a need to strengthen the purchase and assumption implementation arrangements and to develop the capacity to complete deposit insurance payments within, ultimately, a target period of 7 days.</w:t>
      </w:r>
    </w:p>
    <w:p w14:paraId="4CB12A10" w14:textId="18FBD245" w:rsidR="006F2392" w:rsidRPr="00DE051C" w:rsidRDefault="006F2392" w:rsidP="007729D7">
      <w:pPr>
        <w:pStyle w:val="ParagraphNumbering"/>
        <w:tabs>
          <w:tab w:val="clear" w:pos="1260"/>
        </w:tabs>
        <w:spacing w:line="240" w:lineRule="auto"/>
        <w:ind w:left="0"/>
        <w:rPr>
          <w:sz w:val="23"/>
          <w:szCs w:val="23"/>
        </w:rPr>
      </w:pPr>
      <w:r w:rsidRPr="00AA408C">
        <w:rPr>
          <w:b/>
          <w:sz w:val="23"/>
          <w:szCs w:val="23"/>
        </w:rPr>
        <w:t xml:space="preserve">As the authorities have recognized, there are still many </w:t>
      </w:r>
      <w:r w:rsidR="00F418DA">
        <w:rPr>
          <w:b/>
          <w:sz w:val="23"/>
          <w:szCs w:val="23"/>
        </w:rPr>
        <w:t>shortcomings</w:t>
      </w:r>
      <w:r w:rsidRPr="00AA408C">
        <w:rPr>
          <w:b/>
          <w:sz w:val="23"/>
          <w:szCs w:val="23"/>
        </w:rPr>
        <w:t xml:space="preserve"> in the financial safety net arrangements, </w:t>
      </w:r>
      <w:r w:rsidR="00F22348">
        <w:rPr>
          <w:b/>
          <w:sz w:val="23"/>
          <w:szCs w:val="23"/>
        </w:rPr>
        <w:t>particularly having regard to the</w:t>
      </w:r>
      <w:r w:rsidR="00F418DA">
        <w:rPr>
          <w:b/>
          <w:sz w:val="23"/>
          <w:szCs w:val="23"/>
        </w:rPr>
        <w:t xml:space="preserve"> new international standards introduced after the global crisis</w:t>
      </w:r>
      <w:r w:rsidRPr="00DE051C">
        <w:rPr>
          <w:sz w:val="23"/>
          <w:szCs w:val="23"/>
        </w:rPr>
        <w:t xml:space="preserve">. The authorities are currently </w:t>
      </w:r>
      <w:r w:rsidR="00F22348">
        <w:rPr>
          <w:sz w:val="23"/>
          <w:szCs w:val="23"/>
        </w:rPr>
        <w:t>initiating</w:t>
      </w:r>
      <w:r w:rsidRPr="00DE051C">
        <w:rPr>
          <w:sz w:val="23"/>
          <w:szCs w:val="23"/>
        </w:rPr>
        <w:t xml:space="preserve"> reforms to address a </w:t>
      </w:r>
      <w:r w:rsidRPr="00DE051C">
        <w:rPr>
          <w:sz w:val="23"/>
          <w:szCs w:val="23"/>
        </w:rPr>
        <w:lastRenderedPageBreak/>
        <w:t xml:space="preserve">number of these, including proposals for strengthening the BL and developing policy in relation to recovery planning, resolvability assessments and resolution planning. </w:t>
      </w:r>
    </w:p>
    <w:p w14:paraId="43A78FBD" w14:textId="0FBE64A8" w:rsidR="006F2392" w:rsidRPr="00DE051C" w:rsidRDefault="006F2392" w:rsidP="007729D7">
      <w:pPr>
        <w:pStyle w:val="ParagraphNumbering"/>
        <w:tabs>
          <w:tab w:val="clear" w:pos="1260"/>
        </w:tabs>
        <w:spacing w:line="240" w:lineRule="auto"/>
        <w:ind w:left="0"/>
        <w:rPr>
          <w:sz w:val="23"/>
          <w:szCs w:val="23"/>
        </w:rPr>
      </w:pPr>
      <w:r w:rsidRPr="00AA408C">
        <w:rPr>
          <w:b/>
          <w:sz w:val="23"/>
          <w:szCs w:val="23"/>
        </w:rPr>
        <w:t>Legal changes should be accompanied by a strengthening of institutional arrangements for crisis management</w:t>
      </w:r>
      <w:r w:rsidRPr="00DE051C">
        <w:rPr>
          <w:sz w:val="23"/>
          <w:szCs w:val="23"/>
        </w:rPr>
        <w:t>. Additional clarification of the objectives of each agency would be beneficial, ensuring that each support</w:t>
      </w:r>
      <w:r w:rsidR="00F22348">
        <w:rPr>
          <w:sz w:val="23"/>
          <w:szCs w:val="23"/>
        </w:rPr>
        <w:t>s</w:t>
      </w:r>
      <w:r w:rsidRPr="00DE051C">
        <w:rPr>
          <w:sz w:val="23"/>
          <w:szCs w:val="23"/>
        </w:rPr>
        <w:t xml:space="preserve"> effective crisis management and financial stability. </w:t>
      </w:r>
      <w:r w:rsidR="00291786">
        <w:rPr>
          <w:sz w:val="23"/>
          <w:szCs w:val="23"/>
        </w:rPr>
        <w:t>T</w:t>
      </w:r>
      <w:r w:rsidRPr="00DE051C">
        <w:rPr>
          <w:sz w:val="23"/>
          <w:szCs w:val="23"/>
        </w:rPr>
        <w:t xml:space="preserve">here is </w:t>
      </w:r>
      <w:r w:rsidR="00291786">
        <w:rPr>
          <w:sz w:val="23"/>
          <w:szCs w:val="23"/>
        </w:rPr>
        <w:t xml:space="preserve">also </w:t>
      </w:r>
      <w:r w:rsidRPr="00DE051C">
        <w:rPr>
          <w:sz w:val="23"/>
          <w:szCs w:val="23"/>
        </w:rPr>
        <w:t xml:space="preserve">merit to reconsidering the </w:t>
      </w:r>
      <w:r w:rsidR="00291786">
        <w:rPr>
          <w:sz w:val="23"/>
          <w:szCs w:val="23"/>
        </w:rPr>
        <w:t xml:space="preserve">roles of the BRSA and SDIF in the process of entry into resolution. </w:t>
      </w:r>
    </w:p>
    <w:p w14:paraId="0E421D08" w14:textId="73344FC2" w:rsidR="006F2392" w:rsidRPr="00DE051C" w:rsidRDefault="006F2392" w:rsidP="007729D7">
      <w:pPr>
        <w:pStyle w:val="ParagraphNumbering"/>
        <w:tabs>
          <w:tab w:val="clear" w:pos="1260"/>
        </w:tabs>
        <w:spacing w:line="240" w:lineRule="auto"/>
        <w:ind w:left="0"/>
        <w:rPr>
          <w:sz w:val="23"/>
          <w:szCs w:val="23"/>
        </w:rPr>
      </w:pPr>
      <w:r w:rsidRPr="00AA408C">
        <w:rPr>
          <w:b/>
          <w:sz w:val="23"/>
          <w:szCs w:val="23"/>
        </w:rPr>
        <w:t xml:space="preserve">Coordination mechanisms </w:t>
      </w:r>
      <w:r w:rsidR="00F22348">
        <w:rPr>
          <w:b/>
          <w:sz w:val="23"/>
          <w:szCs w:val="23"/>
        </w:rPr>
        <w:t>among</w:t>
      </w:r>
      <w:r w:rsidRPr="00AA408C">
        <w:rPr>
          <w:b/>
          <w:sz w:val="23"/>
          <w:szCs w:val="23"/>
        </w:rPr>
        <w:t xml:space="preserve"> the agencies should also be enhanced</w:t>
      </w:r>
      <w:r w:rsidRPr="00DE051C">
        <w:rPr>
          <w:sz w:val="23"/>
          <w:szCs w:val="23"/>
        </w:rPr>
        <w:t>. In particular, there would be considerable benefit from establish</w:t>
      </w:r>
      <w:r w:rsidR="00F22348">
        <w:rPr>
          <w:sz w:val="23"/>
          <w:szCs w:val="23"/>
        </w:rPr>
        <w:t>ing</w:t>
      </w:r>
      <w:r w:rsidRPr="00DE051C">
        <w:rPr>
          <w:sz w:val="23"/>
          <w:szCs w:val="23"/>
        </w:rPr>
        <w:t xml:space="preserve"> a standing working group under the FSC, comprising all member agencies, which would be tasked to coordinate the development of crisis management strategies and options, including policies on recovery planning, resolvability assessments and resolution planning. </w:t>
      </w:r>
      <w:r w:rsidR="00506375">
        <w:rPr>
          <w:sz w:val="23"/>
          <w:szCs w:val="23"/>
        </w:rPr>
        <w:t>A</w:t>
      </w:r>
      <w:r w:rsidRPr="00DE051C">
        <w:rPr>
          <w:sz w:val="23"/>
          <w:szCs w:val="23"/>
        </w:rPr>
        <w:t xml:space="preserve">rrangements would also be buttressed by the development of a published </w:t>
      </w:r>
      <w:r w:rsidR="00F22348">
        <w:rPr>
          <w:sz w:val="23"/>
          <w:szCs w:val="23"/>
        </w:rPr>
        <w:t xml:space="preserve">FSC </w:t>
      </w:r>
      <w:r w:rsidRPr="00DE051C">
        <w:rPr>
          <w:sz w:val="23"/>
          <w:szCs w:val="23"/>
        </w:rPr>
        <w:t xml:space="preserve">crisis management MOU setting out the objectives and principles of bank resolution, the responsibilities of each agency, and the processes for </w:t>
      </w:r>
      <w:r w:rsidR="00506375">
        <w:rPr>
          <w:sz w:val="23"/>
          <w:szCs w:val="23"/>
        </w:rPr>
        <w:t xml:space="preserve">crisis management </w:t>
      </w:r>
      <w:r w:rsidRPr="00DE051C">
        <w:rPr>
          <w:sz w:val="23"/>
          <w:szCs w:val="23"/>
        </w:rPr>
        <w:t xml:space="preserve">coordination. </w:t>
      </w:r>
    </w:p>
    <w:p w14:paraId="19606771" w14:textId="1839FD3B" w:rsidR="006F2392" w:rsidRPr="00DE051C" w:rsidRDefault="006F2392" w:rsidP="007729D7">
      <w:pPr>
        <w:pStyle w:val="ParagraphNumbering"/>
        <w:tabs>
          <w:tab w:val="clear" w:pos="1260"/>
        </w:tabs>
        <w:spacing w:line="240" w:lineRule="auto"/>
        <w:ind w:left="0"/>
        <w:rPr>
          <w:sz w:val="23"/>
          <w:szCs w:val="23"/>
        </w:rPr>
      </w:pPr>
      <w:r w:rsidRPr="00AA408C">
        <w:rPr>
          <w:b/>
          <w:sz w:val="23"/>
          <w:szCs w:val="23"/>
        </w:rPr>
        <w:t xml:space="preserve">The case for </w:t>
      </w:r>
      <w:r w:rsidR="00EB131A">
        <w:rPr>
          <w:b/>
          <w:sz w:val="23"/>
          <w:szCs w:val="23"/>
        </w:rPr>
        <w:t xml:space="preserve">the </w:t>
      </w:r>
      <w:r w:rsidRPr="00AA408C">
        <w:rPr>
          <w:b/>
          <w:sz w:val="23"/>
          <w:szCs w:val="23"/>
        </w:rPr>
        <w:t xml:space="preserve">establishment of a new </w:t>
      </w:r>
      <w:r w:rsidR="00EB131A">
        <w:rPr>
          <w:b/>
          <w:sz w:val="23"/>
          <w:szCs w:val="23"/>
        </w:rPr>
        <w:t xml:space="preserve">systemic </w:t>
      </w:r>
      <w:r w:rsidRPr="00AA408C">
        <w:rPr>
          <w:b/>
          <w:sz w:val="23"/>
          <w:szCs w:val="23"/>
        </w:rPr>
        <w:t>resolution funding mechanism should be considered</w:t>
      </w:r>
      <w:r w:rsidRPr="00DE051C">
        <w:rPr>
          <w:sz w:val="23"/>
          <w:szCs w:val="23"/>
        </w:rPr>
        <w:t xml:space="preserve">. It is recommended that the authorities consider a range of resolution funding mechanisms, and the costs and benefits of each, </w:t>
      </w:r>
      <w:r w:rsidR="00360103">
        <w:rPr>
          <w:sz w:val="23"/>
          <w:szCs w:val="23"/>
        </w:rPr>
        <w:t xml:space="preserve">as well as </w:t>
      </w:r>
      <w:r w:rsidRPr="00DE051C">
        <w:rPr>
          <w:sz w:val="23"/>
          <w:szCs w:val="23"/>
        </w:rPr>
        <w:t>provid</w:t>
      </w:r>
      <w:r w:rsidR="00360103">
        <w:rPr>
          <w:sz w:val="23"/>
          <w:szCs w:val="23"/>
        </w:rPr>
        <w:t>ing</w:t>
      </w:r>
      <w:r w:rsidRPr="00DE051C">
        <w:rPr>
          <w:sz w:val="23"/>
          <w:szCs w:val="23"/>
        </w:rPr>
        <w:t xml:space="preserve"> legal clarity on the</w:t>
      </w:r>
      <w:r w:rsidR="00360103">
        <w:rPr>
          <w:sz w:val="23"/>
          <w:szCs w:val="23"/>
        </w:rPr>
        <w:t xml:space="preserve"> application of the mechanism</w:t>
      </w:r>
      <w:r w:rsidRPr="00DE051C">
        <w:rPr>
          <w:sz w:val="23"/>
          <w:szCs w:val="23"/>
        </w:rPr>
        <w:t>.</w:t>
      </w:r>
    </w:p>
    <w:p w14:paraId="226D21FC" w14:textId="0D30ABB2" w:rsidR="006F2392" w:rsidRDefault="006F2392" w:rsidP="007729D7">
      <w:pPr>
        <w:pStyle w:val="ParagraphNumbering"/>
        <w:tabs>
          <w:tab w:val="clear" w:pos="1260"/>
        </w:tabs>
        <w:spacing w:line="240" w:lineRule="auto"/>
        <w:ind w:left="0"/>
      </w:pPr>
      <w:r w:rsidRPr="00AA408C">
        <w:rPr>
          <w:b/>
          <w:sz w:val="23"/>
          <w:szCs w:val="23"/>
        </w:rPr>
        <w:t>Cross-border recovery and resolution arrangements should also be bolstered</w:t>
      </w:r>
      <w:r w:rsidRPr="00DE051C">
        <w:rPr>
          <w:sz w:val="23"/>
          <w:szCs w:val="23"/>
        </w:rPr>
        <w:t xml:space="preserve">. Currently, there are no crisis management MOUs in place between the SDIF and its foreign counterparts. SDIF is not involved in any CMGs and has not established CMGs for </w:t>
      </w:r>
      <w:r w:rsidR="00360103">
        <w:rPr>
          <w:sz w:val="23"/>
          <w:szCs w:val="23"/>
        </w:rPr>
        <w:t xml:space="preserve">systemically important </w:t>
      </w:r>
      <w:r w:rsidRPr="00DE051C">
        <w:rPr>
          <w:sz w:val="23"/>
          <w:szCs w:val="23"/>
        </w:rPr>
        <w:t xml:space="preserve">banks domiciled in Turkey. </w:t>
      </w:r>
      <w:r w:rsidR="00EB131A">
        <w:rPr>
          <w:sz w:val="23"/>
          <w:szCs w:val="23"/>
        </w:rPr>
        <w:t xml:space="preserve">Given the importance of foreign banks in Turkey, it is suggested that the agencies establish crisis management MOUs with the foreign authorities (home and host) of systemic importance to Turkey and that they establish or seek involvement in CMGs where practicable. </w:t>
      </w:r>
    </w:p>
    <w:p w14:paraId="4FBD8269" w14:textId="77777777" w:rsidR="00B9497A" w:rsidRPr="0074410D" w:rsidRDefault="006F2392" w:rsidP="00D35C14">
      <w:pPr>
        <w:pStyle w:val="Heading2"/>
        <w:ind w:left="0"/>
      </w:pPr>
      <w:bookmarkStart w:id="135" w:name="_Toc469295355"/>
      <w:r>
        <w:t>Financial Integrity</w:t>
      </w:r>
      <w:bookmarkEnd w:id="135"/>
    </w:p>
    <w:p w14:paraId="3440C306" w14:textId="1B4D237D" w:rsidR="006F2392" w:rsidRPr="00AA408C" w:rsidRDefault="006F2392" w:rsidP="007729D7">
      <w:pPr>
        <w:pStyle w:val="ParagraphNumbering"/>
        <w:tabs>
          <w:tab w:val="clear" w:pos="1260"/>
        </w:tabs>
        <w:spacing w:line="240" w:lineRule="auto"/>
        <w:ind w:left="0"/>
        <w:rPr>
          <w:sz w:val="23"/>
          <w:szCs w:val="23"/>
        </w:rPr>
      </w:pPr>
      <w:r w:rsidRPr="00AA408C">
        <w:rPr>
          <w:b/>
          <w:sz w:val="23"/>
          <w:szCs w:val="23"/>
        </w:rPr>
        <w:t xml:space="preserve">Turkey is confronted with significant ML/TF </w:t>
      </w:r>
      <w:r w:rsidR="00EB131A">
        <w:rPr>
          <w:b/>
          <w:sz w:val="23"/>
          <w:szCs w:val="23"/>
        </w:rPr>
        <w:t>risks, but has taken important steps to strengthen the AML/CFT regime.</w:t>
      </w:r>
      <w:r w:rsidRPr="00AA408C">
        <w:rPr>
          <w:b/>
          <w:sz w:val="23"/>
          <w:szCs w:val="23"/>
        </w:rPr>
        <w:t xml:space="preserve"> </w:t>
      </w:r>
      <w:r w:rsidRPr="000979EF">
        <w:rPr>
          <w:sz w:val="23"/>
          <w:szCs w:val="23"/>
        </w:rPr>
        <w:t xml:space="preserve">The country faces serious threats from </w:t>
      </w:r>
      <w:r w:rsidR="000A425A">
        <w:rPr>
          <w:sz w:val="23"/>
          <w:szCs w:val="23"/>
        </w:rPr>
        <w:t xml:space="preserve">illegal activities of </w:t>
      </w:r>
      <w:r w:rsidRPr="000979EF">
        <w:rPr>
          <w:sz w:val="23"/>
          <w:szCs w:val="23"/>
        </w:rPr>
        <w:t xml:space="preserve">criminal and terrorist organizations (e.g., ISIL) </w:t>
      </w:r>
      <w:r w:rsidR="000A425A">
        <w:rPr>
          <w:sz w:val="23"/>
          <w:szCs w:val="23"/>
        </w:rPr>
        <w:t>as well as corruption</w:t>
      </w:r>
      <w:r w:rsidRPr="005C5F0D">
        <w:rPr>
          <w:sz w:val="23"/>
          <w:szCs w:val="23"/>
        </w:rPr>
        <w:t>.</w:t>
      </w:r>
      <w:r w:rsidRPr="00AA408C">
        <w:rPr>
          <w:sz w:val="23"/>
          <w:szCs w:val="23"/>
        </w:rPr>
        <w:t xml:space="preserve"> Turkey is particularly vulnerable to ML/TF activities owing to its importance as a regional financial center and strategic location.</w:t>
      </w:r>
      <w:r w:rsidRPr="00AA408C" w:rsidDel="009F2073">
        <w:rPr>
          <w:sz w:val="23"/>
          <w:szCs w:val="23"/>
        </w:rPr>
        <w:t xml:space="preserve"> </w:t>
      </w:r>
    </w:p>
    <w:p w14:paraId="33867E98" w14:textId="3BB8798E" w:rsidR="006F2392" w:rsidRPr="00AA408C" w:rsidRDefault="000A425A" w:rsidP="007729D7">
      <w:pPr>
        <w:pStyle w:val="ParagraphNumbering"/>
        <w:tabs>
          <w:tab w:val="clear" w:pos="1260"/>
        </w:tabs>
        <w:spacing w:line="240" w:lineRule="auto"/>
        <w:ind w:left="0"/>
        <w:rPr>
          <w:sz w:val="23"/>
          <w:szCs w:val="23"/>
        </w:rPr>
      </w:pPr>
      <w:r w:rsidRPr="000A425A">
        <w:rPr>
          <w:b/>
          <w:sz w:val="23"/>
          <w:szCs w:val="23"/>
        </w:rPr>
        <w:lastRenderedPageBreak/>
        <w:t>In response, the authorities have adopted a multi-dimensional approach to combating ML/TF that underscores enhanced domestic cooperation</w:t>
      </w:r>
      <w:r w:rsidR="006F2392" w:rsidRPr="00CE3C18">
        <w:rPr>
          <w:b/>
          <w:sz w:val="23"/>
          <w:szCs w:val="23"/>
        </w:rPr>
        <w:t>.</w:t>
      </w:r>
      <w:r w:rsidR="006F2392" w:rsidRPr="00AA408C">
        <w:rPr>
          <w:sz w:val="23"/>
          <w:szCs w:val="23"/>
        </w:rPr>
        <w:t xml:space="preserve"> The legal framework was amended to </w:t>
      </w:r>
      <w:r>
        <w:rPr>
          <w:sz w:val="23"/>
          <w:szCs w:val="23"/>
        </w:rPr>
        <w:t xml:space="preserve">adequately </w:t>
      </w:r>
      <w:r w:rsidR="006F2392" w:rsidRPr="00AA408C">
        <w:rPr>
          <w:sz w:val="23"/>
          <w:szCs w:val="23"/>
        </w:rPr>
        <w:t xml:space="preserve">criminalize money laundering </w:t>
      </w:r>
      <w:r>
        <w:rPr>
          <w:sz w:val="23"/>
          <w:szCs w:val="23"/>
        </w:rPr>
        <w:t>and establish</w:t>
      </w:r>
      <w:r w:rsidR="006F2392" w:rsidRPr="00AA408C">
        <w:rPr>
          <w:sz w:val="23"/>
          <w:szCs w:val="23"/>
        </w:rPr>
        <w:t xml:space="preserve"> mechanisms to freeze terrorist assets. A national risk assessment (NRA) is underway to </w:t>
      </w:r>
      <w:r>
        <w:rPr>
          <w:sz w:val="23"/>
          <w:szCs w:val="23"/>
        </w:rPr>
        <w:t>better</w:t>
      </w:r>
      <w:r w:rsidR="006F2392" w:rsidRPr="00AA408C">
        <w:rPr>
          <w:sz w:val="23"/>
          <w:szCs w:val="23"/>
        </w:rPr>
        <w:t xml:space="preserve"> understand ML/TF risks, and is expected to be completed before Turkey’s next mutual evaluation by the FATF in 2019. </w:t>
      </w:r>
    </w:p>
    <w:p w14:paraId="49B356A6" w14:textId="1BAF05D7" w:rsidR="006F2392" w:rsidRPr="00AA408C" w:rsidRDefault="006F2392" w:rsidP="007729D7">
      <w:pPr>
        <w:pStyle w:val="ParagraphNumbering"/>
        <w:tabs>
          <w:tab w:val="clear" w:pos="1260"/>
        </w:tabs>
        <w:spacing w:line="240" w:lineRule="auto"/>
        <w:ind w:left="0"/>
        <w:rPr>
          <w:sz w:val="23"/>
          <w:szCs w:val="23"/>
        </w:rPr>
      </w:pPr>
      <w:r w:rsidRPr="00AA408C">
        <w:rPr>
          <w:b/>
          <w:sz w:val="23"/>
          <w:szCs w:val="23"/>
        </w:rPr>
        <w:t xml:space="preserve">The authorities are encouraged to </w:t>
      </w:r>
      <w:r w:rsidR="005C5F0D">
        <w:rPr>
          <w:b/>
          <w:sz w:val="23"/>
          <w:szCs w:val="23"/>
        </w:rPr>
        <w:t xml:space="preserve">build on this progress and further strengthen implementation of the </w:t>
      </w:r>
      <w:r w:rsidR="000A425A">
        <w:rPr>
          <w:b/>
          <w:sz w:val="23"/>
          <w:szCs w:val="23"/>
        </w:rPr>
        <w:t xml:space="preserve">AML/CFT </w:t>
      </w:r>
      <w:r w:rsidR="005C5F0D">
        <w:rPr>
          <w:b/>
          <w:sz w:val="23"/>
          <w:szCs w:val="23"/>
        </w:rPr>
        <w:t>regime</w:t>
      </w:r>
      <w:r w:rsidRPr="00AA408C">
        <w:rPr>
          <w:sz w:val="23"/>
          <w:szCs w:val="23"/>
        </w:rPr>
        <w:t xml:space="preserve">. The authorities should, as a priority, determine the reasons for the relatively low ML conviction rate, and develop strategies to address any shortcomings. Prompt completion of the NRA will assist in formulating risk-based </w:t>
      </w:r>
      <w:r w:rsidR="008F70A0">
        <w:rPr>
          <w:sz w:val="23"/>
          <w:szCs w:val="23"/>
        </w:rPr>
        <w:t>responses</w:t>
      </w:r>
      <w:r w:rsidRPr="00AA408C">
        <w:rPr>
          <w:sz w:val="23"/>
          <w:szCs w:val="23"/>
        </w:rPr>
        <w:t xml:space="preserve"> to ML/TF threats and prioritizing resolution of vulnerabilities. The legal framework needs to be aligned with international standards, including customer due diligence requirements for politically exposed persons, criminalization of the financing of FTFs and the evidentiary standard for domestic designations</w:t>
      </w:r>
      <w:r w:rsidR="008F70A0">
        <w:rPr>
          <w:sz w:val="23"/>
          <w:szCs w:val="23"/>
        </w:rPr>
        <w:t>.</w:t>
      </w:r>
      <w:r w:rsidRPr="00AA408C">
        <w:rPr>
          <w:sz w:val="23"/>
          <w:szCs w:val="23"/>
        </w:rPr>
        <w:t xml:space="preserve"> Controls </w:t>
      </w:r>
      <w:r w:rsidR="008F70A0">
        <w:rPr>
          <w:sz w:val="23"/>
          <w:szCs w:val="23"/>
        </w:rPr>
        <w:t>over the</w:t>
      </w:r>
      <w:r w:rsidRPr="00AA408C">
        <w:rPr>
          <w:sz w:val="23"/>
          <w:szCs w:val="23"/>
        </w:rPr>
        <w:t xml:space="preserve"> cross-border transportation of currency should be enhanced (including by increasing fines and sanctions). The authorities also need to ensure </w:t>
      </w:r>
      <w:r w:rsidR="008F70A0">
        <w:rPr>
          <w:sz w:val="23"/>
          <w:szCs w:val="23"/>
        </w:rPr>
        <w:t>that the freezing of assets of designated persons and organizations are conducted</w:t>
      </w:r>
      <w:r w:rsidR="005C5F0D">
        <w:rPr>
          <w:sz w:val="23"/>
          <w:szCs w:val="23"/>
        </w:rPr>
        <w:t xml:space="preserve"> without delay</w:t>
      </w:r>
      <w:r w:rsidRPr="00AA408C">
        <w:rPr>
          <w:sz w:val="23"/>
          <w:szCs w:val="23"/>
        </w:rPr>
        <w:t>.</w:t>
      </w:r>
    </w:p>
    <w:p w14:paraId="0BFB079E" w14:textId="77777777" w:rsidR="007729D7" w:rsidRDefault="007729D7">
      <w:pPr>
        <w:rPr>
          <w:rFonts w:cs="Arial"/>
          <w:b/>
          <w:bCs/>
          <w:smallCaps/>
          <w:kern w:val="28"/>
          <w:szCs w:val="32"/>
        </w:rPr>
      </w:pPr>
      <w:bookmarkStart w:id="136" w:name="_Toc454563002"/>
      <w:bookmarkStart w:id="137" w:name="_Toc454564616"/>
      <w:bookmarkStart w:id="138" w:name="_Toc454564701"/>
      <w:bookmarkStart w:id="139" w:name="_Toc454814972"/>
      <w:bookmarkStart w:id="140" w:name="_Toc469295356"/>
      <w:r>
        <w:br w:type="page"/>
      </w:r>
    </w:p>
    <w:p w14:paraId="000FF873" w14:textId="474061F6" w:rsidR="00695ECB" w:rsidRPr="007729D7" w:rsidRDefault="00031382" w:rsidP="007729D7">
      <w:pPr>
        <w:pStyle w:val="Heading1"/>
        <w:ind w:left="0"/>
      </w:pPr>
      <w:r w:rsidRPr="007729D7">
        <w:lastRenderedPageBreak/>
        <w:t>Broadening markets and s</w:t>
      </w:r>
      <w:r w:rsidR="006F2392" w:rsidRPr="007729D7">
        <w:t>ervices</w:t>
      </w:r>
      <w:bookmarkEnd w:id="136"/>
      <w:bookmarkEnd w:id="137"/>
      <w:bookmarkEnd w:id="138"/>
      <w:bookmarkEnd w:id="139"/>
      <w:bookmarkEnd w:id="140"/>
    </w:p>
    <w:p w14:paraId="7FBAF498" w14:textId="77777777" w:rsidR="006F2392" w:rsidRPr="006F2392" w:rsidRDefault="006F2392" w:rsidP="007729D7">
      <w:pPr>
        <w:pStyle w:val="Heading2"/>
        <w:ind w:left="0"/>
      </w:pPr>
      <w:bookmarkStart w:id="141" w:name="_Toc469295357"/>
      <w:bookmarkStart w:id="142" w:name="_Toc335406502"/>
      <w:r w:rsidRPr="006F2392">
        <w:t>Developing and Deepening Turkish Capital Markets</w:t>
      </w:r>
      <w:bookmarkEnd w:id="141"/>
    </w:p>
    <w:bookmarkEnd w:id="142"/>
    <w:p w14:paraId="42465A7D" w14:textId="77777777" w:rsidR="006F2392" w:rsidRPr="00AA408C" w:rsidRDefault="006F2392" w:rsidP="007729D7">
      <w:pPr>
        <w:pStyle w:val="ParagraphNumbering"/>
        <w:tabs>
          <w:tab w:val="clear" w:pos="1260"/>
        </w:tabs>
        <w:spacing w:line="240" w:lineRule="auto"/>
        <w:ind w:left="0"/>
        <w:rPr>
          <w:sz w:val="23"/>
          <w:szCs w:val="23"/>
        </w:rPr>
      </w:pPr>
      <w:r w:rsidRPr="00AA408C">
        <w:rPr>
          <w:b/>
          <w:sz w:val="23"/>
          <w:szCs w:val="23"/>
        </w:rPr>
        <w:t>The development of capital markets could enhance longer-term financing in local currency, supporting growth and financial stability</w:t>
      </w:r>
      <w:r w:rsidRPr="00AA408C">
        <w:rPr>
          <w:sz w:val="23"/>
          <w:szCs w:val="23"/>
        </w:rPr>
        <w:t>. Deeper capital markets could help alleviate FX exposures and duration mismatches of banks and corporates. They could also serve as an important complement to bank based financing to support investments, while expanding the pool of assets and instruments available for different types of investors.</w:t>
      </w:r>
    </w:p>
    <w:p w14:paraId="200A4AD9" w14:textId="77777777" w:rsidR="006F2392" w:rsidRPr="00C27CF9" w:rsidRDefault="006F2392" w:rsidP="007729D7">
      <w:pPr>
        <w:pStyle w:val="ParagraphNumbering"/>
        <w:tabs>
          <w:tab w:val="clear" w:pos="1260"/>
        </w:tabs>
        <w:spacing w:line="240" w:lineRule="auto"/>
        <w:ind w:left="0"/>
        <w:rPr>
          <w:sz w:val="23"/>
          <w:szCs w:val="23"/>
        </w:rPr>
      </w:pPr>
      <w:r w:rsidRPr="00C27CF9">
        <w:rPr>
          <w:b/>
          <w:sz w:val="23"/>
          <w:szCs w:val="23"/>
        </w:rPr>
        <w:t>Turkey’s domestic capital markets reached greater level of development in recent years</w:t>
      </w:r>
      <w:r w:rsidR="00C27CF9" w:rsidRPr="00C27CF9">
        <w:rPr>
          <w:b/>
          <w:sz w:val="23"/>
          <w:szCs w:val="23"/>
        </w:rPr>
        <w:t>, but important challenges remain to be addressed</w:t>
      </w:r>
      <w:r w:rsidR="00C27CF9" w:rsidRPr="000979EF">
        <w:rPr>
          <w:sz w:val="23"/>
          <w:szCs w:val="23"/>
          <w:vertAlign w:val="superscript"/>
        </w:rPr>
        <w:footnoteReference w:id="8"/>
      </w:r>
      <w:r w:rsidRPr="00C27CF9">
        <w:rPr>
          <w:sz w:val="23"/>
          <w:szCs w:val="23"/>
        </w:rPr>
        <w:t>. The domestic yield curve spans up to 10 years and the volume of corporate debt issuances grew from TL 6.8 billion to TL 115 billion between 2010 and 2015. These developments were supported by a solid market infrastructure; improvements in the regulatory framework</w:t>
      </w:r>
      <w:r w:rsidRPr="000979EF">
        <w:rPr>
          <w:sz w:val="23"/>
          <w:szCs w:val="23"/>
          <w:vertAlign w:val="superscript"/>
        </w:rPr>
        <w:footnoteReference w:id="9"/>
      </w:r>
      <w:r w:rsidRPr="00C27CF9">
        <w:rPr>
          <w:sz w:val="23"/>
          <w:szCs w:val="23"/>
        </w:rPr>
        <w:t>; and the recent growth of pension funds.</w:t>
      </w:r>
      <w:r w:rsidR="00C27CF9">
        <w:rPr>
          <w:sz w:val="23"/>
          <w:szCs w:val="23"/>
        </w:rPr>
        <w:t xml:space="preserve"> However, c</w:t>
      </w:r>
      <w:r w:rsidRPr="00C27CF9">
        <w:rPr>
          <w:sz w:val="23"/>
          <w:szCs w:val="23"/>
        </w:rPr>
        <w:t xml:space="preserve">orporate debt </w:t>
      </w:r>
      <w:r w:rsidR="00E04ABB">
        <w:rPr>
          <w:sz w:val="23"/>
          <w:szCs w:val="23"/>
        </w:rPr>
        <w:t>issuance is dominated by banks (85 percent of total volume) with maturities only up to 6 months for bank bonds, and below 3 years for bonds issued</w:t>
      </w:r>
      <w:r w:rsidRPr="00C27CF9">
        <w:rPr>
          <w:sz w:val="23"/>
          <w:szCs w:val="23"/>
        </w:rPr>
        <w:t xml:space="preserve"> by </w:t>
      </w:r>
      <w:r w:rsidR="00F84CCC">
        <w:rPr>
          <w:sz w:val="23"/>
          <w:szCs w:val="23"/>
        </w:rPr>
        <w:t>NFCs</w:t>
      </w:r>
      <w:r w:rsidR="00E04ABB">
        <w:rPr>
          <w:sz w:val="23"/>
          <w:szCs w:val="23"/>
        </w:rPr>
        <w:t xml:space="preserve">. </w:t>
      </w:r>
      <w:r w:rsidRPr="00C27CF9">
        <w:rPr>
          <w:sz w:val="23"/>
          <w:szCs w:val="23"/>
        </w:rPr>
        <w:t>Lack of hedging tools, such as IRS, constrains the ability of issuers and investors to manage risks of interest rate fluctuations. Liquidity of government debt markets is also decreasing, affected by international trends, a reduction in government borrowing requirements and the participation of a higher share of buy-and-hold investors (e.g. public funds). Investor confidence has been affected</w:t>
      </w:r>
      <w:r w:rsidR="00F84CCC">
        <w:rPr>
          <w:sz w:val="23"/>
          <w:szCs w:val="23"/>
        </w:rPr>
        <w:t>,</w:t>
      </w:r>
      <w:r w:rsidRPr="00C27CF9">
        <w:rPr>
          <w:sz w:val="23"/>
          <w:szCs w:val="23"/>
        </w:rPr>
        <w:t xml:space="preserve"> in part due to vulnerabilities in the corporate sector</w:t>
      </w:r>
      <w:r w:rsidR="00F84CCC">
        <w:rPr>
          <w:sz w:val="23"/>
          <w:szCs w:val="23"/>
        </w:rPr>
        <w:t>,</w:t>
      </w:r>
      <w:r w:rsidRPr="00C27CF9">
        <w:rPr>
          <w:sz w:val="23"/>
          <w:szCs w:val="23"/>
        </w:rPr>
        <w:t xml:space="preserve"> increased use of bankruptcy protection applications</w:t>
      </w:r>
      <w:r w:rsidR="00F84CCC">
        <w:rPr>
          <w:sz w:val="23"/>
          <w:szCs w:val="23"/>
        </w:rPr>
        <w:t>,</w:t>
      </w:r>
      <w:r w:rsidRPr="00C27CF9">
        <w:rPr>
          <w:sz w:val="23"/>
          <w:szCs w:val="23"/>
        </w:rPr>
        <w:t xml:space="preserve"> and poor performance of IPOs. Initiatives to support SME financing via capital markets have achieved only modest results</w:t>
      </w:r>
      <w:r w:rsidR="00F84CCC">
        <w:rPr>
          <w:sz w:val="23"/>
          <w:szCs w:val="23"/>
        </w:rPr>
        <w:t>, and d</w:t>
      </w:r>
      <w:r w:rsidRPr="00C27CF9">
        <w:rPr>
          <w:sz w:val="23"/>
          <w:szCs w:val="23"/>
        </w:rPr>
        <w:t xml:space="preserve">espite recent growth, the institutional investor base is still small, far from its potential. </w:t>
      </w:r>
    </w:p>
    <w:p w14:paraId="45E62DB7" w14:textId="77777777" w:rsidR="006F2392" w:rsidRPr="00AA408C" w:rsidRDefault="006F2392" w:rsidP="007729D7">
      <w:pPr>
        <w:pStyle w:val="ParagraphNumbering"/>
        <w:tabs>
          <w:tab w:val="clear" w:pos="1260"/>
        </w:tabs>
        <w:spacing w:line="240" w:lineRule="auto"/>
        <w:ind w:left="0"/>
        <w:rPr>
          <w:sz w:val="23"/>
          <w:szCs w:val="23"/>
        </w:rPr>
      </w:pPr>
      <w:r w:rsidRPr="00AA408C">
        <w:rPr>
          <w:b/>
          <w:sz w:val="23"/>
          <w:szCs w:val="23"/>
        </w:rPr>
        <w:t>The plan to create a new money market in BIST is a step in the right direction</w:t>
      </w:r>
      <w:r w:rsidRPr="00AA408C">
        <w:rPr>
          <w:sz w:val="23"/>
          <w:szCs w:val="23"/>
        </w:rPr>
        <w:t>. Authorities have devised an ambitious plan</w:t>
      </w:r>
      <w:r w:rsidRPr="00AA408C">
        <w:rPr>
          <w:sz w:val="23"/>
          <w:szCs w:val="23"/>
        </w:rPr>
        <w:footnoteReference w:id="10"/>
      </w:r>
      <w:r w:rsidRPr="00AA408C">
        <w:rPr>
          <w:sz w:val="23"/>
          <w:szCs w:val="23"/>
        </w:rPr>
        <w:t xml:space="preserve"> to launch a new money market for longer tenors, initially 1 and 3 months. TAKASBANK will act as Central Counter Party (CCP) to reduce risks and </w:t>
      </w:r>
      <w:r w:rsidRPr="00AA408C">
        <w:rPr>
          <w:sz w:val="23"/>
          <w:szCs w:val="23"/>
        </w:rPr>
        <w:lastRenderedPageBreak/>
        <w:t xml:space="preserve">to mitigate concerns about KYC compliance. If successful, the initiative will provide reliable references for hedging and structuring longer-term contracts. </w:t>
      </w:r>
    </w:p>
    <w:p w14:paraId="2A7498E1" w14:textId="66B6321E" w:rsidR="006F2392" w:rsidRPr="00AA408C" w:rsidRDefault="006F2392" w:rsidP="007729D7">
      <w:pPr>
        <w:pStyle w:val="ParagraphNumbering"/>
        <w:tabs>
          <w:tab w:val="clear" w:pos="1260"/>
        </w:tabs>
        <w:spacing w:line="240" w:lineRule="auto"/>
        <w:ind w:left="0"/>
        <w:rPr>
          <w:sz w:val="23"/>
          <w:szCs w:val="23"/>
        </w:rPr>
      </w:pPr>
      <w:r w:rsidRPr="00AA408C">
        <w:rPr>
          <w:b/>
          <w:sz w:val="23"/>
          <w:szCs w:val="23"/>
        </w:rPr>
        <w:t>The recently launched overnight repo futures could be one of the most powerful products to unlock the development of the Turkish bond market</w:t>
      </w:r>
      <w:r w:rsidR="00F84CCC">
        <w:rPr>
          <w:b/>
          <w:sz w:val="23"/>
          <w:szCs w:val="23"/>
        </w:rPr>
        <w:t>.</w:t>
      </w:r>
      <w:r w:rsidRPr="00AA408C">
        <w:rPr>
          <w:b/>
          <w:sz w:val="23"/>
          <w:szCs w:val="23"/>
        </w:rPr>
        <w:t xml:space="preserve"> </w:t>
      </w:r>
      <w:r w:rsidRPr="005747C0">
        <w:rPr>
          <w:sz w:val="23"/>
          <w:szCs w:val="23"/>
        </w:rPr>
        <w:t>The product has the advantage of being priced on the BIST overnight repo rate that is considered liquid and reliable by market participants</w:t>
      </w:r>
      <w:r w:rsidRPr="00F84CCC">
        <w:rPr>
          <w:sz w:val="23"/>
          <w:szCs w:val="23"/>
        </w:rPr>
        <w:t>.</w:t>
      </w:r>
      <w:r w:rsidRPr="00AA408C">
        <w:rPr>
          <w:sz w:val="23"/>
          <w:szCs w:val="23"/>
        </w:rPr>
        <w:t xml:space="preserve"> However, success on the development of a liquid futures market will depend on actions to: i) safeguard future liquidity of the underlying BIST repo rate; ii) increase the availability of sizeable and liquid instruments (e.g. government bonds) maturing at dates coinciding to the maturity dates of futures contracts; and iii) to increase the range of investors that are allowed to participate in the market. </w:t>
      </w:r>
    </w:p>
    <w:p w14:paraId="5619A995" w14:textId="77777777" w:rsidR="006F2392" w:rsidRPr="00AA408C" w:rsidRDefault="006F2392" w:rsidP="007729D7">
      <w:pPr>
        <w:pStyle w:val="ParagraphNumbering"/>
        <w:tabs>
          <w:tab w:val="clear" w:pos="1260"/>
        </w:tabs>
        <w:spacing w:line="240" w:lineRule="auto"/>
        <w:ind w:left="0"/>
        <w:rPr>
          <w:sz w:val="23"/>
          <w:szCs w:val="23"/>
        </w:rPr>
      </w:pPr>
      <w:r w:rsidRPr="00AA408C">
        <w:rPr>
          <w:b/>
          <w:sz w:val="23"/>
          <w:szCs w:val="23"/>
        </w:rPr>
        <w:t>The UoT is implementing measures to sustain the liquidity of the government bond yield curve.</w:t>
      </w:r>
      <w:r w:rsidRPr="00AA408C">
        <w:rPr>
          <w:sz w:val="23"/>
          <w:szCs w:val="23"/>
        </w:rPr>
        <w:t xml:space="preserve"> The Treasury promotes liquidity by concentrating outstanding debt on benchmark instruments that reach approximately TL12 billion in volume and by enforcing bid and ask quoting requirements by a group of thirteen primary dealers for selected instruments. Recently, the Treasury strengthened its actions to support secondary market liquidity by enforcing lower bid-ask spreads and introducing buybacks of off-the-run securities. </w:t>
      </w:r>
    </w:p>
    <w:p w14:paraId="318B9BA9" w14:textId="77777777" w:rsidR="006F2392" w:rsidRPr="00AA408C" w:rsidRDefault="006F2392" w:rsidP="007729D7">
      <w:pPr>
        <w:pStyle w:val="ParagraphNumbering"/>
        <w:tabs>
          <w:tab w:val="clear" w:pos="1260"/>
        </w:tabs>
        <w:spacing w:line="240" w:lineRule="auto"/>
        <w:ind w:left="0"/>
        <w:rPr>
          <w:sz w:val="23"/>
          <w:szCs w:val="23"/>
        </w:rPr>
      </w:pPr>
      <w:r w:rsidRPr="00AA408C">
        <w:rPr>
          <w:b/>
          <w:sz w:val="23"/>
          <w:szCs w:val="23"/>
        </w:rPr>
        <w:t>The introduction of an organized call market could complement existing market-making arrangements and enhance liquidity for a wider scope of securities</w:t>
      </w:r>
      <w:r w:rsidRPr="00AA408C">
        <w:rPr>
          <w:sz w:val="23"/>
          <w:szCs w:val="23"/>
        </w:rPr>
        <w:t>. In call markets buy and sell orders are collected and processed in predetermined intervals (e.g. once a day). The mechanism is especially relevant to enhance liquidity and facilitate valuation of instruments that are not frequently traded and quoted by market-makers. BIST’s prominent role in the bond market and solid infrastructure bodes</w:t>
      </w:r>
      <w:r w:rsidR="00F84CCC">
        <w:rPr>
          <w:sz w:val="23"/>
          <w:szCs w:val="23"/>
        </w:rPr>
        <w:t xml:space="preserve"> </w:t>
      </w:r>
      <w:r w:rsidRPr="00AA408C">
        <w:rPr>
          <w:sz w:val="23"/>
          <w:szCs w:val="23"/>
        </w:rPr>
        <w:t xml:space="preserve">well for the implementation of an organized call market. Calls could be conducted for a broad range of instruments including off-the-run government bonds and corporate bonds. </w:t>
      </w:r>
    </w:p>
    <w:p w14:paraId="53DF76C3" w14:textId="77777777" w:rsidR="006F2392" w:rsidRPr="00AA408C" w:rsidRDefault="0024399E" w:rsidP="007729D7">
      <w:pPr>
        <w:pStyle w:val="ParagraphNumbering"/>
        <w:tabs>
          <w:tab w:val="clear" w:pos="1260"/>
        </w:tabs>
        <w:spacing w:line="240" w:lineRule="auto"/>
        <w:ind w:left="0"/>
        <w:rPr>
          <w:sz w:val="23"/>
          <w:szCs w:val="23"/>
        </w:rPr>
      </w:pPr>
      <w:r w:rsidRPr="005747C0">
        <w:rPr>
          <w:b/>
          <w:sz w:val="23"/>
          <w:szCs w:val="23"/>
        </w:rPr>
        <w:t xml:space="preserve">Corporate </w:t>
      </w:r>
      <w:r w:rsidR="00F84CCC" w:rsidRPr="005747C0">
        <w:rPr>
          <w:b/>
          <w:sz w:val="23"/>
          <w:szCs w:val="23"/>
        </w:rPr>
        <w:t>TL Eurobonds could be an important first step to attract foreign investors to local currency corporate debt</w:t>
      </w:r>
      <w:r w:rsidRPr="005747C0">
        <w:rPr>
          <w:b/>
          <w:sz w:val="23"/>
          <w:szCs w:val="23"/>
        </w:rPr>
        <w:t xml:space="preserve"> in larger volumes and longer maturities</w:t>
      </w:r>
      <w:r w:rsidR="00F84CCC" w:rsidRPr="00AA408C">
        <w:rPr>
          <w:sz w:val="23"/>
          <w:szCs w:val="23"/>
        </w:rPr>
        <w:t>.</w:t>
      </w:r>
      <w:r>
        <w:rPr>
          <w:sz w:val="23"/>
          <w:szCs w:val="23"/>
        </w:rPr>
        <w:t xml:space="preserve"> Foreign </w:t>
      </w:r>
      <w:r w:rsidR="00F84CCC" w:rsidRPr="00AA408C">
        <w:rPr>
          <w:sz w:val="23"/>
          <w:szCs w:val="23"/>
        </w:rPr>
        <w:t>investors are usually more comfortable to initially tap Euroclearable instruments, under an international jurisdiction (e.g. London Law). As local currency corporate bonds consolidate as an asset class with the participation of foreign investors, it becomes easier to increase issuances in the domestic market.</w:t>
      </w:r>
      <w:r>
        <w:rPr>
          <w:sz w:val="23"/>
          <w:szCs w:val="23"/>
        </w:rPr>
        <w:t xml:space="preserve"> A few corporate TL Eurobonds have already been issued, but the market still lacks volume and solid benchmarks that could help pave the way for a deeper market. In this regard issuance of sovereign TL Eurobond could be one of the alternatives to </w:t>
      </w:r>
      <w:r w:rsidR="006F2392" w:rsidRPr="00AA408C">
        <w:rPr>
          <w:sz w:val="23"/>
          <w:szCs w:val="23"/>
        </w:rPr>
        <w:t xml:space="preserve">enhance demand and facilitate pricing of non-sovereign local currency Eurobonds. </w:t>
      </w:r>
      <w:r w:rsidR="00951D44">
        <w:rPr>
          <w:sz w:val="23"/>
          <w:szCs w:val="23"/>
        </w:rPr>
        <w:t xml:space="preserve">This alternative faces the challenge of potentially increasing </w:t>
      </w:r>
      <w:r w:rsidR="00951D44">
        <w:rPr>
          <w:sz w:val="23"/>
          <w:szCs w:val="23"/>
        </w:rPr>
        <w:lastRenderedPageBreak/>
        <w:t xml:space="preserve">fragmentation of government debt instruments in a context of reduced funding needs and secondary market liquidity. However, careful analysis could be done on how to mitigate such effects while assessing the broader benefits that could arise from enhancing long-term financing in local currency for non-sovereign borrowers. </w:t>
      </w:r>
    </w:p>
    <w:p w14:paraId="3EDC04E9" w14:textId="3822CE66" w:rsidR="006F2392" w:rsidRPr="00AA408C" w:rsidRDefault="006F2392" w:rsidP="007729D7">
      <w:pPr>
        <w:pStyle w:val="ParagraphNumbering"/>
        <w:tabs>
          <w:tab w:val="clear" w:pos="1260"/>
        </w:tabs>
        <w:spacing w:line="240" w:lineRule="auto"/>
        <w:ind w:left="0"/>
        <w:rPr>
          <w:sz w:val="23"/>
          <w:szCs w:val="23"/>
        </w:rPr>
      </w:pPr>
      <w:r w:rsidRPr="00AA408C">
        <w:rPr>
          <w:b/>
          <w:sz w:val="23"/>
          <w:szCs w:val="23"/>
        </w:rPr>
        <w:t>Measures to help restore investor confidence in corporate bond markets are being assessed and should be implemented</w:t>
      </w:r>
      <w:r w:rsidRPr="00AA408C">
        <w:rPr>
          <w:sz w:val="23"/>
          <w:szCs w:val="23"/>
        </w:rPr>
        <w:t xml:space="preserve">. The CMB is attentive to implement changes in regulation to enhance investor protection in the corporate bond market. This is a critical task to support the market. The work is being conducted in consultation with the Capital Markets Association and other stakeholders and will involve changes to strengthen financial reporting standards and disclosure for material events. </w:t>
      </w:r>
      <w:r w:rsidR="000C3E6E" w:rsidRPr="003B4950">
        <w:t xml:space="preserve">In this manner, </w:t>
      </w:r>
      <w:r w:rsidR="00F247B8">
        <w:t xml:space="preserve">new </w:t>
      </w:r>
      <w:r w:rsidR="000C3E6E" w:rsidRPr="003B4950">
        <w:t xml:space="preserve">amendments to Communiqués on Debt Securities and Material Events Disclosure </w:t>
      </w:r>
      <w:r w:rsidR="000C3E6E">
        <w:t>are expected to</w:t>
      </w:r>
      <w:r w:rsidR="000C3E6E" w:rsidRPr="003B4950">
        <w:t xml:space="preserve"> be in force in </w:t>
      </w:r>
      <w:r w:rsidR="000C3E6E">
        <w:t xml:space="preserve">the </w:t>
      </w:r>
      <w:r w:rsidR="000C3E6E" w:rsidRPr="003B4950">
        <w:t>near future</w:t>
      </w:r>
      <w:r w:rsidR="000C3E6E">
        <w:t>.</w:t>
      </w:r>
    </w:p>
    <w:p w14:paraId="19B531F8" w14:textId="77777777" w:rsidR="006F2392" w:rsidRPr="00AA408C" w:rsidRDefault="006F2392" w:rsidP="007729D7">
      <w:pPr>
        <w:pStyle w:val="ParagraphNumbering"/>
        <w:tabs>
          <w:tab w:val="clear" w:pos="1260"/>
        </w:tabs>
        <w:spacing w:line="240" w:lineRule="auto"/>
        <w:ind w:left="0"/>
        <w:rPr>
          <w:sz w:val="23"/>
          <w:szCs w:val="23"/>
        </w:rPr>
      </w:pPr>
      <w:r w:rsidRPr="00AA408C">
        <w:rPr>
          <w:b/>
          <w:sz w:val="23"/>
          <w:szCs w:val="23"/>
        </w:rPr>
        <w:t>Higher standards of governance could be implemented for companies in BIST, including the potential creation of a special segment for companies that meet such criteria</w:t>
      </w:r>
      <w:r w:rsidRPr="00AA408C">
        <w:rPr>
          <w:sz w:val="23"/>
          <w:szCs w:val="23"/>
        </w:rPr>
        <w:t>. Investors globally are increasingly sensitive to differentiate companies based on their standards of governance. The current governance requirements at BIST are considered insufficient to reward firms with higher standards. The creation of a segment for these firms would help investors identify who they are and impose positive peer pressure on other companies. Stock exchanges of developed and developing countries</w:t>
      </w:r>
      <w:r w:rsidRPr="004F509D">
        <w:rPr>
          <w:sz w:val="23"/>
          <w:szCs w:val="23"/>
          <w:vertAlign w:val="superscript"/>
        </w:rPr>
        <w:footnoteReference w:id="11"/>
      </w:r>
      <w:r w:rsidRPr="00AA408C">
        <w:rPr>
          <w:sz w:val="23"/>
          <w:szCs w:val="23"/>
        </w:rPr>
        <w:t xml:space="preserve"> have introduced improvements in their premium segments to strengthen the corporate governance aiming to enhance blue chip stock attractiveness. </w:t>
      </w:r>
    </w:p>
    <w:p w14:paraId="574AA9F8" w14:textId="774DED83" w:rsidR="006F2392" w:rsidRPr="00AA408C" w:rsidRDefault="006F2392" w:rsidP="007729D7">
      <w:pPr>
        <w:pStyle w:val="ParagraphNumbering"/>
        <w:tabs>
          <w:tab w:val="clear" w:pos="1260"/>
        </w:tabs>
        <w:spacing w:line="240" w:lineRule="auto"/>
        <w:ind w:left="0"/>
        <w:rPr>
          <w:sz w:val="23"/>
          <w:szCs w:val="23"/>
        </w:rPr>
      </w:pPr>
      <w:r w:rsidRPr="00AA408C">
        <w:rPr>
          <w:b/>
          <w:sz w:val="23"/>
          <w:szCs w:val="23"/>
        </w:rPr>
        <w:t>Several initiatives to enhance financial inclusion of SMEs via capital markets</w:t>
      </w:r>
      <w:r w:rsidRPr="004F509D">
        <w:rPr>
          <w:b/>
          <w:sz w:val="23"/>
          <w:szCs w:val="23"/>
          <w:vertAlign w:val="superscript"/>
        </w:rPr>
        <w:footnoteReference w:id="12"/>
      </w:r>
      <w:r w:rsidRPr="00AA408C">
        <w:rPr>
          <w:b/>
          <w:sz w:val="23"/>
          <w:szCs w:val="23"/>
        </w:rPr>
        <w:t xml:space="preserve"> are under way</w:t>
      </w:r>
      <w:r w:rsidRPr="00AA408C">
        <w:rPr>
          <w:sz w:val="23"/>
          <w:szCs w:val="23"/>
        </w:rPr>
        <w:t xml:space="preserve">. Accessing capital markets as an alternative to bank financing is a major challenge for SMEs internationally. Turkey’s bank-centric model and the relatively underdeveloped stage of capital markets make the challenge even harder. Important regulatory developments and incentives including for the promotion of business angel investors have been enacted. BIST has launched IPO campaigns and promoted listings of SMEs, launching the Emerging Companies Market (ECM) and offering a variety of incentives. On the fixed income market, a promising project is at advanced stage to set up a venture capital fund whose portfolio will include debt issued by around 50 different </w:t>
      </w:r>
      <w:r w:rsidRPr="00AA408C">
        <w:rPr>
          <w:sz w:val="23"/>
          <w:szCs w:val="23"/>
        </w:rPr>
        <w:lastRenderedPageBreak/>
        <w:t>SMEs</w:t>
      </w:r>
      <w:r w:rsidRPr="004F509D">
        <w:rPr>
          <w:sz w:val="23"/>
          <w:szCs w:val="23"/>
          <w:vertAlign w:val="superscript"/>
        </w:rPr>
        <w:footnoteReference w:id="13"/>
      </w:r>
      <w:r w:rsidRPr="00AA408C">
        <w:rPr>
          <w:sz w:val="23"/>
          <w:szCs w:val="23"/>
        </w:rPr>
        <w:t xml:space="preserve">. </w:t>
      </w:r>
      <w:r w:rsidR="008B0E4A">
        <w:rPr>
          <w:sz w:val="23"/>
          <w:szCs w:val="23"/>
        </w:rPr>
        <w:t xml:space="preserve">In addition to these initiatives, </w:t>
      </w:r>
      <w:r w:rsidRPr="00AA408C">
        <w:rPr>
          <w:sz w:val="23"/>
          <w:szCs w:val="23"/>
        </w:rPr>
        <w:t>authorities should continue efforts to enhance financial literacy, strengthen corporate governance, and expand the availability of structured fixed-income instruments.</w:t>
      </w:r>
    </w:p>
    <w:p w14:paraId="666775BE" w14:textId="53BADF03" w:rsidR="00976018" w:rsidRPr="00AA408C" w:rsidRDefault="006F2392" w:rsidP="007729D7">
      <w:pPr>
        <w:pStyle w:val="ParagraphNumbering"/>
        <w:tabs>
          <w:tab w:val="clear" w:pos="1260"/>
        </w:tabs>
        <w:spacing w:line="240" w:lineRule="auto"/>
        <w:ind w:left="0"/>
        <w:rPr>
          <w:sz w:val="23"/>
          <w:szCs w:val="23"/>
        </w:rPr>
      </w:pPr>
      <w:r w:rsidRPr="00AA408C">
        <w:rPr>
          <w:b/>
          <w:sz w:val="23"/>
          <w:szCs w:val="23"/>
        </w:rPr>
        <w:t>On the demand side, authorities should take integrated actions for effective and prudent participation of different segments of investors in capital markets, while continuing to adopt policies to stimulate savings</w:t>
      </w:r>
      <w:r w:rsidRPr="00AA408C">
        <w:rPr>
          <w:sz w:val="23"/>
          <w:szCs w:val="23"/>
        </w:rPr>
        <w:t>. The government has been pro-active in introducing reforms and incentives to enhance savings</w:t>
      </w:r>
      <w:r w:rsidRPr="004F509D">
        <w:rPr>
          <w:sz w:val="23"/>
          <w:szCs w:val="23"/>
          <w:vertAlign w:val="superscript"/>
        </w:rPr>
        <w:footnoteReference w:id="14"/>
      </w:r>
      <w:r w:rsidR="008B0E4A">
        <w:rPr>
          <w:sz w:val="23"/>
          <w:szCs w:val="23"/>
        </w:rPr>
        <w:t>.</w:t>
      </w:r>
      <w:r w:rsidRPr="00AA408C">
        <w:rPr>
          <w:sz w:val="23"/>
          <w:szCs w:val="23"/>
        </w:rPr>
        <w:t xml:space="preserve"> While these reforms are essential, the role that different segments of investors could play in support of capital market development (e.g. mutual funds, public funds) is not being fully exploited. In some cases, regulatory restrictions and current practices may be having unintended consequences, among others: (i) captive demand of buy and hold investors reducing liquidity of government bonds and availability of collateral; and (ii) in the development of a derivatives market</w:t>
      </w:r>
      <w:r w:rsidR="008B0E4A">
        <w:rPr>
          <w:sz w:val="23"/>
          <w:szCs w:val="23"/>
        </w:rPr>
        <w:t>s</w:t>
      </w:r>
      <w:r w:rsidRPr="00AA408C">
        <w:rPr>
          <w:sz w:val="23"/>
          <w:szCs w:val="23"/>
        </w:rPr>
        <w:t xml:space="preserve">. </w:t>
      </w:r>
    </w:p>
    <w:p w14:paraId="2A1CF462" w14:textId="77777777" w:rsidR="002253CB" w:rsidRDefault="006F2392" w:rsidP="007729D7">
      <w:pPr>
        <w:pStyle w:val="Heading2"/>
        <w:ind w:left="0"/>
      </w:pPr>
      <w:bookmarkStart w:id="143" w:name="_Toc469295358"/>
      <w:r>
        <w:t xml:space="preserve">Promoting </w:t>
      </w:r>
      <w:r w:rsidR="002253CB" w:rsidRPr="0074410D">
        <w:t xml:space="preserve">Financial </w:t>
      </w:r>
      <w:r>
        <w:t>Inclusion</w:t>
      </w:r>
      <w:bookmarkEnd w:id="143"/>
    </w:p>
    <w:p w14:paraId="33D81ED5" w14:textId="7940DA1D" w:rsidR="00161320" w:rsidRPr="00AA408C" w:rsidRDefault="00161320" w:rsidP="007729D7">
      <w:pPr>
        <w:pStyle w:val="ParagraphNumbering"/>
        <w:tabs>
          <w:tab w:val="clear" w:pos="1260"/>
        </w:tabs>
        <w:spacing w:line="240" w:lineRule="auto"/>
        <w:ind w:left="0"/>
        <w:rPr>
          <w:sz w:val="23"/>
          <w:szCs w:val="23"/>
        </w:rPr>
      </w:pPr>
      <w:r w:rsidRPr="00AA408C">
        <w:rPr>
          <w:b/>
          <w:sz w:val="23"/>
          <w:szCs w:val="23"/>
        </w:rPr>
        <w:t>Turkey compares favorably with its peers in Europe and Central Asia (ECA) and the BRICS in terms of bank account penetration, supported by an innovative, dynamic, and vibrant retail payments system.</w:t>
      </w:r>
      <w:r w:rsidRPr="00AA408C">
        <w:rPr>
          <w:sz w:val="23"/>
          <w:szCs w:val="23"/>
        </w:rPr>
        <w:t xml:space="preserve"> According to Global Findex 2014, account penetration for individuals stands at 57 percent, higher than the average for other ECA economies (44 percent) but lower than is observed in BRICS (67 percent). Electronic payments have grown dramatically in recent years, though cash remains the dominant medium for retail payments. Turkey outperforms ECA and BRICS in terms of use of credit and ATM cards. Micro, Small and Medium Enterprises (MSMEs) have benefited from a long period of macro financial stability and nearly 80 percent of these firms report having a checking or savings account—slightly behind the average for other ECA economies (88 percent). About 40 percent of Turkish firms have a loan from a financial institution, slightly higher than the average for ECA (37 percent) or BRICS (36 percent). </w:t>
      </w:r>
    </w:p>
    <w:p w14:paraId="052392F2" w14:textId="77777777" w:rsidR="00161320" w:rsidRPr="00AA408C" w:rsidRDefault="00161320" w:rsidP="007729D7">
      <w:pPr>
        <w:pStyle w:val="ParagraphNumbering"/>
        <w:tabs>
          <w:tab w:val="clear" w:pos="1260"/>
        </w:tabs>
        <w:spacing w:line="240" w:lineRule="auto"/>
        <w:ind w:left="0"/>
        <w:rPr>
          <w:sz w:val="23"/>
          <w:szCs w:val="23"/>
        </w:rPr>
      </w:pPr>
      <w:r w:rsidRPr="00AA408C">
        <w:rPr>
          <w:b/>
          <w:sz w:val="23"/>
          <w:szCs w:val="23"/>
        </w:rPr>
        <w:t>Despite Turkey’s recent achievements in the financial inclusion arena, a number of challenges exist - especially those related to the gender gap; lack of savings; and limited access to finance for young firms, new entrepreneurs and MSMEs in underserved regions</w:t>
      </w:r>
      <w:r w:rsidRPr="00AA408C">
        <w:rPr>
          <w:sz w:val="23"/>
          <w:szCs w:val="23"/>
        </w:rPr>
        <w:t>. The main gaps in financial inclusion of individuals are: i) gender dimension</w:t>
      </w:r>
      <w:r w:rsidRPr="00C87CE5">
        <w:rPr>
          <w:sz w:val="20"/>
          <w:szCs w:val="23"/>
          <w:vertAlign w:val="superscript"/>
        </w:rPr>
        <w:footnoteReference w:id="15"/>
      </w:r>
      <w:r w:rsidRPr="00AA408C">
        <w:rPr>
          <w:sz w:val="23"/>
          <w:szCs w:val="23"/>
        </w:rPr>
        <w:t>; ii) concerns about trust in formal financial institutions (emanating from past financial crises)—materializing most visibly in individuals’ saving and borrowing patterns; and iii) low financial capabilities. Regarding MSMEs, the main underlying concern constraining access to finance is lack of long-term finance and limited availability of alternative financial instruments</w:t>
      </w:r>
    </w:p>
    <w:p w14:paraId="40C8FEEB" w14:textId="430A5240" w:rsidR="006F2392" w:rsidRPr="0070088D" w:rsidRDefault="00161320" w:rsidP="007729D7">
      <w:pPr>
        <w:pStyle w:val="ParagraphNumbering"/>
        <w:tabs>
          <w:tab w:val="clear" w:pos="1260"/>
        </w:tabs>
        <w:spacing w:line="240" w:lineRule="auto"/>
        <w:ind w:left="0"/>
        <w:rPr>
          <w:sz w:val="23"/>
          <w:szCs w:val="23"/>
        </w:rPr>
      </w:pPr>
      <w:r w:rsidRPr="0070088D">
        <w:rPr>
          <w:b/>
          <w:sz w:val="23"/>
          <w:szCs w:val="23"/>
        </w:rPr>
        <w:t xml:space="preserve">The FSAP has </w:t>
      </w:r>
      <w:r w:rsidR="00CE3C18">
        <w:rPr>
          <w:b/>
          <w:sz w:val="23"/>
          <w:szCs w:val="23"/>
        </w:rPr>
        <w:t>looked into the</w:t>
      </w:r>
      <w:r w:rsidRPr="0070088D">
        <w:rPr>
          <w:b/>
          <w:sz w:val="23"/>
          <w:szCs w:val="23"/>
        </w:rPr>
        <w:t xml:space="preserve"> </w:t>
      </w:r>
      <w:r w:rsidR="00CE3C18">
        <w:rPr>
          <w:b/>
          <w:sz w:val="23"/>
          <w:szCs w:val="23"/>
        </w:rPr>
        <w:t xml:space="preserve">implementation </w:t>
      </w:r>
      <w:r w:rsidR="00D9284C">
        <w:rPr>
          <w:b/>
          <w:sz w:val="23"/>
          <w:szCs w:val="23"/>
        </w:rPr>
        <w:t xml:space="preserve">of </w:t>
      </w:r>
      <w:r w:rsidR="00C87CE5">
        <w:rPr>
          <w:b/>
          <w:sz w:val="23"/>
          <w:szCs w:val="23"/>
        </w:rPr>
        <w:t xml:space="preserve">the </w:t>
      </w:r>
      <w:r w:rsidRPr="0070088D">
        <w:rPr>
          <w:b/>
          <w:sz w:val="23"/>
          <w:szCs w:val="23"/>
        </w:rPr>
        <w:t xml:space="preserve">financial inclusion </w:t>
      </w:r>
      <w:r w:rsidR="00CE3C18">
        <w:rPr>
          <w:b/>
          <w:sz w:val="23"/>
          <w:szCs w:val="23"/>
        </w:rPr>
        <w:t xml:space="preserve">strategy and </w:t>
      </w:r>
      <w:r w:rsidR="00D9284C">
        <w:rPr>
          <w:b/>
          <w:sz w:val="23"/>
          <w:szCs w:val="23"/>
        </w:rPr>
        <w:t xml:space="preserve">has </w:t>
      </w:r>
      <w:r w:rsidR="00CE3C18">
        <w:rPr>
          <w:b/>
          <w:sz w:val="23"/>
          <w:szCs w:val="23"/>
        </w:rPr>
        <w:t>undertaken a focused analysis on three</w:t>
      </w:r>
      <w:r w:rsidR="00CE3C18" w:rsidRPr="0070088D">
        <w:rPr>
          <w:b/>
          <w:sz w:val="23"/>
          <w:szCs w:val="23"/>
        </w:rPr>
        <w:t xml:space="preserve"> </w:t>
      </w:r>
      <w:r w:rsidRPr="0070088D">
        <w:rPr>
          <w:b/>
          <w:sz w:val="23"/>
          <w:szCs w:val="23"/>
        </w:rPr>
        <w:t>important areas: (i) capital markets as an alternative to bank financing for SMEs; (ii) Islamic finance as a vehicle for improving financial inclusion; and (i</w:t>
      </w:r>
      <w:r w:rsidR="00D9284C">
        <w:rPr>
          <w:b/>
          <w:sz w:val="23"/>
          <w:szCs w:val="23"/>
        </w:rPr>
        <w:t>ii</w:t>
      </w:r>
      <w:r w:rsidRPr="0070088D">
        <w:rPr>
          <w:b/>
          <w:sz w:val="23"/>
          <w:szCs w:val="23"/>
        </w:rPr>
        <w:t>)</w:t>
      </w:r>
      <w:r w:rsidR="00CE3C18">
        <w:rPr>
          <w:b/>
          <w:sz w:val="23"/>
          <w:szCs w:val="23"/>
        </w:rPr>
        <w:t xml:space="preserve"> </w:t>
      </w:r>
      <w:r w:rsidRPr="0070088D">
        <w:rPr>
          <w:b/>
          <w:sz w:val="23"/>
          <w:szCs w:val="23"/>
        </w:rPr>
        <w:t>strengthening financial infrastructure</w:t>
      </w:r>
      <w:r w:rsidRPr="00AA408C">
        <w:rPr>
          <w:sz w:val="23"/>
          <w:szCs w:val="23"/>
        </w:rPr>
        <w:t>. The financial inclusion strategy could benefit from systematic da</w:t>
      </w:r>
      <w:r w:rsidR="000E51CF">
        <w:rPr>
          <w:sz w:val="23"/>
          <w:szCs w:val="23"/>
        </w:rPr>
        <w:t>ta collection through demand-</w:t>
      </w:r>
      <w:r w:rsidRPr="00AA408C">
        <w:rPr>
          <w:sz w:val="23"/>
          <w:szCs w:val="23"/>
        </w:rPr>
        <w:t>supply side</w:t>
      </w:r>
      <w:r w:rsidR="000E51CF">
        <w:rPr>
          <w:sz w:val="23"/>
          <w:szCs w:val="23"/>
        </w:rPr>
        <w:t xml:space="preserve"> surveys</w:t>
      </w:r>
      <w:r w:rsidRPr="00AA408C">
        <w:rPr>
          <w:sz w:val="23"/>
          <w:szCs w:val="23"/>
        </w:rPr>
        <w:t xml:space="preserve">. Enhancing the monitoring and evaluation framework with measurable targets could increase the </w:t>
      </w:r>
      <w:r w:rsidR="000E51CF">
        <w:rPr>
          <w:sz w:val="23"/>
          <w:szCs w:val="23"/>
        </w:rPr>
        <w:t xml:space="preserve">strategy </w:t>
      </w:r>
      <w:r w:rsidRPr="00AA408C">
        <w:rPr>
          <w:sz w:val="23"/>
          <w:szCs w:val="23"/>
        </w:rPr>
        <w:t xml:space="preserve">effectiveness. As Turkey’s financial sector is so heavily bank based, strengthening the non-bank financial sector including leasing, factoring, and microfinance and ensuring a level playing field between the banking sector and non-bank financial sector is critical. For microfinance sector, lack of a </w:t>
      </w:r>
      <w:r w:rsidR="001E360D">
        <w:rPr>
          <w:sz w:val="23"/>
          <w:szCs w:val="23"/>
        </w:rPr>
        <w:t>dedicated</w:t>
      </w:r>
      <w:r w:rsidR="001E360D" w:rsidRPr="00AA408C">
        <w:rPr>
          <w:sz w:val="23"/>
          <w:szCs w:val="23"/>
        </w:rPr>
        <w:t xml:space="preserve"> </w:t>
      </w:r>
      <w:r w:rsidRPr="00AA408C">
        <w:rPr>
          <w:sz w:val="23"/>
          <w:szCs w:val="23"/>
        </w:rPr>
        <w:t>legal framework is a crucial factor limiting its development. To ensure the growth potential of factoring and leasing sectors, aligning regulation and tax implementation vis-à-vis the banking sector is critical.</w:t>
      </w:r>
    </w:p>
    <w:p w14:paraId="79E84F44" w14:textId="77777777" w:rsidR="00865D95" w:rsidRPr="0074410D" w:rsidRDefault="00161320" w:rsidP="00BF07E1">
      <w:pPr>
        <w:pStyle w:val="Heading2"/>
        <w:ind w:left="0"/>
      </w:pPr>
      <w:bookmarkStart w:id="144" w:name="_Toc469295359"/>
      <w:r>
        <w:t>Islamic finance</w:t>
      </w:r>
      <w:bookmarkEnd w:id="144"/>
    </w:p>
    <w:p w14:paraId="6035D1FF" w14:textId="78B3E4B1" w:rsidR="00161320" w:rsidRPr="0070088D" w:rsidRDefault="00161320" w:rsidP="007729D7">
      <w:pPr>
        <w:pStyle w:val="ParagraphNumbering"/>
        <w:tabs>
          <w:tab w:val="clear" w:pos="1260"/>
        </w:tabs>
        <w:spacing w:line="240" w:lineRule="auto"/>
        <w:ind w:left="0"/>
        <w:rPr>
          <w:sz w:val="23"/>
          <w:szCs w:val="23"/>
        </w:rPr>
      </w:pPr>
      <w:r w:rsidRPr="0070088D">
        <w:rPr>
          <w:b/>
          <w:sz w:val="23"/>
          <w:szCs w:val="23"/>
        </w:rPr>
        <w:t>Islamic finance or participation finance as referred in Turkey is an emerging and rapidly growing market with a history of more than three decades</w:t>
      </w:r>
      <w:r w:rsidRPr="0070088D">
        <w:rPr>
          <w:sz w:val="23"/>
          <w:szCs w:val="23"/>
        </w:rPr>
        <w:t>. Key drivers of high growth are increased demand, recognition, and active support by the policy makers. In terms of CAGR from 2010-2014, Turkey ranked 3rd in global Islamic finance markets</w:t>
      </w:r>
      <w:r w:rsidR="000E51CF">
        <w:rPr>
          <w:sz w:val="23"/>
          <w:szCs w:val="23"/>
        </w:rPr>
        <w:t xml:space="preserve"> with a 25 percent growth rate.</w:t>
      </w:r>
    </w:p>
    <w:p w14:paraId="0BC60BDE" w14:textId="77777777" w:rsidR="00161320" w:rsidRPr="00F16A77" w:rsidRDefault="00161320" w:rsidP="007729D7">
      <w:pPr>
        <w:pStyle w:val="ParagraphNumbering"/>
        <w:tabs>
          <w:tab w:val="clear" w:pos="1260"/>
        </w:tabs>
        <w:spacing w:line="240" w:lineRule="auto"/>
        <w:ind w:left="0"/>
      </w:pPr>
      <w:r w:rsidRPr="0070088D">
        <w:rPr>
          <w:b/>
          <w:sz w:val="23"/>
          <w:szCs w:val="23"/>
        </w:rPr>
        <w:t>Development of participation finance in Turkey has strategic significance for the financial sector deepening and inclusion for several reasons</w:t>
      </w:r>
      <w:r w:rsidRPr="00F16A77">
        <w:t>:</w:t>
      </w:r>
    </w:p>
    <w:p w14:paraId="47C1EA29" w14:textId="0B1A40E8" w:rsidR="00161320" w:rsidRPr="000E51CF" w:rsidRDefault="000E51CF" w:rsidP="0070088D">
      <w:pPr>
        <w:pStyle w:val="ListBullet"/>
        <w:numPr>
          <w:ilvl w:val="0"/>
          <w:numId w:val="1"/>
        </w:numPr>
        <w:tabs>
          <w:tab w:val="clear" w:pos="720"/>
        </w:tabs>
        <w:spacing w:line="300" w:lineRule="exact"/>
        <w:ind w:left="1080" w:hanging="360"/>
        <w:rPr>
          <w:sz w:val="23"/>
          <w:szCs w:val="23"/>
        </w:rPr>
      </w:pPr>
      <w:r>
        <w:rPr>
          <w:b/>
          <w:i/>
          <w:sz w:val="23"/>
          <w:szCs w:val="23"/>
        </w:rPr>
        <w:t>C</w:t>
      </w:r>
      <w:r w:rsidR="00161320" w:rsidRPr="000E51CF">
        <w:rPr>
          <w:b/>
          <w:i/>
          <w:sz w:val="23"/>
          <w:szCs w:val="23"/>
        </w:rPr>
        <w:t>ould serve as a catalyst for enhancing access to finance</w:t>
      </w:r>
      <w:r w:rsidR="00161320" w:rsidRPr="000E51CF">
        <w:rPr>
          <w:sz w:val="23"/>
          <w:szCs w:val="23"/>
        </w:rPr>
        <w:t>. This is particularly important for the population in non-urban parts of the country who voluntarily avoid engaging in financial activities due to non-compliance with their religious beliefs.</w:t>
      </w:r>
    </w:p>
    <w:p w14:paraId="75410EAB" w14:textId="6247241E" w:rsidR="00161320" w:rsidRPr="000E51CF" w:rsidRDefault="000E51CF" w:rsidP="0070088D">
      <w:pPr>
        <w:pStyle w:val="ListBullet"/>
        <w:numPr>
          <w:ilvl w:val="0"/>
          <w:numId w:val="1"/>
        </w:numPr>
        <w:tabs>
          <w:tab w:val="clear" w:pos="720"/>
        </w:tabs>
        <w:spacing w:line="300" w:lineRule="exact"/>
        <w:ind w:left="1080" w:hanging="360"/>
        <w:rPr>
          <w:sz w:val="23"/>
          <w:szCs w:val="23"/>
        </w:rPr>
      </w:pPr>
      <w:r>
        <w:rPr>
          <w:b/>
          <w:i/>
          <w:sz w:val="23"/>
          <w:szCs w:val="23"/>
        </w:rPr>
        <w:t>C</w:t>
      </w:r>
      <w:r w:rsidR="00161320" w:rsidRPr="000E51CF">
        <w:rPr>
          <w:b/>
          <w:i/>
          <w:sz w:val="23"/>
          <w:szCs w:val="23"/>
        </w:rPr>
        <w:t>ould promote financial deepening and diversification especially in the area of capital markets and insurance</w:t>
      </w:r>
      <w:r w:rsidR="00161320" w:rsidRPr="000E51CF">
        <w:rPr>
          <w:sz w:val="23"/>
          <w:szCs w:val="23"/>
        </w:rPr>
        <w:t>. Development of Islamic capital markets, insurance, and non-banking institution could provide alternative sources of financing and diversification opportunities especially for SMEs and long-term financing sector.</w:t>
      </w:r>
    </w:p>
    <w:p w14:paraId="5BDCA5EA" w14:textId="6C213633" w:rsidR="00161320" w:rsidRPr="000E51CF" w:rsidRDefault="000E51CF" w:rsidP="0070088D">
      <w:pPr>
        <w:pStyle w:val="ListBullet"/>
        <w:numPr>
          <w:ilvl w:val="0"/>
          <w:numId w:val="1"/>
        </w:numPr>
        <w:tabs>
          <w:tab w:val="clear" w:pos="720"/>
        </w:tabs>
        <w:spacing w:line="300" w:lineRule="exact"/>
        <w:ind w:left="1080" w:hanging="360"/>
        <w:rPr>
          <w:sz w:val="23"/>
          <w:szCs w:val="23"/>
        </w:rPr>
      </w:pPr>
      <w:r>
        <w:rPr>
          <w:b/>
          <w:i/>
          <w:sz w:val="23"/>
          <w:szCs w:val="23"/>
        </w:rPr>
        <w:t>I</w:t>
      </w:r>
      <w:r w:rsidR="00161320" w:rsidRPr="000E51CF">
        <w:rPr>
          <w:b/>
          <w:i/>
          <w:sz w:val="23"/>
          <w:szCs w:val="23"/>
        </w:rPr>
        <w:t>s part of Turkey’s initiative to develop the Istanbul International Financial Center Program, with the aim of bolstering Istanbul's status as a regional and international financial center</w:t>
      </w:r>
      <w:r w:rsidR="00161320" w:rsidRPr="000E51CF">
        <w:rPr>
          <w:sz w:val="23"/>
          <w:szCs w:val="23"/>
        </w:rPr>
        <w:t>. Turkey would like to become a leader in Islamic finance given its strategic location and political standing with Islamic countries.</w:t>
      </w:r>
    </w:p>
    <w:p w14:paraId="3AD5DC26" w14:textId="6DBAB156" w:rsidR="00161320" w:rsidRPr="0070088D" w:rsidRDefault="00161320" w:rsidP="007729D7">
      <w:pPr>
        <w:pStyle w:val="ParagraphNumbering"/>
        <w:tabs>
          <w:tab w:val="clear" w:pos="1260"/>
        </w:tabs>
        <w:spacing w:line="240" w:lineRule="auto"/>
        <w:ind w:left="0"/>
        <w:rPr>
          <w:sz w:val="23"/>
          <w:szCs w:val="23"/>
        </w:rPr>
      </w:pPr>
      <w:r w:rsidRPr="0070088D">
        <w:rPr>
          <w:b/>
          <w:sz w:val="23"/>
          <w:szCs w:val="23"/>
        </w:rPr>
        <w:t xml:space="preserve">Turkey’s participation finance sector </w:t>
      </w:r>
      <w:r w:rsidR="009A208D">
        <w:rPr>
          <w:b/>
          <w:sz w:val="23"/>
          <w:szCs w:val="23"/>
        </w:rPr>
        <w:t>has</w:t>
      </w:r>
      <w:r w:rsidR="009A208D" w:rsidRPr="0070088D">
        <w:rPr>
          <w:b/>
          <w:sz w:val="23"/>
          <w:szCs w:val="23"/>
        </w:rPr>
        <w:t xml:space="preserve"> </w:t>
      </w:r>
      <w:r w:rsidRPr="0070088D">
        <w:rPr>
          <w:b/>
          <w:sz w:val="23"/>
          <w:szCs w:val="23"/>
        </w:rPr>
        <w:t>still relatively less market share when compared with countries such as Bahrain, Malaysia, Pakistan, and Saudi Arabia</w:t>
      </w:r>
      <w:r w:rsidRPr="0070088D">
        <w:rPr>
          <w:sz w:val="23"/>
          <w:szCs w:val="23"/>
        </w:rPr>
        <w:t>. Participation banks’ growth is constrained due to several factors which require adequate interventions and policy response. There is strong commitment from policy-makers and stakeholders to further develop the sector. The recently established high level Interest-F</w:t>
      </w:r>
      <w:r w:rsidR="0070088D" w:rsidRPr="0070088D">
        <w:rPr>
          <w:sz w:val="23"/>
          <w:szCs w:val="23"/>
        </w:rPr>
        <w:t xml:space="preserve">ree Finance Coordination Board </w:t>
      </w:r>
      <w:r w:rsidRPr="0070088D">
        <w:rPr>
          <w:sz w:val="23"/>
          <w:szCs w:val="23"/>
        </w:rPr>
        <w:t>is a step in the right direction along with a strategic plan as part of The 10th Development Plan. Key challenges faced by the participation banks are: (i) absence of a specific regulatory framework; (ii) capital constraints for further growth; (iii) lack of clarity in Shariah governance practices; (iv) shortage of liquid investable securities; and (v) limited innovation for retail and corporate sector on both sides of the balance sheet.</w:t>
      </w:r>
    </w:p>
    <w:p w14:paraId="396B64FD" w14:textId="7E024B1F" w:rsidR="00161320" w:rsidRPr="0070088D" w:rsidRDefault="00161320" w:rsidP="007729D7">
      <w:pPr>
        <w:pStyle w:val="ParagraphNumbering"/>
        <w:tabs>
          <w:tab w:val="clear" w:pos="1260"/>
        </w:tabs>
        <w:spacing w:line="240" w:lineRule="auto"/>
        <w:ind w:left="0"/>
        <w:rPr>
          <w:sz w:val="23"/>
          <w:szCs w:val="23"/>
        </w:rPr>
      </w:pPr>
      <w:r w:rsidRPr="0070088D">
        <w:rPr>
          <w:b/>
          <w:sz w:val="23"/>
          <w:szCs w:val="23"/>
        </w:rPr>
        <w:t>Development of Islamic capital markets is a priority but the market faces challenges</w:t>
      </w:r>
      <w:r w:rsidRPr="0070088D">
        <w:rPr>
          <w:sz w:val="23"/>
          <w:szCs w:val="23"/>
        </w:rPr>
        <w:t>. For the Sukuk (Islamic bonds) market, low appetite for structured and securitized products, challenges to maintain a liquid yield curve, limited availability of long-term financing, and the absence of an adequate Shariah-governance framework are key impediments for further growth.</w:t>
      </w:r>
    </w:p>
    <w:p w14:paraId="680E06D0" w14:textId="7C44C4A4" w:rsidR="00BD2D63" w:rsidRPr="0070088D" w:rsidRDefault="00161320" w:rsidP="007729D7">
      <w:pPr>
        <w:pStyle w:val="ParagraphNumbering"/>
        <w:tabs>
          <w:tab w:val="clear" w:pos="1260"/>
        </w:tabs>
        <w:spacing w:line="240" w:lineRule="auto"/>
        <w:ind w:left="0"/>
        <w:rPr>
          <w:sz w:val="23"/>
          <w:szCs w:val="23"/>
        </w:rPr>
      </w:pPr>
      <w:r w:rsidRPr="0070088D">
        <w:rPr>
          <w:b/>
          <w:sz w:val="23"/>
          <w:szCs w:val="23"/>
        </w:rPr>
        <w:t>Key recommendations for the sector are</w:t>
      </w:r>
      <w:r w:rsidRPr="0070088D">
        <w:rPr>
          <w:sz w:val="23"/>
          <w:szCs w:val="23"/>
        </w:rPr>
        <w:t xml:space="preserve"> to: (i) enhance the regulatory framework for participation banks and support consideration of international standards such as recommended by the Islamic Financial Services Board (IFSB) and the Accounting and Auditing Organization of Islamic Financial Institutions (AAOIFI) as additional sources of good practice and</w:t>
      </w:r>
      <w:r w:rsidR="0030623E">
        <w:rPr>
          <w:sz w:val="23"/>
          <w:szCs w:val="23"/>
        </w:rPr>
        <w:t>,</w:t>
      </w:r>
      <w:r w:rsidRPr="0070088D">
        <w:rPr>
          <w:sz w:val="23"/>
          <w:szCs w:val="23"/>
        </w:rPr>
        <w:t xml:space="preserve"> at the same time, ensure that regulatory structure offers sufficient protection for less-sophisticated participants (in</w:t>
      </w:r>
      <w:r w:rsidR="008F33EE">
        <w:rPr>
          <w:sz w:val="23"/>
          <w:szCs w:val="23"/>
        </w:rPr>
        <w:t xml:space="preserve">vestment account holders), and </w:t>
      </w:r>
      <w:r w:rsidRPr="0070088D">
        <w:rPr>
          <w:sz w:val="23"/>
          <w:szCs w:val="23"/>
        </w:rPr>
        <w:t>more emphasis is placed on investor education to ensure that the participants are clear about the risks involved.; (ii) develop and implement governance framework for Shariah-certification and audit of Islamic products and services; (i</w:t>
      </w:r>
      <w:r w:rsidR="005F1B86">
        <w:rPr>
          <w:sz w:val="23"/>
          <w:szCs w:val="23"/>
        </w:rPr>
        <w:t>i</w:t>
      </w:r>
      <w:r w:rsidRPr="0070088D">
        <w:rPr>
          <w:sz w:val="23"/>
          <w:szCs w:val="23"/>
        </w:rPr>
        <w:t>) innovate and introduce new products to cater the retail, corporate, and SME sectors on both sides of the balance sheet; (</w:t>
      </w:r>
      <w:r w:rsidR="005F1B86">
        <w:rPr>
          <w:sz w:val="23"/>
          <w:szCs w:val="23"/>
        </w:rPr>
        <w:t>i</w:t>
      </w:r>
      <w:r w:rsidRPr="0070088D">
        <w:rPr>
          <w:sz w:val="23"/>
          <w:szCs w:val="23"/>
        </w:rPr>
        <w:t>v) Turkish Treasury to consider issuing Shariah-compliant T-Bills to provide liquid assets to participation banks and asset managers</w:t>
      </w:r>
      <w:r w:rsidRPr="008F33EE">
        <w:rPr>
          <w:sz w:val="20"/>
          <w:szCs w:val="23"/>
          <w:vertAlign w:val="superscript"/>
        </w:rPr>
        <w:footnoteReference w:id="16"/>
      </w:r>
      <w:r w:rsidRPr="0070088D">
        <w:rPr>
          <w:sz w:val="23"/>
          <w:szCs w:val="23"/>
        </w:rPr>
        <w:t>; (v) Participation banks to become more competitive in terms of pricing and service of quality; (vi) develop the market for local as well as foreign currency denominated Sukuk; (vii) develop human resources competent and qualified in Islamic finance; and finally, (</w:t>
      </w:r>
      <w:r w:rsidR="005F1B86">
        <w:rPr>
          <w:sz w:val="23"/>
          <w:szCs w:val="23"/>
        </w:rPr>
        <w:t>viii</w:t>
      </w:r>
      <w:r w:rsidRPr="0070088D">
        <w:rPr>
          <w:sz w:val="23"/>
          <w:szCs w:val="23"/>
        </w:rPr>
        <w:t>) increase financial awareness and literacy of Islamic products and services to strengthen the trust of the customers.</w:t>
      </w:r>
    </w:p>
    <w:p w14:paraId="7D284FA5" w14:textId="77777777" w:rsidR="00405CC0" w:rsidRPr="0074410D" w:rsidRDefault="00161320" w:rsidP="00BF07E1">
      <w:pPr>
        <w:pStyle w:val="Heading2"/>
        <w:ind w:left="0"/>
      </w:pPr>
      <w:bookmarkStart w:id="145" w:name="_Toc469295360"/>
      <w:r>
        <w:t xml:space="preserve">Retail Payment and </w:t>
      </w:r>
      <w:r w:rsidR="00EC6D95" w:rsidRPr="0074410D">
        <w:t>S</w:t>
      </w:r>
      <w:r w:rsidR="00405CC0" w:rsidRPr="0074410D">
        <w:t>ystems</w:t>
      </w:r>
      <w:bookmarkEnd w:id="145"/>
    </w:p>
    <w:p w14:paraId="0E847756" w14:textId="77777777" w:rsidR="00161320" w:rsidRPr="0070088D" w:rsidRDefault="00161320" w:rsidP="007729D7">
      <w:pPr>
        <w:pStyle w:val="ParagraphNumbering"/>
        <w:tabs>
          <w:tab w:val="clear" w:pos="1260"/>
        </w:tabs>
        <w:spacing w:line="240" w:lineRule="auto"/>
        <w:ind w:left="0"/>
        <w:rPr>
          <w:sz w:val="23"/>
          <w:szCs w:val="23"/>
        </w:rPr>
      </w:pPr>
      <w:r w:rsidRPr="0070088D">
        <w:rPr>
          <w:b/>
          <w:sz w:val="23"/>
          <w:szCs w:val="23"/>
        </w:rPr>
        <w:t>As a result of improvements in the NPS (see section on FMIs), Turkey is well positioned to achieve further advancements toward promoting financial inclusion and achieving the goal of universal access to transaction accounts</w:t>
      </w:r>
      <w:r w:rsidRPr="0070088D">
        <w:rPr>
          <w:sz w:val="23"/>
          <w:szCs w:val="23"/>
        </w:rPr>
        <w:t>. Turkey’s strong performance is attributable, at least in part, to: i) its robust enabling environment; ii) payment product design features that are attractive to both payees and payers; and iii) the widespread usage of electronic payment of wages and salaries by public and private sector employers. Some of the other important factors that work to Turkey’s advantage include the high average debit card ownership</w:t>
      </w:r>
      <w:r w:rsidRPr="008F33EE">
        <w:rPr>
          <w:sz w:val="20"/>
          <w:szCs w:val="23"/>
          <w:vertAlign w:val="superscript"/>
        </w:rPr>
        <w:footnoteReference w:id="17"/>
      </w:r>
      <w:r w:rsidR="0070088D">
        <w:rPr>
          <w:sz w:val="23"/>
          <w:szCs w:val="23"/>
        </w:rPr>
        <w:t>,</w:t>
      </w:r>
      <w:r w:rsidRPr="0070088D">
        <w:rPr>
          <w:sz w:val="23"/>
          <w:szCs w:val="23"/>
        </w:rPr>
        <w:t xml:space="preserve"> a high total number of access points, a national payments switch, and an innovation oriented supply side. Turkey’s relative success with respect to access to and usage of transaction accounts may offer valuable lessons for other countries that are striving to advance financial inclusion.</w:t>
      </w:r>
    </w:p>
    <w:p w14:paraId="0AE2E49A" w14:textId="7538C395" w:rsidR="00633E74" w:rsidRPr="0070088D" w:rsidRDefault="00161320" w:rsidP="007729D7">
      <w:pPr>
        <w:pStyle w:val="ParagraphNumbering"/>
        <w:tabs>
          <w:tab w:val="clear" w:pos="1260"/>
        </w:tabs>
        <w:spacing w:line="240" w:lineRule="auto"/>
        <w:ind w:left="0"/>
        <w:rPr>
          <w:sz w:val="23"/>
          <w:szCs w:val="23"/>
        </w:rPr>
      </w:pPr>
      <w:r w:rsidRPr="0070088D">
        <w:rPr>
          <w:b/>
          <w:sz w:val="23"/>
          <w:szCs w:val="23"/>
        </w:rPr>
        <w:t>However, there are some aspects of payments systems of relevance for financial inclusion that merit attention and/or further analysis</w:t>
      </w:r>
      <w:r w:rsidRPr="0070088D">
        <w:rPr>
          <w:sz w:val="23"/>
          <w:szCs w:val="23"/>
        </w:rPr>
        <w:t xml:space="preserve">. In specific terms, given the importance of payment system oversight to achieving policy objectives, it would be useful for CBRT and the BRSA to monitor the implementation and effectiveness of the NPS oversight framework. This is particularly relevant with regard to the customer experience and confidence, and the maintenance of competitive market conditions. Similarly, more information on customer recourse and dispute resolution mechanisms would be useful. In addition, further analysis of the strengths and weaknesses of the Government’s benefit payment programs with respect to expanding access and usage of transaction services could facilitate greater leveraging of those programs to advance financial inclusion. Turkey has a huge disparity in account ownership by gender. The gender disparity appears to be very closely related to the sizable gap in transaction account ownership by employment status. Further, like elsewhere, the regional and rural/urban divide in the distribution and availability of points of access has yet to be effectively addressed. Use of agent-based models in rural areas, potentially in conjunction with the card payments infrastructure and the cashback features already available in some locations presents a promising alternative. Finally, with the entry of e-money providers and payment institutions and the expanding scale of Postal Telegraph </w:t>
      </w:r>
      <w:r w:rsidR="00A82B7E">
        <w:rPr>
          <w:sz w:val="23"/>
          <w:szCs w:val="23"/>
        </w:rPr>
        <w:t>Corporation</w:t>
      </w:r>
      <w:r w:rsidR="00A82B7E" w:rsidRPr="0070088D">
        <w:rPr>
          <w:sz w:val="23"/>
          <w:szCs w:val="23"/>
        </w:rPr>
        <w:t xml:space="preserve">’s </w:t>
      </w:r>
      <w:r w:rsidRPr="0070088D">
        <w:rPr>
          <w:sz w:val="23"/>
          <w:szCs w:val="23"/>
        </w:rPr>
        <w:t>(PTT) payment services offerings, their level of access to the national payments system will need to be assessed to ensure fair and transparent access to payments infrastructure.</w:t>
      </w:r>
    </w:p>
    <w:p w14:paraId="3D68B0ED" w14:textId="77777777" w:rsidR="008F1B5E" w:rsidRPr="0074410D" w:rsidRDefault="00161320" w:rsidP="00BF07E1">
      <w:pPr>
        <w:pStyle w:val="Heading2"/>
        <w:ind w:left="0"/>
      </w:pPr>
      <w:bookmarkStart w:id="146" w:name="_Toc469295361"/>
      <w:r>
        <w:t xml:space="preserve">Enhancing </w:t>
      </w:r>
      <w:r w:rsidR="008F1B5E" w:rsidRPr="0074410D">
        <w:t>C</w:t>
      </w:r>
      <w:r w:rsidR="00356F0C" w:rsidRPr="0074410D">
        <w:t xml:space="preserve">redit </w:t>
      </w:r>
      <w:r>
        <w:t>Reporting</w:t>
      </w:r>
      <w:r w:rsidR="00EF5D1B" w:rsidRPr="0074410D">
        <w:t xml:space="preserve"> </w:t>
      </w:r>
      <w:r w:rsidR="00356F0C" w:rsidRPr="0074410D">
        <w:t>Systems</w:t>
      </w:r>
      <w:bookmarkEnd w:id="146"/>
    </w:p>
    <w:p w14:paraId="74584AC9" w14:textId="3BCD20EA" w:rsidR="00161320" w:rsidRPr="0070088D" w:rsidRDefault="00161320" w:rsidP="007729D7">
      <w:pPr>
        <w:pStyle w:val="ParagraphNumbering"/>
        <w:tabs>
          <w:tab w:val="clear" w:pos="1260"/>
        </w:tabs>
        <w:spacing w:line="240" w:lineRule="auto"/>
        <w:ind w:left="0"/>
        <w:rPr>
          <w:sz w:val="23"/>
          <w:szCs w:val="23"/>
        </w:rPr>
      </w:pPr>
      <w:r w:rsidRPr="0070088D">
        <w:rPr>
          <w:b/>
          <w:sz w:val="23"/>
          <w:szCs w:val="23"/>
        </w:rPr>
        <w:t>The credit reporting system (CRS) underwent comprehensive reform between 2011 and 2013 enhancing its potential role in promoting financial inclusion</w:t>
      </w:r>
      <w:r w:rsidRPr="0070088D">
        <w:rPr>
          <w:sz w:val="23"/>
          <w:szCs w:val="23"/>
        </w:rPr>
        <w:t xml:space="preserve">. The CRS is supported by two main entities – BAT-Risk Center and KKB. A credit registry, as allowed under the BL, was operated by CBRT for several years. It was transferred in 2013 to the Bank Association of Turkey (BAT), called the BAT-Risk Center. The BAT-Risk Center in turn delegated the operational activities to the KKB which include data management and processing and development of data and reports. In addition, the KKB functions as a credit bureau under the provisions allowed by Article 73 of the </w:t>
      </w:r>
      <w:r w:rsidR="00A82B7E">
        <w:rPr>
          <w:sz w:val="23"/>
          <w:szCs w:val="23"/>
        </w:rPr>
        <w:t>BL</w:t>
      </w:r>
      <w:r w:rsidRPr="0070088D">
        <w:rPr>
          <w:sz w:val="23"/>
          <w:szCs w:val="23"/>
        </w:rPr>
        <w:t>. Prior to the reform, CBRT’s Risk Center collected both positive and negative information from individuals’ and enterprises and provided information on periodic (monthly) basis.</w:t>
      </w:r>
      <w:r w:rsidR="0030623E">
        <w:rPr>
          <w:sz w:val="23"/>
          <w:szCs w:val="23"/>
        </w:rPr>
        <w:t xml:space="preserve"> </w:t>
      </w:r>
      <w:r w:rsidRPr="0070088D">
        <w:rPr>
          <w:sz w:val="23"/>
          <w:szCs w:val="23"/>
        </w:rPr>
        <w:t xml:space="preserve">However, after the reforms made since 2011, besides improving the quality and horizon of data available, coverage of provider financial institutions has been expanded, the variety of information has been enriched, and the efficiency of access to data has improved significantly. KKB has also diversified its products and offers a broad set of value added services. </w:t>
      </w:r>
    </w:p>
    <w:p w14:paraId="7A3A074A" w14:textId="6562DE4D" w:rsidR="00161320" w:rsidRPr="0070088D" w:rsidRDefault="00161320" w:rsidP="007729D7">
      <w:pPr>
        <w:pStyle w:val="ParagraphNumbering"/>
        <w:tabs>
          <w:tab w:val="clear" w:pos="1260"/>
        </w:tabs>
        <w:spacing w:line="240" w:lineRule="auto"/>
        <w:ind w:left="0"/>
        <w:rPr>
          <w:sz w:val="23"/>
          <w:szCs w:val="23"/>
        </w:rPr>
      </w:pPr>
      <w:r w:rsidRPr="0070088D">
        <w:rPr>
          <w:b/>
          <w:sz w:val="23"/>
          <w:szCs w:val="23"/>
        </w:rPr>
        <w:t>Some additional improvements in the CRS legal framework could support financial inclusion</w:t>
      </w:r>
      <w:r w:rsidRPr="0070088D">
        <w:rPr>
          <w:sz w:val="23"/>
          <w:szCs w:val="23"/>
        </w:rPr>
        <w:t>. They include: i) developing a more comprehensive regulation that clearly states the role of the existing CRS as a service provider to the creditors including how this information should be treated in cross-border situations; ii) clarifying the role that private sector service providers play in the establishment of CRS, their requirements and obligations</w:t>
      </w:r>
      <w:r w:rsidR="0030623E">
        <w:rPr>
          <w:sz w:val="23"/>
          <w:szCs w:val="23"/>
        </w:rPr>
        <w:t>;</w:t>
      </w:r>
      <w:r w:rsidRPr="0070088D">
        <w:rPr>
          <w:sz w:val="23"/>
          <w:szCs w:val="23"/>
        </w:rPr>
        <w:t xml:space="preserve"> iii) evaluating the recently adopted data protection law and its impact in the CRS activities; and iv) clearly establishing guidance regarding the consumer consent. Lastly, there is scope to strengthen the legal framework to facilitate participation of nonfinancial institutions in the CRS, including the collateral registry, social security institution, Ministry of Finance, and companies from telecommunication and utility sector. This can be especially useful in promoting responsible financial inclusion for both individuals and SMEs.</w:t>
      </w:r>
    </w:p>
    <w:p w14:paraId="1F368EE8" w14:textId="13B6B498" w:rsidR="00161320" w:rsidRPr="00161320" w:rsidRDefault="00161320" w:rsidP="007729D7">
      <w:pPr>
        <w:pStyle w:val="ParagraphNumbering"/>
        <w:tabs>
          <w:tab w:val="clear" w:pos="1260"/>
        </w:tabs>
        <w:spacing w:line="240" w:lineRule="auto"/>
        <w:ind w:left="0"/>
        <w:rPr>
          <w:rFonts w:ascii="Calibri" w:hAnsi="Calibri"/>
          <w:sz w:val="22"/>
          <w:szCs w:val="22"/>
        </w:rPr>
      </w:pPr>
      <w:r w:rsidRPr="0070088D">
        <w:rPr>
          <w:b/>
          <w:sz w:val="23"/>
          <w:szCs w:val="23"/>
        </w:rPr>
        <w:t>Another key area for improvement is the development of the oversight function</w:t>
      </w:r>
      <w:r w:rsidRPr="0070088D">
        <w:rPr>
          <w:sz w:val="23"/>
          <w:szCs w:val="23"/>
        </w:rPr>
        <w:t xml:space="preserve">. Although the BRSA is able to conduct examinations of the BAT-risk center and KKB, there is limited oversight framework and policy objectives are inadequately defined. </w:t>
      </w:r>
      <w:r w:rsidR="0030623E" w:rsidRPr="0070088D">
        <w:rPr>
          <w:sz w:val="23"/>
          <w:szCs w:val="23"/>
        </w:rPr>
        <w:t>However,</w:t>
      </w:r>
      <w:r w:rsidRPr="0070088D">
        <w:rPr>
          <w:sz w:val="23"/>
          <w:szCs w:val="23"/>
        </w:rPr>
        <w:t xml:space="preserve"> there are some supervisory tools such as audit a</w:t>
      </w:r>
      <w:r w:rsidR="008F33EE">
        <w:rPr>
          <w:sz w:val="23"/>
          <w:szCs w:val="23"/>
        </w:rPr>
        <w:t xml:space="preserve">nd regulation issued by BRSA. </w:t>
      </w:r>
      <w:r w:rsidRPr="0070088D">
        <w:rPr>
          <w:sz w:val="23"/>
          <w:szCs w:val="23"/>
        </w:rPr>
        <w:t>While concepts of oversight and collaboration between all relevant CRS participants are not defined in law, they are defined in the regulations of BAT-RC published in 2012. Moreover, both authorities have their members in the BAT-Risk Center’s Board, and have a right to say in the decision making mechanism. However, the roles of CBRT and BRSA should be defined more clearly. In addition, CBRT is an active member of World Bank- International Committee on Credit Reporting (ICCR) since 2011 which collaborates with overseers and institutions at international level. However, there is scope to develop provisions related to collaboration between overseers of credit reporting in Turkey and other jurisdictions with significant presence of Turkish banks and populace.</w:t>
      </w:r>
      <w:bookmarkStart w:id="147" w:name="_Toc335678912"/>
    </w:p>
    <w:p w14:paraId="43670A02" w14:textId="3018D440" w:rsidR="00161320" w:rsidRPr="000E36E0" w:rsidRDefault="00161320">
      <w:pPr>
        <w:rPr>
          <w:rFonts w:eastAsiaTheme="minorEastAsia"/>
        </w:rPr>
      </w:pPr>
      <w:r>
        <w:rPr>
          <w:rFonts w:eastAsiaTheme="minorEastAsia"/>
        </w:rPr>
        <w:br w:type="page"/>
      </w:r>
    </w:p>
    <w:p w14:paraId="7C013374" w14:textId="77777777" w:rsidR="00497AE8" w:rsidRPr="00497AE8" w:rsidRDefault="00497AE8" w:rsidP="007729D7">
      <w:pPr>
        <w:pStyle w:val="Heading1"/>
        <w:numPr>
          <w:ilvl w:val="0"/>
          <w:numId w:val="0"/>
        </w:numPr>
      </w:pPr>
      <w:r w:rsidRPr="00497AE8">
        <w:fldChar w:fldCharType="begin"/>
      </w:r>
      <w:r w:rsidRPr="00497AE8">
        <w:instrText xml:space="preserve"> TC "</w:instrText>
      </w:r>
      <w:bookmarkStart w:id="148" w:name="_Toc465845589"/>
      <w:r w:rsidRPr="00497AE8">
        <w:instrText>I. Financial System Profile and Recent Trends</w:instrText>
      </w:r>
      <w:bookmarkEnd w:id="148"/>
      <w:r w:rsidRPr="00497AE8">
        <w:instrText xml:space="preserve">"\f J </w:instrText>
      </w:r>
      <w:r w:rsidRPr="00497AE8">
        <w:fldChar w:fldCharType="end"/>
      </w:r>
      <w:bookmarkStart w:id="149" w:name="_Toc469295362"/>
      <w:r w:rsidRPr="00497AE8">
        <w:t>Annex I. Financial System Profile and Recent Trends</w:t>
      </w:r>
      <w:bookmarkEnd w:id="149"/>
    </w:p>
    <w:tbl>
      <w:tblPr>
        <w:tblStyle w:val="TableGrid3"/>
        <w:tblW w:w="9314"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9314"/>
      </w:tblGrid>
      <w:tr w:rsidR="00497AE8" w:rsidRPr="00497AE8" w14:paraId="5C7AA1CF" w14:textId="77777777" w:rsidTr="00497AE8">
        <w:trPr>
          <w:trHeight w:val="278"/>
          <w:jc w:val="center"/>
        </w:trPr>
        <w:tc>
          <w:tcPr>
            <w:tcW w:w="9314" w:type="dxa"/>
            <w:shd w:val="clear" w:color="auto" w:fill="auto"/>
            <w:vAlign w:val="center"/>
          </w:tcPr>
          <w:p w14:paraId="551FECCA"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bCs/>
                <w:color w:val="4F81BD" w:themeColor="accent1"/>
                <w:sz w:val="21"/>
              </w:rPr>
              <w:fldChar w:fldCharType="begin"/>
            </w:r>
            <w:r w:rsidRPr="00497AE8">
              <w:rPr>
                <w:rFonts w:ascii="Segoe UI" w:eastAsia="MS Mincho" w:hAnsi="Segoe UI"/>
                <w:bCs/>
                <w:color w:val="4F81BD" w:themeColor="accent1"/>
                <w:sz w:val="21"/>
              </w:rPr>
              <w:instrText xml:space="preserve"> TC "</w:instrText>
            </w:r>
            <w:bookmarkStart w:id="150" w:name="_Toc465697433"/>
            <w:r w:rsidRPr="00497AE8">
              <w:rPr>
                <w:rFonts w:ascii="Segoe UI" w:eastAsia="MS Mincho" w:hAnsi="Segoe UI"/>
                <w:bCs/>
                <w:color w:val="4F81BD" w:themeColor="accent1"/>
                <w:sz w:val="21"/>
              </w:rPr>
              <w:instrText>1. Turkey: Selected Economic Indicators, 2014–21</w:instrText>
            </w:r>
            <w:bookmarkEnd w:id="150"/>
            <w:r w:rsidRPr="00497AE8">
              <w:rPr>
                <w:rFonts w:ascii="Segoe UI" w:eastAsia="MS Mincho" w:hAnsi="Segoe UI"/>
                <w:bCs/>
                <w:color w:val="4F81BD" w:themeColor="accent1"/>
                <w:sz w:val="21"/>
              </w:rPr>
              <w:instrText xml:space="preserve">"\f F </w:instrText>
            </w:r>
            <w:r w:rsidRPr="00497AE8">
              <w:rPr>
                <w:rFonts w:ascii="Segoe UI" w:eastAsia="MS Mincho" w:hAnsi="Segoe UI"/>
                <w:bCs/>
                <w:color w:val="4F81BD" w:themeColor="accent1"/>
                <w:sz w:val="21"/>
              </w:rPr>
              <w:fldChar w:fldCharType="end"/>
            </w:r>
            <w:r w:rsidRPr="00497AE8">
              <w:rPr>
                <w:rFonts w:ascii="Segoe UI" w:eastAsia="MS Mincho" w:hAnsi="Segoe UI"/>
                <w:b/>
                <w:bCs/>
                <w:color w:val="4F81BD" w:themeColor="accent1"/>
                <w:sz w:val="21"/>
              </w:rPr>
              <w:t xml:space="preserve">Table </w:t>
            </w:r>
            <w:r w:rsidRPr="00497AE8">
              <w:rPr>
                <w:rFonts w:ascii="Segoe UI" w:eastAsia="MS Mincho" w:hAnsi="Segoe UI"/>
                <w:b/>
                <w:bCs/>
                <w:color w:val="4F81BD" w:themeColor="accent1"/>
                <w:sz w:val="21"/>
              </w:rPr>
              <w:fldChar w:fldCharType="begin"/>
            </w:r>
            <w:r w:rsidRPr="00497AE8">
              <w:rPr>
                <w:rFonts w:ascii="Segoe UI" w:eastAsia="MS Mincho" w:hAnsi="Segoe UI"/>
                <w:b/>
                <w:bCs/>
                <w:color w:val="4F81BD" w:themeColor="accent1"/>
                <w:sz w:val="21"/>
              </w:rPr>
              <w:instrText xml:space="preserve"> SEQ Table \* ARABIC </w:instrText>
            </w:r>
            <w:r w:rsidRPr="00497AE8">
              <w:rPr>
                <w:rFonts w:ascii="Segoe UI" w:eastAsia="MS Mincho" w:hAnsi="Segoe UI"/>
                <w:b/>
                <w:bCs/>
                <w:color w:val="4F81BD" w:themeColor="accent1"/>
                <w:sz w:val="21"/>
              </w:rPr>
              <w:fldChar w:fldCharType="separate"/>
            </w:r>
            <w:r w:rsidRPr="00497AE8">
              <w:rPr>
                <w:rFonts w:ascii="Segoe UI" w:eastAsia="MS Mincho" w:hAnsi="Segoe UI"/>
                <w:b/>
                <w:bCs/>
                <w:noProof/>
                <w:color w:val="4F81BD" w:themeColor="accent1"/>
                <w:sz w:val="21"/>
              </w:rPr>
              <w:t>1</w:t>
            </w:r>
            <w:r w:rsidRPr="00497AE8">
              <w:rPr>
                <w:rFonts w:ascii="Segoe UI" w:eastAsia="MS Mincho" w:hAnsi="Segoe UI"/>
                <w:b/>
                <w:bCs/>
                <w:color w:val="4F81BD" w:themeColor="accent1"/>
                <w:sz w:val="21"/>
              </w:rPr>
              <w:fldChar w:fldCharType="end"/>
            </w:r>
            <w:r w:rsidRPr="00497AE8">
              <w:rPr>
                <w:rFonts w:ascii="Segoe UI" w:eastAsia="MS Mincho" w:hAnsi="Segoe UI"/>
                <w:b/>
                <w:bCs/>
                <w:color w:val="4F81BD" w:themeColor="accent1"/>
                <w:sz w:val="21"/>
              </w:rPr>
              <w:t xml:space="preserve">. </w:t>
            </w:r>
            <w:r w:rsidRPr="00497AE8">
              <w:rPr>
                <w:rFonts w:ascii="Segoe UI" w:eastAsia="MS Mincho" w:hAnsi="Segoe UI" w:cs="Segoe UI"/>
                <w:b/>
                <w:bCs/>
                <w:color w:val="4F81BD" w:themeColor="accent1"/>
                <w:sz w:val="21"/>
                <w:szCs w:val="21"/>
              </w:rPr>
              <w:t>Turkey</w:t>
            </w:r>
            <w:r w:rsidRPr="00497AE8">
              <w:rPr>
                <w:rFonts w:ascii="Segoe UI" w:eastAsia="MS Mincho" w:hAnsi="Segoe UI" w:cs="Segoe UI"/>
                <w:b/>
                <w:color w:val="4B82AD"/>
                <w:sz w:val="21"/>
                <w:szCs w:val="21"/>
              </w:rPr>
              <w:t>: Selected Economic Indicators, 2014–21</w:t>
            </w:r>
          </w:p>
          <w:p w14:paraId="44CBE0C4" w14:textId="77777777" w:rsidR="00497AE8" w:rsidRPr="00497AE8" w:rsidRDefault="00497AE8" w:rsidP="00497AE8">
            <w:pPr>
              <w:spacing w:line="300" w:lineRule="exact"/>
              <w:jc w:val="center"/>
              <w:rPr>
                <w:rFonts w:ascii="Segoe UI" w:eastAsia="MS Mincho" w:hAnsi="Segoe UI" w:cs="Segoe UI"/>
                <w:b/>
                <w:color w:val="4B82AD"/>
                <w:sz w:val="21"/>
                <w:szCs w:val="21"/>
              </w:rPr>
            </w:pPr>
          </w:p>
        </w:tc>
      </w:tr>
      <w:tr w:rsidR="00497AE8" w:rsidRPr="00497AE8" w14:paraId="41773AB8" w14:textId="77777777" w:rsidTr="00497AE8">
        <w:trPr>
          <w:trHeight w:val="1932"/>
          <w:jc w:val="center"/>
        </w:trPr>
        <w:tc>
          <w:tcPr>
            <w:tcW w:w="9314" w:type="dxa"/>
            <w:shd w:val="clear" w:color="auto" w:fill="auto"/>
            <w:vAlign w:val="center"/>
          </w:tcPr>
          <w:p w14:paraId="679E5D89" w14:textId="77777777" w:rsidR="00497AE8" w:rsidRPr="00497AE8" w:rsidRDefault="00497AE8" w:rsidP="00497AE8">
            <w:pPr>
              <w:spacing w:line="300" w:lineRule="exact"/>
              <w:jc w:val="center"/>
              <w:rPr>
                <w:rFonts w:ascii="Segoe UI" w:eastAsia="MS Mincho" w:hAnsi="Segoe UI" w:cs="Segoe UI"/>
                <w:color w:val="000000" w:themeColor="text1"/>
                <w:sz w:val="21"/>
                <w:szCs w:val="21"/>
              </w:rPr>
            </w:pPr>
            <w:r w:rsidRPr="00497AE8">
              <w:rPr>
                <w:rFonts w:ascii="Segoe UI" w:eastAsia="MS Mincho" w:hAnsi="Segoe UI" w:cs="Segoe UI"/>
                <w:noProof/>
                <w:color w:val="000000" w:themeColor="text1"/>
                <w:sz w:val="21"/>
                <w:szCs w:val="21"/>
              </w:rPr>
              <w:drawing>
                <wp:anchor distT="0" distB="0" distL="114300" distR="114300" simplePos="0" relativeHeight="251754496" behindDoc="0" locked="0" layoutInCell="1" allowOverlap="1" wp14:anchorId="0DD3456A" wp14:editId="7D1AA5EE">
                  <wp:simplePos x="999460" y="-2934586"/>
                  <wp:positionH relativeFrom="margin">
                    <wp:align>center</wp:align>
                  </wp:positionH>
                  <wp:positionV relativeFrom="margin">
                    <wp:align>center</wp:align>
                  </wp:positionV>
                  <wp:extent cx="5773420" cy="57626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420" cy="5762625"/>
                          </a:xfrm>
                          <a:prstGeom prst="rect">
                            <a:avLst/>
                          </a:prstGeom>
                          <a:noFill/>
                          <a:ln>
                            <a:noFill/>
                          </a:ln>
                        </pic:spPr>
                      </pic:pic>
                    </a:graphicData>
                  </a:graphic>
                </wp:anchor>
              </w:drawing>
            </w:r>
          </w:p>
        </w:tc>
      </w:tr>
    </w:tbl>
    <w:p w14:paraId="1614788B" w14:textId="77777777" w:rsidR="00497AE8" w:rsidRPr="00497AE8" w:rsidRDefault="00497AE8" w:rsidP="00497AE8">
      <w:pPr>
        <w:spacing w:line="300" w:lineRule="exact"/>
        <w:rPr>
          <w:rFonts w:ascii="Segoe UI" w:eastAsia="MS Mincho" w:hAnsi="Segoe UI"/>
          <w:sz w:val="21"/>
        </w:rPr>
      </w:pPr>
    </w:p>
    <w:p w14:paraId="2A611BDA" w14:textId="77777777" w:rsidR="00497AE8" w:rsidRPr="00497AE8" w:rsidRDefault="00497AE8" w:rsidP="00497AE8">
      <w:pPr>
        <w:spacing w:line="300" w:lineRule="exact"/>
        <w:rPr>
          <w:rFonts w:ascii="Segoe UI" w:eastAsia="MS Mincho" w:hAnsi="Segoe UI"/>
          <w:sz w:val="21"/>
        </w:rPr>
      </w:pPr>
    </w:p>
    <w:p w14:paraId="6A764C3D" w14:textId="77777777" w:rsidR="00497AE8" w:rsidRPr="00497AE8" w:rsidRDefault="00497AE8" w:rsidP="00497AE8">
      <w:pPr>
        <w:spacing w:line="300" w:lineRule="exact"/>
        <w:rPr>
          <w:rFonts w:ascii="Segoe UI" w:eastAsia="MS Mincho" w:hAnsi="Segoe UI"/>
          <w:sz w:val="21"/>
        </w:rPr>
      </w:pPr>
    </w:p>
    <w:p w14:paraId="5757BC64" w14:textId="77777777" w:rsidR="00497AE8" w:rsidRPr="00497AE8" w:rsidRDefault="00497AE8" w:rsidP="00497AE8">
      <w:pPr>
        <w:spacing w:line="300" w:lineRule="exact"/>
        <w:rPr>
          <w:rFonts w:ascii="Segoe UI" w:eastAsia="MS Mincho" w:hAnsi="Segoe UI"/>
          <w:sz w:val="21"/>
        </w:rPr>
        <w:sectPr w:rsidR="00497AE8" w:rsidRPr="00497AE8" w:rsidSect="00497AE8">
          <w:pgSz w:w="12240" w:h="15840" w:code="1"/>
          <w:pgMar w:top="1440" w:right="1469" w:bottom="1440" w:left="1469" w:header="720" w:footer="720" w:gutter="0"/>
          <w:cols w:space="720"/>
          <w:docGrid w:type="lines" w:linePitch="360"/>
        </w:sectPr>
      </w:pPr>
    </w:p>
    <w:tbl>
      <w:tblPr>
        <w:tblStyle w:val="TableGrid3"/>
        <w:tblW w:w="9314"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9314"/>
      </w:tblGrid>
      <w:tr w:rsidR="00497AE8" w:rsidRPr="00497AE8" w14:paraId="53070AAB" w14:textId="77777777" w:rsidTr="00497AE8">
        <w:trPr>
          <w:trHeight w:val="278"/>
          <w:jc w:val="center"/>
        </w:trPr>
        <w:tc>
          <w:tcPr>
            <w:tcW w:w="9314" w:type="dxa"/>
            <w:shd w:val="clear" w:color="auto" w:fill="auto"/>
            <w:vAlign w:val="center"/>
          </w:tcPr>
          <w:p w14:paraId="5BE3284F"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bCs/>
                <w:color w:val="4B82AD"/>
                <w:sz w:val="21"/>
              </w:rPr>
              <w:fldChar w:fldCharType="begin"/>
            </w:r>
            <w:r w:rsidRPr="00497AE8">
              <w:rPr>
                <w:rFonts w:ascii="Segoe UI" w:eastAsia="MS Mincho" w:hAnsi="Segoe UI"/>
                <w:bCs/>
                <w:color w:val="4B82AD"/>
                <w:sz w:val="21"/>
              </w:rPr>
              <w:instrText xml:space="preserve"> TC "</w:instrText>
            </w:r>
            <w:bookmarkStart w:id="151" w:name="_Toc465697434"/>
            <w:r w:rsidRPr="00497AE8">
              <w:rPr>
                <w:rFonts w:ascii="Segoe UI" w:eastAsia="MS Mincho" w:hAnsi="Segoe UI"/>
                <w:bCs/>
                <w:color w:val="4B82AD"/>
                <w:sz w:val="21"/>
              </w:rPr>
              <w:instrText>2. Turkey: Financial Soundness Indicators, 2010–15</w:instrText>
            </w:r>
            <w:bookmarkEnd w:id="151"/>
            <w:r w:rsidRPr="00497AE8">
              <w:rPr>
                <w:rFonts w:ascii="Segoe UI" w:eastAsia="MS Mincho" w:hAnsi="Segoe UI"/>
                <w:bCs/>
                <w:color w:val="4B82AD"/>
                <w:sz w:val="21"/>
              </w:rPr>
              <w:instrText xml:space="preserve">"\f F </w:instrText>
            </w:r>
            <w:r w:rsidRPr="00497AE8">
              <w:rPr>
                <w:rFonts w:ascii="Segoe UI" w:eastAsia="MS Mincho" w:hAnsi="Segoe UI"/>
                <w:bCs/>
                <w:color w:val="4B82AD"/>
                <w:sz w:val="21"/>
              </w:rPr>
              <w:fldChar w:fldCharType="end"/>
            </w:r>
            <w:r w:rsidRPr="00497AE8">
              <w:rPr>
                <w:rFonts w:ascii="Segoe UI" w:eastAsia="MS Mincho" w:hAnsi="Segoe UI"/>
                <w:b/>
                <w:bCs/>
                <w:color w:val="4B82AD"/>
                <w:sz w:val="21"/>
              </w:rPr>
              <w:t xml:space="preserve">Table 2. </w:t>
            </w:r>
            <w:r w:rsidRPr="00497AE8">
              <w:rPr>
                <w:rFonts w:ascii="Segoe UI" w:eastAsia="MS Mincho" w:hAnsi="Segoe UI" w:cs="Segoe UI"/>
                <w:b/>
                <w:bCs/>
                <w:color w:val="4B82AD"/>
                <w:sz w:val="21"/>
                <w:szCs w:val="21"/>
              </w:rPr>
              <w:t>Turkey</w:t>
            </w:r>
            <w:r w:rsidRPr="00497AE8">
              <w:rPr>
                <w:rFonts w:ascii="Segoe UI" w:eastAsia="MS Mincho" w:hAnsi="Segoe UI" w:cs="Segoe UI"/>
                <w:b/>
                <w:color w:val="4B82AD"/>
                <w:sz w:val="21"/>
                <w:szCs w:val="21"/>
              </w:rPr>
              <w:t>: Financial Soundness Indicators, 2010–16</w:t>
            </w:r>
          </w:p>
          <w:p w14:paraId="348E52B0"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t>(In percent)</w:t>
            </w:r>
          </w:p>
        </w:tc>
      </w:tr>
      <w:tr w:rsidR="00497AE8" w:rsidRPr="00497AE8" w14:paraId="2C02093A" w14:textId="77777777" w:rsidTr="00497AE8">
        <w:trPr>
          <w:trHeight w:val="1932"/>
          <w:jc w:val="center"/>
        </w:trPr>
        <w:tc>
          <w:tcPr>
            <w:tcW w:w="9314" w:type="dxa"/>
            <w:shd w:val="clear" w:color="auto" w:fill="auto"/>
            <w:vAlign w:val="center"/>
          </w:tcPr>
          <w:p w14:paraId="50312F11" w14:textId="77777777" w:rsidR="00497AE8" w:rsidRPr="00497AE8" w:rsidRDefault="00497AE8" w:rsidP="00497AE8">
            <w:pPr>
              <w:spacing w:line="220" w:lineRule="exact"/>
              <w:rPr>
                <w:rFonts w:ascii="Segoe UI" w:eastAsia="MS Mincho" w:hAnsi="Segoe UI" w:cs="Segoe UI"/>
                <w:color w:val="000000" w:themeColor="text1"/>
                <w:sz w:val="16"/>
                <w:szCs w:val="16"/>
              </w:rPr>
            </w:pPr>
            <w:r w:rsidRPr="00497AE8">
              <w:rPr>
                <w:rFonts w:ascii="Segoe UI" w:eastAsia="MS Mincho" w:hAnsi="Segoe UI" w:cs="Segoe UI"/>
                <w:noProof/>
                <w:color w:val="000000" w:themeColor="text1"/>
                <w:sz w:val="16"/>
                <w:szCs w:val="16"/>
              </w:rPr>
              <w:drawing>
                <wp:anchor distT="0" distB="0" distL="114300" distR="114300" simplePos="0" relativeHeight="251772928" behindDoc="0" locked="0" layoutInCell="1" allowOverlap="1" wp14:anchorId="025CA509" wp14:editId="3733EA44">
                  <wp:simplePos x="999460" y="-3838353"/>
                  <wp:positionH relativeFrom="margin">
                    <wp:align>center</wp:align>
                  </wp:positionH>
                  <wp:positionV relativeFrom="margin">
                    <wp:align>center</wp:align>
                  </wp:positionV>
                  <wp:extent cx="5773420" cy="52628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5262880"/>
                          </a:xfrm>
                          <a:prstGeom prst="rect">
                            <a:avLst/>
                          </a:prstGeom>
                          <a:noFill/>
                          <a:ln>
                            <a:noFill/>
                          </a:ln>
                        </pic:spPr>
                      </pic:pic>
                    </a:graphicData>
                  </a:graphic>
                </wp:anchor>
              </w:drawing>
            </w:r>
            <w:r w:rsidRPr="00497AE8">
              <w:rPr>
                <w:rFonts w:ascii="Segoe UI" w:eastAsia="MS Mincho" w:hAnsi="Segoe UI" w:cs="Segoe UI"/>
                <w:color w:val="000000" w:themeColor="text1"/>
                <w:sz w:val="16"/>
                <w:szCs w:val="16"/>
              </w:rPr>
              <w:t>Sources: IMF staff calculation based on Table 7 if not noted otherwise.</w:t>
            </w:r>
          </w:p>
          <w:p w14:paraId="09E77D11" w14:textId="77777777" w:rsidR="00497AE8" w:rsidRPr="00497AE8" w:rsidRDefault="00497AE8" w:rsidP="00497AE8">
            <w:pPr>
              <w:spacing w:line="220" w:lineRule="exact"/>
              <w:rPr>
                <w:rFonts w:ascii="Segoe UI" w:eastAsia="MS Mincho" w:hAnsi="Segoe UI" w:cs="Segoe UI"/>
                <w:color w:val="000000" w:themeColor="text1"/>
                <w:sz w:val="16"/>
                <w:szCs w:val="16"/>
              </w:rPr>
            </w:pPr>
            <w:r w:rsidRPr="00497AE8">
              <w:rPr>
                <w:rFonts w:ascii="Segoe UI" w:eastAsia="MS Mincho" w:hAnsi="Segoe UI" w:cs="Segoe UI"/>
                <w:color w:val="000000" w:themeColor="text1"/>
                <w:sz w:val="16"/>
                <w:szCs w:val="16"/>
                <w:vertAlign w:val="superscript"/>
              </w:rPr>
              <w:t>1</w:t>
            </w:r>
            <w:r w:rsidRPr="00497AE8">
              <w:rPr>
                <w:rFonts w:ascii="Segoe UI" w:eastAsia="MS Mincho" w:hAnsi="Segoe UI" w:cs="Segoe UI"/>
                <w:color w:val="000000" w:themeColor="text1"/>
                <w:sz w:val="16"/>
                <w:szCs w:val="16"/>
              </w:rPr>
              <w:t xml:space="preserve"> Current year data are annualized using 12-month rolling sums. </w:t>
            </w:r>
          </w:p>
          <w:p w14:paraId="10B59925" w14:textId="77777777" w:rsidR="00497AE8" w:rsidRPr="00497AE8" w:rsidRDefault="00497AE8" w:rsidP="00497AE8">
            <w:pPr>
              <w:spacing w:line="220" w:lineRule="exact"/>
              <w:rPr>
                <w:rFonts w:ascii="Segoe UI" w:eastAsia="MS Mincho" w:hAnsi="Segoe UI" w:cs="Segoe UI"/>
                <w:color w:val="000000" w:themeColor="text1"/>
                <w:sz w:val="16"/>
                <w:szCs w:val="16"/>
              </w:rPr>
            </w:pPr>
            <w:r w:rsidRPr="00497AE8">
              <w:rPr>
                <w:rFonts w:ascii="Segoe UI" w:eastAsia="MS Mincho" w:hAnsi="Segoe UI" w:cs="Segoe UI"/>
                <w:color w:val="000000" w:themeColor="text1"/>
                <w:sz w:val="16"/>
                <w:szCs w:val="16"/>
                <w:vertAlign w:val="superscript"/>
              </w:rPr>
              <w:t>2</w:t>
            </w:r>
            <w:r w:rsidRPr="00497AE8">
              <w:rPr>
                <w:rFonts w:ascii="Segoe UI" w:eastAsia="MS Mincho" w:hAnsi="Segoe UI" w:cs="Segoe UI"/>
                <w:color w:val="000000" w:themeColor="text1"/>
                <w:sz w:val="16"/>
                <w:szCs w:val="16"/>
              </w:rPr>
              <w:t xml:space="preserve"> Net of NPL provisions. </w:t>
            </w:r>
          </w:p>
          <w:p w14:paraId="21C0DB1D" w14:textId="77777777" w:rsidR="00497AE8" w:rsidRPr="00497AE8" w:rsidRDefault="00497AE8" w:rsidP="00497AE8">
            <w:pPr>
              <w:rPr>
                <w:rFonts w:ascii="Segoe UI" w:eastAsia="MS Mincho" w:hAnsi="Segoe UI" w:cs="Segoe UI"/>
                <w:color w:val="000000" w:themeColor="text1"/>
                <w:sz w:val="16"/>
                <w:szCs w:val="16"/>
              </w:rPr>
            </w:pPr>
            <w:r w:rsidRPr="00497AE8">
              <w:rPr>
                <w:rFonts w:ascii="Segoe UI" w:eastAsia="MS Mincho" w:hAnsi="Segoe UI" w:cs="Segoe UI"/>
                <w:color w:val="000000" w:themeColor="text1"/>
                <w:sz w:val="16"/>
                <w:szCs w:val="16"/>
                <w:vertAlign w:val="superscript"/>
              </w:rPr>
              <w:t xml:space="preserve">3 </w:t>
            </w:r>
            <w:r w:rsidRPr="00497AE8">
              <w:rPr>
                <w:rFonts w:ascii="Segoe UI" w:eastAsia="MS Mincho" w:hAnsi="Segoe UI" w:cs="Segoe UI"/>
                <w:color w:val="000000" w:themeColor="text1"/>
                <w:sz w:val="16"/>
                <w:szCs w:val="16"/>
              </w:rPr>
              <w:t xml:space="preserve">Core liabilities include deposits and shareholders' equity. </w:t>
            </w:r>
          </w:p>
          <w:p w14:paraId="7EA2A3A0" w14:textId="77777777" w:rsidR="00497AE8" w:rsidRPr="00497AE8" w:rsidRDefault="00497AE8" w:rsidP="00497AE8">
            <w:pPr>
              <w:spacing w:line="220" w:lineRule="exact"/>
              <w:rPr>
                <w:rFonts w:ascii="Segoe UI" w:eastAsia="MS Mincho" w:hAnsi="Segoe UI" w:cs="Segoe UI"/>
                <w:color w:val="000000" w:themeColor="text1"/>
                <w:sz w:val="16"/>
                <w:szCs w:val="16"/>
              </w:rPr>
            </w:pPr>
            <w:r w:rsidRPr="00497AE8">
              <w:rPr>
                <w:rFonts w:ascii="Segoe UI" w:eastAsia="MS Mincho" w:hAnsi="Segoe UI" w:cs="Segoe UI"/>
                <w:color w:val="000000" w:themeColor="text1"/>
                <w:sz w:val="16"/>
                <w:szCs w:val="16"/>
                <w:vertAlign w:val="superscript"/>
              </w:rPr>
              <w:t xml:space="preserve">4 </w:t>
            </w:r>
            <w:r w:rsidRPr="00497AE8">
              <w:rPr>
                <w:rFonts w:ascii="Segoe UI" w:eastAsia="MS Mincho" w:hAnsi="Segoe UI" w:cs="Segoe UI"/>
                <w:color w:val="000000" w:themeColor="text1"/>
                <w:sz w:val="16"/>
                <w:szCs w:val="16"/>
              </w:rPr>
              <w:t xml:space="preserve">Proxied by T1 Capital over last 2-month average balance sheet assets and average off-balance sheets exposures (&gt; 3 percent). </w:t>
            </w:r>
          </w:p>
          <w:p w14:paraId="406C24E4" w14:textId="77777777" w:rsidR="00497AE8" w:rsidRPr="00497AE8" w:rsidRDefault="00497AE8" w:rsidP="00497AE8">
            <w:pPr>
              <w:spacing w:line="220" w:lineRule="exact"/>
              <w:rPr>
                <w:rFonts w:ascii="Segoe UI" w:eastAsia="MS Mincho" w:hAnsi="Segoe UI" w:cs="Segoe UI"/>
                <w:color w:val="000000" w:themeColor="text1"/>
                <w:sz w:val="16"/>
                <w:szCs w:val="16"/>
              </w:rPr>
            </w:pPr>
            <w:r w:rsidRPr="00497AE8">
              <w:rPr>
                <w:rFonts w:ascii="Segoe UI" w:eastAsia="MS Mincho" w:hAnsi="Segoe UI" w:cs="Segoe UI"/>
                <w:color w:val="000000" w:themeColor="text1"/>
                <w:sz w:val="16"/>
                <w:szCs w:val="16"/>
                <w:vertAlign w:val="superscript"/>
              </w:rPr>
              <w:t>5</w:t>
            </w:r>
            <w:r w:rsidRPr="00497AE8">
              <w:rPr>
                <w:rFonts w:ascii="Segoe UI" w:eastAsia="MS Mincho" w:hAnsi="Segoe UI" w:cs="Segoe UI"/>
                <w:color w:val="000000" w:themeColor="text1"/>
                <w:sz w:val="16"/>
                <w:szCs w:val="16"/>
              </w:rPr>
              <w:t xml:space="preserve"> Including FX-indexed assets and liabilities.</w:t>
            </w:r>
          </w:p>
          <w:p w14:paraId="0FD00ABC" w14:textId="77777777" w:rsidR="00497AE8" w:rsidRPr="00497AE8" w:rsidRDefault="00497AE8" w:rsidP="00497AE8">
            <w:pPr>
              <w:spacing w:line="220" w:lineRule="exact"/>
              <w:rPr>
                <w:rFonts w:ascii="Segoe UI" w:eastAsia="MS Mincho" w:hAnsi="Segoe UI" w:cs="Segoe UI"/>
                <w:color w:val="000000" w:themeColor="text1"/>
                <w:sz w:val="16"/>
                <w:szCs w:val="16"/>
              </w:rPr>
            </w:pPr>
            <w:r w:rsidRPr="00497AE8">
              <w:rPr>
                <w:rFonts w:ascii="Segoe UI" w:eastAsia="MS Mincho" w:hAnsi="Segoe UI" w:cs="Segoe UI"/>
                <w:color w:val="000000" w:themeColor="text1"/>
                <w:sz w:val="16"/>
                <w:szCs w:val="16"/>
                <w:vertAlign w:val="superscript"/>
              </w:rPr>
              <w:t>6</w:t>
            </w:r>
            <w:r w:rsidRPr="00497AE8">
              <w:rPr>
                <w:rFonts w:ascii="Segoe UI" w:eastAsia="MS Mincho" w:hAnsi="Segoe UI" w:cs="Segoe UI"/>
                <w:color w:val="000000" w:themeColor="text1"/>
                <w:sz w:val="16"/>
                <w:szCs w:val="16"/>
              </w:rPr>
              <w:t xml:space="preserve"> Non-FX adjusted. </w:t>
            </w:r>
          </w:p>
          <w:p w14:paraId="3B3881D9" w14:textId="77777777" w:rsidR="00497AE8" w:rsidRPr="00497AE8" w:rsidRDefault="00497AE8" w:rsidP="00497AE8">
            <w:pPr>
              <w:spacing w:line="220" w:lineRule="exact"/>
              <w:rPr>
                <w:rFonts w:ascii="Segoe UI" w:eastAsia="MS Mincho" w:hAnsi="Segoe UI" w:cs="Segoe UI"/>
                <w:color w:val="000000" w:themeColor="text1"/>
                <w:sz w:val="16"/>
                <w:szCs w:val="16"/>
              </w:rPr>
            </w:pPr>
            <w:r w:rsidRPr="00497AE8">
              <w:rPr>
                <w:rFonts w:ascii="Segoe UI" w:eastAsia="MS Mincho" w:hAnsi="Segoe UI" w:cs="Segoe UI"/>
                <w:color w:val="000000" w:themeColor="text1"/>
                <w:sz w:val="16"/>
                <w:szCs w:val="16"/>
                <w:vertAlign w:val="superscript"/>
              </w:rPr>
              <w:t>7</w:t>
            </w:r>
            <w:r w:rsidRPr="00497AE8">
              <w:rPr>
                <w:rFonts w:ascii="Segoe UI" w:eastAsia="MS Mincho" w:hAnsi="Segoe UI" w:cs="Segoe UI"/>
                <w:color w:val="000000" w:themeColor="text1"/>
                <w:sz w:val="16"/>
                <w:szCs w:val="16"/>
              </w:rPr>
              <w:t xml:space="preserve"> Net income as a share of last 12-month average assets or equity. </w:t>
            </w:r>
          </w:p>
          <w:p w14:paraId="01DA3A7A" w14:textId="77777777" w:rsidR="00497AE8" w:rsidRPr="00497AE8" w:rsidRDefault="00497AE8" w:rsidP="00497AE8">
            <w:pPr>
              <w:spacing w:line="220" w:lineRule="exact"/>
              <w:rPr>
                <w:rFonts w:ascii="Segoe UI" w:eastAsia="MS Mincho" w:hAnsi="Segoe UI" w:cs="Segoe UI"/>
                <w:color w:val="000000" w:themeColor="text1"/>
                <w:sz w:val="16"/>
                <w:szCs w:val="16"/>
              </w:rPr>
            </w:pPr>
            <w:r w:rsidRPr="00497AE8">
              <w:rPr>
                <w:rFonts w:ascii="Segoe UI" w:eastAsia="MS Mincho" w:hAnsi="Segoe UI" w:cs="Segoe UI"/>
                <w:color w:val="000000" w:themeColor="text1"/>
                <w:sz w:val="16"/>
                <w:szCs w:val="16"/>
                <w:vertAlign w:val="superscript"/>
              </w:rPr>
              <w:t>8</w:t>
            </w:r>
            <w:r w:rsidRPr="00497AE8">
              <w:rPr>
                <w:rFonts w:ascii="Segoe UI" w:eastAsia="MS Mincho" w:hAnsi="Segoe UI" w:cs="Segoe UI"/>
                <w:color w:val="000000" w:themeColor="text1"/>
                <w:sz w:val="16"/>
                <w:szCs w:val="16"/>
              </w:rPr>
              <w:t xml:space="preserve"> Other non-interest income added to expenses when &lt;0.</w:t>
            </w:r>
          </w:p>
        </w:tc>
      </w:tr>
    </w:tbl>
    <w:p w14:paraId="6528C4AC" w14:textId="77777777" w:rsidR="00497AE8" w:rsidRPr="00497AE8" w:rsidRDefault="00497AE8" w:rsidP="00497AE8">
      <w:pPr>
        <w:spacing w:line="300" w:lineRule="exact"/>
        <w:rPr>
          <w:rFonts w:ascii="Segoe UI" w:eastAsia="MS Mincho" w:hAnsi="Segoe UI"/>
          <w:sz w:val="21"/>
        </w:rPr>
      </w:pPr>
    </w:p>
    <w:p w14:paraId="680DD9B7" w14:textId="77777777" w:rsidR="00497AE8" w:rsidRPr="00497AE8" w:rsidRDefault="00497AE8" w:rsidP="00497AE8">
      <w:pPr>
        <w:spacing w:line="300" w:lineRule="exact"/>
        <w:rPr>
          <w:rFonts w:ascii="Segoe UI" w:eastAsia="MS Mincho" w:hAnsi="Segoe UI"/>
          <w:sz w:val="21"/>
        </w:rPr>
        <w:sectPr w:rsidR="00497AE8" w:rsidRPr="00497AE8" w:rsidSect="00497AE8">
          <w:pgSz w:w="12240" w:h="15840" w:code="1"/>
          <w:pgMar w:top="1440" w:right="1469" w:bottom="1440" w:left="1469" w:header="720" w:footer="720" w:gutter="0"/>
          <w:cols w:space="720"/>
          <w:docGrid w:type="lines" w:linePitch="360"/>
        </w:sectPr>
      </w:pPr>
    </w:p>
    <w:tbl>
      <w:tblPr>
        <w:tblStyle w:val="TableGrid3"/>
        <w:tblW w:w="9535" w:type="dxa"/>
        <w:jc w:val="center"/>
        <w:tblBorders>
          <w:insideH w:val="none" w:sz="0" w:space="0" w:color="auto"/>
          <w:insideV w:val="none" w:sz="0" w:space="0" w:color="auto"/>
        </w:tblBorders>
        <w:tblLayout w:type="fixed"/>
        <w:tblLook w:val="04A0" w:firstRow="1" w:lastRow="0" w:firstColumn="1" w:lastColumn="0" w:noHBand="0" w:noVBand="1"/>
      </w:tblPr>
      <w:tblGrid>
        <w:gridCol w:w="4263"/>
        <w:gridCol w:w="198"/>
        <w:gridCol w:w="67"/>
        <w:gridCol w:w="203"/>
        <w:gridCol w:w="4804"/>
      </w:tblGrid>
      <w:tr w:rsidR="00497AE8" w:rsidRPr="00497AE8" w14:paraId="4B2C512B" w14:textId="77777777" w:rsidTr="00497AE8">
        <w:trPr>
          <w:trHeight w:val="278"/>
          <w:jc w:val="center"/>
        </w:trPr>
        <w:tc>
          <w:tcPr>
            <w:tcW w:w="9535" w:type="dxa"/>
            <w:gridSpan w:val="5"/>
            <w:shd w:val="clear" w:color="auto" w:fill="auto"/>
            <w:vAlign w:val="center"/>
          </w:tcPr>
          <w:p w14:paraId="76663C82" w14:textId="77777777" w:rsidR="00497AE8" w:rsidRPr="00497AE8" w:rsidRDefault="00497AE8" w:rsidP="00497AE8">
            <w:pPr>
              <w:tabs>
                <w:tab w:val="left" w:pos="4335"/>
              </w:tabs>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52" w:name="_Toc465697435"/>
            <w:r w:rsidRPr="00497AE8">
              <w:rPr>
                <w:rFonts w:ascii="Segoe UI" w:eastAsia="MS Mincho" w:hAnsi="Segoe UI" w:cs="Segoe UI"/>
                <w:color w:val="4B82AD"/>
                <w:sz w:val="21"/>
                <w:szCs w:val="21"/>
              </w:rPr>
              <w:instrText>1. Turkey: The Macro Context</w:instrText>
            </w:r>
            <w:bookmarkEnd w:id="152"/>
            <w:r w:rsidRPr="00497AE8">
              <w:rPr>
                <w:rFonts w:ascii="Segoe UI" w:eastAsia="MS Mincho" w:hAnsi="Segoe UI" w:cs="Segoe UI"/>
                <w:color w:val="4B82AD"/>
                <w:sz w:val="21"/>
                <w:szCs w:val="21"/>
              </w:rPr>
              <w:c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1. Turkey: The Macro Context</w:t>
            </w:r>
          </w:p>
        </w:tc>
      </w:tr>
      <w:tr w:rsidR="00497AE8" w:rsidRPr="00497AE8" w14:paraId="25F18FC0" w14:textId="77777777" w:rsidTr="00497AE8">
        <w:trPr>
          <w:trHeight w:val="336"/>
          <w:jc w:val="center"/>
        </w:trPr>
        <w:tc>
          <w:tcPr>
            <w:tcW w:w="4263" w:type="dxa"/>
            <w:shd w:val="clear" w:color="auto" w:fill="auto"/>
            <w:vAlign w:val="center"/>
          </w:tcPr>
          <w:p w14:paraId="7E32C7E4" w14:textId="77777777" w:rsidR="00497AE8" w:rsidRPr="00497AE8" w:rsidRDefault="00497AE8" w:rsidP="00497AE8">
            <w:pPr>
              <w:tabs>
                <w:tab w:val="left" w:pos="4335"/>
              </w:tabs>
              <w:spacing w:line="240" w:lineRule="exact"/>
              <w:ind w:right="-435"/>
              <w:rPr>
                <w:rFonts w:ascii="Segoe UI" w:eastAsia="MS Mincho" w:hAnsi="Segoe UI" w:cs="Segoe UI"/>
                <w:i/>
                <w:color w:val="000000" w:themeColor="text1"/>
                <w:sz w:val="16"/>
                <w:szCs w:val="16"/>
              </w:rPr>
            </w:pPr>
            <w:r w:rsidRPr="00497AE8">
              <w:rPr>
                <w:rFonts w:ascii="Segoe UI" w:eastAsia="MS Mincho" w:hAnsi="Segoe UI"/>
                <w:sz w:val="16"/>
                <w:szCs w:val="16"/>
              </w:rPr>
              <w:t>A. External imbalances are high despite output at potential</w:t>
            </w:r>
          </w:p>
        </w:tc>
        <w:tc>
          <w:tcPr>
            <w:tcW w:w="265" w:type="dxa"/>
            <w:gridSpan w:val="2"/>
            <w:shd w:val="clear" w:color="auto" w:fill="auto"/>
          </w:tcPr>
          <w:p w14:paraId="7D2B7DE5"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6"/>
                <w:szCs w:val="16"/>
              </w:rPr>
            </w:pPr>
          </w:p>
        </w:tc>
        <w:tc>
          <w:tcPr>
            <w:tcW w:w="5007" w:type="dxa"/>
            <w:gridSpan w:val="2"/>
            <w:shd w:val="clear" w:color="auto" w:fill="auto"/>
            <w:vAlign w:val="center"/>
          </w:tcPr>
          <w:p w14:paraId="0889B501" w14:textId="77777777" w:rsidR="00497AE8" w:rsidRPr="00497AE8" w:rsidRDefault="00497AE8" w:rsidP="00497AE8">
            <w:pPr>
              <w:tabs>
                <w:tab w:val="left" w:pos="4335"/>
              </w:tabs>
              <w:spacing w:line="240" w:lineRule="exact"/>
              <w:rPr>
                <w:rFonts w:ascii="Segoe UI" w:eastAsia="MS Mincho" w:hAnsi="Segoe UI" w:cs="Segoe UI"/>
                <w:i/>
                <w:color w:val="000000" w:themeColor="text1"/>
                <w:sz w:val="16"/>
                <w:szCs w:val="16"/>
              </w:rPr>
            </w:pPr>
            <w:r w:rsidRPr="00497AE8">
              <w:rPr>
                <w:rFonts w:ascii="Segoe UI" w:eastAsia="MS Mincho" w:hAnsi="Segoe UI"/>
                <w:sz w:val="16"/>
                <w:szCs w:val="16"/>
              </w:rPr>
              <w:t xml:space="preserve">B. Reflecting a wedge between investment and savings </w:t>
            </w:r>
          </w:p>
        </w:tc>
      </w:tr>
      <w:tr w:rsidR="00497AE8" w:rsidRPr="00497AE8" w14:paraId="6943B69D" w14:textId="77777777" w:rsidTr="00497AE8">
        <w:trPr>
          <w:jc w:val="center"/>
        </w:trPr>
        <w:tc>
          <w:tcPr>
            <w:tcW w:w="4461" w:type="dxa"/>
            <w:gridSpan w:val="2"/>
            <w:shd w:val="clear" w:color="auto" w:fill="auto"/>
          </w:tcPr>
          <w:p w14:paraId="3F248EEB" w14:textId="77777777" w:rsidR="00497AE8" w:rsidRPr="00497AE8" w:rsidRDefault="00497AE8" w:rsidP="00497AE8">
            <w:pPr>
              <w:tabs>
                <w:tab w:val="left" w:pos="4335"/>
              </w:tabs>
              <w:spacing w:line="300" w:lineRule="exact"/>
              <w:jc w:val="center"/>
              <w:rPr>
                <w:rFonts w:ascii="Segoe UI" w:eastAsia="MS Mincho" w:hAnsi="Segoe UI" w:cs="Segoe UI"/>
                <w:i/>
                <w:color w:val="000000" w:themeColor="text1"/>
                <w:sz w:val="21"/>
              </w:rPr>
            </w:pPr>
            <w:r w:rsidRPr="00497AE8">
              <w:rPr>
                <w:rFonts w:ascii="Segoe UI" w:eastAsia="MS Mincho" w:hAnsi="Segoe UI" w:cs="Segoe UI"/>
                <w:i/>
                <w:noProof/>
                <w:color w:val="000000" w:themeColor="text1"/>
                <w:sz w:val="21"/>
              </w:rPr>
              <w:drawing>
                <wp:anchor distT="0" distB="0" distL="114300" distR="114300" simplePos="0" relativeHeight="251729920" behindDoc="0" locked="0" layoutInCell="1" allowOverlap="1" wp14:anchorId="5DAEFBAF" wp14:editId="1CFA5646">
                  <wp:simplePos x="0" y="0"/>
                  <wp:positionH relativeFrom="margin">
                    <wp:align>center</wp:align>
                  </wp:positionH>
                  <wp:positionV relativeFrom="margin">
                    <wp:align>center</wp:align>
                  </wp:positionV>
                  <wp:extent cx="2825496" cy="1828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gridSpan w:val="2"/>
            <w:shd w:val="clear" w:color="auto" w:fill="auto"/>
          </w:tcPr>
          <w:p w14:paraId="788BA2DC"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4"/>
                <w:szCs w:val="14"/>
              </w:rPr>
            </w:pPr>
          </w:p>
        </w:tc>
        <w:tc>
          <w:tcPr>
            <w:tcW w:w="4804" w:type="dxa"/>
            <w:shd w:val="clear" w:color="auto" w:fill="auto"/>
          </w:tcPr>
          <w:p w14:paraId="1FF3DBCB" w14:textId="77777777" w:rsidR="00497AE8" w:rsidRPr="00497AE8" w:rsidRDefault="00497AE8" w:rsidP="00497AE8">
            <w:pPr>
              <w:tabs>
                <w:tab w:val="left" w:pos="4335"/>
              </w:tabs>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24800" behindDoc="0" locked="0" layoutInCell="1" allowOverlap="1" wp14:anchorId="4ACC6BE8" wp14:editId="1F549121">
                  <wp:simplePos x="0" y="0"/>
                  <wp:positionH relativeFrom="margin">
                    <wp:align>center</wp:align>
                  </wp:positionH>
                  <wp:positionV relativeFrom="margin">
                    <wp:align>center</wp:align>
                  </wp:positionV>
                  <wp:extent cx="2743200" cy="1773936"/>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6DACB38F" w14:textId="77777777" w:rsidTr="00497AE8">
        <w:trPr>
          <w:trHeight w:val="309"/>
          <w:jc w:val="center"/>
        </w:trPr>
        <w:tc>
          <w:tcPr>
            <w:tcW w:w="4461" w:type="dxa"/>
            <w:gridSpan w:val="2"/>
            <w:shd w:val="clear" w:color="auto" w:fill="auto"/>
            <w:vAlign w:val="center"/>
          </w:tcPr>
          <w:p w14:paraId="65C183E4"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7"/>
                <w:szCs w:val="17"/>
              </w:rPr>
            </w:pPr>
            <w:r w:rsidRPr="00497AE8">
              <w:rPr>
                <w:rFonts w:ascii="Segoe UI" w:eastAsia="MS Mincho" w:hAnsi="Segoe UI"/>
                <w:sz w:val="16"/>
                <w:szCs w:val="16"/>
              </w:rPr>
              <w:t xml:space="preserve">C. Financed in part by elevated and rising corporate FX debt </w:t>
            </w:r>
          </w:p>
        </w:tc>
        <w:tc>
          <w:tcPr>
            <w:tcW w:w="270" w:type="dxa"/>
            <w:gridSpan w:val="2"/>
            <w:shd w:val="clear" w:color="auto" w:fill="auto"/>
            <w:vAlign w:val="center"/>
          </w:tcPr>
          <w:p w14:paraId="4BEDC062"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7"/>
                <w:szCs w:val="17"/>
              </w:rPr>
            </w:pPr>
          </w:p>
        </w:tc>
        <w:tc>
          <w:tcPr>
            <w:tcW w:w="4804" w:type="dxa"/>
            <w:shd w:val="clear" w:color="auto" w:fill="auto"/>
            <w:vAlign w:val="center"/>
          </w:tcPr>
          <w:p w14:paraId="7AFA416C"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7"/>
                <w:szCs w:val="17"/>
              </w:rPr>
            </w:pPr>
            <w:r w:rsidRPr="00497AE8">
              <w:rPr>
                <w:rFonts w:ascii="Segoe UI" w:eastAsia="MS Mincho" w:hAnsi="Segoe UI"/>
                <w:sz w:val="16"/>
                <w:szCs w:val="16"/>
              </w:rPr>
              <w:t>D. The current account is persistently in deficit</w:t>
            </w:r>
          </w:p>
        </w:tc>
      </w:tr>
      <w:tr w:rsidR="00497AE8" w:rsidRPr="00497AE8" w14:paraId="4FA3B1B9" w14:textId="77777777" w:rsidTr="00497AE8">
        <w:trPr>
          <w:jc w:val="center"/>
        </w:trPr>
        <w:tc>
          <w:tcPr>
            <w:tcW w:w="4461" w:type="dxa"/>
            <w:gridSpan w:val="2"/>
            <w:shd w:val="clear" w:color="auto" w:fill="auto"/>
          </w:tcPr>
          <w:p w14:paraId="15716160" w14:textId="77777777" w:rsidR="00497AE8" w:rsidRPr="00497AE8" w:rsidRDefault="00497AE8" w:rsidP="00497AE8">
            <w:pPr>
              <w:tabs>
                <w:tab w:val="left" w:pos="4335"/>
              </w:tabs>
              <w:spacing w:line="300" w:lineRule="exact"/>
              <w:rPr>
                <w:rFonts w:ascii="Segoe UI" w:eastAsia="MS Mincho" w:hAnsi="Segoe UI" w:cs="Segoe UI"/>
                <w:color w:val="000000" w:themeColor="text1"/>
                <w:sz w:val="14"/>
                <w:szCs w:val="14"/>
              </w:rPr>
            </w:pPr>
            <w:r w:rsidRPr="00497AE8">
              <w:rPr>
                <w:rFonts w:ascii="Segoe UI" w:eastAsia="MS Mincho" w:hAnsi="Segoe UI" w:cs="Segoe UI"/>
                <w:noProof/>
                <w:color w:val="000000" w:themeColor="text1"/>
                <w:sz w:val="14"/>
                <w:szCs w:val="14"/>
              </w:rPr>
              <w:drawing>
                <wp:anchor distT="0" distB="0" distL="114300" distR="114300" simplePos="0" relativeHeight="251725824" behindDoc="0" locked="0" layoutInCell="1" allowOverlap="1" wp14:anchorId="0A505D68" wp14:editId="481C1E05">
                  <wp:simplePos x="0" y="0"/>
                  <wp:positionH relativeFrom="margin">
                    <wp:align>center</wp:align>
                  </wp:positionH>
                  <wp:positionV relativeFrom="margin">
                    <wp:align>center</wp:align>
                  </wp:positionV>
                  <wp:extent cx="2825496" cy="1828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gridSpan w:val="2"/>
            <w:shd w:val="clear" w:color="auto" w:fill="auto"/>
          </w:tcPr>
          <w:p w14:paraId="39B14D0F"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4"/>
                <w:szCs w:val="14"/>
              </w:rPr>
            </w:pPr>
          </w:p>
        </w:tc>
        <w:tc>
          <w:tcPr>
            <w:tcW w:w="4804" w:type="dxa"/>
            <w:shd w:val="clear" w:color="auto" w:fill="auto"/>
          </w:tcPr>
          <w:p w14:paraId="61E6003B"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26848" behindDoc="0" locked="0" layoutInCell="1" allowOverlap="1" wp14:anchorId="79B88B57" wp14:editId="37C68D87">
                  <wp:simplePos x="0" y="0"/>
                  <wp:positionH relativeFrom="margin">
                    <wp:align>center</wp:align>
                  </wp:positionH>
                  <wp:positionV relativeFrom="margin">
                    <wp:align>center</wp:align>
                  </wp:positionV>
                  <wp:extent cx="2743200" cy="1773936"/>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04D03F37" w14:textId="77777777" w:rsidTr="00497AE8">
        <w:trPr>
          <w:trHeight w:val="345"/>
          <w:jc w:val="center"/>
        </w:trPr>
        <w:tc>
          <w:tcPr>
            <w:tcW w:w="4461" w:type="dxa"/>
            <w:gridSpan w:val="2"/>
            <w:shd w:val="clear" w:color="auto" w:fill="auto"/>
          </w:tcPr>
          <w:p w14:paraId="55E5DB53"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7"/>
                <w:szCs w:val="17"/>
              </w:rPr>
            </w:pPr>
            <w:r w:rsidRPr="00497AE8">
              <w:rPr>
                <w:rFonts w:ascii="Segoe UI" w:eastAsia="MS Mincho" w:hAnsi="Segoe UI"/>
                <w:sz w:val="16"/>
                <w:szCs w:val="16"/>
              </w:rPr>
              <w:t>E. Recent portfolio flow reversals are cause for concern</w:t>
            </w:r>
          </w:p>
        </w:tc>
        <w:tc>
          <w:tcPr>
            <w:tcW w:w="270" w:type="dxa"/>
            <w:gridSpan w:val="2"/>
            <w:shd w:val="clear" w:color="auto" w:fill="auto"/>
          </w:tcPr>
          <w:p w14:paraId="6E1BE62D"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7"/>
                <w:szCs w:val="17"/>
              </w:rPr>
            </w:pPr>
          </w:p>
        </w:tc>
        <w:tc>
          <w:tcPr>
            <w:tcW w:w="4804" w:type="dxa"/>
            <w:shd w:val="clear" w:color="auto" w:fill="auto"/>
          </w:tcPr>
          <w:p w14:paraId="3F5A432F"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7"/>
                <w:szCs w:val="17"/>
              </w:rPr>
            </w:pPr>
            <w:r w:rsidRPr="00497AE8">
              <w:rPr>
                <w:rFonts w:ascii="Segoe UI" w:eastAsia="MS Mincho" w:hAnsi="Segoe UI"/>
                <w:sz w:val="16"/>
                <w:szCs w:val="16"/>
              </w:rPr>
              <w:t>F. As international reserves have been falling.</w:t>
            </w:r>
          </w:p>
        </w:tc>
      </w:tr>
      <w:tr w:rsidR="00497AE8" w:rsidRPr="00497AE8" w14:paraId="5C5562F9" w14:textId="77777777" w:rsidTr="00497AE8">
        <w:trPr>
          <w:jc w:val="center"/>
        </w:trPr>
        <w:tc>
          <w:tcPr>
            <w:tcW w:w="4461" w:type="dxa"/>
            <w:gridSpan w:val="2"/>
            <w:shd w:val="clear" w:color="auto" w:fill="auto"/>
          </w:tcPr>
          <w:p w14:paraId="4415CBFD"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27872" behindDoc="0" locked="0" layoutInCell="1" allowOverlap="1" wp14:anchorId="573056DF" wp14:editId="74819940">
                  <wp:simplePos x="0" y="0"/>
                  <wp:positionH relativeFrom="margin">
                    <wp:align>center</wp:align>
                  </wp:positionH>
                  <wp:positionV relativeFrom="margin">
                    <wp:align>center</wp:align>
                  </wp:positionV>
                  <wp:extent cx="2743200" cy="177393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gridSpan w:val="2"/>
            <w:shd w:val="clear" w:color="auto" w:fill="auto"/>
          </w:tcPr>
          <w:p w14:paraId="133F8CCB"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4"/>
                <w:szCs w:val="14"/>
              </w:rPr>
            </w:pPr>
          </w:p>
        </w:tc>
        <w:tc>
          <w:tcPr>
            <w:tcW w:w="4804" w:type="dxa"/>
            <w:shd w:val="clear" w:color="auto" w:fill="auto"/>
          </w:tcPr>
          <w:p w14:paraId="08090019" w14:textId="77777777" w:rsidR="00497AE8" w:rsidRPr="00497AE8" w:rsidRDefault="00497AE8" w:rsidP="00497AE8">
            <w:pPr>
              <w:tabs>
                <w:tab w:val="left" w:pos="4335"/>
              </w:tabs>
              <w:spacing w:line="300" w:lineRule="exact"/>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28896" behindDoc="0" locked="0" layoutInCell="1" allowOverlap="1" wp14:anchorId="2AE13033" wp14:editId="1C02E96C">
                  <wp:simplePos x="0" y="0"/>
                  <wp:positionH relativeFrom="margin">
                    <wp:align>center</wp:align>
                  </wp:positionH>
                  <wp:positionV relativeFrom="margin">
                    <wp:align>center</wp:align>
                  </wp:positionV>
                  <wp:extent cx="2743200" cy="1773936"/>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57340637" w14:textId="77777777" w:rsidTr="00497AE8">
        <w:trPr>
          <w:jc w:val="center"/>
        </w:trPr>
        <w:tc>
          <w:tcPr>
            <w:tcW w:w="9535" w:type="dxa"/>
            <w:gridSpan w:val="5"/>
            <w:shd w:val="clear" w:color="auto" w:fill="auto"/>
          </w:tcPr>
          <w:p w14:paraId="52C2C485" w14:textId="77777777" w:rsidR="00497AE8" w:rsidRPr="00497AE8" w:rsidRDefault="00497AE8" w:rsidP="00497AE8">
            <w:pPr>
              <w:tabs>
                <w:tab w:val="left" w:pos="4335"/>
              </w:tabs>
              <w:spacing w:line="220" w:lineRule="exact"/>
              <w:rPr>
                <w:rFonts w:ascii="Segoe UI" w:eastAsia="MS Mincho" w:hAnsi="Segoe UI" w:cs="Segoe UI"/>
                <w:noProof/>
                <w:color w:val="000000" w:themeColor="text1"/>
                <w:sz w:val="16"/>
                <w:szCs w:val="16"/>
                <w:lang w:eastAsia="zh-TW"/>
              </w:rPr>
            </w:pPr>
            <w:r w:rsidRPr="00497AE8">
              <w:rPr>
                <w:rFonts w:ascii="Segoe UI" w:eastAsia="MS Mincho" w:hAnsi="Segoe UI" w:cs="Segoe UI"/>
                <w:noProof/>
                <w:color w:val="000000" w:themeColor="text1"/>
                <w:sz w:val="16"/>
                <w:szCs w:val="16"/>
                <w:lang w:eastAsia="zh-TW"/>
              </w:rPr>
              <w:t>Sources: CBRT, Haver, and Fund staff estimates.</w:t>
            </w:r>
          </w:p>
          <w:p w14:paraId="14FA08E5" w14:textId="77777777" w:rsidR="00497AE8" w:rsidRPr="00497AE8" w:rsidRDefault="00497AE8" w:rsidP="00497AE8">
            <w:pPr>
              <w:tabs>
                <w:tab w:val="left" w:pos="4335"/>
              </w:tabs>
              <w:spacing w:line="220" w:lineRule="exact"/>
              <w:rPr>
                <w:rFonts w:ascii="Segoe UI" w:eastAsia="MS Mincho" w:hAnsi="Segoe UI" w:cs="Segoe UI"/>
                <w:noProof/>
                <w:color w:val="000000" w:themeColor="text1"/>
                <w:sz w:val="21"/>
                <w:lang w:eastAsia="zh-TW"/>
              </w:rPr>
            </w:pPr>
            <w:r w:rsidRPr="00497AE8">
              <w:rPr>
                <w:rFonts w:ascii="Segoe UI" w:eastAsia="MS Mincho" w:hAnsi="Segoe UI" w:cs="Segoe UI"/>
                <w:noProof/>
                <w:color w:val="000000" w:themeColor="text1"/>
                <w:sz w:val="16"/>
                <w:szCs w:val="16"/>
                <w:lang w:eastAsia="zh-TW"/>
              </w:rPr>
              <w:t>Notes: NIIP = net international investment position; S-I Gap = Investment (% of GDP) — Savings (% of GDP); CA Bal = current account balance; FDI = foreign direct investment; FA Bal = financial account balance; NEO = net errors and omissions; KA Bal = capital account balance; (A) Output gap in percent of potential GDP; NIIP in percent of GDP; (B) in percent of GDP for all series; (C) in percent of GDP; nonfinancial corporates FX net debt data before January 2014 is linearly interpolated; (D) in percent of GDP for all series, except oil which is 12 month average of Europe Brent spot price (fob) in U.S. dollars; current account is annualized with 12 month rolling sum; all series are non-seasonally adjusted; (E) non-seasonally adjusted data that is annualized with 12 months rolling sum; (F) non-seasonally adjusted data that is annualized as 12 months rolling sum; negative NEO and Reserves = financing.</w:t>
            </w:r>
          </w:p>
        </w:tc>
      </w:tr>
    </w:tbl>
    <w:p w14:paraId="01DF61B2" w14:textId="77777777" w:rsidR="00497AE8" w:rsidRPr="00497AE8" w:rsidRDefault="00497AE8" w:rsidP="00497AE8">
      <w:pPr>
        <w:spacing w:after="240" w:line="400" w:lineRule="exact"/>
        <w:jc w:val="center"/>
        <w:rPr>
          <w:rFonts w:ascii="Segoe UI" w:eastAsia="MS Mincho" w:hAnsi="Segoe UI"/>
          <w:b/>
          <w:color w:val="4B82AD"/>
          <w:sz w:val="32"/>
        </w:rPr>
        <w:sectPr w:rsidR="00497AE8" w:rsidRPr="00497AE8" w:rsidSect="00497AE8">
          <w:pgSz w:w="12240" w:h="15840" w:code="1"/>
          <w:pgMar w:top="1440" w:right="1469" w:bottom="1440" w:left="1469" w:header="720" w:footer="720" w:gutter="0"/>
          <w:cols w:space="720"/>
          <w:docGrid w:type="lines" w:linePitch="360"/>
        </w:sectPr>
      </w:pPr>
    </w:p>
    <w:tbl>
      <w:tblPr>
        <w:tblStyle w:val="TableGrid3"/>
        <w:tblW w:w="9535" w:type="dxa"/>
        <w:jc w:val="center"/>
        <w:tblBorders>
          <w:insideH w:val="none" w:sz="0" w:space="0" w:color="auto"/>
          <w:insideV w:val="none" w:sz="0" w:space="0" w:color="auto"/>
        </w:tblBorders>
        <w:tblLayout w:type="fixed"/>
        <w:tblLook w:val="04A0" w:firstRow="1" w:lastRow="0" w:firstColumn="1" w:lastColumn="0" w:noHBand="0" w:noVBand="1"/>
      </w:tblPr>
      <w:tblGrid>
        <w:gridCol w:w="4518"/>
        <w:gridCol w:w="270"/>
        <w:gridCol w:w="4747"/>
      </w:tblGrid>
      <w:tr w:rsidR="00497AE8" w:rsidRPr="00497AE8" w14:paraId="7D104B21" w14:textId="77777777" w:rsidTr="00497AE8">
        <w:trPr>
          <w:trHeight w:val="278"/>
          <w:jc w:val="center"/>
        </w:trPr>
        <w:tc>
          <w:tcPr>
            <w:tcW w:w="9535" w:type="dxa"/>
            <w:gridSpan w:val="3"/>
            <w:shd w:val="clear" w:color="auto" w:fill="auto"/>
            <w:vAlign w:val="center"/>
          </w:tcPr>
          <w:p w14:paraId="71B3AAD9"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53" w:name="_Toc465697436"/>
            <w:r w:rsidRPr="00497AE8">
              <w:rPr>
                <w:rFonts w:ascii="Segoe UI" w:eastAsia="MS Mincho" w:hAnsi="Segoe UI" w:cs="Segoe UI"/>
                <w:color w:val="4B82AD"/>
                <w:sz w:val="21"/>
                <w:szCs w:val="21"/>
              </w:rPr>
              <w:instrText>2. Turkey: A Bank Dominated Financial Sector</w:instrText>
            </w:r>
            <w:bookmarkEnd w:id="153"/>
            <w:r w:rsidRPr="00497AE8">
              <w:rPr>
                <w:rFonts w:ascii="Segoe UI" w:eastAsia="MS Mincho" w:hAnsi="Segoe UI" w:cs="Segoe UI"/>
                <w:color w:val="4B82AD"/>
                <w:sz w:val="21"/>
                <w:szCs w:val="21"/>
              </w:rP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2. Turkey: A Bank Dominated Financial Sector</w:t>
            </w:r>
          </w:p>
          <w:p w14:paraId="14AE4817" w14:textId="77777777" w:rsidR="00497AE8" w:rsidRPr="00497AE8" w:rsidRDefault="00497AE8" w:rsidP="00497AE8">
            <w:pPr>
              <w:spacing w:line="300" w:lineRule="exact"/>
              <w:jc w:val="center"/>
              <w:rPr>
                <w:rFonts w:ascii="Segoe UI" w:eastAsia="MS Mincho" w:hAnsi="Segoe UI" w:cs="Segoe UI"/>
                <w:b/>
                <w:color w:val="4B82AD"/>
                <w:sz w:val="21"/>
                <w:szCs w:val="21"/>
              </w:rPr>
            </w:pPr>
          </w:p>
        </w:tc>
      </w:tr>
      <w:tr w:rsidR="00497AE8" w:rsidRPr="00497AE8" w14:paraId="60E010DC" w14:textId="77777777" w:rsidTr="00497AE8">
        <w:trPr>
          <w:jc w:val="center"/>
        </w:trPr>
        <w:tc>
          <w:tcPr>
            <w:tcW w:w="4518" w:type="dxa"/>
            <w:shd w:val="clear" w:color="auto" w:fill="auto"/>
          </w:tcPr>
          <w:p w14:paraId="751F3AB4" w14:textId="77777777" w:rsidR="00497AE8" w:rsidRPr="00497AE8" w:rsidRDefault="00497AE8" w:rsidP="00497AE8">
            <w:pPr>
              <w:spacing w:line="300" w:lineRule="exact"/>
              <w:rPr>
                <w:rFonts w:ascii="Segoe UI" w:eastAsia="MS Mincho" w:hAnsi="Segoe UI" w:cs="Segoe UI"/>
                <w:i/>
                <w:color w:val="000000" w:themeColor="text1"/>
                <w:sz w:val="21"/>
              </w:rPr>
            </w:pPr>
            <w:r w:rsidRPr="00497AE8">
              <w:rPr>
                <w:rFonts w:ascii="Segoe UI" w:eastAsia="MS Mincho" w:hAnsi="Segoe UI"/>
                <w:sz w:val="16"/>
                <w:szCs w:val="16"/>
              </w:rPr>
              <w:t>A. Turkey’s financial sector has grown faster than GDP since the crisis</w:t>
            </w:r>
          </w:p>
        </w:tc>
        <w:tc>
          <w:tcPr>
            <w:tcW w:w="270" w:type="dxa"/>
            <w:shd w:val="clear" w:color="auto" w:fill="auto"/>
          </w:tcPr>
          <w:p w14:paraId="4A1C0633"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747" w:type="dxa"/>
            <w:shd w:val="clear" w:color="auto" w:fill="auto"/>
          </w:tcPr>
          <w:p w14:paraId="3026A147" w14:textId="47747E69" w:rsidR="00497AE8" w:rsidRPr="00497AE8" w:rsidRDefault="00497AE8" w:rsidP="00497AE8">
            <w:pPr>
              <w:spacing w:line="300" w:lineRule="exact"/>
              <w:jc w:val="center"/>
              <w:rPr>
                <w:rFonts w:ascii="Segoe UI" w:eastAsia="MS Mincho" w:hAnsi="Segoe UI" w:cs="Segoe UI"/>
                <w:i/>
                <w:noProof/>
                <w:color w:val="000000" w:themeColor="text1"/>
                <w:sz w:val="14"/>
                <w:szCs w:val="14"/>
                <w:lang w:eastAsia="zh-TW"/>
              </w:rPr>
            </w:pPr>
            <w:r w:rsidRPr="00497AE8">
              <w:rPr>
                <w:rFonts w:ascii="Segoe UI" w:eastAsia="MS Mincho" w:hAnsi="Segoe UI"/>
                <w:sz w:val="16"/>
                <w:szCs w:val="16"/>
              </w:rPr>
              <w:t>B. And is of average size relative to peer markets</w:t>
            </w:r>
          </w:p>
          <w:p w14:paraId="5505F6F6" w14:textId="77777777" w:rsidR="00497AE8" w:rsidRPr="00497AE8" w:rsidRDefault="00497AE8" w:rsidP="00497AE8">
            <w:pPr>
              <w:spacing w:line="300" w:lineRule="exact"/>
              <w:jc w:val="center"/>
              <w:rPr>
                <w:rFonts w:ascii="Segoe UI" w:eastAsia="MS Mincho" w:hAnsi="Segoe UI" w:cs="Segoe UI"/>
                <w:color w:val="000000" w:themeColor="text1"/>
                <w:sz w:val="14"/>
                <w:szCs w:val="14"/>
              </w:rPr>
            </w:pPr>
          </w:p>
        </w:tc>
      </w:tr>
      <w:tr w:rsidR="00497AE8" w:rsidRPr="00497AE8" w14:paraId="187D2691" w14:textId="77777777" w:rsidTr="00497AE8">
        <w:trPr>
          <w:jc w:val="center"/>
        </w:trPr>
        <w:tc>
          <w:tcPr>
            <w:tcW w:w="4518" w:type="dxa"/>
            <w:shd w:val="clear" w:color="auto" w:fill="auto"/>
          </w:tcPr>
          <w:p w14:paraId="0EF3AB6E" w14:textId="77777777" w:rsidR="00497AE8" w:rsidRPr="00497AE8" w:rsidRDefault="00497AE8" w:rsidP="00497AE8">
            <w:pPr>
              <w:spacing w:line="300" w:lineRule="exact"/>
              <w:rPr>
                <w:rFonts w:ascii="Segoe UI" w:eastAsia="MS Mincho" w:hAnsi="Segoe UI"/>
                <w:sz w:val="21"/>
              </w:rPr>
            </w:pPr>
            <w:r w:rsidRPr="00497AE8">
              <w:rPr>
                <w:rFonts w:ascii="Segoe UI" w:eastAsia="MS Mincho" w:hAnsi="Segoe UI" w:cs="Segoe UI"/>
                <w:i/>
                <w:noProof/>
                <w:color w:val="000000" w:themeColor="text1"/>
                <w:sz w:val="21"/>
              </w:rPr>
              <w:drawing>
                <wp:anchor distT="0" distB="0" distL="114300" distR="114300" simplePos="0" relativeHeight="251742208" behindDoc="0" locked="0" layoutInCell="1" allowOverlap="1" wp14:anchorId="36C1A65B" wp14:editId="3E17CDE5">
                  <wp:simplePos x="0" y="0"/>
                  <wp:positionH relativeFrom="margin">
                    <wp:posOffset>-65198</wp:posOffset>
                  </wp:positionH>
                  <wp:positionV relativeFrom="margin">
                    <wp:posOffset>23642</wp:posOffset>
                  </wp:positionV>
                  <wp:extent cx="2743200" cy="1773936"/>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350456D4"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747" w:type="dxa"/>
            <w:shd w:val="clear" w:color="auto" w:fill="auto"/>
          </w:tcPr>
          <w:p w14:paraId="0283E1E1" w14:textId="3D631951" w:rsidR="00497AE8" w:rsidRPr="00497AE8" w:rsidRDefault="00497AE8" w:rsidP="00497AE8">
            <w:pPr>
              <w:spacing w:line="300" w:lineRule="exact"/>
              <w:rPr>
                <w:rFonts w:ascii="Segoe UI" w:eastAsia="MS Mincho" w:hAnsi="Segoe UI" w:cs="Segoe UI"/>
                <w:i/>
                <w:noProof/>
                <w:color w:val="000000" w:themeColor="text1"/>
                <w:sz w:val="14"/>
                <w:szCs w:val="14"/>
                <w:lang w:eastAsia="zh-TW"/>
              </w:rPr>
            </w:pPr>
            <w:r w:rsidRPr="00497AE8">
              <w:rPr>
                <w:rFonts w:ascii="Segoe UI" w:eastAsia="MS Mincho" w:hAnsi="Segoe UI" w:cs="Segoe UI"/>
                <w:i/>
                <w:noProof/>
                <w:color w:val="000000" w:themeColor="text1"/>
                <w:sz w:val="14"/>
                <w:szCs w:val="14"/>
              </w:rPr>
              <w:drawing>
                <wp:anchor distT="0" distB="0" distL="114300" distR="114300" simplePos="0" relativeHeight="251743232" behindDoc="0" locked="0" layoutInCell="1" allowOverlap="1" wp14:anchorId="3242A60E" wp14:editId="41E93516">
                  <wp:simplePos x="3965944" y="1850065"/>
                  <wp:positionH relativeFrom="margin">
                    <wp:align>center</wp:align>
                  </wp:positionH>
                  <wp:positionV relativeFrom="margin">
                    <wp:align>center</wp:align>
                  </wp:positionV>
                  <wp:extent cx="2743200" cy="1773936"/>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70AEBEEA" w14:textId="77777777" w:rsidTr="00497AE8">
        <w:trPr>
          <w:jc w:val="center"/>
        </w:trPr>
        <w:tc>
          <w:tcPr>
            <w:tcW w:w="4518" w:type="dxa"/>
            <w:shd w:val="clear" w:color="auto" w:fill="auto"/>
          </w:tcPr>
          <w:p w14:paraId="143D5A81" w14:textId="77777777" w:rsidR="00497AE8" w:rsidRPr="00497AE8" w:rsidRDefault="00497AE8" w:rsidP="00497AE8">
            <w:pPr>
              <w:spacing w:line="300" w:lineRule="exact"/>
              <w:rPr>
                <w:rFonts w:ascii="Segoe UI" w:eastAsia="MS Mincho" w:hAnsi="Segoe UI"/>
                <w:sz w:val="16"/>
                <w:szCs w:val="16"/>
              </w:rPr>
            </w:pPr>
            <w:r w:rsidRPr="00497AE8">
              <w:rPr>
                <w:rFonts w:ascii="Segoe UI" w:eastAsia="MS Mincho" w:hAnsi="Segoe UI"/>
                <w:sz w:val="16"/>
                <w:szCs w:val="16"/>
              </w:rPr>
              <w:t>C. It is dominated by banks</w:t>
            </w:r>
          </w:p>
        </w:tc>
        <w:tc>
          <w:tcPr>
            <w:tcW w:w="270" w:type="dxa"/>
            <w:shd w:val="clear" w:color="auto" w:fill="auto"/>
          </w:tcPr>
          <w:p w14:paraId="10C5B878"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747" w:type="dxa"/>
            <w:shd w:val="clear" w:color="auto" w:fill="auto"/>
          </w:tcPr>
          <w:p w14:paraId="0C429084" w14:textId="5B224DF8" w:rsidR="00497AE8" w:rsidRPr="00497AE8" w:rsidRDefault="00497AE8" w:rsidP="00EE7A39">
            <w:pPr>
              <w:spacing w:line="300" w:lineRule="exact"/>
              <w:rPr>
                <w:rFonts w:ascii="Segoe UI" w:eastAsia="MS Mincho" w:hAnsi="Segoe UI" w:cs="Segoe UI"/>
                <w:i/>
                <w:color w:val="000000" w:themeColor="text1"/>
                <w:sz w:val="14"/>
                <w:szCs w:val="14"/>
              </w:rPr>
            </w:pPr>
            <w:r w:rsidRPr="00497AE8">
              <w:rPr>
                <w:rFonts w:ascii="Segoe UI" w:eastAsia="MS Mincho" w:hAnsi="Segoe UI"/>
                <w:sz w:val="16"/>
                <w:szCs w:val="16"/>
              </w:rPr>
              <w:t xml:space="preserve">D. The pension sector is small even by peer </w:t>
            </w:r>
            <w:r w:rsidR="00EE7A39">
              <w:rPr>
                <w:rFonts w:ascii="Segoe UI" w:eastAsia="MS Mincho" w:hAnsi="Segoe UI"/>
                <w:sz w:val="16"/>
                <w:szCs w:val="16"/>
              </w:rPr>
              <w:t>market</w:t>
            </w:r>
            <w:r w:rsidR="00EE7A39" w:rsidRPr="00497AE8">
              <w:rPr>
                <w:rFonts w:ascii="Segoe UI" w:eastAsia="MS Mincho" w:hAnsi="Segoe UI"/>
                <w:sz w:val="16"/>
                <w:szCs w:val="16"/>
              </w:rPr>
              <w:t xml:space="preserve"> </w:t>
            </w:r>
            <w:r w:rsidRPr="00497AE8">
              <w:rPr>
                <w:rFonts w:ascii="Segoe UI" w:eastAsia="MS Mincho" w:hAnsi="Segoe UI"/>
                <w:sz w:val="16"/>
                <w:szCs w:val="16"/>
              </w:rPr>
              <w:t>standards</w:t>
            </w:r>
          </w:p>
        </w:tc>
      </w:tr>
      <w:tr w:rsidR="00497AE8" w:rsidRPr="00497AE8" w14:paraId="02FE70A5" w14:textId="77777777" w:rsidTr="00497AE8">
        <w:trPr>
          <w:jc w:val="center"/>
        </w:trPr>
        <w:tc>
          <w:tcPr>
            <w:tcW w:w="4518" w:type="dxa"/>
            <w:shd w:val="clear" w:color="auto" w:fill="auto"/>
          </w:tcPr>
          <w:p w14:paraId="7ADF023A" w14:textId="2D8CA8BD" w:rsidR="00497AE8" w:rsidRPr="00497AE8" w:rsidRDefault="00C9489A" w:rsidP="00497AE8">
            <w:pPr>
              <w:spacing w:line="300" w:lineRule="exact"/>
              <w:rPr>
                <w:rFonts w:ascii="Segoe UI" w:eastAsia="MS Mincho" w:hAnsi="Segoe UI"/>
                <w:sz w:val="16"/>
                <w:szCs w:val="16"/>
              </w:rPr>
            </w:pPr>
            <w:r w:rsidRPr="00691DC1">
              <w:rPr>
                <w:noProof/>
                <w:sz w:val="16"/>
                <w:szCs w:val="16"/>
              </w:rPr>
              <w:drawing>
                <wp:anchor distT="0" distB="0" distL="114300" distR="114300" simplePos="0" relativeHeight="251774976" behindDoc="0" locked="0" layoutInCell="1" allowOverlap="1" wp14:anchorId="08321CE7" wp14:editId="743BBE71">
                  <wp:simplePos x="0" y="0"/>
                  <wp:positionH relativeFrom="margin">
                    <wp:posOffset>-6411</wp:posOffset>
                  </wp:positionH>
                  <wp:positionV relativeFrom="margin">
                    <wp:posOffset>10795</wp:posOffset>
                  </wp:positionV>
                  <wp:extent cx="2743200" cy="1819656"/>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58656893"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747" w:type="dxa"/>
            <w:shd w:val="clear" w:color="auto" w:fill="auto"/>
          </w:tcPr>
          <w:p w14:paraId="4569B2D5" w14:textId="2DCEDB8C" w:rsidR="00497AE8" w:rsidRPr="00497AE8" w:rsidRDefault="00497AE8" w:rsidP="00497AE8">
            <w:pPr>
              <w:spacing w:line="300" w:lineRule="exact"/>
              <w:rPr>
                <w:rFonts w:ascii="Segoe UI" w:eastAsia="MS Mincho" w:hAnsi="Segoe UI"/>
                <w:sz w:val="16"/>
                <w:szCs w:val="16"/>
              </w:rPr>
            </w:pPr>
            <w:r w:rsidRPr="00497AE8">
              <w:rPr>
                <w:rFonts w:ascii="Segoe UI" w:eastAsia="MS Mincho" w:hAnsi="Segoe UI"/>
                <w:noProof/>
                <w:sz w:val="16"/>
                <w:szCs w:val="16"/>
              </w:rPr>
              <w:drawing>
                <wp:anchor distT="0" distB="0" distL="114300" distR="114300" simplePos="0" relativeHeight="251745280" behindDoc="0" locked="0" layoutInCell="1" allowOverlap="1" wp14:anchorId="70B22830" wp14:editId="7DBCBEE2">
                  <wp:simplePos x="3965944" y="1903228"/>
                  <wp:positionH relativeFrom="margin">
                    <wp:align>center</wp:align>
                  </wp:positionH>
                  <wp:positionV relativeFrom="margin">
                    <wp:align>center</wp:align>
                  </wp:positionV>
                  <wp:extent cx="2743200" cy="1773936"/>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3531F799" w14:textId="77777777" w:rsidTr="00497AE8">
        <w:trPr>
          <w:jc w:val="center"/>
        </w:trPr>
        <w:tc>
          <w:tcPr>
            <w:tcW w:w="4518" w:type="dxa"/>
            <w:shd w:val="clear" w:color="auto" w:fill="auto"/>
          </w:tcPr>
          <w:p w14:paraId="7634268E" w14:textId="77777777" w:rsidR="00497AE8" w:rsidRPr="00497AE8" w:rsidRDefault="00497AE8" w:rsidP="00497AE8">
            <w:pPr>
              <w:spacing w:line="300" w:lineRule="exact"/>
              <w:rPr>
                <w:rFonts w:ascii="Segoe UI" w:eastAsia="MS Mincho" w:hAnsi="Segoe UI" w:cs="Segoe UI"/>
                <w:i/>
                <w:color w:val="000000" w:themeColor="text1"/>
                <w:sz w:val="14"/>
                <w:szCs w:val="14"/>
              </w:rPr>
            </w:pPr>
            <w:r w:rsidRPr="00497AE8">
              <w:rPr>
                <w:rFonts w:ascii="Segoe UI" w:eastAsia="MS Mincho" w:hAnsi="Segoe UI"/>
                <w:sz w:val="16"/>
                <w:szCs w:val="16"/>
              </w:rPr>
              <w:t xml:space="preserve">E. As are the life insurance </w:t>
            </w:r>
          </w:p>
        </w:tc>
        <w:tc>
          <w:tcPr>
            <w:tcW w:w="270" w:type="dxa"/>
            <w:shd w:val="clear" w:color="auto" w:fill="auto"/>
          </w:tcPr>
          <w:p w14:paraId="49B813C4"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747" w:type="dxa"/>
            <w:shd w:val="clear" w:color="auto" w:fill="auto"/>
          </w:tcPr>
          <w:p w14:paraId="35DB32A0" w14:textId="77777777" w:rsidR="00497AE8" w:rsidRPr="00497AE8" w:rsidRDefault="00497AE8" w:rsidP="00497AE8">
            <w:pPr>
              <w:spacing w:line="300" w:lineRule="exact"/>
              <w:rPr>
                <w:rFonts w:ascii="Segoe UI" w:eastAsia="MS Mincho" w:hAnsi="Segoe UI" w:cs="Segoe UI"/>
                <w:i/>
                <w:color w:val="000000" w:themeColor="text1"/>
                <w:sz w:val="14"/>
                <w:szCs w:val="14"/>
              </w:rPr>
            </w:pPr>
            <w:r w:rsidRPr="00497AE8">
              <w:rPr>
                <w:rFonts w:ascii="Segoe UI" w:eastAsia="MS Mincho" w:hAnsi="Segoe UI"/>
                <w:sz w:val="16"/>
                <w:szCs w:val="16"/>
              </w:rPr>
              <w:t>F. And non-life insurance sectors</w:t>
            </w:r>
            <w:r w:rsidRPr="00497AE8">
              <w:rPr>
                <w:rFonts w:ascii="Segoe UI" w:eastAsia="MS Mincho" w:hAnsi="Segoe UI" w:cs="Segoe UI"/>
                <w:i/>
                <w:noProof/>
                <w:color w:val="000000" w:themeColor="text1"/>
                <w:sz w:val="14"/>
                <w:szCs w:val="14"/>
                <w:lang w:eastAsia="zh-TW"/>
              </w:rPr>
              <w:t xml:space="preserve"> </w:t>
            </w:r>
          </w:p>
        </w:tc>
      </w:tr>
      <w:tr w:rsidR="00497AE8" w:rsidRPr="00497AE8" w14:paraId="5A4B83FC" w14:textId="77777777" w:rsidTr="00497AE8">
        <w:trPr>
          <w:jc w:val="center"/>
        </w:trPr>
        <w:tc>
          <w:tcPr>
            <w:tcW w:w="4518" w:type="dxa"/>
            <w:shd w:val="clear" w:color="auto" w:fill="auto"/>
          </w:tcPr>
          <w:p w14:paraId="58F46965" w14:textId="77777777" w:rsidR="00497AE8" w:rsidRPr="00497AE8" w:rsidRDefault="00497AE8" w:rsidP="00497AE8">
            <w:pPr>
              <w:spacing w:line="300" w:lineRule="exact"/>
              <w:rPr>
                <w:rFonts w:ascii="Segoe UI" w:eastAsia="MS Mincho" w:hAnsi="Segoe UI"/>
                <w:sz w:val="16"/>
                <w:szCs w:val="16"/>
              </w:rPr>
            </w:pPr>
            <w:r w:rsidRPr="00497AE8">
              <w:rPr>
                <w:rFonts w:ascii="Segoe UI" w:eastAsia="MS Mincho" w:hAnsi="Segoe UI"/>
                <w:noProof/>
                <w:sz w:val="16"/>
                <w:szCs w:val="16"/>
              </w:rPr>
              <w:drawing>
                <wp:anchor distT="0" distB="0" distL="114300" distR="114300" simplePos="0" relativeHeight="251746304" behindDoc="0" locked="0" layoutInCell="1" allowOverlap="1" wp14:anchorId="4CF3D146" wp14:editId="40B036EF">
                  <wp:simplePos x="925033" y="4338084"/>
                  <wp:positionH relativeFrom="margin">
                    <wp:align>center</wp:align>
                  </wp:positionH>
                  <wp:positionV relativeFrom="margin">
                    <wp:align>center</wp:align>
                  </wp:positionV>
                  <wp:extent cx="2743200" cy="1773936"/>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337C261A"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747" w:type="dxa"/>
            <w:shd w:val="clear" w:color="auto" w:fill="auto"/>
          </w:tcPr>
          <w:p w14:paraId="3CCE8831" w14:textId="5C7C4890" w:rsidR="00497AE8" w:rsidRPr="00497AE8" w:rsidRDefault="00497AE8" w:rsidP="00497AE8">
            <w:pPr>
              <w:spacing w:line="300" w:lineRule="exact"/>
              <w:rPr>
                <w:rFonts w:ascii="Segoe UI" w:eastAsia="MS Mincho" w:hAnsi="Segoe UI"/>
                <w:sz w:val="16"/>
                <w:szCs w:val="16"/>
              </w:rPr>
            </w:pPr>
            <w:r w:rsidRPr="00497AE8">
              <w:rPr>
                <w:rFonts w:ascii="Segoe UI" w:eastAsia="MS Mincho" w:hAnsi="Segoe UI"/>
                <w:noProof/>
                <w:sz w:val="16"/>
                <w:szCs w:val="16"/>
              </w:rPr>
              <w:drawing>
                <wp:anchor distT="0" distB="0" distL="114300" distR="114300" simplePos="0" relativeHeight="251747328" behindDoc="0" locked="0" layoutInCell="1" allowOverlap="1" wp14:anchorId="433833C2" wp14:editId="5E267783">
                  <wp:simplePos x="3965944" y="4242391"/>
                  <wp:positionH relativeFrom="margin">
                    <wp:align>center</wp:align>
                  </wp:positionH>
                  <wp:positionV relativeFrom="margin">
                    <wp:align>center</wp:align>
                  </wp:positionV>
                  <wp:extent cx="2743200" cy="1773936"/>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42B4D134" w14:textId="77777777" w:rsidTr="00497AE8">
        <w:trPr>
          <w:jc w:val="center"/>
        </w:trPr>
        <w:tc>
          <w:tcPr>
            <w:tcW w:w="9535" w:type="dxa"/>
            <w:gridSpan w:val="3"/>
            <w:shd w:val="clear" w:color="auto" w:fill="auto"/>
          </w:tcPr>
          <w:p w14:paraId="1E133FA1" w14:textId="77777777" w:rsidR="00497AE8" w:rsidRPr="00497AE8" w:rsidRDefault="00497AE8" w:rsidP="00497AE8">
            <w:pPr>
              <w:spacing w:line="220" w:lineRule="exact"/>
              <w:rPr>
                <w:rFonts w:ascii="Segoe UI" w:eastAsia="MS Mincho" w:hAnsi="Segoe UI" w:cs="Segoe UI"/>
                <w:noProof/>
                <w:color w:val="000000" w:themeColor="text1"/>
                <w:sz w:val="16"/>
                <w:szCs w:val="16"/>
                <w:lang w:eastAsia="zh-TW"/>
              </w:rPr>
            </w:pPr>
            <w:r w:rsidRPr="00497AE8">
              <w:rPr>
                <w:rFonts w:ascii="Segoe UI" w:eastAsia="MS Mincho" w:hAnsi="Segoe UI" w:cs="Segoe UI"/>
                <w:noProof/>
                <w:color w:val="000000" w:themeColor="text1"/>
                <w:sz w:val="16"/>
                <w:szCs w:val="16"/>
                <w:lang w:eastAsia="zh-TW"/>
              </w:rPr>
              <w:t>Sources: EDSS, WEO, IMF FSI Annex, and World Bank FiinStats.</w:t>
            </w:r>
          </w:p>
          <w:p w14:paraId="637CB83C" w14:textId="77777777" w:rsidR="00497AE8" w:rsidRPr="00497AE8" w:rsidRDefault="00497AE8" w:rsidP="00497AE8">
            <w:pPr>
              <w:spacing w:line="220" w:lineRule="exact"/>
              <w:rPr>
                <w:rFonts w:ascii="Segoe UI" w:eastAsia="MS Mincho" w:hAnsi="Segoe UI" w:cs="Segoe UI"/>
                <w:noProof/>
                <w:color w:val="000000" w:themeColor="text1"/>
                <w:sz w:val="16"/>
                <w:szCs w:val="16"/>
                <w:lang w:eastAsia="zh-TW"/>
              </w:rPr>
            </w:pPr>
            <w:r w:rsidRPr="00497AE8">
              <w:rPr>
                <w:rFonts w:ascii="Segoe UI" w:eastAsia="MS Mincho" w:hAnsi="Segoe UI" w:cs="Segoe UI"/>
                <w:noProof/>
                <w:color w:val="000000" w:themeColor="text1"/>
                <w:sz w:val="16"/>
                <w:szCs w:val="16"/>
                <w:lang w:eastAsia="zh-TW"/>
              </w:rPr>
              <w:t xml:space="preserve">Notes: (A)-(B) Financial sector assets-to-GDP; (C) Assets-to-total financial sector assets; (D) Pension fund assets-to-GDP; (E) Life insurance premiums-to-GDP; (F) Non-life insurance premiums-to-GDP. </w:t>
            </w:r>
          </w:p>
        </w:tc>
      </w:tr>
    </w:tbl>
    <w:p w14:paraId="2DCA97F3" w14:textId="77777777" w:rsidR="00497AE8" w:rsidRPr="00497AE8" w:rsidRDefault="00497AE8" w:rsidP="00497AE8">
      <w:pPr>
        <w:spacing w:after="240" w:line="400" w:lineRule="exact"/>
        <w:jc w:val="center"/>
        <w:rPr>
          <w:rFonts w:ascii="Segoe UI" w:eastAsia="MS Mincho" w:hAnsi="Segoe UI"/>
          <w:b/>
          <w:color w:val="4B82AD"/>
          <w:sz w:val="32"/>
        </w:rPr>
        <w:sectPr w:rsidR="00497AE8" w:rsidRPr="00497AE8" w:rsidSect="00497AE8">
          <w:pgSz w:w="12240" w:h="15840" w:code="1"/>
          <w:pgMar w:top="0" w:right="1469" w:bottom="1440" w:left="1469" w:header="720" w:footer="720" w:gutter="0"/>
          <w:cols w:space="720"/>
          <w:docGrid w:type="lines" w:linePitch="360"/>
        </w:sectPr>
      </w:pPr>
    </w:p>
    <w:tbl>
      <w:tblPr>
        <w:tblStyle w:val="TableGrid3"/>
        <w:tblW w:w="9535" w:type="dxa"/>
        <w:jc w:val="center"/>
        <w:tblBorders>
          <w:insideH w:val="none" w:sz="0" w:space="0" w:color="auto"/>
          <w:insideV w:val="none" w:sz="0" w:space="0" w:color="auto"/>
        </w:tblBorders>
        <w:tblLayout w:type="fixed"/>
        <w:tblLook w:val="04A0" w:firstRow="1" w:lastRow="0" w:firstColumn="1" w:lastColumn="0" w:noHBand="0" w:noVBand="1"/>
      </w:tblPr>
      <w:tblGrid>
        <w:gridCol w:w="4518"/>
        <w:gridCol w:w="270"/>
        <w:gridCol w:w="4747"/>
      </w:tblGrid>
      <w:tr w:rsidR="00497AE8" w:rsidRPr="00497AE8" w14:paraId="6FDB2D14" w14:textId="77777777" w:rsidTr="00497AE8">
        <w:trPr>
          <w:trHeight w:val="278"/>
          <w:jc w:val="center"/>
        </w:trPr>
        <w:tc>
          <w:tcPr>
            <w:tcW w:w="9535" w:type="dxa"/>
            <w:gridSpan w:val="3"/>
            <w:shd w:val="clear" w:color="auto" w:fill="auto"/>
            <w:vAlign w:val="center"/>
          </w:tcPr>
          <w:p w14:paraId="503419DF"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54" w:name="_Toc465697437"/>
            <w:r w:rsidRPr="00497AE8">
              <w:rPr>
                <w:rFonts w:ascii="Segoe UI" w:eastAsia="MS Mincho" w:hAnsi="Segoe UI" w:cs="Segoe UI"/>
                <w:color w:val="4B82AD"/>
                <w:sz w:val="21"/>
                <w:szCs w:val="21"/>
              </w:rPr>
              <w:instrText>3. Turkey: Banking Sector Profile</w:instrText>
            </w:r>
            <w:bookmarkEnd w:id="154"/>
            <w:r w:rsidRPr="00497AE8">
              <w:rPr>
                <w:rFonts w:ascii="Segoe UI" w:eastAsia="MS Mincho" w:hAnsi="Segoe UI" w:cs="Segoe UI"/>
                <w:color w:val="4B82AD"/>
                <w:sz w:val="21"/>
                <w:szCs w:val="21"/>
              </w:rP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3. Turkey: Banking Sector Profile</w:t>
            </w:r>
          </w:p>
          <w:p w14:paraId="79D15C9F" w14:textId="77777777" w:rsidR="00497AE8" w:rsidRPr="00497AE8" w:rsidRDefault="00497AE8" w:rsidP="00497AE8">
            <w:pPr>
              <w:spacing w:line="300" w:lineRule="exact"/>
              <w:jc w:val="center"/>
              <w:rPr>
                <w:rFonts w:ascii="Segoe UI" w:eastAsia="MS Mincho" w:hAnsi="Segoe UI" w:cs="Segoe UI"/>
                <w:b/>
                <w:color w:val="4B82AD"/>
                <w:sz w:val="21"/>
                <w:szCs w:val="21"/>
              </w:rPr>
            </w:pPr>
          </w:p>
        </w:tc>
      </w:tr>
      <w:tr w:rsidR="00497AE8" w:rsidRPr="00497AE8" w14:paraId="36AEA175" w14:textId="77777777" w:rsidTr="00497AE8">
        <w:trPr>
          <w:jc w:val="center"/>
        </w:trPr>
        <w:tc>
          <w:tcPr>
            <w:tcW w:w="4518" w:type="dxa"/>
            <w:shd w:val="clear" w:color="auto" w:fill="auto"/>
          </w:tcPr>
          <w:p w14:paraId="465D5911" w14:textId="4E161C67" w:rsidR="00497AE8" w:rsidRPr="00497AE8" w:rsidRDefault="00497AE8" w:rsidP="002D43A8">
            <w:pPr>
              <w:spacing w:line="220" w:lineRule="exact"/>
              <w:rPr>
                <w:rFonts w:ascii="Segoe UI" w:eastAsia="MS Mincho" w:hAnsi="Segoe UI" w:cs="Segoe UI"/>
                <w:i/>
                <w:noProof/>
                <w:color w:val="000000" w:themeColor="text1"/>
                <w:sz w:val="21"/>
                <w:lang w:eastAsia="zh-TW"/>
              </w:rPr>
            </w:pPr>
            <w:r w:rsidRPr="00497AE8">
              <w:rPr>
                <w:rFonts w:ascii="Segoe UI" w:eastAsia="MS Mincho" w:hAnsi="Segoe UI"/>
                <w:sz w:val="16"/>
                <w:szCs w:val="16"/>
              </w:rPr>
              <w:t>A. Turkey’s banks are larger than peer average when measured by credit intermediated</w:t>
            </w:r>
          </w:p>
        </w:tc>
        <w:tc>
          <w:tcPr>
            <w:tcW w:w="270" w:type="dxa"/>
            <w:shd w:val="clear" w:color="auto" w:fill="auto"/>
          </w:tcPr>
          <w:p w14:paraId="062EC44F"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747" w:type="dxa"/>
            <w:shd w:val="clear" w:color="auto" w:fill="auto"/>
          </w:tcPr>
          <w:p w14:paraId="4B2DCA17" w14:textId="77777777" w:rsidR="00497AE8" w:rsidRPr="00497AE8" w:rsidRDefault="00497AE8" w:rsidP="00497AE8">
            <w:pPr>
              <w:spacing w:line="220" w:lineRule="exact"/>
              <w:rPr>
                <w:rFonts w:ascii="Segoe UI" w:eastAsia="MS Mincho" w:hAnsi="Segoe UI" w:cs="Segoe UI"/>
                <w:i/>
                <w:noProof/>
                <w:color w:val="000000" w:themeColor="text1"/>
                <w:sz w:val="14"/>
                <w:szCs w:val="14"/>
                <w:lang w:eastAsia="zh-TW"/>
              </w:rPr>
            </w:pPr>
            <w:r w:rsidRPr="00497AE8">
              <w:rPr>
                <w:rFonts w:ascii="Segoe UI" w:eastAsia="MS Mincho" w:hAnsi="Segoe UI"/>
                <w:sz w:val="16"/>
                <w:szCs w:val="16"/>
              </w:rPr>
              <w:t>B. …. but of average size when measured by domestic deposits</w:t>
            </w:r>
          </w:p>
        </w:tc>
      </w:tr>
      <w:tr w:rsidR="00497AE8" w:rsidRPr="00497AE8" w14:paraId="35779EF1" w14:textId="77777777" w:rsidTr="00497AE8">
        <w:trPr>
          <w:jc w:val="center"/>
        </w:trPr>
        <w:tc>
          <w:tcPr>
            <w:tcW w:w="4518" w:type="dxa"/>
            <w:shd w:val="clear" w:color="auto" w:fill="auto"/>
          </w:tcPr>
          <w:p w14:paraId="6474DBD2" w14:textId="77777777" w:rsidR="00497AE8" w:rsidRPr="00497AE8" w:rsidRDefault="00497AE8" w:rsidP="00497AE8">
            <w:pPr>
              <w:spacing w:line="220" w:lineRule="exact"/>
              <w:rPr>
                <w:rFonts w:ascii="Segoe UI" w:eastAsia="MS Mincho" w:hAnsi="Segoe UI" w:cs="Segoe UI"/>
                <w:i/>
                <w:color w:val="000000" w:themeColor="text1"/>
                <w:sz w:val="21"/>
              </w:rPr>
            </w:pPr>
            <w:r w:rsidRPr="00497AE8">
              <w:rPr>
                <w:rFonts w:ascii="Segoe UI" w:eastAsia="MS Mincho" w:hAnsi="Segoe UI" w:cs="Segoe UI"/>
                <w:i/>
                <w:noProof/>
                <w:color w:val="000000" w:themeColor="text1"/>
                <w:sz w:val="21"/>
              </w:rPr>
              <w:drawing>
                <wp:anchor distT="0" distB="0" distL="114300" distR="114300" simplePos="0" relativeHeight="251732992" behindDoc="0" locked="0" layoutInCell="1" allowOverlap="1" wp14:anchorId="04C3B4DC" wp14:editId="62FE0E59">
                  <wp:simplePos x="923925" y="1857375"/>
                  <wp:positionH relativeFrom="margin">
                    <wp:align>center</wp:align>
                  </wp:positionH>
                  <wp:positionV relativeFrom="margin">
                    <wp:align>center</wp:align>
                  </wp:positionV>
                  <wp:extent cx="2743200" cy="1773936"/>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7221EAB7"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747" w:type="dxa"/>
            <w:shd w:val="clear" w:color="auto" w:fill="auto"/>
          </w:tcPr>
          <w:p w14:paraId="1A36701C" w14:textId="77777777" w:rsidR="00497AE8" w:rsidRPr="00497AE8" w:rsidRDefault="00497AE8" w:rsidP="00497AE8">
            <w:pPr>
              <w:spacing w:line="220" w:lineRule="exact"/>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30944" behindDoc="0" locked="0" layoutInCell="1" allowOverlap="1" wp14:anchorId="47794F89" wp14:editId="13ED277E">
                  <wp:simplePos x="0" y="0"/>
                  <wp:positionH relativeFrom="margin">
                    <wp:posOffset>29210</wp:posOffset>
                  </wp:positionH>
                  <wp:positionV relativeFrom="margin">
                    <wp:posOffset>76200</wp:posOffset>
                  </wp:positionV>
                  <wp:extent cx="2743200" cy="1773936"/>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31D396FA" w14:textId="77777777" w:rsidTr="00497AE8">
        <w:trPr>
          <w:jc w:val="center"/>
        </w:trPr>
        <w:tc>
          <w:tcPr>
            <w:tcW w:w="4518" w:type="dxa"/>
            <w:shd w:val="clear" w:color="auto" w:fill="auto"/>
          </w:tcPr>
          <w:p w14:paraId="491942F1" w14:textId="414C782E" w:rsidR="00497AE8" w:rsidRPr="00497AE8" w:rsidRDefault="00497AE8" w:rsidP="002D43A8">
            <w:pPr>
              <w:spacing w:line="220" w:lineRule="exact"/>
              <w:rPr>
                <w:rFonts w:ascii="Segoe UI" w:eastAsia="MS Mincho" w:hAnsi="Segoe UI"/>
                <w:sz w:val="16"/>
                <w:szCs w:val="16"/>
              </w:rPr>
            </w:pPr>
            <w:r w:rsidRPr="00497AE8">
              <w:rPr>
                <w:rFonts w:ascii="Segoe UI" w:eastAsia="MS Mincho" w:hAnsi="Segoe UI"/>
                <w:sz w:val="16"/>
                <w:szCs w:val="16"/>
              </w:rPr>
              <w:t>C. Concentration in the banking industry is low relative to peer</w:t>
            </w:r>
            <w:r w:rsidR="002D43A8">
              <w:rPr>
                <w:rFonts w:ascii="Segoe UI" w:eastAsia="MS Mincho" w:hAnsi="Segoe UI"/>
                <w:sz w:val="16"/>
                <w:szCs w:val="16"/>
              </w:rPr>
              <w:t>s</w:t>
            </w:r>
            <w:r w:rsidRPr="00497AE8">
              <w:rPr>
                <w:rFonts w:ascii="Segoe UI" w:eastAsia="MS Mincho" w:hAnsi="Segoe UI"/>
                <w:sz w:val="16"/>
                <w:szCs w:val="16"/>
              </w:rPr>
              <w:t xml:space="preserve"> </w:t>
            </w:r>
          </w:p>
        </w:tc>
        <w:tc>
          <w:tcPr>
            <w:tcW w:w="270" w:type="dxa"/>
            <w:shd w:val="clear" w:color="auto" w:fill="auto"/>
          </w:tcPr>
          <w:p w14:paraId="6929E4A6"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747" w:type="dxa"/>
            <w:shd w:val="clear" w:color="auto" w:fill="auto"/>
          </w:tcPr>
          <w:p w14:paraId="0735B0FD" w14:textId="77777777" w:rsidR="00497AE8" w:rsidRPr="00497AE8" w:rsidRDefault="00497AE8" w:rsidP="00497AE8">
            <w:pPr>
              <w:spacing w:line="220" w:lineRule="exact"/>
              <w:rPr>
                <w:rFonts w:ascii="Segoe UI" w:eastAsia="MS Mincho" w:hAnsi="Segoe UI"/>
                <w:sz w:val="16"/>
                <w:szCs w:val="16"/>
              </w:rPr>
            </w:pPr>
            <w:r w:rsidRPr="00497AE8">
              <w:rPr>
                <w:rFonts w:ascii="Segoe UI" w:eastAsia="MS Mincho" w:hAnsi="Segoe UI"/>
                <w:sz w:val="16"/>
                <w:szCs w:val="16"/>
              </w:rPr>
              <w:t>D. State-owned, foreign-owned and private domestic banks hold roughly the same quantity of banking assets</w:t>
            </w:r>
          </w:p>
        </w:tc>
      </w:tr>
      <w:tr w:rsidR="00497AE8" w:rsidRPr="00497AE8" w14:paraId="623940C0" w14:textId="77777777" w:rsidTr="00497AE8">
        <w:trPr>
          <w:jc w:val="center"/>
        </w:trPr>
        <w:tc>
          <w:tcPr>
            <w:tcW w:w="4518" w:type="dxa"/>
            <w:shd w:val="clear" w:color="auto" w:fill="auto"/>
          </w:tcPr>
          <w:p w14:paraId="1D53D016" w14:textId="77777777" w:rsidR="00497AE8" w:rsidRPr="00497AE8" w:rsidRDefault="00497AE8" w:rsidP="00497AE8">
            <w:pPr>
              <w:spacing w:line="300" w:lineRule="exact"/>
              <w:rPr>
                <w:rFonts w:ascii="Segoe UI" w:eastAsia="MS Mincho" w:hAnsi="Segoe UI" w:cs="Segoe UI"/>
                <w:color w:val="000000" w:themeColor="text1"/>
                <w:sz w:val="14"/>
                <w:szCs w:val="14"/>
              </w:rPr>
            </w:pPr>
            <w:r w:rsidRPr="00497AE8">
              <w:rPr>
                <w:rFonts w:ascii="Segoe UI" w:eastAsia="MS Mincho" w:hAnsi="Segoe UI" w:cs="Segoe UI"/>
                <w:noProof/>
                <w:color w:val="000000" w:themeColor="text1"/>
                <w:sz w:val="14"/>
                <w:szCs w:val="14"/>
              </w:rPr>
              <w:drawing>
                <wp:anchor distT="0" distB="0" distL="114300" distR="114300" simplePos="0" relativeHeight="251731968" behindDoc="0" locked="0" layoutInCell="1" allowOverlap="1" wp14:anchorId="0C10D5C2" wp14:editId="7CE523CD">
                  <wp:simplePos x="923925" y="2438400"/>
                  <wp:positionH relativeFrom="margin">
                    <wp:align>center</wp:align>
                  </wp:positionH>
                  <wp:positionV relativeFrom="margin">
                    <wp:align>center</wp:align>
                  </wp:positionV>
                  <wp:extent cx="2743200" cy="1773936"/>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3362989C"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747" w:type="dxa"/>
            <w:shd w:val="clear" w:color="auto" w:fill="auto"/>
          </w:tcPr>
          <w:p w14:paraId="6885707C" w14:textId="77777777" w:rsidR="00497AE8" w:rsidRPr="00497AE8" w:rsidRDefault="00497AE8" w:rsidP="00497AE8">
            <w:pPr>
              <w:spacing w:line="300" w:lineRule="exact"/>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34016" behindDoc="0" locked="0" layoutInCell="1" allowOverlap="1" wp14:anchorId="7D9B75BE" wp14:editId="5000E70B">
                  <wp:simplePos x="3971925" y="2228850"/>
                  <wp:positionH relativeFrom="margin">
                    <wp:align>center</wp:align>
                  </wp:positionH>
                  <wp:positionV relativeFrom="margin">
                    <wp:align>center</wp:align>
                  </wp:positionV>
                  <wp:extent cx="2734056" cy="1773936"/>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4056"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4F2B5AAF" w14:textId="77777777" w:rsidTr="00497AE8">
        <w:trPr>
          <w:jc w:val="center"/>
        </w:trPr>
        <w:tc>
          <w:tcPr>
            <w:tcW w:w="9535" w:type="dxa"/>
            <w:gridSpan w:val="3"/>
            <w:shd w:val="clear" w:color="auto" w:fill="auto"/>
          </w:tcPr>
          <w:p w14:paraId="497601AE" w14:textId="77777777" w:rsidR="00497AE8" w:rsidRPr="00497AE8" w:rsidRDefault="00497AE8" w:rsidP="00497AE8">
            <w:pPr>
              <w:spacing w:line="220" w:lineRule="exact"/>
              <w:rPr>
                <w:rFonts w:ascii="Segoe UI" w:eastAsia="MS Mincho" w:hAnsi="Segoe UI" w:cs="Segoe UI"/>
                <w:noProof/>
                <w:color w:val="000000" w:themeColor="text1"/>
                <w:sz w:val="16"/>
                <w:szCs w:val="16"/>
                <w:lang w:eastAsia="zh-TW"/>
              </w:rPr>
            </w:pPr>
            <w:r w:rsidRPr="00497AE8">
              <w:rPr>
                <w:rFonts w:ascii="Segoe UI" w:eastAsia="MS Mincho" w:hAnsi="Segoe UI" w:cs="Segoe UI"/>
                <w:noProof/>
                <w:color w:val="000000" w:themeColor="text1"/>
                <w:sz w:val="16"/>
                <w:szCs w:val="16"/>
                <w:lang w:eastAsia="zh-TW"/>
              </w:rPr>
              <w:t>Sources: World Bank FiinStats and BBSA.</w:t>
            </w:r>
          </w:p>
        </w:tc>
      </w:tr>
    </w:tbl>
    <w:p w14:paraId="4D42C9AF" w14:textId="77777777" w:rsidR="00497AE8" w:rsidRPr="00497AE8" w:rsidRDefault="00497AE8" w:rsidP="00497AE8">
      <w:pPr>
        <w:spacing w:after="240" w:line="400" w:lineRule="exact"/>
        <w:jc w:val="center"/>
        <w:rPr>
          <w:rFonts w:ascii="Segoe UI" w:eastAsia="MS Mincho" w:hAnsi="Segoe UI"/>
          <w:b/>
          <w:color w:val="4B82AD"/>
          <w:sz w:val="32"/>
        </w:rPr>
        <w:sectPr w:rsidR="00497AE8" w:rsidRPr="00497AE8" w:rsidSect="00497AE8">
          <w:pgSz w:w="12240" w:h="15840" w:code="1"/>
          <w:pgMar w:top="1440" w:right="1469" w:bottom="1440" w:left="1469" w:header="720" w:footer="720" w:gutter="0"/>
          <w:cols w:space="720"/>
          <w:docGrid w:type="lines" w:linePitch="360"/>
        </w:sectPr>
      </w:pPr>
    </w:p>
    <w:tbl>
      <w:tblPr>
        <w:tblStyle w:val="TableGrid3"/>
        <w:tblW w:w="9314" w:type="dxa"/>
        <w:jc w:val="center"/>
        <w:tblBorders>
          <w:insideH w:val="none" w:sz="0" w:space="0" w:color="auto"/>
          <w:insideV w:val="none" w:sz="0" w:space="0" w:color="auto"/>
        </w:tblBorders>
        <w:tblLayout w:type="fixed"/>
        <w:tblLook w:val="04A0" w:firstRow="1" w:lastRow="0" w:firstColumn="1" w:lastColumn="0" w:noHBand="0" w:noVBand="1"/>
      </w:tblPr>
      <w:tblGrid>
        <w:gridCol w:w="4518"/>
        <w:gridCol w:w="270"/>
        <w:gridCol w:w="4526"/>
      </w:tblGrid>
      <w:tr w:rsidR="00497AE8" w:rsidRPr="00497AE8" w14:paraId="6D11C23A" w14:textId="77777777" w:rsidTr="00497AE8">
        <w:trPr>
          <w:trHeight w:val="278"/>
          <w:jc w:val="center"/>
        </w:trPr>
        <w:tc>
          <w:tcPr>
            <w:tcW w:w="9314" w:type="dxa"/>
            <w:gridSpan w:val="3"/>
            <w:shd w:val="clear" w:color="auto" w:fill="auto"/>
            <w:vAlign w:val="center"/>
          </w:tcPr>
          <w:p w14:paraId="16401DD0"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55" w:name="_Toc465697438"/>
            <w:r w:rsidRPr="00497AE8">
              <w:rPr>
                <w:rFonts w:ascii="Segoe UI" w:eastAsia="MS Mincho" w:hAnsi="Segoe UI" w:cs="Segoe UI"/>
                <w:color w:val="4B82AD"/>
                <w:sz w:val="21"/>
                <w:szCs w:val="21"/>
              </w:rPr>
              <w:instrText>4. Turkey: Bank Business Model Convergence</w:instrText>
            </w:r>
            <w:bookmarkEnd w:id="155"/>
            <w:r w:rsidRPr="00497AE8">
              <w:rPr>
                <w:rFonts w:ascii="Segoe UI" w:eastAsia="MS Mincho" w:hAnsi="Segoe UI" w:cs="Segoe UI"/>
                <w:color w:val="4B82AD"/>
                <w:sz w:val="21"/>
                <w:szCs w:val="21"/>
              </w:rP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4. Turkey: Bank Business Model Convergence</w:t>
            </w:r>
          </w:p>
          <w:p w14:paraId="34C462DF" w14:textId="77777777" w:rsidR="00497AE8" w:rsidRPr="00497AE8" w:rsidRDefault="00497AE8" w:rsidP="00497AE8">
            <w:pPr>
              <w:spacing w:line="300" w:lineRule="exact"/>
              <w:jc w:val="center"/>
              <w:rPr>
                <w:rFonts w:ascii="Segoe UI" w:eastAsia="MS Mincho" w:hAnsi="Segoe UI" w:cs="Segoe UI"/>
                <w:b/>
                <w:color w:val="4B82AD"/>
                <w:sz w:val="21"/>
                <w:szCs w:val="21"/>
              </w:rPr>
            </w:pPr>
          </w:p>
        </w:tc>
      </w:tr>
      <w:tr w:rsidR="00497AE8" w:rsidRPr="00497AE8" w14:paraId="30D395B8" w14:textId="77777777" w:rsidTr="00497AE8">
        <w:trPr>
          <w:jc w:val="center"/>
        </w:trPr>
        <w:tc>
          <w:tcPr>
            <w:tcW w:w="4518" w:type="dxa"/>
            <w:shd w:val="clear" w:color="auto" w:fill="auto"/>
          </w:tcPr>
          <w:p w14:paraId="5D551445" w14:textId="77777777" w:rsidR="00497AE8" w:rsidRPr="00497AE8" w:rsidRDefault="00497AE8" w:rsidP="00497AE8">
            <w:pPr>
              <w:spacing w:line="300" w:lineRule="exact"/>
              <w:jc w:val="center"/>
              <w:rPr>
                <w:rFonts w:ascii="Segoe UI" w:eastAsia="MS Mincho" w:hAnsi="Segoe UI" w:cs="Segoe UI"/>
                <w:i/>
                <w:color w:val="000000" w:themeColor="text1"/>
                <w:sz w:val="21"/>
              </w:rPr>
            </w:pPr>
            <w:r w:rsidRPr="00497AE8">
              <w:rPr>
                <w:rFonts w:ascii="Segoe UI" w:eastAsia="MS Mincho" w:hAnsi="Segoe UI" w:cs="Segoe UI"/>
                <w:i/>
                <w:noProof/>
                <w:color w:val="000000" w:themeColor="text1"/>
                <w:sz w:val="21"/>
              </w:rPr>
              <w:drawing>
                <wp:anchor distT="0" distB="0" distL="114300" distR="114300" simplePos="0" relativeHeight="251735040" behindDoc="0" locked="0" layoutInCell="1" allowOverlap="1" wp14:anchorId="4DAC75ED" wp14:editId="6C34D245">
                  <wp:simplePos x="0" y="0"/>
                  <wp:positionH relativeFrom="margin">
                    <wp:align>center</wp:align>
                  </wp:positionH>
                  <wp:positionV relativeFrom="margin">
                    <wp:align>center</wp:align>
                  </wp:positionV>
                  <wp:extent cx="2743200" cy="1773936"/>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23F775CE"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676F3866"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36064" behindDoc="0" locked="0" layoutInCell="1" allowOverlap="1" wp14:anchorId="4173A4B7" wp14:editId="0C82DFDE">
                  <wp:simplePos x="0" y="0"/>
                  <wp:positionH relativeFrom="margin">
                    <wp:align>center</wp:align>
                  </wp:positionH>
                  <wp:positionV relativeFrom="margin">
                    <wp:align>center</wp:align>
                  </wp:positionV>
                  <wp:extent cx="2825496" cy="1828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1F7AF4C2" w14:textId="77777777" w:rsidTr="00497AE8">
        <w:trPr>
          <w:jc w:val="center"/>
        </w:trPr>
        <w:tc>
          <w:tcPr>
            <w:tcW w:w="4518" w:type="dxa"/>
            <w:shd w:val="clear" w:color="auto" w:fill="auto"/>
          </w:tcPr>
          <w:p w14:paraId="40238691"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55520" behindDoc="0" locked="0" layoutInCell="1" allowOverlap="1" wp14:anchorId="13D303E5" wp14:editId="21491D2B">
                  <wp:simplePos x="999460" y="1892595"/>
                  <wp:positionH relativeFrom="margin">
                    <wp:align>center</wp:align>
                  </wp:positionH>
                  <wp:positionV relativeFrom="margin">
                    <wp:align>center</wp:align>
                  </wp:positionV>
                  <wp:extent cx="2743200" cy="1783080"/>
                  <wp:effectExtent l="0" t="0" r="0"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2DEE3089"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25C8B2AA"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37088" behindDoc="0" locked="0" layoutInCell="1" allowOverlap="1" wp14:anchorId="0CF0BE36" wp14:editId="0ABDCAF4">
                  <wp:simplePos x="0" y="0"/>
                  <wp:positionH relativeFrom="margin">
                    <wp:align>center</wp:align>
                  </wp:positionH>
                  <wp:positionV relativeFrom="margin">
                    <wp:align>center</wp:align>
                  </wp:positionV>
                  <wp:extent cx="2743200" cy="1773936"/>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1942A212" w14:textId="77777777" w:rsidTr="00497AE8">
        <w:trPr>
          <w:jc w:val="center"/>
        </w:trPr>
        <w:tc>
          <w:tcPr>
            <w:tcW w:w="4518" w:type="dxa"/>
            <w:shd w:val="clear" w:color="auto" w:fill="auto"/>
          </w:tcPr>
          <w:p w14:paraId="4B0C7784"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38112" behindDoc="0" locked="0" layoutInCell="1" allowOverlap="1" wp14:anchorId="2E1FA1FF" wp14:editId="0E9685B0">
                  <wp:simplePos x="0" y="0"/>
                  <wp:positionH relativeFrom="margin">
                    <wp:align>center</wp:align>
                  </wp:positionH>
                  <wp:positionV relativeFrom="margin">
                    <wp:align>center</wp:align>
                  </wp:positionV>
                  <wp:extent cx="2743200" cy="1773936"/>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3851CFE8"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35A1BFAA" w14:textId="223F13FC" w:rsidR="00497AE8" w:rsidRPr="00497AE8" w:rsidRDefault="004F1B32" w:rsidP="00497AE8">
            <w:pPr>
              <w:spacing w:line="300" w:lineRule="exact"/>
              <w:jc w:val="center"/>
              <w:rPr>
                <w:rFonts w:ascii="Segoe UI" w:eastAsia="MS Mincho" w:hAnsi="Segoe UI" w:cs="Segoe UI"/>
                <w:i/>
                <w:color w:val="000000" w:themeColor="text1"/>
                <w:sz w:val="14"/>
                <w:szCs w:val="14"/>
              </w:rPr>
            </w:pPr>
            <w:r w:rsidRPr="001B055D">
              <w:rPr>
                <w:rFonts w:cs="Segoe UI"/>
                <w:i/>
                <w:noProof/>
                <w:color w:val="000000" w:themeColor="text1"/>
                <w:sz w:val="14"/>
                <w:szCs w:val="14"/>
              </w:rPr>
              <w:drawing>
                <wp:anchor distT="0" distB="0" distL="114300" distR="114300" simplePos="0" relativeHeight="251777024" behindDoc="0" locked="0" layoutInCell="1" allowOverlap="1" wp14:anchorId="68EE6045" wp14:editId="6A654421">
                  <wp:simplePos x="0" y="0"/>
                  <wp:positionH relativeFrom="margin">
                    <wp:posOffset>-34290</wp:posOffset>
                  </wp:positionH>
                  <wp:positionV relativeFrom="margin">
                    <wp:posOffset>67310</wp:posOffset>
                  </wp:positionV>
                  <wp:extent cx="2779395" cy="1713865"/>
                  <wp:effectExtent l="19050" t="19050" r="20955" b="196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9395" cy="1713865"/>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p>
        </w:tc>
      </w:tr>
      <w:tr w:rsidR="00497AE8" w:rsidRPr="00497AE8" w14:paraId="1DCE89F7" w14:textId="77777777" w:rsidTr="00497AE8">
        <w:trPr>
          <w:jc w:val="center"/>
        </w:trPr>
        <w:tc>
          <w:tcPr>
            <w:tcW w:w="9314" w:type="dxa"/>
            <w:gridSpan w:val="3"/>
            <w:shd w:val="clear" w:color="auto" w:fill="auto"/>
          </w:tcPr>
          <w:p w14:paraId="2C5040B1" w14:textId="77777777" w:rsidR="00497AE8" w:rsidRPr="00497AE8" w:rsidRDefault="00497AE8" w:rsidP="00497AE8">
            <w:pPr>
              <w:spacing w:line="220" w:lineRule="exact"/>
              <w:rPr>
                <w:rFonts w:ascii="Segoe UI" w:eastAsia="MS Mincho" w:hAnsi="Segoe UI" w:cs="Segoe UI"/>
                <w:noProof/>
                <w:color w:val="000000" w:themeColor="text1"/>
                <w:sz w:val="16"/>
                <w:szCs w:val="16"/>
                <w:lang w:eastAsia="zh-TW"/>
              </w:rPr>
            </w:pPr>
            <w:r w:rsidRPr="00497AE8">
              <w:rPr>
                <w:rFonts w:ascii="Segoe UI" w:eastAsia="MS Mincho" w:hAnsi="Segoe UI" w:cs="Segoe UI"/>
                <w:noProof/>
                <w:color w:val="000000" w:themeColor="text1"/>
                <w:sz w:val="16"/>
                <w:szCs w:val="16"/>
                <w:lang w:eastAsia="zh-TW"/>
              </w:rPr>
              <w:t>Sources: BRSA, The Bank Association of Turkey, and Fund staff estimates.</w:t>
            </w:r>
          </w:p>
        </w:tc>
      </w:tr>
    </w:tbl>
    <w:p w14:paraId="178F7D09" w14:textId="77777777" w:rsidR="00497AE8" w:rsidRPr="00497AE8" w:rsidRDefault="00497AE8" w:rsidP="00497AE8">
      <w:pPr>
        <w:spacing w:after="240" w:line="400" w:lineRule="exact"/>
        <w:jc w:val="center"/>
        <w:rPr>
          <w:rFonts w:ascii="Segoe UI" w:eastAsia="MS Mincho" w:hAnsi="Segoe UI"/>
          <w:b/>
          <w:color w:val="4B82AD"/>
          <w:sz w:val="32"/>
        </w:rPr>
      </w:pPr>
    </w:p>
    <w:p w14:paraId="76BC6D80" w14:textId="77777777" w:rsidR="00497AE8" w:rsidRPr="00497AE8" w:rsidRDefault="00497AE8" w:rsidP="00497AE8">
      <w:pPr>
        <w:spacing w:line="22" w:lineRule="auto"/>
        <w:rPr>
          <w:rFonts w:ascii="Segoe UI" w:eastAsia="MS Mincho" w:hAnsi="Segoe UI"/>
          <w:sz w:val="21"/>
        </w:rPr>
      </w:pPr>
      <w:r w:rsidRPr="00497AE8">
        <w:rPr>
          <w:rFonts w:ascii="Segoe UI" w:eastAsia="MS Mincho" w:hAnsi="Segoe UI"/>
          <w:sz w:val="21"/>
        </w:rPr>
        <w:br w:type="page"/>
      </w:r>
    </w:p>
    <w:tbl>
      <w:tblPr>
        <w:tblStyle w:val="TableGrid3"/>
        <w:tblW w:w="9314" w:type="dxa"/>
        <w:jc w:val="center"/>
        <w:tblBorders>
          <w:insideH w:val="none" w:sz="0" w:space="0" w:color="auto"/>
          <w:insideV w:val="none" w:sz="0" w:space="0" w:color="auto"/>
        </w:tblBorders>
        <w:tblLayout w:type="fixed"/>
        <w:tblLook w:val="04A0" w:firstRow="1" w:lastRow="0" w:firstColumn="1" w:lastColumn="0" w:noHBand="0" w:noVBand="1"/>
      </w:tblPr>
      <w:tblGrid>
        <w:gridCol w:w="4518"/>
        <w:gridCol w:w="270"/>
        <w:gridCol w:w="4526"/>
      </w:tblGrid>
      <w:tr w:rsidR="00497AE8" w:rsidRPr="00497AE8" w14:paraId="64FA82DD" w14:textId="77777777" w:rsidTr="00497AE8">
        <w:trPr>
          <w:trHeight w:val="278"/>
          <w:jc w:val="center"/>
        </w:trPr>
        <w:tc>
          <w:tcPr>
            <w:tcW w:w="9314" w:type="dxa"/>
            <w:gridSpan w:val="3"/>
            <w:shd w:val="clear" w:color="auto" w:fill="auto"/>
            <w:vAlign w:val="center"/>
          </w:tcPr>
          <w:p w14:paraId="35C1C049"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56" w:name="_Toc465697439"/>
            <w:r w:rsidRPr="00497AE8">
              <w:rPr>
                <w:rFonts w:ascii="Segoe UI" w:eastAsia="MS Mincho" w:hAnsi="Segoe UI" w:cs="Segoe UI"/>
                <w:color w:val="4B82AD"/>
                <w:sz w:val="21"/>
                <w:szCs w:val="21"/>
              </w:rPr>
              <w:instrText>5. Turkey: Bank Measures of Systemic Risk and Spillover Networks</w:instrText>
            </w:r>
            <w:bookmarkEnd w:id="156"/>
            <w:r w:rsidRPr="00497AE8">
              <w:rPr>
                <w:rFonts w:ascii="Segoe UI" w:eastAsia="MS Mincho" w:hAnsi="Segoe UI" w:cs="Segoe UI"/>
                <w:color w:val="4B82AD"/>
                <w:sz w:val="21"/>
                <w:szCs w:val="21"/>
              </w:rPr>
              <w:c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5. Turkey: Bank Measures of Systemic Risk and Spillover Networks</w:t>
            </w:r>
          </w:p>
        </w:tc>
      </w:tr>
      <w:tr w:rsidR="00497AE8" w:rsidRPr="00497AE8" w14:paraId="613906C7" w14:textId="77777777" w:rsidTr="00497AE8">
        <w:trPr>
          <w:trHeight w:val="345"/>
          <w:jc w:val="center"/>
        </w:trPr>
        <w:tc>
          <w:tcPr>
            <w:tcW w:w="4518" w:type="dxa"/>
            <w:shd w:val="clear" w:color="auto" w:fill="auto"/>
            <w:vAlign w:val="center"/>
          </w:tcPr>
          <w:p w14:paraId="797B4A06" w14:textId="77777777" w:rsidR="00497AE8" w:rsidRPr="00497AE8" w:rsidRDefault="00497AE8" w:rsidP="00497AE8">
            <w:pPr>
              <w:rPr>
                <w:rFonts w:ascii="Segoe UI" w:eastAsia="MS Mincho" w:hAnsi="Segoe UI" w:cs="Segoe UI"/>
                <w:i/>
                <w:color w:val="000000" w:themeColor="text1"/>
                <w:sz w:val="17"/>
                <w:szCs w:val="17"/>
              </w:rPr>
            </w:pPr>
            <w:r w:rsidRPr="00497AE8">
              <w:rPr>
                <w:rFonts w:ascii="Segoe UI" w:eastAsia="MS Mincho" w:hAnsi="Segoe UI" w:cs="Segoe UI"/>
                <w:i/>
                <w:color w:val="000000" w:themeColor="text1"/>
                <w:sz w:val="17"/>
                <w:szCs w:val="17"/>
              </w:rPr>
              <w:t>Market-based capital shortfalls are high in distress periods</w:t>
            </w:r>
          </w:p>
        </w:tc>
        <w:tc>
          <w:tcPr>
            <w:tcW w:w="270" w:type="dxa"/>
            <w:shd w:val="clear" w:color="auto" w:fill="auto"/>
          </w:tcPr>
          <w:p w14:paraId="09D3BE0C" w14:textId="77777777" w:rsidR="00497AE8" w:rsidRPr="00497AE8" w:rsidRDefault="00497AE8" w:rsidP="00497AE8">
            <w:pPr>
              <w:rPr>
                <w:rFonts w:ascii="Segoe UI" w:eastAsia="MS Mincho" w:hAnsi="Segoe UI" w:cs="Segoe UI"/>
                <w:i/>
                <w:color w:val="000000" w:themeColor="text1"/>
                <w:sz w:val="17"/>
                <w:szCs w:val="17"/>
              </w:rPr>
            </w:pPr>
          </w:p>
        </w:tc>
        <w:tc>
          <w:tcPr>
            <w:tcW w:w="4526" w:type="dxa"/>
            <w:shd w:val="clear" w:color="auto" w:fill="auto"/>
            <w:vAlign w:val="center"/>
          </w:tcPr>
          <w:p w14:paraId="1B2E7B33" w14:textId="77777777" w:rsidR="00497AE8" w:rsidRPr="00497AE8" w:rsidRDefault="00497AE8" w:rsidP="00497AE8">
            <w:pPr>
              <w:rPr>
                <w:rFonts w:ascii="Segoe UI" w:eastAsia="MS Mincho" w:hAnsi="Segoe UI" w:cs="Segoe UI"/>
                <w:i/>
                <w:color w:val="000000" w:themeColor="text1"/>
                <w:sz w:val="17"/>
                <w:szCs w:val="17"/>
              </w:rPr>
            </w:pPr>
            <w:r w:rsidRPr="00497AE8">
              <w:rPr>
                <w:rFonts w:ascii="Segoe UI" w:eastAsia="MS Mincho" w:hAnsi="Segoe UI" w:cs="Segoe UI"/>
                <w:i/>
                <w:color w:val="000000" w:themeColor="text1"/>
                <w:sz w:val="17"/>
                <w:szCs w:val="17"/>
              </w:rPr>
              <w:t>and distress in one bank can spill over easily to others.</w:t>
            </w:r>
          </w:p>
        </w:tc>
      </w:tr>
      <w:tr w:rsidR="00497AE8" w:rsidRPr="00497AE8" w14:paraId="5671E768" w14:textId="77777777" w:rsidTr="00497AE8">
        <w:trPr>
          <w:jc w:val="center"/>
        </w:trPr>
        <w:tc>
          <w:tcPr>
            <w:tcW w:w="4518" w:type="dxa"/>
            <w:shd w:val="clear" w:color="auto" w:fill="auto"/>
          </w:tcPr>
          <w:p w14:paraId="63C5E36C" w14:textId="77777777" w:rsidR="00497AE8" w:rsidRPr="00497AE8" w:rsidRDefault="00497AE8" w:rsidP="00497AE8">
            <w:pPr>
              <w:rPr>
                <w:rFonts w:ascii="Segoe UI" w:eastAsia="MS Mincho" w:hAnsi="Segoe UI" w:cs="Segoe UI"/>
                <w:i/>
                <w:color w:val="000000" w:themeColor="text1"/>
                <w:sz w:val="21"/>
              </w:rPr>
            </w:pPr>
            <w:r w:rsidRPr="00497AE8">
              <w:rPr>
                <w:rFonts w:ascii="Segoe UI" w:eastAsia="MS Mincho" w:hAnsi="Segoe UI" w:cs="Segoe UI"/>
                <w:i/>
                <w:noProof/>
                <w:color w:val="000000" w:themeColor="text1"/>
                <w:sz w:val="21"/>
              </w:rPr>
              <w:drawing>
                <wp:anchor distT="0" distB="0" distL="114300" distR="114300" simplePos="0" relativeHeight="251722752" behindDoc="0" locked="0" layoutInCell="1" allowOverlap="1" wp14:anchorId="3A32B9E5" wp14:editId="471266EC">
                  <wp:simplePos x="0" y="0"/>
                  <wp:positionH relativeFrom="margin">
                    <wp:align>center</wp:align>
                  </wp:positionH>
                  <wp:positionV relativeFrom="margin">
                    <wp:align>center</wp:align>
                  </wp:positionV>
                  <wp:extent cx="2532888" cy="2029968"/>
                  <wp:effectExtent l="0" t="0" r="1270"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888" cy="20299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39B28BFD" w14:textId="77777777" w:rsidR="00497AE8" w:rsidRPr="00497AE8" w:rsidRDefault="00497AE8" w:rsidP="00497AE8">
            <w:pPr>
              <w:rPr>
                <w:rFonts w:ascii="Segoe UI" w:eastAsia="MS Mincho" w:hAnsi="Segoe UI" w:cs="Segoe UI"/>
                <w:i/>
                <w:color w:val="000000" w:themeColor="text1"/>
                <w:sz w:val="14"/>
                <w:szCs w:val="14"/>
              </w:rPr>
            </w:pPr>
          </w:p>
        </w:tc>
        <w:tc>
          <w:tcPr>
            <w:tcW w:w="4526" w:type="dxa"/>
            <w:shd w:val="clear" w:color="auto" w:fill="auto"/>
          </w:tcPr>
          <w:p w14:paraId="11B13604" w14:textId="77777777" w:rsidR="00497AE8" w:rsidRPr="00497AE8" w:rsidRDefault="00497AE8" w:rsidP="00497AE8">
            <w:pP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21"/>
              </w:rPr>
              <w:drawing>
                <wp:anchor distT="0" distB="0" distL="114300" distR="114300" simplePos="0" relativeHeight="251723776" behindDoc="0" locked="0" layoutInCell="1" allowOverlap="1" wp14:anchorId="280358AF" wp14:editId="236DE919">
                  <wp:simplePos x="0" y="0"/>
                  <wp:positionH relativeFrom="margin">
                    <wp:posOffset>95885</wp:posOffset>
                  </wp:positionH>
                  <wp:positionV relativeFrom="margin">
                    <wp:posOffset>93980</wp:posOffset>
                  </wp:positionV>
                  <wp:extent cx="2560320" cy="2048256"/>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0320" cy="20482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76191279" w14:textId="77777777" w:rsidTr="00497AE8">
        <w:trPr>
          <w:trHeight w:val="309"/>
          <w:jc w:val="center"/>
        </w:trPr>
        <w:tc>
          <w:tcPr>
            <w:tcW w:w="4518" w:type="dxa"/>
            <w:shd w:val="clear" w:color="auto" w:fill="auto"/>
            <w:vAlign w:val="center"/>
          </w:tcPr>
          <w:p w14:paraId="6AC76435" w14:textId="77777777" w:rsidR="00497AE8" w:rsidRPr="00497AE8" w:rsidRDefault="00497AE8" w:rsidP="00497AE8">
            <w:pPr>
              <w:rPr>
                <w:rFonts w:ascii="Segoe UI" w:eastAsia="MS Mincho" w:hAnsi="Segoe UI" w:cs="Segoe UI"/>
                <w:i/>
                <w:color w:val="000000" w:themeColor="text1"/>
                <w:sz w:val="17"/>
                <w:szCs w:val="17"/>
              </w:rPr>
            </w:pPr>
            <w:r w:rsidRPr="00497AE8">
              <w:rPr>
                <w:rFonts w:ascii="Segoe UI" w:eastAsia="MS Mincho" w:hAnsi="Segoe UI" w:cs="Segoe UI"/>
                <w:i/>
                <w:color w:val="000000" w:themeColor="text1"/>
                <w:sz w:val="17"/>
                <w:szCs w:val="17"/>
              </w:rPr>
              <w:t>This is confirmed by high intra-banking sector spillovers…</w:t>
            </w:r>
          </w:p>
        </w:tc>
        <w:tc>
          <w:tcPr>
            <w:tcW w:w="270" w:type="dxa"/>
            <w:shd w:val="clear" w:color="auto" w:fill="auto"/>
            <w:vAlign w:val="center"/>
          </w:tcPr>
          <w:p w14:paraId="7E5C46E0" w14:textId="77777777" w:rsidR="00497AE8" w:rsidRPr="00497AE8" w:rsidRDefault="00497AE8" w:rsidP="00497AE8">
            <w:pPr>
              <w:rPr>
                <w:rFonts w:ascii="Segoe UI" w:eastAsia="MS Mincho" w:hAnsi="Segoe UI" w:cs="Segoe UI"/>
                <w:i/>
                <w:color w:val="000000" w:themeColor="text1"/>
                <w:sz w:val="17"/>
                <w:szCs w:val="17"/>
              </w:rPr>
            </w:pPr>
          </w:p>
        </w:tc>
        <w:tc>
          <w:tcPr>
            <w:tcW w:w="4526" w:type="dxa"/>
            <w:shd w:val="clear" w:color="auto" w:fill="auto"/>
            <w:vAlign w:val="center"/>
          </w:tcPr>
          <w:p w14:paraId="351808DF" w14:textId="77777777" w:rsidR="00497AE8" w:rsidRPr="00497AE8" w:rsidRDefault="00497AE8" w:rsidP="00497AE8">
            <w:pPr>
              <w:rPr>
                <w:rFonts w:ascii="Segoe UI" w:eastAsia="MS Mincho" w:hAnsi="Segoe UI" w:cs="Segoe UI"/>
                <w:i/>
                <w:color w:val="000000" w:themeColor="text1"/>
                <w:sz w:val="17"/>
                <w:szCs w:val="17"/>
              </w:rPr>
            </w:pPr>
            <w:r w:rsidRPr="00497AE8">
              <w:rPr>
                <w:rFonts w:ascii="Segoe UI" w:eastAsia="MS Mincho" w:hAnsi="Segoe UI" w:cs="Segoe UI"/>
                <w:i/>
                <w:color w:val="000000" w:themeColor="text1"/>
                <w:sz w:val="17"/>
                <w:szCs w:val="17"/>
              </w:rPr>
              <w:t>likely reflecting commonalities in banks’ business models.</w:t>
            </w:r>
          </w:p>
        </w:tc>
      </w:tr>
      <w:tr w:rsidR="00497AE8" w:rsidRPr="00497AE8" w14:paraId="63925491" w14:textId="77777777" w:rsidTr="00497AE8">
        <w:trPr>
          <w:jc w:val="center"/>
        </w:trPr>
        <w:tc>
          <w:tcPr>
            <w:tcW w:w="4518" w:type="dxa"/>
            <w:shd w:val="clear" w:color="auto" w:fill="auto"/>
          </w:tcPr>
          <w:p w14:paraId="3AE6A664" w14:textId="77777777" w:rsidR="00497AE8" w:rsidRPr="00497AE8" w:rsidRDefault="00497AE8" w:rsidP="00497AE8">
            <w:pP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21728" behindDoc="0" locked="0" layoutInCell="1" allowOverlap="1" wp14:anchorId="4A942E69" wp14:editId="31C5532E">
                  <wp:simplePos x="0" y="0"/>
                  <wp:positionH relativeFrom="margin">
                    <wp:posOffset>59690</wp:posOffset>
                  </wp:positionH>
                  <wp:positionV relativeFrom="margin">
                    <wp:posOffset>69215</wp:posOffset>
                  </wp:positionV>
                  <wp:extent cx="2560320" cy="2048256"/>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0320" cy="20482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3D8A1CAD" w14:textId="77777777" w:rsidR="00497AE8" w:rsidRPr="00497AE8" w:rsidRDefault="00497AE8" w:rsidP="00497AE8">
            <w:pPr>
              <w:rPr>
                <w:rFonts w:ascii="Segoe UI" w:eastAsia="MS Mincho" w:hAnsi="Segoe UI" w:cs="Segoe UI"/>
                <w:i/>
                <w:color w:val="000000" w:themeColor="text1"/>
                <w:sz w:val="14"/>
                <w:szCs w:val="14"/>
              </w:rPr>
            </w:pPr>
          </w:p>
        </w:tc>
        <w:tc>
          <w:tcPr>
            <w:tcW w:w="4526" w:type="dxa"/>
            <w:shd w:val="clear" w:color="auto" w:fill="auto"/>
          </w:tcPr>
          <w:p w14:paraId="767AE439" w14:textId="77777777" w:rsidR="00497AE8" w:rsidRPr="00497AE8" w:rsidRDefault="00497AE8" w:rsidP="00497AE8">
            <w:pP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inline distT="0" distB="0" distL="0" distR="0" wp14:anchorId="7A14C7CD" wp14:editId="0A41F73E">
                  <wp:extent cx="2560320" cy="2048256"/>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0320" cy="2048256"/>
                          </a:xfrm>
                          <a:prstGeom prst="rect">
                            <a:avLst/>
                          </a:prstGeom>
                          <a:noFill/>
                          <a:ln>
                            <a:noFill/>
                          </a:ln>
                        </pic:spPr>
                      </pic:pic>
                    </a:graphicData>
                  </a:graphic>
                </wp:inline>
              </w:drawing>
            </w:r>
          </w:p>
        </w:tc>
      </w:tr>
      <w:tr w:rsidR="00497AE8" w:rsidRPr="00497AE8" w14:paraId="7EB7E1C5" w14:textId="77777777" w:rsidTr="00497AE8">
        <w:trPr>
          <w:trHeight w:val="345"/>
          <w:jc w:val="center"/>
        </w:trPr>
        <w:tc>
          <w:tcPr>
            <w:tcW w:w="9314" w:type="dxa"/>
            <w:gridSpan w:val="3"/>
            <w:shd w:val="clear" w:color="auto" w:fill="auto"/>
            <w:vAlign w:val="center"/>
          </w:tcPr>
          <w:p w14:paraId="7FC3343C" w14:textId="77777777" w:rsidR="00497AE8" w:rsidRPr="00497AE8" w:rsidRDefault="00497AE8" w:rsidP="00497AE8">
            <w:pPr>
              <w:rPr>
                <w:rFonts w:ascii="Segoe UI" w:eastAsia="MS Mincho" w:hAnsi="Segoe UI" w:cs="Segoe UI"/>
                <w:i/>
                <w:color w:val="000000" w:themeColor="text1"/>
                <w:sz w:val="17"/>
                <w:szCs w:val="17"/>
              </w:rPr>
            </w:pPr>
            <w:r w:rsidRPr="00497AE8">
              <w:rPr>
                <w:rFonts w:ascii="Segoe UI" w:eastAsia="MS Mincho" w:hAnsi="Segoe UI" w:cs="Segoe UI"/>
                <w:i/>
                <w:color w:val="000000" w:themeColor="text1"/>
                <w:sz w:val="17"/>
                <w:szCs w:val="17"/>
              </w:rPr>
              <w:t>This results in centrality rankings, revealing which banks have the most significant spillover links with other entities.</w:t>
            </w:r>
          </w:p>
        </w:tc>
      </w:tr>
      <w:tr w:rsidR="00497AE8" w:rsidRPr="00497AE8" w14:paraId="693BC146" w14:textId="77777777" w:rsidTr="00497AE8">
        <w:trPr>
          <w:jc w:val="center"/>
        </w:trPr>
        <w:tc>
          <w:tcPr>
            <w:tcW w:w="9314" w:type="dxa"/>
            <w:gridSpan w:val="3"/>
            <w:shd w:val="clear" w:color="auto" w:fill="auto"/>
          </w:tcPr>
          <w:p w14:paraId="6F5D4C0F" w14:textId="77777777" w:rsidR="00497AE8" w:rsidRPr="00497AE8" w:rsidRDefault="00497AE8" w:rsidP="00497AE8">
            <w:pP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20704" behindDoc="0" locked="0" layoutInCell="1" allowOverlap="1" wp14:anchorId="1FB6AB11" wp14:editId="3DCD5EBA">
                  <wp:simplePos x="0" y="0"/>
                  <wp:positionH relativeFrom="margin">
                    <wp:posOffset>611505</wp:posOffset>
                  </wp:positionH>
                  <wp:positionV relativeFrom="margin">
                    <wp:posOffset>32385</wp:posOffset>
                  </wp:positionV>
                  <wp:extent cx="4905375" cy="1877060"/>
                  <wp:effectExtent l="0" t="0" r="9525" b="889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5375"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6BF02060" w14:textId="77777777" w:rsidTr="00497AE8">
        <w:trPr>
          <w:jc w:val="center"/>
        </w:trPr>
        <w:tc>
          <w:tcPr>
            <w:tcW w:w="9314" w:type="dxa"/>
            <w:gridSpan w:val="3"/>
            <w:shd w:val="clear" w:color="auto" w:fill="auto"/>
          </w:tcPr>
          <w:p w14:paraId="347294F0" w14:textId="77777777" w:rsidR="00497AE8" w:rsidRPr="00497AE8" w:rsidRDefault="00497AE8" w:rsidP="00497AE8">
            <w:pPr>
              <w:spacing w:line="220" w:lineRule="exact"/>
              <w:rPr>
                <w:rFonts w:ascii="Segoe UI" w:eastAsia="MS Mincho" w:hAnsi="Segoe UI" w:cs="Segoe UI"/>
                <w:noProof/>
                <w:sz w:val="16"/>
                <w:szCs w:val="16"/>
                <w:lang w:eastAsia="zh-TW"/>
              </w:rPr>
            </w:pPr>
            <w:r w:rsidRPr="00497AE8">
              <w:rPr>
                <w:rFonts w:ascii="Segoe UI" w:eastAsia="MS Mincho" w:hAnsi="Segoe UI" w:cs="Segoe UI"/>
                <w:noProof/>
                <w:sz w:val="16"/>
                <w:szCs w:val="16"/>
                <w:lang w:eastAsia="zh-TW"/>
              </w:rPr>
              <w:t>Source: New York University V-Lab, Bloomberg, L.P., Moody's KMV, and Staff Computations.</w:t>
            </w:r>
          </w:p>
          <w:p w14:paraId="2AC8945B" w14:textId="2255B69A" w:rsidR="00497AE8" w:rsidRPr="00497AE8" w:rsidRDefault="00497AE8" w:rsidP="00497AE8">
            <w:pPr>
              <w:spacing w:line="220" w:lineRule="exact"/>
              <w:rPr>
                <w:rFonts w:ascii="Segoe UI" w:eastAsia="MS Mincho" w:hAnsi="Segoe UI" w:cs="Segoe UI"/>
                <w:i/>
                <w:noProof/>
                <w:sz w:val="16"/>
                <w:szCs w:val="16"/>
                <w:lang w:eastAsia="zh-TW"/>
              </w:rPr>
            </w:pPr>
            <w:r w:rsidRPr="00497AE8">
              <w:rPr>
                <w:rFonts w:ascii="Segoe UI" w:eastAsia="MS Mincho" w:hAnsi="Segoe UI" w:cs="Segoe UI"/>
                <w:noProof/>
                <w:sz w:val="16"/>
                <w:szCs w:val="16"/>
                <w:lang w:eastAsia="zh-TW"/>
              </w:rPr>
              <w:t>Note: SRISK is the capital shortfall measure from V-Lab and measures banks' market-based capital needs following a 40 percent drop in stock prices. CoVaR denotes conditional value at-risk, inferred from a set of 9 banks' stock prices. Spillover analysis is performed on firm's one-year default</w:t>
            </w:r>
            <w:r w:rsidR="0030623E">
              <w:rPr>
                <w:rFonts w:ascii="Segoe UI" w:eastAsia="MS Mincho" w:hAnsi="Segoe UI" w:cs="Segoe UI"/>
                <w:noProof/>
                <w:sz w:val="16"/>
                <w:szCs w:val="16"/>
                <w:lang w:eastAsia="zh-TW"/>
              </w:rPr>
              <w:t xml:space="preserve"> </w:t>
            </w:r>
            <w:r w:rsidRPr="00497AE8">
              <w:rPr>
                <w:rFonts w:ascii="Segoe UI" w:eastAsia="MS Mincho" w:hAnsi="Segoe UI" w:cs="Segoe UI"/>
                <w:noProof/>
                <w:sz w:val="16"/>
                <w:szCs w:val="16"/>
                <w:lang w:eastAsia="zh-TW"/>
              </w:rPr>
              <w:t>probabilities from Moody's. Eigenvector centrality is a proxy for systemic risk and indicates how much a firm contributes to, or receives spillovers from other firms.</w:t>
            </w:r>
          </w:p>
        </w:tc>
      </w:tr>
    </w:tbl>
    <w:p w14:paraId="7617015A" w14:textId="77777777" w:rsidR="00497AE8" w:rsidRPr="00497AE8" w:rsidRDefault="00497AE8" w:rsidP="00497AE8">
      <w:pPr>
        <w:spacing w:line="300" w:lineRule="exact"/>
        <w:rPr>
          <w:rFonts w:ascii="Segoe UI" w:eastAsia="MS Mincho" w:hAnsi="Segoe UI"/>
          <w:sz w:val="21"/>
        </w:rPr>
      </w:pPr>
      <w:r w:rsidRPr="00497AE8">
        <w:rPr>
          <w:rFonts w:ascii="Segoe UI" w:eastAsia="MS Mincho" w:hAnsi="Segoe UI"/>
          <w:sz w:val="21"/>
        </w:rPr>
        <w:br w:type="page"/>
      </w:r>
    </w:p>
    <w:tbl>
      <w:tblPr>
        <w:tblStyle w:val="TableGrid3"/>
        <w:tblW w:w="9314" w:type="dxa"/>
        <w:jc w:val="center"/>
        <w:tblBorders>
          <w:insideH w:val="none" w:sz="0" w:space="0" w:color="auto"/>
          <w:insideV w:val="none" w:sz="0" w:space="0" w:color="auto"/>
        </w:tblBorders>
        <w:tblLayout w:type="fixed"/>
        <w:tblLook w:val="04A0" w:firstRow="1" w:lastRow="0" w:firstColumn="1" w:lastColumn="0" w:noHBand="0" w:noVBand="1"/>
      </w:tblPr>
      <w:tblGrid>
        <w:gridCol w:w="4518"/>
        <w:gridCol w:w="270"/>
        <w:gridCol w:w="4526"/>
      </w:tblGrid>
      <w:tr w:rsidR="00497AE8" w:rsidRPr="00497AE8" w14:paraId="4CAB9646" w14:textId="77777777" w:rsidTr="00497AE8">
        <w:trPr>
          <w:trHeight w:val="278"/>
          <w:jc w:val="center"/>
        </w:trPr>
        <w:tc>
          <w:tcPr>
            <w:tcW w:w="9314" w:type="dxa"/>
            <w:gridSpan w:val="3"/>
            <w:shd w:val="clear" w:color="auto" w:fill="auto"/>
            <w:vAlign w:val="center"/>
          </w:tcPr>
          <w:p w14:paraId="6B9BCAE9"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57" w:name="_Toc465697440"/>
            <w:r w:rsidRPr="00497AE8">
              <w:rPr>
                <w:rFonts w:ascii="Segoe UI" w:eastAsia="MS Mincho" w:hAnsi="Segoe UI" w:cs="Segoe UI"/>
                <w:color w:val="4B82AD"/>
                <w:sz w:val="21"/>
                <w:szCs w:val="21"/>
              </w:rPr>
              <w:instrText>6. Turkey: Banks’ FX and Liquidity Risks</w:instrText>
            </w:r>
            <w:bookmarkEnd w:id="157"/>
            <w:r w:rsidRPr="00497AE8">
              <w:rPr>
                <w:rFonts w:ascii="Segoe UI" w:eastAsia="MS Mincho" w:hAnsi="Segoe UI" w:cs="Segoe UI"/>
                <w:color w:val="4B82AD"/>
                <w:sz w:val="21"/>
                <w:szCs w:val="21"/>
              </w:rP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6. Turkey: Banks’ FX and Liquidity Risks</w:t>
            </w:r>
          </w:p>
          <w:p w14:paraId="52C4382A" w14:textId="77777777" w:rsidR="00497AE8" w:rsidRPr="00497AE8" w:rsidRDefault="00497AE8" w:rsidP="00497AE8">
            <w:pPr>
              <w:spacing w:line="300" w:lineRule="exact"/>
              <w:jc w:val="center"/>
              <w:rPr>
                <w:rFonts w:ascii="Segoe UI" w:eastAsia="MS Mincho" w:hAnsi="Segoe UI" w:cs="Segoe UI"/>
                <w:b/>
                <w:color w:val="4B82AD"/>
                <w:sz w:val="21"/>
                <w:szCs w:val="21"/>
              </w:rPr>
            </w:pPr>
          </w:p>
        </w:tc>
      </w:tr>
      <w:tr w:rsidR="00497AE8" w:rsidRPr="00497AE8" w14:paraId="72680AF5" w14:textId="77777777" w:rsidTr="00497AE8">
        <w:trPr>
          <w:jc w:val="center"/>
        </w:trPr>
        <w:tc>
          <w:tcPr>
            <w:tcW w:w="4518" w:type="dxa"/>
            <w:shd w:val="clear" w:color="auto" w:fill="auto"/>
          </w:tcPr>
          <w:p w14:paraId="6DB0CE4C" w14:textId="77777777" w:rsidR="00497AE8" w:rsidRPr="00497AE8" w:rsidRDefault="00497AE8" w:rsidP="00497AE8">
            <w:pPr>
              <w:spacing w:line="300" w:lineRule="exact"/>
              <w:jc w:val="center"/>
              <w:rPr>
                <w:rFonts w:ascii="Segoe UI" w:eastAsia="MS Mincho" w:hAnsi="Segoe UI" w:cs="Segoe UI"/>
                <w:i/>
                <w:color w:val="000000" w:themeColor="text1"/>
                <w:sz w:val="21"/>
              </w:rPr>
            </w:pPr>
            <w:r w:rsidRPr="00497AE8">
              <w:rPr>
                <w:rFonts w:ascii="Segoe UI" w:eastAsia="MS Mincho" w:hAnsi="Segoe UI" w:cs="Segoe UI"/>
                <w:i/>
                <w:noProof/>
                <w:color w:val="000000" w:themeColor="text1"/>
                <w:sz w:val="21"/>
              </w:rPr>
              <w:drawing>
                <wp:anchor distT="0" distB="0" distL="114300" distR="114300" simplePos="0" relativeHeight="251748352" behindDoc="0" locked="0" layoutInCell="1" allowOverlap="1" wp14:anchorId="0AB7DE37" wp14:editId="4AD492E3">
                  <wp:simplePos x="998855" y="63500"/>
                  <wp:positionH relativeFrom="margin">
                    <wp:align>center</wp:align>
                  </wp:positionH>
                  <wp:positionV relativeFrom="margin">
                    <wp:align>center</wp:align>
                  </wp:positionV>
                  <wp:extent cx="2743200" cy="1773936"/>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32E735C4"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6B06794A"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49376" behindDoc="0" locked="0" layoutInCell="1" allowOverlap="1" wp14:anchorId="5813DD10" wp14:editId="0D149D69">
                  <wp:simplePos x="4040372" y="-127591"/>
                  <wp:positionH relativeFrom="margin">
                    <wp:align>center</wp:align>
                  </wp:positionH>
                  <wp:positionV relativeFrom="margin">
                    <wp:align>center</wp:align>
                  </wp:positionV>
                  <wp:extent cx="2743200" cy="1773936"/>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0CBCD22B" w14:textId="77777777" w:rsidTr="00497AE8">
        <w:trPr>
          <w:jc w:val="center"/>
        </w:trPr>
        <w:tc>
          <w:tcPr>
            <w:tcW w:w="4518" w:type="dxa"/>
            <w:shd w:val="clear" w:color="auto" w:fill="auto"/>
          </w:tcPr>
          <w:p w14:paraId="1C795B9B"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50400" behindDoc="0" locked="0" layoutInCell="1" allowOverlap="1" wp14:anchorId="6AE77C84" wp14:editId="4DA0B6B5">
                  <wp:simplePos x="0" y="0"/>
                  <wp:positionH relativeFrom="margin">
                    <wp:posOffset>0</wp:posOffset>
                  </wp:positionH>
                  <wp:positionV relativeFrom="margin">
                    <wp:posOffset>180754</wp:posOffset>
                  </wp:positionV>
                  <wp:extent cx="2743200" cy="1773936"/>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76BC13DC"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2852D4DC"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51424" behindDoc="0" locked="0" layoutInCell="1" allowOverlap="1" wp14:anchorId="298E272E" wp14:editId="4D81D8FE">
                  <wp:simplePos x="4040372" y="1860698"/>
                  <wp:positionH relativeFrom="margin">
                    <wp:align>center</wp:align>
                  </wp:positionH>
                  <wp:positionV relativeFrom="margin">
                    <wp:align>center</wp:align>
                  </wp:positionV>
                  <wp:extent cx="2743200" cy="1773936"/>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2437E630" w14:textId="77777777" w:rsidTr="00497AE8">
        <w:trPr>
          <w:trHeight w:val="345"/>
          <w:jc w:val="center"/>
        </w:trPr>
        <w:tc>
          <w:tcPr>
            <w:tcW w:w="4518" w:type="dxa"/>
            <w:shd w:val="clear" w:color="auto" w:fill="auto"/>
            <w:vAlign w:val="center"/>
          </w:tcPr>
          <w:p w14:paraId="42D771B8" w14:textId="77777777" w:rsidR="00497AE8" w:rsidRPr="00497AE8" w:rsidRDefault="00497AE8" w:rsidP="00497AE8">
            <w:pPr>
              <w:spacing w:line="300" w:lineRule="exact"/>
              <w:rPr>
                <w:rFonts w:ascii="Segoe UI" w:eastAsia="MS Mincho" w:hAnsi="Segoe UI" w:cs="Segoe UI"/>
                <w:i/>
                <w:color w:val="000000" w:themeColor="text1"/>
                <w:sz w:val="17"/>
                <w:szCs w:val="17"/>
              </w:rPr>
            </w:pPr>
            <w:r w:rsidRPr="00497AE8">
              <w:rPr>
                <w:rFonts w:ascii="Segoe UI" w:eastAsia="MS Mincho" w:hAnsi="Segoe UI" w:cs="Segoe UI"/>
                <w:i/>
                <w:noProof/>
                <w:color w:val="000000" w:themeColor="text1"/>
                <w:sz w:val="17"/>
                <w:szCs w:val="17"/>
              </w:rPr>
              <w:drawing>
                <wp:anchor distT="0" distB="0" distL="114300" distR="114300" simplePos="0" relativeHeight="251752448" behindDoc="0" locked="0" layoutInCell="1" allowOverlap="1" wp14:anchorId="096E547B" wp14:editId="68AB9BBE">
                  <wp:simplePos x="999460" y="3753293"/>
                  <wp:positionH relativeFrom="margin">
                    <wp:align>center</wp:align>
                  </wp:positionH>
                  <wp:positionV relativeFrom="margin">
                    <wp:align>center</wp:align>
                  </wp:positionV>
                  <wp:extent cx="2743200" cy="1773936"/>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vAlign w:val="center"/>
          </w:tcPr>
          <w:p w14:paraId="5E327F3A" w14:textId="77777777" w:rsidR="00497AE8" w:rsidRPr="00497AE8" w:rsidRDefault="00497AE8" w:rsidP="00497AE8">
            <w:pPr>
              <w:spacing w:line="300" w:lineRule="exact"/>
              <w:rPr>
                <w:rFonts w:ascii="Segoe UI" w:eastAsia="MS Mincho" w:hAnsi="Segoe UI" w:cs="Segoe UI"/>
                <w:i/>
                <w:color w:val="000000" w:themeColor="text1"/>
                <w:sz w:val="17"/>
                <w:szCs w:val="17"/>
              </w:rPr>
            </w:pPr>
          </w:p>
        </w:tc>
        <w:tc>
          <w:tcPr>
            <w:tcW w:w="4526" w:type="dxa"/>
            <w:shd w:val="clear" w:color="auto" w:fill="auto"/>
            <w:vAlign w:val="center"/>
          </w:tcPr>
          <w:p w14:paraId="5247B6AD" w14:textId="77777777" w:rsidR="00497AE8" w:rsidRPr="00497AE8" w:rsidRDefault="00497AE8" w:rsidP="00497AE8">
            <w:pPr>
              <w:spacing w:line="300" w:lineRule="exact"/>
              <w:rPr>
                <w:rFonts w:ascii="Segoe UI" w:eastAsia="MS Mincho" w:hAnsi="Segoe UI" w:cs="Segoe UI"/>
                <w:i/>
                <w:color w:val="000000" w:themeColor="text1"/>
                <w:sz w:val="17"/>
                <w:szCs w:val="17"/>
              </w:rPr>
            </w:pPr>
            <w:r w:rsidRPr="00497AE8">
              <w:rPr>
                <w:rFonts w:ascii="Segoe UI" w:eastAsia="MS Mincho" w:hAnsi="Segoe UI" w:cs="Segoe UI"/>
                <w:i/>
                <w:noProof/>
                <w:color w:val="000000" w:themeColor="text1"/>
                <w:sz w:val="17"/>
                <w:szCs w:val="17"/>
              </w:rPr>
              <w:drawing>
                <wp:anchor distT="0" distB="0" distL="114300" distR="114300" simplePos="0" relativeHeight="251753472" behindDoc="0" locked="0" layoutInCell="1" allowOverlap="1" wp14:anchorId="1A82B68C" wp14:editId="23A1C944">
                  <wp:simplePos x="4040372" y="4688958"/>
                  <wp:positionH relativeFrom="margin">
                    <wp:align>center</wp:align>
                  </wp:positionH>
                  <wp:positionV relativeFrom="margin">
                    <wp:align>center</wp:align>
                  </wp:positionV>
                  <wp:extent cx="2743200" cy="1773936"/>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34F47718" w14:textId="77777777" w:rsidTr="00497AE8">
        <w:trPr>
          <w:jc w:val="center"/>
        </w:trPr>
        <w:tc>
          <w:tcPr>
            <w:tcW w:w="9314" w:type="dxa"/>
            <w:gridSpan w:val="3"/>
            <w:shd w:val="clear" w:color="auto" w:fill="auto"/>
          </w:tcPr>
          <w:p w14:paraId="0F868307" w14:textId="77777777" w:rsidR="00497AE8" w:rsidRPr="00497AE8" w:rsidRDefault="00497AE8" w:rsidP="00497AE8">
            <w:pPr>
              <w:spacing w:line="220" w:lineRule="exact"/>
              <w:rPr>
                <w:rFonts w:ascii="Segoe UI" w:eastAsia="MS Mincho" w:hAnsi="Segoe UI" w:cs="Segoe UI"/>
                <w:noProof/>
                <w:color w:val="000000" w:themeColor="text1"/>
                <w:sz w:val="16"/>
                <w:szCs w:val="16"/>
                <w:lang w:eastAsia="zh-TW"/>
              </w:rPr>
            </w:pPr>
            <w:r w:rsidRPr="00497AE8">
              <w:rPr>
                <w:rFonts w:ascii="Segoe UI" w:eastAsia="MS Mincho" w:hAnsi="Segoe UI" w:cs="Segoe UI"/>
                <w:noProof/>
                <w:color w:val="000000" w:themeColor="text1"/>
                <w:sz w:val="16"/>
                <w:szCs w:val="16"/>
                <w:lang w:eastAsia="zh-TW"/>
              </w:rPr>
              <w:t>Sources: CBRT, BBSA, and Fund staff estimates.</w:t>
            </w:r>
          </w:p>
          <w:p w14:paraId="365D50E0" w14:textId="77777777" w:rsidR="00497AE8" w:rsidRPr="00497AE8" w:rsidRDefault="00497AE8" w:rsidP="00497AE8">
            <w:pPr>
              <w:spacing w:line="220" w:lineRule="exact"/>
              <w:rPr>
                <w:rFonts w:ascii="Segoe UI" w:eastAsia="MS Mincho" w:hAnsi="Segoe UI" w:cs="Segoe UI"/>
                <w:noProof/>
                <w:color w:val="000000" w:themeColor="text1"/>
                <w:sz w:val="16"/>
                <w:szCs w:val="16"/>
                <w:lang w:eastAsia="zh-TW"/>
              </w:rPr>
            </w:pPr>
            <w:r w:rsidRPr="00497AE8">
              <w:rPr>
                <w:rFonts w:ascii="Segoe UI" w:eastAsia="MS Mincho" w:hAnsi="Segoe UI" w:cs="Segoe UI"/>
                <w:noProof/>
                <w:color w:val="000000" w:themeColor="text1"/>
                <w:sz w:val="16"/>
                <w:szCs w:val="16"/>
                <w:lang w:eastAsia="zh-TW"/>
              </w:rPr>
              <w:t>Notes: NOP = net open position; short-term liability = of (residual) maturity less than 12 months; medium-to-long term liability = of (residual) maturity greater than 12 months.</w:t>
            </w:r>
          </w:p>
        </w:tc>
      </w:tr>
    </w:tbl>
    <w:p w14:paraId="2189A5C4" w14:textId="77777777" w:rsidR="00497AE8" w:rsidRPr="00497AE8" w:rsidRDefault="00497AE8" w:rsidP="00497AE8">
      <w:pPr>
        <w:spacing w:after="240" w:line="400" w:lineRule="exact"/>
        <w:jc w:val="center"/>
        <w:rPr>
          <w:rFonts w:ascii="Segoe UI" w:eastAsia="MS Mincho" w:hAnsi="Segoe UI"/>
          <w:b/>
          <w:color w:val="4B82AD"/>
          <w:sz w:val="32"/>
        </w:rPr>
        <w:sectPr w:rsidR="00497AE8" w:rsidRPr="00497AE8" w:rsidSect="00497AE8">
          <w:pgSz w:w="12240" w:h="15840" w:code="1"/>
          <w:pgMar w:top="1440" w:right="1469" w:bottom="1440" w:left="1469" w:header="720" w:footer="720" w:gutter="0"/>
          <w:cols w:space="720"/>
          <w:docGrid w:type="lines" w:linePitch="360"/>
        </w:sectPr>
      </w:pPr>
    </w:p>
    <w:tbl>
      <w:tblPr>
        <w:tblStyle w:val="TableGrid3"/>
        <w:tblW w:w="9314" w:type="dxa"/>
        <w:jc w:val="center"/>
        <w:tblBorders>
          <w:insideH w:val="none" w:sz="0" w:space="0" w:color="auto"/>
          <w:insideV w:val="none" w:sz="0" w:space="0" w:color="auto"/>
        </w:tblBorders>
        <w:tblLayout w:type="fixed"/>
        <w:tblLook w:val="04A0" w:firstRow="1" w:lastRow="0" w:firstColumn="1" w:lastColumn="0" w:noHBand="0" w:noVBand="1"/>
      </w:tblPr>
      <w:tblGrid>
        <w:gridCol w:w="4518"/>
        <w:gridCol w:w="270"/>
        <w:gridCol w:w="4526"/>
      </w:tblGrid>
      <w:tr w:rsidR="00497AE8" w:rsidRPr="00497AE8" w14:paraId="7751C24D" w14:textId="77777777" w:rsidTr="00497AE8">
        <w:trPr>
          <w:trHeight w:val="278"/>
          <w:jc w:val="center"/>
        </w:trPr>
        <w:tc>
          <w:tcPr>
            <w:tcW w:w="9314" w:type="dxa"/>
            <w:gridSpan w:val="3"/>
            <w:shd w:val="clear" w:color="auto" w:fill="auto"/>
            <w:vAlign w:val="center"/>
          </w:tcPr>
          <w:p w14:paraId="38A92612"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58" w:name="_Toc465697441"/>
            <w:r w:rsidRPr="00497AE8">
              <w:rPr>
                <w:rFonts w:ascii="Segoe UI" w:eastAsia="MS Mincho" w:hAnsi="Segoe UI" w:cs="Segoe UI"/>
                <w:color w:val="4B82AD"/>
                <w:sz w:val="21"/>
                <w:szCs w:val="21"/>
              </w:rPr>
              <w:instrText>7. Turkey: Banks’ Returns, Asset Quality, and Solvency</w:instrText>
            </w:r>
            <w:bookmarkEnd w:id="158"/>
            <w:r w:rsidRPr="00497AE8">
              <w:rPr>
                <w:rFonts w:ascii="Segoe UI" w:eastAsia="MS Mincho" w:hAnsi="Segoe UI" w:cs="Segoe UI"/>
                <w:color w:val="4B82AD"/>
                <w:sz w:val="21"/>
                <w:szCs w:val="21"/>
              </w:rP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7. Turkey: Banks’ Returns, Asset Quality, and Solvency</w:t>
            </w:r>
          </w:p>
          <w:p w14:paraId="4C266086" w14:textId="77777777" w:rsidR="00497AE8" w:rsidRPr="00497AE8" w:rsidRDefault="00497AE8" w:rsidP="00497AE8">
            <w:pPr>
              <w:spacing w:line="300" w:lineRule="exact"/>
              <w:jc w:val="center"/>
              <w:rPr>
                <w:rFonts w:ascii="Segoe UI" w:eastAsia="MS Mincho" w:hAnsi="Segoe UI" w:cs="Segoe UI"/>
                <w:b/>
                <w:color w:val="4B82AD"/>
                <w:sz w:val="21"/>
                <w:szCs w:val="21"/>
              </w:rPr>
            </w:pPr>
          </w:p>
        </w:tc>
      </w:tr>
      <w:tr w:rsidR="00497AE8" w:rsidRPr="00497AE8" w14:paraId="3532B506" w14:textId="77777777" w:rsidTr="00497AE8">
        <w:trPr>
          <w:trHeight w:val="345"/>
          <w:jc w:val="center"/>
        </w:trPr>
        <w:tc>
          <w:tcPr>
            <w:tcW w:w="4518" w:type="dxa"/>
            <w:shd w:val="clear" w:color="auto" w:fill="auto"/>
            <w:vAlign w:val="center"/>
          </w:tcPr>
          <w:p w14:paraId="16980B12" w14:textId="77777777" w:rsidR="00497AE8" w:rsidRPr="00497AE8" w:rsidRDefault="00497AE8" w:rsidP="00497AE8">
            <w:pPr>
              <w:spacing w:line="300" w:lineRule="exact"/>
              <w:rPr>
                <w:rFonts w:ascii="Segoe UI" w:eastAsia="MS Mincho" w:hAnsi="Segoe UI" w:cs="Segoe UI"/>
                <w:i/>
                <w:color w:val="000000" w:themeColor="text1"/>
                <w:sz w:val="17"/>
                <w:szCs w:val="17"/>
              </w:rPr>
            </w:pPr>
            <w:r w:rsidRPr="00497AE8">
              <w:rPr>
                <w:rFonts w:ascii="Segoe UI" w:eastAsia="MS Mincho" w:hAnsi="Segoe UI" w:cs="Segoe UI"/>
                <w:i/>
                <w:noProof/>
                <w:color w:val="000000" w:themeColor="text1"/>
                <w:sz w:val="17"/>
                <w:szCs w:val="17"/>
              </w:rPr>
              <w:drawing>
                <wp:anchor distT="0" distB="0" distL="114300" distR="114300" simplePos="0" relativeHeight="251740160" behindDoc="0" locked="0" layoutInCell="1" allowOverlap="1" wp14:anchorId="10B2F638" wp14:editId="3C9C84E1">
                  <wp:simplePos x="1000125" y="-304800"/>
                  <wp:positionH relativeFrom="margin">
                    <wp:align>center</wp:align>
                  </wp:positionH>
                  <wp:positionV relativeFrom="margin">
                    <wp:align>center</wp:align>
                  </wp:positionV>
                  <wp:extent cx="2743200" cy="1773936"/>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61ED7832" w14:textId="77777777" w:rsidR="00497AE8" w:rsidRPr="00497AE8" w:rsidRDefault="00497AE8" w:rsidP="00497AE8">
            <w:pPr>
              <w:spacing w:line="300" w:lineRule="exact"/>
              <w:rPr>
                <w:rFonts w:ascii="Segoe UI" w:eastAsia="MS Mincho" w:hAnsi="Segoe UI" w:cs="Segoe UI"/>
                <w:i/>
                <w:color w:val="000000" w:themeColor="text1"/>
                <w:sz w:val="17"/>
                <w:szCs w:val="17"/>
              </w:rPr>
            </w:pPr>
          </w:p>
        </w:tc>
        <w:tc>
          <w:tcPr>
            <w:tcW w:w="4526" w:type="dxa"/>
            <w:shd w:val="clear" w:color="auto" w:fill="auto"/>
            <w:vAlign w:val="center"/>
          </w:tcPr>
          <w:p w14:paraId="6E28FB04" w14:textId="08D9BC1C" w:rsidR="00497AE8" w:rsidRPr="00497AE8" w:rsidRDefault="00C2679D" w:rsidP="00497AE8">
            <w:pPr>
              <w:spacing w:line="300" w:lineRule="exact"/>
              <w:rPr>
                <w:rFonts w:ascii="Segoe UI" w:eastAsia="MS Mincho" w:hAnsi="Segoe UI" w:cs="Segoe UI"/>
                <w:i/>
                <w:color w:val="000000" w:themeColor="text1"/>
                <w:sz w:val="17"/>
                <w:szCs w:val="17"/>
              </w:rPr>
            </w:pPr>
            <w:r w:rsidRPr="00665574">
              <w:rPr>
                <w:rFonts w:cs="Segoe UI"/>
                <w:i/>
                <w:noProof/>
                <w:color w:val="000000" w:themeColor="text1"/>
                <w:sz w:val="17"/>
                <w:szCs w:val="17"/>
              </w:rPr>
              <w:drawing>
                <wp:anchor distT="0" distB="0" distL="114300" distR="114300" simplePos="0" relativeHeight="251779072" behindDoc="0" locked="0" layoutInCell="1" allowOverlap="1" wp14:anchorId="241235FF" wp14:editId="425C777A">
                  <wp:simplePos x="0" y="0"/>
                  <wp:positionH relativeFrom="margin">
                    <wp:posOffset>-236220</wp:posOffset>
                  </wp:positionH>
                  <wp:positionV relativeFrom="margin">
                    <wp:posOffset>147955</wp:posOffset>
                  </wp:positionV>
                  <wp:extent cx="2743200" cy="1910715"/>
                  <wp:effectExtent l="19050" t="19050" r="19050" b="133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910715"/>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p>
        </w:tc>
      </w:tr>
      <w:tr w:rsidR="00497AE8" w:rsidRPr="00497AE8" w14:paraId="61359D61" w14:textId="77777777" w:rsidTr="00497AE8">
        <w:trPr>
          <w:jc w:val="center"/>
        </w:trPr>
        <w:tc>
          <w:tcPr>
            <w:tcW w:w="4518" w:type="dxa"/>
            <w:shd w:val="clear" w:color="auto" w:fill="auto"/>
          </w:tcPr>
          <w:p w14:paraId="755788A9" w14:textId="77777777" w:rsidR="00497AE8" w:rsidRPr="00497AE8" w:rsidRDefault="00497AE8" w:rsidP="00497AE8">
            <w:pPr>
              <w:spacing w:line="300" w:lineRule="exact"/>
              <w:jc w:val="center"/>
              <w:rPr>
                <w:rFonts w:ascii="Segoe UI" w:eastAsia="MS Mincho" w:hAnsi="Segoe UI" w:cs="Segoe UI"/>
                <w:i/>
                <w:color w:val="000000" w:themeColor="text1"/>
                <w:sz w:val="21"/>
              </w:rPr>
            </w:pPr>
            <w:r w:rsidRPr="00497AE8">
              <w:rPr>
                <w:rFonts w:ascii="Segoe UI" w:eastAsia="MS Mincho" w:hAnsi="Segoe UI" w:cs="Segoe UI"/>
                <w:i/>
                <w:noProof/>
                <w:color w:val="000000" w:themeColor="text1"/>
                <w:sz w:val="21"/>
              </w:rPr>
              <w:drawing>
                <wp:anchor distT="0" distB="0" distL="114300" distR="114300" simplePos="0" relativeHeight="251757568" behindDoc="0" locked="0" layoutInCell="1" allowOverlap="1" wp14:anchorId="4C489175" wp14:editId="17011650">
                  <wp:simplePos x="999460" y="1967023"/>
                  <wp:positionH relativeFrom="margin">
                    <wp:align>center</wp:align>
                  </wp:positionH>
                  <wp:positionV relativeFrom="margin">
                    <wp:align>center</wp:align>
                  </wp:positionV>
                  <wp:extent cx="2743200" cy="1783080"/>
                  <wp:effectExtent l="0" t="0" r="0" b="762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3A22A14C"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5D92BBA5"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71904" behindDoc="0" locked="0" layoutInCell="1" allowOverlap="1" wp14:anchorId="1FC1C89E" wp14:editId="683A08CC">
                  <wp:simplePos x="4040372" y="1828800"/>
                  <wp:positionH relativeFrom="margin">
                    <wp:align>center</wp:align>
                  </wp:positionH>
                  <wp:positionV relativeFrom="margin">
                    <wp:align>center</wp:align>
                  </wp:positionV>
                  <wp:extent cx="2732405" cy="191389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2405" cy="1913890"/>
                          </a:xfrm>
                          <a:prstGeom prst="rect">
                            <a:avLst/>
                          </a:prstGeom>
                          <a:noFill/>
                          <a:ln>
                            <a:noFill/>
                          </a:ln>
                        </pic:spPr>
                      </pic:pic>
                    </a:graphicData>
                  </a:graphic>
                </wp:anchor>
              </w:drawing>
            </w:r>
          </w:p>
        </w:tc>
      </w:tr>
      <w:tr w:rsidR="00497AE8" w:rsidRPr="00497AE8" w14:paraId="32AD33F9" w14:textId="77777777" w:rsidTr="00497AE8">
        <w:trPr>
          <w:jc w:val="center"/>
        </w:trPr>
        <w:tc>
          <w:tcPr>
            <w:tcW w:w="4518" w:type="dxa"/>
            <w:shd w:val="clear" w:color="auto" w:fill="auto"/>
          </w:tcPr>
          <w:p w14:paraId="60E3766A"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70880" behindDoc="0" locked="0" layoutInCell="1" allowOverlap="1" wp14:anchorId="15706B2E" wp14:editId="14CC7ADC">
                  <wp:simplePos x="999460" y="3870251"/>
                  <wp:positionH relativeFrom="margin">
                    <wp:align>center</wp:align>
                  </wp:positionH>
                  <wp:positionV relativeFrom="margin">
                    <wp:align>center</wp:align>
                  </wp:positionV>
                  <wp:extent cx="2732405" cy="184975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2405" cy="1849755"/>
                          </a:xfrm>
                          <a:prstGeom prst="rect">
                            <a:avLst/>
                          </a:prstGeom>
                          <a:noFill/>
                          <a:ln>
                            <a:noFill/>
                          </a:ln>
                        </pic:spPr>
                      </pic:pic>
                    </a:graphicData>
                  </a:graphic>
                </wp:anchor>
              </w:drawing>
            </w:r>
          </w:p>
        </w:tc>
        <w:tc>
          <w:tcPr>
            <w:tcW w:w="270" w:type="dxa"/>
            <w:shd w:val="clear" w:color="auto" w:fill="auto"/>
          </w:tcPr>
          <w:p w14:paraId="1142BB18"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4810417D"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41184" behindDoc="0" locked="0" layoutInCell="1" allowOverlap="1" wp14:anchorId="039217C7" wp14:editId="16A6D635">
                  <wp:simplePos x="4038600" y="3800475"/>
                  <wp:positionH relativeFrom="margin">
                    <wp:align>center</wp:align>
                  </wp:positionH>
                  <wp:positionV relativeFrom="margin">
                    <wp:align>center</wp:align>
                  </wp:positionV>
                  <wp:extent cx="2743200" cy="1773936"/>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596C6B83" w14:textId="77777777" w:rsidTr="00497AE8">
        <w:trPr>
          <w:jc w:val="center"/>
        </w:trPr>
        <w:tc>
          <w:tcPr>
            <w:tcW w:w="9314" w:type="dxa"/>
            <w:gridSpan w:val="3"/>
            <w:shd w:val="clear" w:color="auto" w:fill="auto"/>
          </w:tcPr>
          <w:p w14:paraId="39AFAFF3" w14:textId="77777777" w:rsidR="00497AE8" w:rsidRPr="00497AE8" w:rsidRDefault="00497AE8" w:rsidP="00497AE8">
            <w:pPr>
              <w:spacing w:line="220" w:lineRule="exact"/>
              <w:rPr>
                <w:rFonts w:ascii="Segoe UI" w:eastAsia="MS Mincho" w:hAnsi="Segoe UI" w:cs="Segoe UI"/>
                <w:noProof/>
                <w:color w:val="000000" w:themeColor="text1"/>
                <w:sz w:val="16"/>
                <w:szCs w:val="16"/>
                <w:lang w:eastAsia="zh-TW"/>
              </w:rPr>
            </w:pPr>
            <w:r w:rsidRPr="00497AE8">
              <w:rPr>
                <w:rFonts w:ascii="Segoe UI" w:eastAsia="MS Mincho" w:hAnsi="Segoe UI" w:cs="Segoe UI"/>
                <w:noProof/>
                <w:color w:val="000000" w:themeColor="text1"/>
                <w:sz w:val="16"/>
                <w:szCs w:val="16"/>
                <w:lang w:eastAsia="zh-TW"/>
              </w:rPr>
              <w:t>Sources: BRSA, The Banks Association of Turkey, PDP, and Fund staff estimates.</w:t>
            </w:r>
          </w:p>
          <w:p w14:paraId="23FDC49C" w14:textId="77777777" w:rsidR="00497AE8" w:rsidRPr="00497AE8" w:rsidRDefault="00497AE8" w:rsidP="00497AE8">
            <w:pPr>
              <w:spacing w:line="220" w:lineRule="exact"/>
              <w:rPr>
                <w:rFonts w:ascii="Segoe UI" w:eastAsia="MS Mincho" w:hAnsi="Segoe UI" w:cs="Segoe UI"/>
                <w:noProof/>
                <w:color w:val="000000" w:themeColor="text1"/>
                <w:sz w:val="16"/>
                <w:szCs w:val="16"/>
                <w:lang w:eastAsia="zh-TW"/>
              </w:rPr>
            </w:pPr>
            <w:r w:rsidRPr="00497AE8">
              <w:rPr>
                <w:rFonts w:ascii="Segoe UI" w:eastAsia="MS Mincho" w:hAnsi="Segoe UI" w:cs="Segoe UI"/>
                <w:noProof/>
                <w:color w:val="000000" w:themeColor="text1"/>
                <w:sz w:val="16"/>
                <w:szCs w:val="16"/>
                <w:lang w:eastAsia="zh-TW"/>
              </w:rPr>
              <w:t>Notes: CAR = capital adequacy ratio; Core CAR = total core CAR; Hotels = hotels and restaurants; Finance = financial intermediation; Trade = wholesale and retail trade; Households = individual credit; NPL = non performing loans.</w:t>
            </w:r>
          </w:p>
        </w:tc>
      </w:tr>
    </w:tbl>
    <w:p w14:paraId="2F656E70" w14:textId="77777777" w:rsidR="00497AE8" w:rsidRPr="00497AE8" w:rsidRDefault="00497AE8" w:rsidP="00497AE8">
      <w:pPr>
        <w:spacing w:after="240" w:line="400" w:lineRule="exact"/>
        <w:jc w:val="center"/>
        <w:rPr>
          <w:rFonts w:ascii="Segoe UI" w:eastAsia="MS Mincho" w:hAnsi="Segoe UI"/>
          <w:b/>
          <w:color w:val="4B82AD"/>
          <w:sz w:val="32"/>
        </w:rPr>
        <w:sectPr w:rsidR="00497AE8" w:rsidRPr="00497AE8" w:rsidSect="00497AE8">
          <w:pgSz w:w="12240" w:h="15840" w:code="1"/>
          <w:pgMar w:top="1440" w:right="1469" w:bottom="1440" w:left="1469" w:header="720" w:footer="720" w:gutter="0"/>
          <w:cols w:space="720"/>
          <w:docGrid w:type="lines" w:linePitch="360"/>
        </w:sectPr>
      </w:pPr>
    </w:p>
    <w:tbl>
      <w:tblPr>
        <w:tblStyle w:val="TableGrid3"/>
        <w:tblW w:w="9314" w:type="dxa"/>
        <w:jc w:val="center"/>
        <w:tblBorders>
          <w:insideH w:val="none" w:sz="0" w:space="0" w:color="auto"/>
          <w:insideV w:val="none" w:sz="0" w:space="0" w:color="auto"/>
        </w:tblBorders>
        <w:tblLayout w:type="fixed"/>
        <w:tblLook w:val="04A0" w:firstRow="1" w:lastRow="0" w:firstColumn="1" w:lastColumn="0" w:noHBand="0" w:noVBand="1"/>
      </w:tblPr>
      <w:tblGrid>
        <w:gridCol w:w="4518"/>
        <w:gridCol w:w="270"/>
        <w:gridCol w:w="4526"/>
      </w:tblGrid>
      <w:tr w:rsidR="00497AE8" w:rsidRPr="00497AE8" w14:paraId="130F95E4" w14:textId="77777777" w:rsidTr="00497AE8">
        <w:trPr>
          <w:trHeight w:val="278"/>
          <w:jc w:val="center"/>
        </w:trPr>
        <w:tc>
          <w:tcPr>
            <w:tcW w:w="9314" w:type="dxa"/>
            <w:gridSpan w:val="3"/>
            <w:shd w:val="clear" w:color="auto" w:fill="auto"/>
            <w:vAlign w:val="center"/>
          </w:tcPr>
          <w:p w14:paraId="614A7D1A"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59" w:name="_Toc465697442"/>
            <w:r w:rsidRPr="00497AE8">
              <w:rPr>
                <w:rFonts w:ascii="Segoe UI" w:eastAsia="MS Mincho" w:hAnsi="Segoe UI" w:cs="Segoe UI"/>
                <w:color w:val="4B82AD"/>
                <w:sz w:val="21"/>
                <w:szCs w:val="21"/>
              </w:rPr>
              <w:instrText>8. Turkey: Corporate Sector Risks and Vulnerabilities</w:instrText>
            </w:r>
            <w:bookmarkEnd w:id="159"/>
            <w:r w:rsidRPr="00497AE8">
              <w:rPr>
                <w:rFonts w:ascii="Segoe UI" w:eastAsia="MS Mincho" w:hAnsi="Segoe UI" w:cs="Segoe UI"/>
                <w:color w:val="4B82AD"/>
                <w:sz w:val="21"/>
                <w:szCs w:val="21"/>
              </w:rP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8. Turkey: Corporate Sector Risks and Vulnerabilities</w:t>
            </w:r>
          </w:p>
          <w:p w14:paraId="01AE340D" w14:textId="77777777" w:rsidR="00497AE8" w:rsidRPr="00497AE8" w:rsidRDefault="00497AE8" w:rsidP="00497AE8">
            <w:pPr>
              <w:spacing w:line="300" w:lineRule="exact"/>
              <w:jc w:val="center"/>
              <w:rPr>
                <w:rFonts w:ascii="Segoe UI" w:eastAsia="MS Mincho" w:hAnsi="Segoe UI" w:cs="Segoe UI"/>
                <w:b/>
                <w:color w:val="4B82AD"/>
                <w:sz w:val="21"/>
                <w:szCs w:val="21"/>
              </w:rPr>
            </w:pPr>
          </w:p>
        </w:tc>
      </w:tr>
      <w:tr w:rsidR="00497AE8" w:rsidRPr="00497AE8" w14:paraId="60F2E154" w14:textId="77777777" w:rsidTr="00497AE8">
        <w:trPr>
          <w:jc w:val="center"/>
        </w:trPr>
        <w:tc>
          <w:tcPr>
            <w:tcW w:w="4518" w:type="dxa"/>
            <w:shd w:val="clear" w:color="auto" w:fill="auto"/>
          </w:tcPr>
          <w:p w14:paraId="57F60407" w14:textId="77777777" w:rsidR="00497AE8" w:rsidRPr="00497AE8" w:rsidRDefault="00497AE8" w:rsidP="00497AE8">
            <w:pPr>
              <w:spacing w:line="300" w:lineRule="exact"/>
              <w:jc w:val="center"/>
              <w:rPr>
                <w:rFonts w:ascii="Segoe UI" w:eastAsia="MS Mincho" w:hAnsi="Segoe UI" w:cs="Segoe UI"/>
                <w:i/>
                <w:color w:val="000000" w:themeColor="text1"/>
                <w:sz w:val="21"/>
              </w:rPr>
            </w:pPr>
            <w:r w:rsidRPr="00497AE8">
              <w:rPr>
                <w:rFonts w:ascii="Segoe UI" w:eastAsia="MS Mincho" w:hAnsi="Segoe UI" w:cs="Segoe UI"/>
                <w:i/>
                <w:noProof/>
                <w:color w:val="000000" w:themeColor="text1"/>
                <w:sz w:val="21"/>
              </w:rPr>
              <w:drawing>
                <wp:anchor distT="0" distB="0" distL="114300" distR="114300" simplePos="0" relativeHeight="251758592" behindDoc="0" locked="0" layoutInCell="1" allowOverlap="1" wp14:anchorId="1974697A" wp14:editId="21FF25F8">
                  <wp:simplePos x="999460" y="-223284"/>
                  <wp:positionH relativeFrom="margin">
                    <wp:align>center</wp:align>
                  </wp:positionH>
                  <wp:positionV relativeFrom="margin">
                    <wp:align>center</wp:align>
                  </wp:positionV>
                  <wp:extent cx="2743200" cy="1865376"/>
                  <wp:effectExtent l="0" t="0" r="0" b="190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140553DE"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2B6F1E87"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59616" behindDoc="0" locked="0" layoutInCell="1" allowOverlap="1" wp14:anchorId="54605ADB" wp14:editId="0F8A7381">
                  <wp:simplePos x="4040372" y="10633"/>
                  <wp:positionH relativeFrom="margin">
                    <wp:align>center</wp:align>
                  </wp:positionH>
                  <wp:positionV relativeFrom="margin">
                    <wp:align>center</wp:align>
                  </wp:positionV>
                  <wp:extent cx="2743200" cy="1865376"/>
                  <wp:effectExtent l="0" t="0" r="0" b="190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32A52E61" w14:textId="77777777" w:rsidTr="00497AE8">
        <w:trPr>
          <w:jc w:val="center"/>
        </w:trPr>
        <w:tc>
          <w:tcPr>
            <w:tcW w:w="4518" w:type="dxa"/>
            <w:shd w:val="clear" w:color="auto" w:fill="auto"/>
          </w:tcPr>
          <w:p w14:paraId="60BB4DDF"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60640" behindDoc="0" locked="0" layoutInCell="1" allowOverlap="1" wp14:anchorId="4D7DDD93" wp14:editId="70AA35B4">
                  <wp:simplePos x="999460" y="1945758"/>
                  <wp:positionH relativeFrom="margin">
                    <wp:align>center</wp:align>
                  </wp:positionH>
                  <wp:positionV relativeFrom="margin">
                    <wp:align>center</wp:align>
                  </wp:positionV>
                  <wp:extent cx="2743200" cy="1865376"/>
                  <wp:effectExtent l="0" t="0" r="0" b="190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0CA7559B"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0A8BDCE0"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61664" behindDoc="0" locked="0" layoutInCell="1" allowOverlap="1" wp14:anchorId="4CDB2A68" wp14:editId="0EF6C6E7">
                  <wp:simplePos x="4040372" y="1818167"/>
                  <wp:positionH relativeFrom="margin">
                    <wp:align>center</wp:align>
                  </wp:positionH>
                  <wp:positionV relativeFrom="margin">
                    <wp:align>center</wp:align>
                  </wp:positionV>
                  <wp:extent cx="2743200" cy="1865376"/>
                  <wp:effectExtent l="0" t="0" r="0" b="190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0D5D2380" w14:textId="77777777" w:rsidTr="00497AE8">
        <w:trPr>
          <w:jc w:val="center"/>
        </w:trPr>
        <w:tc>
          <w:tcPr>
            <w:tcW w:w="4518" w:type="dxa"/>
            <w:shd w:val="clear" w:color="auto" w:fill="auto"/>
          </w:tcPr>
          <w:p w14:paraId="05F11124"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62688" behindDoc="0" locked="0" layoutInCell="1" allowOverlap="1" wp14:anchorId="2C394DB5" wp14:editId="2D66DEAA">
                  <wp:simplePos x="999460" y="3785191"/>
                  <wp:positionH relativeFrom="margin">
                    <wp:align>center</wp:align>
                  </wp:positionH>
                  <wp:positionV relativeFrom="margin">
                    <wp:align>center</wp:align>
                  </wp:positionV>
                  <wp:extent cx="2743200" cy="1865376"/>
                  <wp:effectExtent l="0" t="0" r="0" b="190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 w:type="dxa"/>
            <w:shd w:val="clear" w:color="auto" w:fill="auto"/>
          </w:tcPr>
          <w:p w14:paraId="0C2B33A6"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7069292A"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63712" behindDoc="0" locked="0" layoutInCell="1" allowOverlap="1" wp14:anchorId="5E78E54A" wp14:editId="5F01374D">
                  <wp:simplePos x="4040372" y="3806456"/>
                  <wp:positionH relativeFrom="margin">
                    <wp:align>center</wp:align>
                  </wp:positionH>
                  <wp:positionV relativeFrom="margin">
                    <wp:align>center</wp:align>
                  </wp:positionV>
                  <wp:extent cx="2743200" cy="1865376"/>
                  <wp:effectExtent l="0" t="0" r="0" b="190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927A710" w14:textId="77777777" w:rsidR="00497AE8" w:rsidRPr="00497AE8" w:rsidRDefault="00497AE8" w:rsidP="00497AE8">
      <w:pPr>
        <w:spacing w:line="300" w:lineRule="exact"/>
        <w:rPr>
          <w:rFonts w:ascii="Segoe UI" w:eastAsia="MS Mincho" w:hAnsi="Segoe UI"/>
          <w:sz w:val="21"/>
        </w:rPr>
      </w:pPr>
    </w:p>
    <w:p w14:paraId="1140E82F" w14:textId="77777777" w:rsidR="00497AE8" w:rsidRPr="00497AE8" w:rsidRDefault="00497AE8" w:rsidP="00497AE8">
      <w:pPr>
        <w:spacing w:line="300" w:lineRule="exact"/>
        <w:rPr>
          <w:rFonts w:ascii="Segoe UI" w:eastAsia="MS Mincho" w:hAnsi="Segoe UI"/>
          <w:sz w:val="21"/>
        </w:rPr>
        <w:sectPr w:rsidR="00497AE8" w:rsidRPr="00497AE8" w:rsidSect="00497AE8">
          <w:pgSz w:w="12240" w:h="15840" w:code="1"/>
          <w:pgMar w:top="1440" w:right="1469" w:bottom="1440" w:left="1469" w:header="720" w:footer="720" w:gutter="0"/>
          <w:cols w:space="720"/>
          <w:docGrid w:type="lines" w:linePitch="360"/>
        </w:sectPr>
      </w:pPr>
    </w:p>
    <w:tbl>
      <w:tblPr>
        <w:tblStyle w:val="TableGrid3"/>
        <w:tblW w:w="9314"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9314"/>
      </w:tblGrid>
      <w:tr w:rsidR="00497AE8" w:rsidRPr="00497AE8" w14:paraId="6D8F6E9A" w14:textId="77777777" w:rsidTr="00497AE8">
        <w:trPr>
          <w:trHeight w:val="278"/>
          <w:jc w:val="center"/>
        </w:trPr>
        <w:tc>
          <w:tcPr>
            <w:tcW w:w="9314" w:type="dxa"/>
            <w:shd w:val="clear" w:color="auto" w:fill="auto"/>
            <w:vAlign w:val="center"/>
          </w:tcPr>
          <w:p w14:paraId="0217FE9D"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60" w:name="_Toc465697443"/>
            <w:r w:rsidRPr="00497AE8">
              <w:rPr>
                <w:rFonts w:ascii="Segoe UI" w:eastAsia="MS Mincho" w:hAnsi="Segoe UI" w:cs="Segoe UI"/>
                <w:color w:val="4B82AD"/>
                <w:sz w:val="21"/>
                <w:szCs w:val="21"/>
              </w:rPr>
              <w:instrText>9. Turkey: Summary Results of Solvency Stress Tests of Major Banks</w:instrText>
            </w:r>
            <w:bookmarkEnd w:id="160"/>
            <w:r w:rsidRPr="00497AE8">
              <w:rPr>
                <w:rFonts w:ascii="Segoe UI" w:eastAsia="MS Mincho" w:hAnsi="Segoe UI" w:cs="Segoe UI"/>
                <w:color w:val="4B82AD"/>
                <w:sz w:val="21"/>
                <w:szCs w:val="21"/>
              </w:rPr>
              <w:c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9. Turkey: Summary Results of Solvency Stress Tests of Major Banks</w:t>
            </w:r>
          </w:p>
        </w:tc>
      </w:tr>
      <w:tr w:rsidR="00497AE8" w:rsidRPr="00497AE8" w14:paraId="4A6165DD" w14:textId="77777777" w:rsidTr="00497AE8">
        <w:trPr>
          <w:trHeight w:val="1932"/>
          <w:jc w:val="center"/>
        </w:trPr>
        <w:tc>
          <w:tcPr>
            <w:tcW w:w="9314" w:type="dxa"/>
            <w:shd w:val="clear" w:color="auto" w:fill="auto"/>
            <w:vAlign w:val="center"/>
          </w:tcPr>
          <w:p w14:paraId="3292F22D" w14:textId="77777777" w:rsidR="00497AE8" w:rsidRPr="00497AE8" w:rsidRDefault="00497AE8" w:rsidP="00497AE8">
            <w:pPr>
              <w:spacing w:line="240" w:lineRule="atLeast"/>
              <w:jc w:val="center"/>
              <w:rPr>
                <w:rFonts w:ascii="Segoe UI" w:eastAsia="MS Mincho" w:hAnsi="Segoe UI" w:cs="Segoe UI"/>
                <w:color w:val="000000" w:themeColor="text1"/>
                <w:sz w:val="21"/>
                <w:szCs w:val="21"/>
              </w:rPr>
            </w:pPr>
            <w:r w:rsidRPr="00497AE8">
              <w:rPr>
                <w:rFonts w:ascii="Segoe UI" w:eastAsia="MS Mincho" w:hAnsi="Segoe UI" w:cs="Segoe UI"/>
                <w:noProof/>
                <w:color w:val="000000" w:themeColor="text1"/>
                <w:sz w:val="21"/>
                <w:szCs w:val="21"/>
              </w:rPr>
              <w:drawing>
                <wp:inline distT="0" distB="0" distL="0" distR="0" wp14:anchorId="4CB362A2" wp14:editId="18DBBCA4">
                  <wp:extent cx="5772150" cy="77152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2150" cy="7715250"/>
                          </a:xfrm>
                          <a:prstGeom prst="rect">
                            <a:avLst/>
                          </a:prstGeom>
                          <a:noFill/>
                          <a:ln>
                            <a:noFill/>
                          </a:ln>
                        </pic:spPr>
                      </pic:pic>
                    </a:graphicData>
                  </a:graphic>
                </wp:inline>
              </w:drawing>
            </w:r>
          </w:p>
        </w:tc>
      </w:tr>
    </w:tbl>
    <w:p w14:paraId="158DADFF" w14:textId="77777777" w:rsidR="00497AE8" w:rsidRPr="00497AE8" w:rsidRDefault="00497AE8" w:rsidP="00497AE8">
      <w:pPr>
        <w:spacing w:line="300" w:lineRule="exact"/>
        <w:rPr>
          <w:rFonts w:ascii="Segoe UI" w:eastAsia="MS Mincho" w:hAnsi="Segoe UI"/>
          <w:sz w:val="21"/>
        </w:rPr>
        <w:sectPr w:rsidR="00497AE8" w:rsidRPr="00497AE8" w:rsidSect="00497AE8">
          <w:pgSz w:w="12240" w:h="15840" w:code="1"/>
          <w:pgMar w:top="1440" w:right="1469" w:bottom="1440" w:left="1469" w:header="720" w:footer="720" w:gutter="0"/>
          <w:cols w:space="720"/>
          <w:docGrid w:type="lines" w:linePitch="360"/>
        </w:sectPr>
      </w:pPr>
    </w:p>
    <w:tbl>
      <w:tblPr>
        <w:tblStyle w:val="TableGrid3"/>
        <w:tblW w:w="9314"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9314"/>
      </w:tblGrid>
      <w:tr w:rsidR="00497AE8" w:rsidRPr="00497AE8" w14:paraId="26ABD9E5" w14:textId="77777777" w:rsidTr="00497AE8">
        <w:trPr>
          <w:trHeight w:val="278"/>
          <w:jc w:val="center"/>
        </w:trPr>
        <w:tc>
          <w:tcPr>
            <w:tcW w:w="9314" w:type="dxa"/>
            <w:shd w:val="clear" w:color="auto" w:fill="auto"/>
            <w:vAlign w:val="center"/>
          </w:tcPr>
          <w:p w14:paraId="7758D9E3"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61" w:name="_Toc465697444"/>
            <w:r w:rsidRPr="00497AE8">
              <w:rPr>
                <w:rFonts w:ascii="Segoe UI" w:eastAsia="MS Mincho" w:hAnsi="Segoe UI" w:cs="Segoe UI"/>
                <w:color w:val="4B82AD"/>
                <w:sz w:val="21"/>
                <w:szCs w:val="21"/>
              </w:rPr>
              <w:instrText>10. Turkey: Results of the Liquidity Stress Tests of Major Banks</w:instrText>
            </w:r>
            <w:bookmarkEnd w:id="161"/>
            <w:r w:rsidRPr="00497AE8">
              <w:rPr>
                <w:rFonts w:ascii="Segoe UI" w:eastAsia="MS Mincho" w:hAnsi="Segoe UI" w:cs="Segoe UI"/>
                <w:color w:val="4B82AD"/>
                <w:sz w:val="21"/>
                <w:szCs w:val="21"/>
              </w:rPr>
              <w:instrText xml:space="preserve"> </w:instrText>
            </w:r>
            <w:r w:rsidRPr="00497AE8">
              <w:rPr>
                <w:rFonts w:ascii="Segoe UI" w:eastAsia="MS Mincho" w:hAnsi="Segoe UI" w:cs="Segoe UI"/>
                <w:color w:val="4B82AD"/>
                <w:sz w:val="21"/>
                <w:szCs w:val="21"/>
              </w:rPr>
              <w:c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 xml:space="preserve">Figure 10. Turkey: Results of the Liquidity Stress Tests of Major Banks </w:t>
            </w:r>
          </w:p>
        </w:tc>
      </w:tr>
      <w:tr w:rsidR="00497AE8" w:rsidRPr="00497AE8" w14:paraId="1AE3B08D" w14:textId="77777777" w:rsidTr="00497AE8">
        <w:trPr>
          <w:trHeight w:val="1932"/>
          <w:jc w:val="center"/>
        </w:trPr>
        <w:tc>
          <w:tcPr>
            <w:tcW w:w="9314" w:type="dxa"/>
            <w:shd w:val="clear" w:color="auto" w:fill="auto"/>
            <w:vAlign w:val="center"/>
          </w:tcPr>
          <w:p w14:paraId="29D2E68E" w14:textId="77777777" w:rsidR="00497AE8" w:rsidRPr="00497AE8" w:rsidRDefault="00497AE8" w:rsidP="00497AE8">
            <w:pPr>
              <w:spacing w:line="300" w:lineRule="exact"/>
              <w:rPr>
                <w:rFonts w:ascii="Segoe UI" w:eastAsia="MS Mincho" w:hAnsi="Segoe UI" w:cs="Segoe UI"/>
                <w:color w:val="000000" w:themeColor="text1"/>
                <w:sz w:val="21"/>
                <w:szCs w:val="21"/>
              </w:rPr>
            </w:pPr>
            <w:r w:rsidRPr="00497AE8">
              <w:rPr>
                <w:rFonts w:ascii="Segoe UI" w:eastAsia="MS Mincho" w:hAnsi="Segoe UI" w:cs="Segoe UI"/>
                <w:noProof/>
                <w:color w:val="000000" w:themeColor="text1"/>
                <w:sz w:val="21"/>
                <w:szCs w:val="21"/>
              </w:rPr>
              <w:drawing>
                <wp:anchor distT="0" distB="0" distL="114300" distR="114300" simplePos="0" relativeHeight="251719680" behindDoc="0" locked="0" layoutInCell="1" allowOverlap="1" wp14:anchorId="40E0A69C" wp14:editId="05649002">
                  <wp:simplePos x="1000125" y="-2686050"/>
                  <wp:positionH relativeFrom="margin">
                    <wp:posOffset>53340</wp:posOffset>
                  </wp:positionH>
                  <wp:positionV relativeFrom="margin">
                    <wp:posOffset>-57150</wp:posOffset>
                  </wp:positionV>
                  <wp:extent cx="5772150" cy="447675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2150"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BF8D855" w14:textId="77777777" w:rsidR="00497AE8" w:rsidRPr="00497AE8" w:rsidRDefault="00497AE8" w:rsidP="00497AE8">
      <w:pPr>
        <w:spacing w:line="300" w:lineRule="exact"/>
        <w:rPr>
          <w:rFonts w:ascii="Segoe UI" w:eastAsia="MS Mincho" w:hAnsi="Segoe UI"/>
          <w:sz w:val="21"/>
        </w:rPr>
      </w:pPr>
    </w:p>
    <w:p w14:paraId="048FF6D2" w14:textId="77777777" w:rsidR="00497AE8" w:rsidRPr="00497AE8" w:rsidRDefault="00497AE8" w:rsidP="00497AE8">
      <w:pPr>
        <w:spacing w:line="300" w:lineRule="exact"/>
        <w:rPr>
          <w:rFonts w:ascii="Segoe UI" w:eastAsia="MS Mincho" w:hAnsi="Segoe UI"/>
          <w:sz w:val="21"/>
        </w:rPr>
      </w:pPr>
    </w:p>
    <w:p w14:paraId="21FC83C6" w14:textId="77777777" w:rsidR="00497AE8" w:rsidRPr="00497AE8" w:rsidRDefault="00497AE8" w:rsidP="00497AE8">
      <w:pPr>
        <w:spacing w:line="22" w:lineRule="auto"/>
        <w:rPr>
          <w:rFonts w:ascii="Segoe UI" w:eastAsia="MS Mincho" w:hAnsi="Segoe UI"/>
          <w:sz w:val="21"/>
        </w:rPr>
      </w:pPr>
      <w:r w:rsidRPr="00497AE8">
        <w:rPr>
          <w:rFonts w:ascii="Segoe UI" w:eastAsia="MS Mincho" w:hAnsi="Segoe UI"/>
          <w:sz w:val="21"/>
        </w:rPr>
        <w:br w:type="page"/>
      </w:r>
    </w:p>
    <w:tbl>
      <w:tblPr>
        <w:tblStyle w:val="TableGrid3"/>
        <w:tblW w:w="9314" w:type="dxa"/>
        <w:jc w:val="center"/>
        <w:tblBorders>
          <w:insideH w:val="none" w:sz="0" w:space="0" w:color="auto"/>
          <w:insideV w:val="none" w:sz="0" w:space="0" w:color="auto"/>
        </w:tblBorders>
        <w:tblLayout w:type="fixed"/>
        <w:tblLook w:val="04A0" w:firstRow="1" w:lastRow="0" w:firstColumn="1" w:lastColumn="0" w:noHBand="0" w:noVBand="1"/>
      </w:tblPr>
      <w:tblGrid>
        <w:gridCol w:w="4518"/>
        <w:gridCol w:w="270"/>
        <w:gridCol w:w="4526"/>
      </w:tblGrid>
      <w:tr w:rsidR="00497AE8" w:rsidRPr="00497AE8" w14:paraId="1E0D5484" w14:textId="77777777" w:rsidTr="00497AE8">
        <w:trPr>
          <w:trHeight w:val="278"/>
          <w:jc w:val="center"/>
        </w:trPr>
        <w:tc>
          <w:tcPr>
            <w:tcW w:w="9314" w:type="dxa"/>
            <w:gridSpan w:val="3"/>
            <w:shd w:val="clear" w:color="auto" w:fill="auto"/>
            <w:vAlign w:val="center"/>
          </w:tcPr>
          <w:p w14:paraId="6F580038"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62" w:name="_Toc465697445"/>
            <w:r w:rsidRPr="00497AE8">
              <w:rPr>
                <w:rFonts w:ascii="Segoe UI" w:eastAsia="MS Mincho" w:hAnsi="Segoe UI" w:cs="Segoe UI"/>
                <w:color w:val="4B82AD"/>
                <w:sz w:val="21"/>
                <w:szCs w:val="21"/>
              </w:rPr>
              <w:instrText>11. Turkey: Funding Liquidity-Solvency Feedback in Solvency Stress Tests</w:instrText>
            </w:r>
            <w:bookmarkEnd w:id="162"/>
            <w:r w:rsidRPr="00497AE8">
              <w:rPr>
                <w:rFonts w:ascii="Segoe UI" w:eastAsia="MS Mincho" w:hAnsi="Segoe UI" w:cs="Segoe UI"/>
                <w:color w:val="4B82AD"/>
                <w:sz w:val="21"/>
                <w:szCs w:val="21"/>
              </w:rPr>
              <w:c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11. Turkey: Funding Liquidity-Solvency Feedback in Solvency Stress Tests</w:t>
            </w:r>
          </w:p>
        </w:tc>
      </w:tr>
      <w:tr w:rsidR="00497AE8" w:rsidRPr="00497AE8" w14:paraId="7D100BB1" w14:textId="77777777" w:rsidTr="00497AE8">
        <w:trPr>
          <w:trHeight w:val="345"/>
          <w:jc w:val="center"/>
        </w:trPr>
        <w:tc>
          <w:tcPr>
            <w:tcW w:w="4518" w:type="dxa"/>
            <w:shd w:val="clear" w:color="auto" w:fill="auto"/>
            <w:vAlign w:val="center"/>
          </w:tcPr>
          <w:p w14:paraId="006FFC49" w14:textId="77777777" w:rsidR="00497AE8" w:rsidRPr="00497AE8" w:rsidRDefault="00497AE8" w:rsidP="00497AE8">
            <w:pPr>
              <w:spacing w:line="300" w:lineRule="exact"/>
              <w:rPr>
                <w:rFonts w:ascii="Segoe UI" w:eastAsia="MS Mincho" w:hAnsi="Segoe UI" w:cs="Segoe UI"/>
                <w:i/>
                <w:color w:val="000000" w:themeColor="text1"/>
                <w:sz w:val="17"/>
                <w:szCs w:val="17"/>
              </w:rPr>
            </w:pPr>
            <w:r w:rsidRPr="00497AE8">
              <w:rPr>
                <w:rFonts w:ascii="Segoe UI" w:eastAsia="MS Mincho" w:hAnsi="Segoe UI" w:cs="Segoe UI"/>
                <w:i/>
                <w:color w:val="000000" w:themeColor="text1"/>
                <w:sz w:val="17"/>
                <w:szCs w:val="17"/>
              </w:rPr>
              <w:t>Liquidity stress can add to solvency pressure…</w:t>
            </w:r>
          </w:p>
        </w:tc>
        <w:tc>
          <w:tcPr>
            <w:tcW w:w="270" w:type="dxa"/>
            <w:shd w:val="clear" w:color="auto" w:fill="auto"/>
          </w:tcPr>
          <w:p w14:paraId="632E3610" w14:textId="77777777" w:rsidR="00497AE8" w:rsidRPr="00497AE8" w:rsidRDefault="00497AE8" w:rsidP="00497AE8">
            <w:pPr>
              <w:spacing w:line="300" w:lineRule="exact"/>
              <w:rPr>
                <w:rFonts w:ascii="Segoe UI" w:eastAsia="MS Mincho" w:hAnsi="Segoe UI" w:cs="Segoe UI"/>
                <w:i/>
                <w:color w:val="000000" w:themeColor="text1"/>
                <w:sz w:val="17"/>
                <w:szCs w:val="17"/>
              </w:rPr>
            </w:pPr>
          </w:p>
        </w:tc>
        <w:tc>
          <w:tcPr>
            <w:tcW w:w="4526" w:type="dxa"/>
            <w:shd w:val="clear" w:color="auto" w:fill="auto"/>
            <w:vAlign w:val="center"/>
          </w:tcPr>
          <w:p w14:paraId="7EDCF0D5" w14:textId="77777777" w:rsidR="00497AE8" w:rsidRPr="00497AE8" w:rsidRDefault="00497AE8" w:rsidP="00497AE8">
            <w:pPr>
              <w:spacing w:line="300" w:lineRule="exact"/>
              <w:rPr>
                <w:rFonts w:ascii="Segoe UI" w:eastAsia="MS Mincho" w:hAnsi="Segoe UI" w:cs="Segoe UI"/>
                <w:i/>
                <w:color w:val="000000" w:themeColor="text1"/>
                <w:sz w:val="17"/>
                <w:szCs w:val="17"/>
              </w:rPr>
            </w:pPr>
            <w:r w:rsidRPr="00497AE8">
              <w:rPr>
                <w:rFonts w:ascii="Segoe UI" w:eastAsia="MS Mincho" w:hAnsi="Segoe UI" w:cs="Segoe UI"/>
                <w:i/>
                <w:color w:val="000000" w:themeColor="text1"/>
                <w:sz w:val="17"/>
                <w:szCs w:val="17"/>
              </w:rPr>
              <w:t>and adversely affects banks’ profitability for some time.</w:t>
            </w:r>
          </w:p>
        </w:tc>
      </w:tr>
      <w:tr w:rsidR="00497AE8" w:rsidRPr="00497AE8" w14:paraId="5F170614" w14:textId="77777777" w:rsidTr="00497AE8">
        <w:trPr>
          <w:jc w:val="center"/>
        </w:trPr>
        <w:tc>
          <w:tcPr>
            <w:tcW w:w="4518" w:type="dxa"/>
            <w:shd w:val="clear" w:color="auto" w:fill="auto"/>
          </w:tcPr>
          <w:p w14:paraId="6B9D904A" w14:textId="77777777" w:rsidR="00497AE8" w:rsidRPr="00497AE8" w:rsidRDefault="00497AE8" w:rsidP="00497AE8">
            <w:pPr>
              <w:spacing w:line="240" w:lineRule="atLeas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21"/>
              </w:rPr>
              <w:drawing>
                <wp:inline distT="0" distB="0" distL="0" distR="0" wp14:anchorId="7DF54E53" wp14:editId="46CACFCC">
                  <wp:extent cx="2733675" cy="21907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3675" cy="2190750"/>
                          </a:xfrm>
                          <a:prstGeom prst="rect">
                            <a:avLst/>
                          </a:prstGeom>
                          <a:noFill/>
                          <a:ln>
                            <a:noFill/>
                          </a:ln>
                        </pic:spPr>
                      </pic:pic>
                    </a:graphicData>
                  </a:graphic>
                </wp:inline>
              </w:drawing>
            </w:r>
          </w:p>
        </w:tc>
        <w:tc>
          <w:tcPr>
            <w:tcW w:w="270" w:type="dxa"/>
            <w:shd w:val="clear" w:color="auto" w:fill="auto"/>
          </w:tcPr>
          <w:p w14:paraId="16B564FD" w14:textId="77777777" w:rsidR="00497AE8" w:rsidRPr="00497AE8" w:rsidRDefault="00497AE8" w:rsidP="00497AE8">
            <w:pPr>
              <w:spacing w:line="240" w:lineRule="atLeast"/>
              <w:rPr>
                <w:rFonts w:ascii="Segoe UI" w:eastAsia="MS Mincho" w:hAnsi="Segoe UI" w:cs="Segoe UI"/>
                <w:i/>
                <w:color w:val="000000" w:themeColor="text1"/>
                <w:sz w:val="14"/>
                <w:szCs w:val="14"/>
              </w:rPr>
            </w:pPr>
          </w:p>
        </w:tc>
        <w:tc>
          <w:tcPr>
            <w:tcW w:w="4526" w:type="dxa"/>
            <w:shd w:val="clear" w:color="auto" w:fill="auto"/>
          </w:tcPr>
          <w:p w14:paraId="47F00C5C" w14:textId="77777777" w:rsidR="00497AE8" w:rsidRPr="00497AE8" w:rsidRDefault="00497AE8" w:rsidP="00497AE8">
            <w:pPr>
              <w:spacing w:line="240" w:lineRule="atLeas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21"/>
              </w:rPr>
              <w:drawing>
                <wp:inline distT="0" distB="0" distL="0" distR="0" wp14:anchorId="6D929282" wp14:editId="2B0B776B">
                  <wp:extent cx="2733675" cy="21907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3675" cy="2190750"/>
                          </a:xfrm>
                          <a:prstGeom prst="rect">
                            <a:avLst/>
                          </a:prstGeom>
                          <a:noFill/>
                          <a:ln>
                            <a:noFill/>
                          </a:ln>
                        </pic:spPr>
                      </pic:pic>
                    </a:graphicData>
                  </a:graphic>
                </wp:inline>
              </w:drawing>
            </w:r>
          </w:p>
        </w:tc>
      </w:tr>
      <w:tr w:rsidR="00497AE8" w:rsidRPr="00497AE8" w14:paraId="2FDB380D" w14:textId="77777777" w:rsidTr="00497AE8">
        <w:trPr>
          <w:trHeight w:val="345"/>
          <w:jc w:val="center"/>
        </w:trPr>
        <w:tc>
          <w:tcPr>
            <w:tcW w:w="4518" w:type="dxa"/>
            <w:shd w:val="clear" w:color="auto" w:fill="auto"/>
            <w:vAlign w:val="center"/>
          </w:tcPr>
          <w:p w14:paraId="1151133F" w14:textId="77777777" w:rsidR="00497AE8" w:rsidRPr="00497AE8" w:rsidRDefault="00497AE8" w:rsidP="00497AE8">
            <w:pPr>
              <w:spacing w:line="300" w:lineRule="exact"/>
              <w:rPr>
                <w:rFonts w:ascii="Segoe UI" w:eastAsia="MS Mincho" w:hAnsi="Segoe UI" w:cs="Segoe UI"/>
                <w:i/>
                <w:color w:val="000000" w:themeColor="text1"/>
                <w:sz w:val="17"/>
                <w:szCs w:val="17"/>
              </w:rPr>
            </w:pPr>
            <w:r w:rsidRPr="00497AE8">
              <w:rPr>
                <w:rFonts w:ascii="Segoe UI" w:eastAsia="MS Mincho" w:hAnsi="Segoe UI" w:cs="Segoe UI"/>
                <w:i/>
                <w:color w:val="000000" w:themeColor="text1"/>
                <w:sz w:val="17"/>
                <w:szCs w:val="17"/>
              </w:rPr>
              <w:t>The impact is persistent…</w:t>
            </w:r>
          </w:p>
        </w:tc>
        <w:tc>
          <w:tcPr>
            <w:tcW w:w="270" w:type="dxa"/>
            <w:shd w:val="clear" w:color="auto" w:fill="auto"/>
            <w:vAlign w:val="center"/>
          </w:tcPr>
          <w:p w14:paraId="6E5C1387" w14:textId="77777777" w:rsidR="00497AE8" w:rsidRPr="00497AE8" w:rsidRDefault="00497AE8" w:rsidP="00497AE8">
            <w:pPr>
              <w:spacing w:line="300" w:lineRule="exact"/>
              <w:rPr>
                <w:rFonts w:ascii="Segoe UI" w:eastAsia="MS Mincho" w:hAnsi="Segoe UI" w:cs="Segoe UI"/>
                <w:i/>
                <w:color w:val="000000" w:themeColor="text1"/>
                <w:sz w:val="17"/>
                <w:szCs w:val="17"/>
              </w:rPr>
            </w:pPr>
          </w:p>
        </w:tc>
        <w:tc>
          <w:tcPr>
            <w:tcW w:w="4526" w:type="dxa"/>
            <w:shd w:val="clear" w:color="auto" w:fill="auto"/>
            <w:vAlign w:val="center"/>
          </w:tcPr>
          <w:p w14:paraId="5D66125C" w14:textId="77777777" w:rsidR="00497AE8" w:rsidRPr="00497AE8" w:rsidRDefault="00497AE8" w:rsidP="00497AE8">
            <w:pPr>
              <w:spacing w:line="300" w:lineRule="exact"/>
              <w:rPr>
                <w:rFonts w:ascii="Segoe UI" w:eastAsia="MS Mincho" w:hAnsi="Segoe UI" w:cs="Segoe UI"/>
                <w:i/>
                <w:color w:val="000000" w:themeColor="text1"/>
                <w:sz w:val="17"/>
                <w:szCs w:val="17"/>
              </w:rPr>
            </w:pPr>
            <w:r w:rsidRPr="00497AE8">
              <w:rPr>
                <w:rFonts w:ascii="Segoe UI" w:eastAsia="MS Mincho" w:hAnsi="Segoe UI" w:cs="Segoe UI"/>
                <w:i/>
                <w:color w:val="000000" w:themeColor="text1"/>
                <w:sz w:val="17"/>
                <w:szCs w:val="17"/>
              </w:rPr>
              <w:t>and is significant relative to GDP in 2016</w:t>
            </w:r>
          </w:p>
        </w:tc>
      </w:tr>
      <w:tr w:rsidR="00497AE8" w:rsidRPr="00497AE8" w14:paraId="2DD35C89" w14:textId="77777777" w:rsidTr="00497AE8">
        <w:trPr>
          <w:jc w:val="center"/>
        </w:trPr>
        <w:tc>
          <w:tcPr>
            <w:tcW w:w="4518" w:type="dxa"/>
            <w:shd w:val="clear" w:color="auto" w:fill="auto"/>
          </w:tcPr>
          <w:p w14:paraId="08022264" w14:textId="77777777" w:rsidR="00497AE8" w:rsidRPr="00497AE8" w:rsidRDefault="00497AE8" w:rsidP="00497AE8">
            <w:pPr>
              <w:spacing w:line="240" w:lineRule="atLeas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21"/>
              </w:rPr>
              <w:drawing>
                <wp:inline distT="0" distB="0" distL="0" distR="0" wp14:anchorId="71F116D0" wp14:editId="49052CB0">
                  <wp:extent cx="2734056" cy="219456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4056" cy="2194560"/>
                          </a:xfrm>
                          <a:prstGeom prst="rect">
                            <a:avLst/>
                          </a:prstGeom>
                          <a:noFill/>
                          <a:ln>
                            <a:noFill/>
                          </a:ln>
                        </pic:spPr>
                      </pic:pic>
                    </a:graphicData>
                  </a:graphic>
                </wp:inline>
              </w:drawing>
            </w:r>
          </w:p>
        </w:tc>
        <w:tc>
          <w:tcPr>
            <w:tcW w:w="270" w:type="dxa"/>
            <w:shd w:val="clear" w:color="auto" w:fill="auto"/>
          </w:tcPr>
          <w:p w14:paraId="54EE1DBC" w14:textId="77777777" w:rsidR="00497AE8" w:rsidRPr="00497AE8" w:rsidRDefault="00497AE8" w:rsidP="00497AE8">
            <w:pPr>
              <w:spacing w:line="240" w:lineRule="atLeast"/>
              <w:rPr>
                <w:rFonts w:ascii="Segoe UI" w:eastAsia="MS Mincho" w:hAnsi="Segoe UI" w:cs="Segoe UI"/>
                <w:i/>
                <w:color w:val="000000" w:themeColor="text1"/>
                <w:sz w:val="14"/>
                <w:szCs w:val="14"/>
              </w:rPr>
            </w:pPr>
          </w:p>
        </w:tc>
        <w:tc>
          <w:tcPr>
            <w:tcW w:w="4526" w:type="dxa"/>
            <w:shd w:val="clear" w:color="auto" w:fill="auto"/>
          </w:tcPr>
          <w:p w14:paraId="4DF7931B" w14:textId="77777777" w:rsidR="00497AE8" w:rsidRPr="00497AE8" w:rsidRDefault="00497AE8" w:rsidP="00497AE8">
            <w:pPr>
              <w:spacing w:line="240" w:lineRule="atLeas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21"/>
              </w:rPr>
              <w:drawing>
                <wp:inline distT="0" distB="0" distL="0" distR="0" wp14:anchorId="669030FB" wp14:editId="44B3ED3E">
                  <wp:extent cx="2734056" cy="219456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4056" cy="2194560"/>
                          </a:xfrm>
                          <a:prstGeom prst="rect">
                            <a:avLst/>
                          </a:prstGeom>
                          <a:noFill/>
                          <a:ln>
                            <a:noFill/>
                          </a:ln>
                        </pic:spPr>
                      </pic:pic>
                    </a:graphicData>
                  </a:graphic>
                </wp:inline>
              </w:drawing>
            </w:r>
          </w:p>
        </w:tc>
      </w:tr>
      <w:tr w:rsidR="00497AE8" w:rsidRPr="00497AE8" w14:paraId="7F33D5D3" w14:textId="77777777" w:rsidTr="00497AE8">
        <w:trPr>
          <w:jc w:val="center"/>
        </w:trPr>
        <w:tc>
          <w:tcPr>
            <w:tcW w:w="9314" w:type="dxa"/>
            <w:gridSpan w:val="3"/>
            <w:shd w:val="clear" w:color="auto" w:fill="auto"/>
          </w:tcPr>
          <w:p w14:paraId="2091B290" w14:textId="77777777" w:rsidR="00497AE8" w:rsidRPr="00497AE8" w:rsidRDefault="00497AE8" w:rsidP="00497AE8">
            <w:pPr>
              <w:snapToGrid w:val="0"/>
              <w:spacing w:line="220" w:lineRule="exact"/>
              <w:rPr>
                <w:rFonts w:ascii="Segoe UI" w:eastAsia="MS Mincho" w:hAnsi="Segoe UI" w:cs="Segoe UI"/>
                <w:noProof/>
                <w:color w:val="000000" w:themeColor="text1"/>
                <w:sz w:val="17"/>
                <w:szCs w:val="17"/>
                <w:lang w:eastAsia="zh-TW"/>
              </w:rPr>
            </w:pPr>
            <w:r w:rsidRPr="00497AE8">
              <w:rPr>
                <w:rFonts w:ascii="Segoe UI" w:eastAsia="MS Mincho" w:hAnsi="Segoe UI" w:cs="Segoe UI"/>
                <w:noProof/>
                <w:color w:val="000000" w:themeColor="text1"/>
                <w:sz w:val="17"/>
                <w:szCs w:val="17"/>
                <w:lang w:eastAsia="zh-TW"/>
              </w:rPr>
              <w:t>Source: FSAP calculations, based on BRSA supervisory banking data.</w:t>
            </w:r>
          </w:p>
          <w:p w14:paraId="107BFA09" w14:textId="77777777" w:rsidR="00497AE8" w:rsidRPr="00497AE8" w:rsidRDefault="00497AE8" w:rsidP="00497AE8">
            <w:pPr>
              <w:snapToGrid w:val="0"/>
              <w:spacing w:line="220" w:lineRule="exact"/>
              <w:rPr>
                <w:rFonts w:ascii="Segoe UI" w:eastAsia="MS Mincho" w:hAnsi="Segoe UI" w:cs="Segoe UI"/>
                <w:i/>
                <w:noProof/>
                <w:color w:val="000000" w:themeColor="text1"/>
                <w:sz w:val="21"/>
                <w:lang w:eastAsia="zh-TW"/>
              </w:rPr>
            </w:pPr>
            <w:r w:rsidRPr="00497AE8">
              <w:rPr>
                <w:rFonts w:ascii="Segoe UI" w:eastAsia="MS Mincho" w:hAnsi="Segoe UI" w:cs="Segoe UI"/>
                <w:noProof/>
                <w:color w:val="000000" w:themeColor="text1"/>
                <w:sz w:val="17"/>
                <w:szCs w:val="17"/>
                <w:lang w:eastAsia="zh-TW"/>
              </w:rPr>
              <w:t>Note: Specific refers to funding shocks (interest rate shocks to liabilties) imposed on the three weakest banks in 2016, and spilling over to the three most connected banks, based on the results from the spillover analysis. Market-wide refers to a generalized funding shock affecting all banks in 2016 and 2017. Results shown are for the economic risk based approach to solvency stress testing.</w:t>
            </w:r>
          </w:p>
        </w:tc>
      </w:tr>
    </w:tbl>
    <w:p w14:paraId="029F0674" w14:textId="77777777" w:rsidR="00497AE8" w:rsidRPr="00497AE8" w:rsidRDefault="00497AE8" w:rsidP="00497AE8">
      <w:pPr>
        <w:spacing w:line="300" w:lineRule="exact"/>
        <w:rPr>
          <w:rFonts w:ascii="Segoe UI" w:eastAsia="MS Mincho" w:hAnsi="Segoe UI"/>
          <w:sz w:val="21"/>
        </w:rPr>
      </w:pPr>
    </w:p>
    <w:p w14:paraId="29C73AED" w14:textId="77777777" w:rsidR="00497AE8" w:rsidRPr="00497AE8" w:rsidRDefault="00497AE8" w:rsidP="00497AE8">
      <w:pPr>
        <w:spacing w:line="300" w:lineRule="exact"/>
        <w:rPr>
          <w:rFonts w:ascii="Segoe UI" w:eastAsia="MS Mincho" w:hAnsi="Segoe UI"/>
          <w:sz w:val="21"/>
        </w:rPr>
      </w:pPr>
    </w:p>
    <w:p w14:paraId="5B2C6513" w14:textId="77777777" w:rsidR="00497AE8" w:rsidRPr="00497AE8" w:rsidRDefault="00497AE8" w:rsidP="00497AE8">
      <w:pPr>
        <w:spacing w:line="22" w:lineRule="auto"/>
        <w:rPr>
          <w:rFonts w:ascii="Segoe UI" w:eastAsia="MS Mincho" w:hAnsi="Segoe UI"/>
          <w:sz w:val="21"/>
        </w:rPr>
      </w:pPr>
      <w:r w:rsidRPr="00497AE8">
        <w:rPr>
          <w:rFonts w:ascii="Segoe UI" w:eastAsia="MS Mincho" w:hAnsi="Segoe UI"/>
          <w:sz w:val="21"/>
        </w:rPr>
        <w:br w:type="page"/>
      </w:r>
    </w:p>
    <w:tbl>
      <w:tblPr>
        <w:tblStyle w:val="TableGrid3"/>
        <w:tblW w:w="9314" w:type="dxa"/>
        <w:jc w:val="center"/>
        <w:tblBorders>
          <w:insideH w:val="none" w:sz="0" w:space="0" w:color="auto"/>
          <w:insideV w:val="none" w:sz="0" w:space="0" w:color="auto"/>
        </w:tblBorders>
        <w:tblLayout w:type="fixed"/>
        <w:tblLook w:val="04A0" w:firstRow="1" w:lastRow="0" w:firstColumn="1" w:lastColumn="0" w:noHBand="0" w:noVBand="1"/>
      </w:tblPr>
      <w:tblGrid>
        <w:gridCol w:w="4518"/>
        <w:gridCol w:w="270"/>
        <w:gridCol w:w="4526"/>
      </w:tblGrid>
      <w:tr w:rsidR="00497AE8" w:rsidRPr="00497AE8" w14:paraId="38867A52" w14:textId="77777777" w:rsidTr="00497AE8">
        <w:trPr>
          <w:trHeight w:val="278"/>
          <w:jc w:val="center"/>
        </w:trPr>
        <w:tc>
          <w:tcPr>
            <w:tcW w:w="9314" w:type="dxa"/>
            <w:gridSpan w:val="3"/>
            <w:shd w:val="clear" w:color="auto" w:fill="auto"/>
            <w:vAlign w:val="center"/>
          </w:tcPr>
          <w:p w14:paraId="512E659D" w14:textId="77777777" w:rsidR="00497AE8" w:rsidRPr="00497AE8" w:rsidRDefault="00497AE8" w:rsidP="00497AE8">
            <w:pPr>
              <w:spacing w:line="300" w:lineRule="exact"/>
              <w:jc w:val="center"/>
              <w:rPr>
                <w:rFonts w:ascii="Segoe UI" w:eastAsia="MS Mincho" w:hAnsi="Segoe UI" w:cs="Segoe UI"/>
                <w:b/>
                <w:color w:val="4B82AD"/>
                <w:sz w:val="21"/>
                <w:szCs w:val="21"/>
              </w:rPr>
            </w:pPr>
            <w:r w:rsidRPr="00497AE8">
              <w:rPr>
                <w:rFonts w:ascii="Segoe UI" w:eastAsia="MS Mincho" w:hAnsi="Segoe UI" w:cs="Segoe UI"/>
                <w:color w:val="4B82AD"/>
                <w:sz w:val="21"/>
                <w:szCs w:val="21"/>
              </w:rPr>
              <w:fldChar w:fldCharType="begin"/>
            </w:r>
            <w:r w:rsidRPr="00497AE8">
              <w:rPr>
                <w:rFonts w:ascii="Segoe UI" w:eastAsia="MS Mincho" w:hAnsi="Segoe UI" w:cs="Segoe UI"/>
                <w:color w:val="4B82AD"/>
                <w:sz w:val="21"/>
                <w:szCs w:val="21"/>
              </w:rPr>
              <w:instrText xml:space="preserve"> TC "</w:instrText>
            </w:r>
            <w:bookmarkStart w:id="163" w:name="_Toc465697446"/>
            <w:r w:rsidRPr="00497AE8">
              <w:rPr>
                <w:rFonts w:ascii="Segoe UI" w:eastAsia="MS Mincho" w:hAnsi="Segoe UI" w:cs="Segoe UI"/>
                <w:color w:val="4B82AD"/>
                <w:sz w:val="21"/>
                <w:szCs w:val="21"/>
              </w:rPr>
              <w:instrText>12. Turkey: Corporate Sector Stress Test Analysis</w:instrText>
            </w:r>
            <w:bookmarkEnd w:id="163"/>
            <w:r w:rsidRPr="00497AE8">
              <w:rPr>
                <w:rFonts w:ascii="Segoe UI" w:eastAsia="MS Mincho" w:hAnsi="Segoe UI" w:cs="Segoe UI"/>
                <w:color w:val="4B82AD"/>
                <w:sz w:val="21"/>
                <w:szCs w:val="21"/>
              </w:rPr>
              <w:instrText xml:space="preserve">"\f F </w:instrText>
            </w:r>
            <w:r w:rsidRPr="00497AE8">
              <w:rPr>
                <w:rFonts w:ascii="Segoe UI" w:eastAsia="MS Mincho" w:hAnsi="Segoe UI" w:cs="Segoe UI"/>
                <w:color w:val="4B82AD"/>
                <w:sz w:val="21"/>
                <w:szCs w:val="21"/>
              </w:rPr>
              <w:fldChar w:fldCharType="end"/>
            </w:r>
            <w:r w:rsidRPr="00497AE8">
              <w:rPr>
                <w:rFonts w:ascii="Segoe UI" w:eastAsia="MS Mincho" w:hAnsi="Segoe UI" w:cs="Segoe UI"/>
                <w:b/>
                <w:color w:val="4B82AD"/>
                <w:sz w:val="21"/>
                <w:szCs w:val="21"/>
              </w:rPr>
              <w:t>Figure 12. Turkey: Corporate Sector Stress Test Analysis</w:t>
            </w:r>
          </w:p>
          <w:p w14:paraId="7BFD1E75" w14:textId="77777777" w:rsidR="00497AE8" w:rsidRPr="00497AE8" w:rsidRDefault="00497AE8" w:rsidP="00497AE8">
            <w:pPr>
              <w:spacing w:line="300" w:lineRule="exact"/>
              <w:jc w:val="center"/>
              <w:rPr>
                <w:rFonts w:ascii="Segoe UI" w:eastAsia="MS Mincho" w:hAnsi="Segoe UI" w:cs="Segoe UI"/>
                <w:b/>
                <w:color w:val="4B82AD"/>
                <w:sz w:val="21"/>
                <w:szCs w:val="21"/>
              </w:rPr>
            </w:pPr>
          </w:p>
        </w:tc>
      </w:tr>
      <w:tr w:rsidR="00497AE8" w:rsidRPr="00497AE8" w14:paraId="0FBA8A12" w14:textId="77777777" w:rsidTr="00497AE8">
        <w:trPr>
          <w:jc w:val="center"/>
        </w:trPr>
        <w:tc>
          <w:tcPr>
            <w:tcW w:w="4518" w:type="dxa"/>
            <w:shd w:val="clear" w:color="auto" w:fill="auto"/>
          </w:tcPr>
          <w:p w14:paraId="1A0F7388" w14:textId="77777777" w:rsidR="00497AE8" w:rsidRPr="00497AE8" w:rsidRDefault="00497AE8" w:rsidP="00497AE8">
            <w:pPr>
              <w:spacing w:line="300" w:lineRule="exact"/>
              <w:jc w:val="center"/>
              <w:rPr>
                <w:rFonts w:ascii="Segoe UI" w:eastAsia="MS Mincho" w:hAnsi="Segoe UI" w:cs="Segoe UI"/>
                <w:i/>
                <w:color w:val="000000" w:themeColor="text1"/>
                <w:sz w:val="21"/>
              </w:rPr>
            </w:pPr>
            <w:r w:rsidRPr="00497AE8">
              <w:rPr>
                <w:rFonts w:ascii="Segoe UI" w:eastAsia="MS Mincho" w:hAnsi="Segoe UI" w:cs="Segoe UI"/>
                <w:i/>
                <w:noProof/>
                <w:color w:val="000000" w:themeColor="text1"/>
                <w:sz w:val="21"/>
              </w:rPr>
              <w:drawing>
                <wp:anchor distT="0" distB="0" distL="114300" distR="114300" simplePos="0" relativeHeight="251764736" behindDoc="0" locked="0" layoutInCell="1" allowOverlap="1" wp14:anchorId="45A1381E" wp14:editId="54F2B382">
                  <wp:simplePos x="999460" y="-414670"/>
                  <wp:positionH relativeFrom="margin">
                    <wp:align>center</wp:align>
                  </wp:positionH>
                  <wp:positionV relativeFrom="margin">
                    <wp:align>center</wp:align>
                  </wp:positionV>
                  <wp:extent cx="2743200" cy="206248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anchor>
              </w:drawing>
            </w:r>
          </w:p>
        </w:tc>
        <w:tc>
          <w:tcPr>
            <w:tcW w:w="270" w:type="dxa"/>
            <w:shd w:val="clear" w:color="auto" w:fill="auto"/>
          </w:tcPr>
          <w:p w14:paraId="5DCFF6C8"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0E3B3059"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65760" behindDoc="0" locked="0" layoutInCell="1" allowOverlap="1" wp14:anchorId="7DDD6F8B" wp14:editId="330D2839">
                  <wp:simplePos x="4040372" y="-74428"/>
                  <wp:positionH relativeFrom="margin">
                    <wp:align>center</wp:align>
                  </wp:positionH>
                  <wp:positionV relativeFrom="margin">
                    <wp:align>center</wp:align>
                  </wp:positionV>
                  <wp:extent cx="2743200" cy="1719072"/>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0" cy="171907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7AE8" w:rsidRPr="00497AE8" w14:paraId="264AAFC5" w14:textId="77777777" w:rsidTr="00497AE8">
        <w:trPr>
          <w:jc w:val="center"/>
        </w:trPr>
        <w:tc>
          <w:tcPr>
            <w:tcW w:w="4518" w:type="dxa"/>
            <w:shd w:val="clear" w:color="auto" w:fill="auto"/>
          </w:tcPr>
          <w:p w14:paraId="024F8FD0"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66784" behindDoc="0" locked="0" layoutInCell="1" allowOverlap="1" wp14:anchorId="1ACCEEF2" wp14:editId="42F78465">
                  <wp:simplePos x="999460" y="1977656"/>
                  <wp:positionH relativeFrom="margin">
                    <wp:align>center</wp:align>
                  </wp:positionH>
                  <wp:positionV relativeFrom="margin">
                    <wp:align>center</wp:align>
                  </wp:positionV>
                  <wp:extent cx="2722245" cy="1924685"/>
                  <wp:effectExtent l="0" t="0" r="190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2245" cy="1924685"/>
                          </a:xfrm>
                          <a:prstGeom prst="rect">
                            <a:avLst/>
                          </a:prstGeom>
                          <a:noFill/>
                          <a:ln>
                            <a:noFill/>
                          </a:ln>
                        </pic:spPr>
                      </pic:pic>
                    </a:graphicData>
                  </a:graphic>
                </wp:anchor>
              </w:drawing>
            </w:r>
          </w:p>
        </w:tc>
        <w:tc>
          <w:tcPr>
            <w:tcW w:w="270" w:type="dxa"/>
            <w:shd w:val="clear" w:color="auto" w:fill="auto"/>
          </w:tcPr>
          <w:p w14:paraId="414CC5AD"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394850A6"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67808" behindDoc="0" locked="0" layoutInCell="1" allowOverlap="1" wp14:anchorId="2C9EDF4C" wp14:editId="65E940D2">
                  <wp:simplePos x="4040372" y="2179674"/>
                  <wp:positionH relativeFrom="margin">
                    <wp:align>center</wp:align>
                  </wp:positionH>
                  <wp:positionV relativeFrom="margin">
                    <wp:align>center</wp:align>
                  </wp:positionV>
                  <wp:extent cx="2732405" cy="172275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2405" cy="1722755"/>
                          </a:xfrm>
                          <a:prstGeom prst="rect">
                            <a:avLst/>
                          </a:prstGeom>
                          <a:noFill/>
                          <a:ln>
                            <a:noFill/>
                          </a:ln>
                        </pic:spPr>
                      </pic:pic>
                    </a:graphicData>
                  </a:graphic>
                </wp:anchor>
              </w:drawing>
            </w:r>
          </w:p>
        </w:tc>
      </w:tr>
      <w:tr w:rsidR="00497AE8" w:rsidRPr="00497AE8" w14:paraId="2CB01805" w14:textId="77777777" w:rsidTr="00497AE8">
        <w:trPr>
          <w:jc w:val="center"/>
        </w:trPr>
        <w:tc>
          <w:tcPr>
            <w:tcW w:w="4518" w:type="dxa"/>
            <w:shd w:val="clear" w:color="auto" w:fill="auto"/>
          </w:tcPr>
          <w:p w14:paraId="1A45ECA3" w14:textId="77777777" w:rsidR="00497AE8" w:rsidRPr="00497AE8" w:rsidRDefault="00497AE8" w:rsidP="00497AE8">
            <w:pPr>
              <w:spacing w:line="300" w:lineRule="exact"/>
              <w:jc w:val="center"/>
              <w:rPr>
                <w:rFonts w:ascii="Segoe UI" w:eastAsia="MS Mincho" w:hAnsi="Segoe UI" w:cs="Segoe UI"/>
                <w:i/>
                <w:color w:val="000000" w:themeColor="text1"/>
                <w:sz w:val="14"/>
                <w:szCs w:val="14"/>
              </w:rPr>
            </w:pPr>
            <w:r w:rsidRPr="00497AE8">
              <w:rPr>
                <w:rFonts w:ascii="Segoe UI" w:eastAsia="MS Mincho" w:hAnsi="Segoe UI" w:cs="Segoe UI"/>
                <w:i/>
                <w:noProof/>
                <w:color w:val="000000" w:themeColor="text1"/>
                <w:sz w:val="14"/>
                <w:szCs w:val="14"/>
              </w:rPr>
              <w:drawing>
                <wp:anchor distT="0" distB="0" distL="114300" distR="114300" simplePos="0" relativeHeight="251768832" behindDoc="0" locked="0" layoutInCell="1" allowOverlap="1" wp14:anchorId="4068ACCE" wp14:editId="0ABA1FA0">
                  <wp:simplePos x="999460" y="3827721"/>
                  <wp:positionH relativeFrom="margin">
                    <wp:align>center</wp:align>
                  </wp:positionH>
                  <wp:positionV relativeFrom="margin">
                    <wp:align>center</wp:align>
                  </wp:positionV>
                  <wp:extent cx="2722245" cy="2179955"/>
                  <wp:effectExtent l="0" t="0" r="1905"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2245" cy="2179955"/>
                          </a:xfrm>
                          <a:prstGeom prst="rect">
                            <a:avLst/>
                          </a:prstGeom>
                          <a:noFill/>
                          <a:ln>
                            <a:noFill/>
                          </a:ln>
                        </pic:spPr>
                      </pic:pic>
                    </a:graphicData>
                  </a:graphic>
                </wp:anchor>
              </w:drawing>
            </w:r>
          </w:p>
        </w:tc>
        <w:tc>
          <w:tcPr>
            <w:tcW w:w="270" w:type="dxa"/>
            <w:shd w:val="clear" w:color="auto" w:fill="auto"/>
          </w:tcPr>
          <w:p w14:paraId="0793FB6A" w14:textId="77777777" w:rsidR="00497AE8" w:rsidRPr="00497AE8" w:rsidRDefault="00497AE8" w:rsidP="00497AE8">
            <w:pPr>
              <w:spacing w:line="300" w:lineRule="exact"/>
              <w:rPr>
                <w:rFonts w:ascii="Segoe UI" w:eastAsia="MS Mincho" w:hAnsi="Segoe UI" w:cs="Segoe UI"/>
                <w:i/>
                <w:color w:val="000000" w:themeColor="text1"/>
                <w:sz w:val="14"/>
                <w:szCs w:val="14"/>
              </w:rPr>
            </w:pPr>
          </w:p>
        </w:tc>
        <w:tc>
          <w:tcPr>
            <w:tcW w:w="4526" w:type="dxa"/>
            <w:shd w:val="clear" w:color="auto" w:fill="auto"/>
          </w:tcPr>
          <w:p w14:paraId="5320CEF3" w14:textId="77777777" w:rsidR="00497AE8" w:rsidRPr="00497AE8" w:rsidRDefault="00497AE8" w:rsidP="00497AE8">
            <w:pPr>
              <w:spacing w:line="300" w:lineRule="exact"/>
              <w:jc w:val="center"/>
              <w:rPr>
                <w:rFonts w:ascii="Segoe UI" w:eastAsia="MS Mincho" w:hAnsi="Segoe UI" w:cs="Segoe UI"/>
                <w:color w:val="000000" w:themeColor="text1"/>
                <w:sz w:val="14"/>
                <w:szCs w:val="14"/>
              </w:rPr>
            </w:pPr>
            <w:r w:rsidRPr="00497AE8">
              <w:rPr>
                <w:rFonts w:ascii="Segoe UI" w:eastAsia="MS Mincho" w:hAnsi="Segoe UI" w:cs="Segoe UI"/>
                <w:noProof/>
                <w:color w:val="000000" w:themeColor="text1"/>
                <w:sz w:val="14"/>
                <w:szCs w:val="14"/>
              </w:rPr>
              <w:drawing>
                <wp:anchor distT="0" distB="0" distL="114300" distR="114300" simplePos="0" relativeHeight="251769856" behindDoc="0" locked="0" layoutInCell="1" allowOverlap="1" wp14:anchorId="215BE6DD" wp14:editId="5DB4666E">
                  <wp:simplePos x="4040372" y="3976577"/>
                  <wp:positionH relativeFrom="margin">
                    <wp:align>center</wp:align>
                  </wp:positionH>
                  <wp:positionV relativeFrom="margin">
                    <wp:align>center</wp:align>
                  </wp:positionV>
                  <wp:extent cx="2734056" cy="2029968"/>
                  <wp:effectExtent l="0" t="0" r="0" b="889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4056" cy="20299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A964630" w14:textId="77777777" w:rsidR="00497AE8" w:rsidRPr="00497AE8" w:rsidRDefault="00497AE8" w:rsidP="00497AE8">
      <w:pPr>
        <w:spacing w:line="300" w:lineRule="exact"/>
        <w:rPr>
          <w:rFonts w:ascii="Segoe UI" w:eastAsia="MS Mincho" w:hAnsi="Segoe UI"/>
          <w:sz w:val="21"/>
        </w:rPr>
      </w:pPr>
    </w:p>
    <w:p w14:paraId="720F9F7D" w14:textId="77777777" w:rsidR="00497AE8" w:rsidRPr="00497AE8" w:rsidRDefault="00497AE8" w:rsidP="00497AE8">
      <w:pPr>
        <w:spacing w:line="300" w:lineRule="exact"/>
        <w:rPr>
          <w:rFonts w:ascii="Segoe UI" w:eastAsia="MS Mincho" w:hAnsi="Segoe UI"/>
          <w:sz w:val="21"/>
        </w:rPr>
      </w:pPr>
    </w:p>
    <w:p w14:paraId="5C666895" w14:textId="77777777" w:rsidR="00497AE8" w:rsidRPr="00497AE8" w:rsidRDefault="00497AE8" w:rsidP="00497AE8">
      <w:pPr>
        <w:spacing w:line="300" w:lineRule="exact"/>
        <w:rPr>
          <w:rFonts w:ascii="Segoe UI" w:eastAsia="MS Mincho" w:hAnsi="Segoe UI"/>
          <w:sz w:val="21"/>
        </w:rPr>
        <w:sectPr w:rsidR="00497AE8" w:rsidRPr="00497AE8" w:rsidSect="00497AE8">
          <w:pgSz w:w="12240" w:h="15840" w:code="1"/>
          <w:pgMar w:top="1440" w:right="1469" w:bottom="1440" w:left="1469" w:header="720" w:footer="720" w:gutter="0"/>
          <w:cols w:space="720"/>
          <w:docGrid w:type="lines" w:linePitch="360"/>
        </w:sectPr>
      </w:pPr>
    </w:p>
    <w:p w14:paraId="5FC704CD" w14:textId="77777777" w:rsidR="00497AE8" w:rsidRPr="007729D7" w:rsidRDefault="00497AE8" w:rsidP="007729D7">
      <w:pPr>
        <w:pStyle w:val="Heading1"/>
        <w:numPr>
          <w:ilvl w:val="0"/>
          <w:numId w:val="0"/>
        </w:numPr>
      </w:pPr>
      <w:r w:rsidRPr="007729D7">
        <w:fldChar w:fldCharType="begin"/>
      </w:r>
      <w:r w:rsidRPr="007729D7">
        <w:instrText xml:space="preserve"> TC "</w:instrText>
      </w:r>
      <w:bookmarkStart w:id="164" w:name="_Toc465690026"/>
      <w:bookmarkStart w:id="165" w:name="_Toc465845590"/>
      <w:r w:rsidRPr="007729D7">
        <w:instrText>II. Risk Assessment Matrix</w:instrText>
      </w:r>
      <w:bookmarkEnd w:id="164"/>
      <w:bookmarkEnd w:id="165"/>
      <w:r w:rsidRPr="007729D7">
        <w:instrText xml:space="preserve">"\f J </w:instrText>
      </w:r>
      <w:r w:rsidRPr="007729D7">
        <w:fldChar w:fldCharType="end"/>
      </w:r>
      <w:bookmarkStart w:id="166" w:name="_Toc469295363"/>
      <w:r w:rsidRPr="007729D7">
        <w:t>Annex II. Risk Assessment Matrix</w:t>
      </w:r>
      <w:bookmarkEnd w:id="166"/>
    </w:p>
    <w:tbl>
      <w:tblPr>
        <w:tblStyle w:val="TableGrid3"/>
        <w:tblW w:w="5663" w:type="pct"/>
        <w:jc w:val="center"/>
        <w:tblLayout w:type="fixed"/>
        <w:tblLook w:val="04A0" w:firstRow="1" w:lastRow="0" w:firstColumn="1" w:lastColumn="0" w:noHBand="0" w:noVBand="1"/>
      </w:tblPr>
      <w:tblGrid>
        <w:gridCol w:w="533"/>
        <w:gridCol w:w="3784"/>
        <w:gridCol w:w="1177"/>
        <w:gridCol w:w="1252"/>
        <w:gridCol w:w="1179"/>
        <w:gridCol w:w="2599"/>
      </w:tblGrid>
      <w:tr w:rsidR="00497AE8" w:rsidRPr="00497AE8" w14:paraId="4D4B7C53" w14:textId="77777777" w:rsidTr="00497AE8">
        <w:trPr>
          <w:tblHeader/>
          <w:jc w:val="center"/>
        </w:trPr>
        <w:tc>
          <w:tcPr>
            <w:tcW w:w="2050" w:type="pct"/>
            <w:gridSpan w:val="2"/>
          </w:tcPr>
          <w:p w14:paraId="71102328" w14:textId="77777777" w:rsidR="00497AE8" w:rsidRPr="00497AE8" w:rsidRDefault="00497AE8" w:rsidP="00497AE8">
            <w:pPr>
              <w:spacing w:line="300" w:lineRule="exact"/>
              <w:jc w:val="center"/>
              <w:rPr>
                <w:rFonts w:ascii="Segoe UI" w:eastAsia="MS Mincho" w:hAnsi="Segoe UI"/>
                <w:b/>
                <w:bCs/>
                <w:sz w:val="18"/>
                <w:szCs w:val="18"/>
              </w:rPr>
            </w:pPr>
            <w:r w:rsidRPr="00497AE8">
              <w:rPr>
                <w:rFonts w:ascii="Segoe UI" w:eastAsia="MS Mincho" w:hAnsi="Segoe UI"/>
                <w:b/>
                <w:bCs/>
                <w:sz w:val="18"/>
                <w:szCs w:val="18"/>
              </w:rPr>
              <w:t>Source of Risks</w:t>
            </w:r>
          </w:p>
        </w:tc>
        <w:tc>
          <w:tcPr>
            <w:tcW w:w="559" w:type="pct"/>
          </w:tcPr>
          <w:p w14:paraId="1321AAF2" w14:textId="77777777" w:rsidR="00497AE8" w:rsidRPr="00497AE8" w:rsidRDefault="00497AE8" w:rsidP="00497AE8">
            <w:pPr>
              <w:spacing w:line="300" w:lineRule="exact"/>
              <w:jc w:val="center"/>
              <w:rPr>
                <w:rFonts w:ascii="Segoe UI" w:eastAsia="MS Mincho" w:hAnsi="Segoe UI"/>
                <w:b/>
                <w:bCs/>
                <w:sz w:val="18"/>
                <w:szCs w:val="18"/>
              </w:rPr>
            </w:pPr>
            <w:r w:rsidRPr="00497AE8">
              <w:rPr>
                <w:rFonts w:ascii="Segoe UI" w:eastAsia="MS Mincho" w:hAnsi="Segoe UI"/>
                <w:b/>
                <w:bCs/>
                <w:sz w:val="18"/>
                <w:szCs w:val="18"/>
              </w:rPr>
              <w:t>Likelihood</w:t>
            </w:r>
          </w:p>
        </w:tc>
        <w:tc>
          <w:tcPr>
            <w:tcW w:w="595" w:type="pct"/>
          </w:tcPr>
          <w:p w14:paraId="0DA7D1AC" w14:textId="77777777" w:rsidR="00497AE8" w:rsidRPr="00497AE8" w:rsidRDefault="00497AE8" w:rsidP="00497AE8">
            <w:pPr>
              <w:spacing w:line="300" w:lineRule="exact"/>
              <w:jc w:val="center"/>
              <w:rPr>
                <w:rFonts w:ascii="Segoe UI" w:eastAsia="MS Mincho" w:hAnsi="Segoe UI"/>
                <w:b/>
                <w:bCs/>
                <w:sz w:val="18"/>
                <w:szCs w:val="18"/>
              </w:rPr>
            </w:pPr>
            <w:r w:rsidRPr="00497AE8">
              <w:rPr>
                <w:rFonts w:ascii="Segoe UI" w:eastAsia="MS Mincho" w:hAnsi="Segoe UI" w:cs="Segoe UI"/>
                <w:b/>
                <w:bCs/>
                <w:sz w:val="18"/>
                <w:szCs w:val="18"/>
              </w:rPr>
              <w:t>Time Horizon</w:t>
            </w:r>
          </w:p>
        </w:tc>
        <w:tc>
          <w:tcPr>
            <w:tcW w:w="560" w:type="pct"/>
          </w:tcPr>
          <w:p w14:paraId="7A235918" w14:textId="77777777" w:rsidR="00497AE8" w:rsidRPr="00497AE8" w:rsidRDefault="00497AE8" w:rsidP="00497AE8">
            <w:pPr>
              <w:spacing w:line="300" w:lineRule="exact"/>
              <w:jc w:val="center"/>
              <w:rPr>
                <w:rFonts w:ascii="Segoe UI" w:eastAsia="MS Mincho" w:hAnsi="Segoe UI"/>
                <w:b/>
                <w:bCs/>
                <w:sz w:val="18"/>
                <w:szCs w:val="18"/>
              </w:rPr>
            </w:pPr>
            <w:r w:rsidRPr="00497AE8">
              <w:rPr>
                <w:rFonts w:ascii="Segoe UI" w:eastAsia="MS Mincho" w:hAnsi="Segoe UI"/>
                <w:b/>
                <w:bCs/>
                <w:sz w:val="18"/>
                <w:szCs w:val="18"/>
              </w:rPr>
              <w:t>Impact</w:t>
            </w:r>
          </w:p>
        </w:tc>
        <w:tc>
          <w:tcPr>
            <w:tcW w:w="1236" w:type="pct"/>
          </w:tcPr>
          <w:p w14:paraId="391DF4F7" w14:textId="77777777" w:rsidR="00497AE8" w:rsidRPr="00497AE8" w:rsidRDefault="00497AE8" w:rsidP="00497AE8">
            <w:pPr>
              <w:spacing w:line="300" w:lineRule="exact"/>
              <w:jc w:val="center"/>
              <w:rPr>
                <w:rFonts w:ascii="Segoe UI" w:eastAsia="MS Mincho" w:hAnsi="Segoe UI"/>
                <w:b/>
                <w:bCs/>
                <w:sz w:val="18"/>
                <w:szCs w:val="18"/>
              </w:rPr>
            </w:pPr>
            <w:r w:rsidRPr="00497AE8">
              <w:rPr>
                <w:rFonts w:ascii="Segoe UI" w:eastAsia="MS Mincho" w:hAnsi="Segoe UI"/>
                <w:b/>
                <w:bCs/>
                <w:sz w:val="18"/>
                <w:szCs w:val="18"/>
              </w:rPr>
              <w:t>Policy Response</w:t>
            </w:r>
          </w:p>
        </w:tc>
      </w:tr>
      <w:tr w:rsidR="00497AE8" w:rsidRPr="00497AE8" w14:paraId="5391C704" w14:textId="77777777" w:rsidTr="00497AE8">
        <w:trPr>
          <w:cantSplit/>
          <w:trHeight w:val="1134"/>
          <w:jc w:val="center"/>
        </w:trPr>
        <w:tc>
          <w:tcPr>
            <w:tcW w:w="253" w:type="pct"/>
            <w:vMerge w:val="restart"/>
            <w:textDirection w:val="btLr"/>
          </w:tcPr>
          <w:p w14:paraId="63ED58C3" w14:textId="77777777" w:rsidR="00497AE8" w:rsidRPr="00497AE8" w:rsidRDefault="00497AE8" w:rsidP="00497AE8">
            <w:pPr>
              <w:spacing w:line="220" w:lineRule="atLeast"/>
              <w:ind w:left="113" w:right="113"/>
              <w:jc w:val="center"/>
              <w:rPr>
                <w:rFonts w:ascii="Segoe UI" w:eastAsia="MS Mincho" w:hAnsi="Segoe UI" w:cs="Segoe UI"/>
                <w:b/>
                <w:bCs/>
                <w:sz w:val="16"/>
                <w:szCs w:val="16"/>
              </w:rPr>
            </w:pPr>
            <w:r w:rsidRPr="00497AE8">
              <w:rPr>
                <w:rFonts w:ascii="Segoe UI" w:eastAsia="MS Mincho" w:hAnsi="Segoe UI" w:cs="Segoe UI"/>
                <w:b/>
                <w:sz w:val="18"/>
                <w:szCs w:val="18"/>
              </w:rPr>
              <w:t>Global</w:t>
            </w:r>
          </w:p>
        </w:tc>
        <w:tc>
          <w:tcPr>
            <w:tcW w:w="1798" w:type="pct"/>
          </w:tcPr>
          <w:p w14:paraId="23731E2A" w14:textId="77777777" w:rsidR="00497AE8" w:rsidRPr="00497AE8" w:rsidRDefault="00497AE8" w:rsidP="00497AE8">
            <w:pPr>
              <w:spacing w:line="220" w:lineRule="atLeast"/>
              <w:rPr>
                <w:rFonts w:ascii="Segoe UI" w:eastAsia="MS Mincho" w:hAnsi="Segoe UI" w:cs="Segoe UI"/>
                <w:b/>
                <w:bCs/>
                <w:sz w:val="16"/>
                <w:szCs w:val="16"/>
              </w:rPr>
            </w:pPr>
            <w:r w:rsidRPr="00497AE8">
              <w:rPr>
                <w:rFonts w:ascii="Segoe UI" w:eastAsia="MS Mincho" w:hAnsi="Segoe UI" w:cs="Segoe UI"/>
                <w:b/>
                <w:bCs/>
                <w:sz w:val="16"/>
                <w:szCs w:val="16"/>
              </w:rPr>
              <w:t xml:space="preserve">Economic fallout from political fragmentation: </w:t>
            </w:r>
          </w:p>
          <w:p w14:paraId="1258E543"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b/>
                <w:bCs/>
                <w:sz w:val="16"/>
                <w:szCs w:val="16"/>
              </w:rPr>
            </w:pPr>
            <w:r w:rsidRPr="00497AE8">
              <w:rPr>
                <w:rFonts w:ascii="Segoe UI" w:eastAsia="MS Mincho" w:hAnsi="Segoe UI" w:cs="Segoe UI"/>
                <w:b/>
                <w:bCs/>
                <w:sz w:val="16"/>
                <w:szCs w:val="16"/>
              </w:rPr>
              <w:t xml:space="preserve">Rise in populism and nationalism in large economies </w:t>
            </w:r>
            <w:r w:rsidRPr="00497AE8">
              <w:rPr>
                <w:rFonts w:ascii="Segoe UI" w:eastAsia="MS Mincho" w:hAnsi="Segoe UI" w:cs="Segoe UI"/>
                <w:bCs/>
                <w:sz w:val="16"/>
                <w:szCs w:val="16"/>
              </w:rPr>
              <w:t>could slow down or even reverse policy coordination and collaboration; international trade liberalization; financial, and labor flows; and lead to unsustainable policies, weighing on global growth and exacerbating financial market volatility.</w:t>
            </w:r>
            <w:r w:rsidRPr="00497AE8">
              <w:rPr>
                <w:rFonts w:ascii="Segoe UI" w:eastAsia="MS Mincho" w:hAnsi="Segoe UI" w:cs="Segoe UI"/>
                <w:b/>
                <w:bCs/>
                <w:sz w:val="16"/>
                <w:szCs w:val="16"/>
              </w:rPr>
              <w:t xml:space="preserve"> </w:t>
            </w:r>
          </w:p>
          <w:p w14:paraId="775FF10F"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b/>
                <w:sz w:val="16"/>
                <w:szCs w:val="16"/>
              </w:rPr>
            </w:pPr>
            <w:r w:rsidRPr="00497AE8">
              <w:rPr>
                <w:rFonts w:ascii="Segoe UI" w:eastAsia="MS Mincho" w:hAnsi="Segoe UI" w:cs="Segoe UI"/>
                <w:b/>
                <w:sz w:val="16"/>
                <w:szCs w:val="16"/>
              </w:rPr>
              <w:t xml:space="preserve">Protracted </w:t>
            </w:r>
            <w:r w:rsidRPr="00497AE8">
              <w:rPr>
                <w:rFonts w:ascii="Segoe UI" w:eastAsia="MS Mincho" w:hAnsi="Segoe UI"/>
                <w:b/>
                <w:sz w:val="16"/>
                <w:szCs w:val="16"/>
              </w:rPr>
              <w:t>uncertainty associated with</w:t>
            </w:r>
            <w:r w:rsidRPr="00497AE8">
              <w:rPr>
                <w:rFonts w:ascii="Segoe UI" w:eastAsia="MS Mincho" w:hAnsi="Segoe UI" w:cs="Segoe UI"/>
                <w:b/>
                <w:sz w:val="16"/>
                <w:szCs w:val="16"/>
              </w:rPr>
              <w:t xml:space="preserve"> negotiating post-Brexit arrangements</w:t>
            </w:r>
            <w:r w:rsidRPr="00497AE8">
              <w:rPr>
                <w:rFonts w:ascii="Segoe UI" w:eastAsia="MS Mincho" w:hAnsi="Segoe UI" w:cs="Segoe UI"/>
                <w:sz w:val="16"/>
                <w:szCs w:val="16"/>
              </w:rPr>
              <w:t xml:space="preserve"> </w:t>
            </w:r>
            <w:r w:rsidRPr="00497AE8">
              <w:rPr>
                <w:rFonts w:ascii="Segoe UI" w:eastAsia="MS Mincho" w:hAnsi="Segoe UI"/>
                <w:sz w:val="16"/>
                <w:szCs w:val="16"/>
              </w:rPr>
              <w:t xml:space="preserve">could </w:t>
            </w:r>
            <w:r w:rsidRPr="00497AE8">
              <w:rPr>
                <w:rFonts w:ascii="Segoe UI" w:eastAsia="MS Mincho" w:hAnsi="Segoe UI" w:cs="Segoe UI"/>
                <w:sz w:val="16"/>
                <w:szCs w:val="16"/>
              </w:rPr>
              <w:t>weigh on confidence and investment more than expected—most prominently in the UK and the rest of Europe with possible knock-on effects elsewhere</w:t>
            </w:r>
            <w:r w:rsidRPr="00497AE8">
              <w:rPr>
                <w:rFonts w:ascii="Segoe UI" w:eastAsia="MS Mincho" w:hAnsi="Segoe UI"/>
                <w:sz w:val="16"/>
                <w:szCs w:val="16"/>
              </w:rPr>
              <w:t>. Increased barriers could also dampen the longer-run economic performance of affected countries more than expected.</w:t>
            </w:r>
          </w:p>
          <w:p w14:paraId="36AFD5B8"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b/>
                <w:bCs/>
                <w:sz w:val="16"/>
                <w:szCs w:val="16"/>
              </w:rPr>
            </w:pPr>
            <w:r w:rsidRPr="00497AE8">
              <w:rPr>
                <w:rFonts w:ascii="Segoe UI" w:eastAsia="MS Mincho" w:hAnsi="Segoe UI" w:cs="Segoe UI"/>
                <w:b/>
                <w:bCs/>
                <w:sz w:val="16"/>
                <w:szCs w:val="16"/>
              </w:rPr>
              <w:t xml:space="preserve">Heightened risk of fragmentation/security dislocation in part of the Middle East, Africa, and Europe, </w:t>
            </w:r>
            <w:r w:rsidRPr="00497AE8">
              <w:rPr>
                <w:rFonts w:ascii="Segoe UI" w:eastAsia="MS Mincho" w:hAnsi="Segoe UI" w:cs="Segoe UI"/>
                <w:sz w:val="16"/>
                <w:szCs w:val="16"/>
              </w:rPr>
              <w:t>leading</w:t>
            </w:r>
            <w:r w:rsidRPr="00497AE8">
              <w:rPr>
                <w:rFonts w:ascii="Segoe UI" w:eastAsia="MS Mincho" w:hAnsi="Segoe UI" w:cs="Segoe UI"/>
                <w:bCs/>
                <w:sz w:val="16"/>
                <w:szCs w:val="16"/>
              </w:rPr>
              <w:t xml:space="preserve"> to a sharp rise in migrant flows, with negative global spillovers.</w:t>
            </w:r>
          </w:p>
        </w:tc>
        <w:tc>
          <w:tcPr>
            <w:tcW w:w="559" w:type="pct"/>
          </w:tcPr>
          <w:p w14:paraId="12A6C4B2" w14:textId="77777777" w:rsidR="00497AE8" w:rsidRPr="00497AE8" w:rsidRDefault="00497AE8" w:rsidP="00497AE8">
            <w:pPr>
              <w:spacing w:line="264" w:lineRule="auto"/>
              <w:jc w:val="center"/>
              <w:rPr>
                <w:rFonts w:ascii="Segoe UI" w:eastAsia="MS Mincho" w:hAnsi="Segoe UI" w:cs="Segoe UI"/>
                <w:b/>
                <w:bCs/>
                <w:color w:val="FF0000"/>
                <w:sz w:val="18"/>
                <w:szCs w:val="18"/>
              </w:rPr>
            </w:pPr>
          </w:p>
          <w:p w14:paraId="22D493C4" w14:textId="77777777" w:rsidR="00497AE8" w:rsidRPr="00497AE8" w:rsidRDefault="00497AE8" w:rsidP="00497AE8">
            <w:pPr>
              <w:spacing w:line="264" w:lineRule="auto"/>
              <w:jc w:val="center"/>
              <w:rPr>
                <w:rFonts w:ascii="Segoe UI" w:eastAsia="MS Mincho" w:hAnsi="Segoe UI"/>
                <w:b/>
                <w:color w:val="FF0000"/>
                <w:sz w:val="18"/>
                <w:szCs w:val="18"/>
              </w:rPr>
            </w:pPr>
            <w:r w:rsidRPr="00497AE8">
              <w:rPr>
                <w:rFonts w:ascii="Segoe UI" w:eastAsia="MS Mincho" w:hAnsi="Segoe UI" w:cs="Segoe UI"/>
                <w:b/>
                <w:bCs/>
                <w:color w:val="FF0000"/>
                <w:sz w:val="18"/>
                <w:szCs w:val="18"/>
              </w:rPr>
              <w:t>High</w:t>
            </w:r>
          </w:p>
          <w:p w14:paraId="50359B65" w14:textId="77777777" w:rsidR="00497AE8" w:rsidRPr="00497AE8" w:rsidRDefault="00497AE8" w:rsidP="00497AE8">
            <w:pPr>
              <w:spacing w:line="264" w:lineRule="auto"/>
              <w:jc w:val="center"/>
              <w:rPr>
                <w:rFonts w:ascii="Segoe UI" w:eastAsia="MS Mincho" w:hAnsi="Segoe UI" w:cs="Segoe UI"/>
                <w:b/>
                <w:bCs/>
                <w:color w:val="FFC000"/>
                <w:sz w:val="18"/>
                <w:szCs w:val="18"/>
              </w:rPr>
            </w:pPr>
          </w:p>
          <w:p w14:paraId="33975FB0" w14:textId="77777777" w:rsidR="00497AE8" w:rsidRPr="00497AE8" w:rsidRDefault="00497AE8" w:rsidP="00497AE8">
            <w:pPr>
              <w:spacing w:line="264" w:lineRule="auto"/>
              <w:jc w:val="center"/>
              <w:rPr>
                <w:rFonts w:ascii="Segoe UI" w:eastAsia="MS Mincho" w:hAnsi="Segoe UI" w:cs="Segoe UI"/>
                <w:b/>
                <w:bCs/>
                <w:color w:val="FFC000"/>
                <w:sz w:val="18"/>
                <w:szCs w:val="18"/>
              </w:rPr>
            </w:pPr>
          </w:p>
          <w:p w14:paraId="513EAF4A" w14:textId="77777777" w:rsidR="00497AE8" w:rsidRPr="00497AE8" w:rsidRDefault="00497AE8" w:rsidP="00497AE8">
            <w:pPr>
              <w:spacing w:line="264" w:lineRule="auto"/>
              <w:jc w:val="center"/>
              <w:rPr>
                <w:rFonts w:ascii="Segoe UI" w:eastAsia="MS Mincho" w:hAnsi="Segoe UI" w:cs="Segoe UI"/>
                <w:b/>
                <w:bCs/>
                <w:color w:val="FFC000"/>
                <w:sz w:val="18"/>
                <w:szCs w:val="18"/>
              </w:rPr>
            </w:pPr>
          </w:p>
          <w:p w14:paraId="6CD7873E" w14:textId="77777777" w:rsidR="00497AE8" w:rsidRPr="00497AE8" w:rsidRDefault="00497AE8" w:rsidP="00497AE8">
            <w:pPr>
              <w:spacing w:line="264" w:lineRule="auto"/>
              <w:jc w:val="center"/>
              <w:rPr>
                <w:rFonts w:ascii="Segoe UI" w:eastAsia="MS Mincho" w:hAnsi="Segoe UI" w:cs="Segoe UI"/>
                <w:b/>
                <w:bCs/>
                <w:color w:val="FFC000"/>
                <w:sz w:val="18"/>
                <w:szCs w:val="18"/>
              </w:rPr>
            </w:pPr>
          </w:p>
          <w:p w14:paraId="236C3BCD" w14:textId="77777777" w:rsidR="00497AE8" w:rsidRPr="00497AE8" w:rsidRDefault="00497AE8" w:rsidP="00497AE8">
            <w:pPr>
              <w:spacing w:line="264" w:lineRule="auto"/>
              <w:jc w:val="center"/>
              <w:rPr>
                <w:rFonts w:ascii="Segoe UI" w:eastAsia="MS Mincho" w:hAnsi="Segoe UI" w:cs="Segoe UI"/>
                <w:b/>
                <w:bCs/>
                <w:color w:val="FFC000"/>
                <w:sz w:val="8"/>
                <w:szCs w:val="8"/>
              </w:rPr>
            </w:pPr>
          </w:p>
          <w:p w14:paraId="0A3EFF11" w14:textId="77777777" w:rsidR="00497AE8" w:rsidRPr="00497AE8" w:rsidRDefault="00497AE8" w:rsidP="00497AE8">
            <w:pPr>
              <w:spacing w:line="264" w:lineRule="auto"/>
              <w:jc w:val="center"/>
              <w:rPr>
                <w:rFonts w:ascii="Segoe UI" w:eastAsia="MS Mincho" w:hAnsi="Segoe UI" w:cs="Segoe UI"/>
                <w:b/>
                <w:bCs/>
                <w:color w:val="FFC000"/>
                <w:sz w:val="18"/>
                <w:szCs w:val="18"/>
              </w:rPr>
            </w:pPr>
          </w:p>
          <w:p w14:paraId="2DCBEF9E" w14:textId="77777777" w:rsidR="00497AE8" w:rsidRPr="00497AE8" w:rsidRDefault="00497AE8" w:rsidP="00497AE8">
            <w:pPr>
              <w:spacing w:line="264" w:lineRule="auto"/>
              <w:jc w:val="center"/>
              <w:rPr>
                <w:rFonts w:ascii="Segoe UI" w:eastAsia="MS Mincho" w:hAnsi="Segoe UI" w:cs="Segoe UI"/>
                <w:b/>
                <w:bCs/>
                <w:color w:val="FFC000"/>
                <w:sz w:val="18"/>
                <w:szCs w:val="18"/>
              </w:rPr>
            </w:pPr>
            <w:r w:rsidRPr="00497AE8">
              <w:rPr>
                <w:rFonts w:ascii="Segoe UI" w:eastAsia="MS Mincho" w:hAnsi="Segoe UI" w:cs="Segoe UI"/>
                <w:b/>
                <w:bCs/>
                <w:color w:val="FFC000"/>
                <w:sz w:val="18"/>
                <w:szCs w:val="18"/>
              </w:rPr>
              <w:t>Medium</w:t>
            </w:r>
          </w:p>
          <w:p w14:paraId="03B43BF8" w14:textId="77777777" w:rsidR="00497AE8" w:rsidRPr="00497AE8" w:rsidRDefault="00497AE8" w:rsidP="00497AE8">
            <w:pPr>
              <w:spacing w:line="264" w:lineRule="auto"/>
              <w:jc w:val="center"/>
              <w:rPr>
                <w:rFonts w:ascii="Segoe UI" w:eastAsia="MS Mincho" w:hAnsi="Segoe UI" w:cs="Segoe UI"/>
                <w:b/>
                <w:bCs/>
                <w:color w:val="FFC000"/>
                <w:sz w:val="18"/>
                <w:szCs w:val="18"/>
              </w:rPr>
            </w:pPr>
          </w:p>
          <w:p w14:paraId="346D5C15" w14:textId="77777777" w:rsidR="00497AE8" w:rsidRPr="00497AE8" w:rsidRDefault="00497AE8" w:rsidP="00497AE8">
            <w:pPr>
              <w:spacing w:line="264" w:lineRule="auto"/>
              <w:jc w:val="center"/>
              <w:rPr>
                <w:rFonts w:ascii="Segoe UI" w:eastAsia="MS Mincho" w:hAnsi="Segoe UI" w:cs="Segoe UI"/>
                <w:b/>
                <w:bCs/>
                <w:color w:val="FFC000"/>
                <w:sz w:val="18"/>
                <w:szCs w:val="18"/>
              </w:rPr>
            </w:pPr>
          </w:p>
          <w:p w14:paraId="627253F0" w14:textId="77777777" w:rsidR="00497AE8" w:rsidRPr="00497AE8" w:rsidRDefault="00497AE8" w:rsidP="00497AE8">
            <w:pPr>
              <w:spacing w:line="264" w:lineRule="auto"/>
              <w:jc w:val="center"/>
              <w:rPr>
                <w:rFonts w:ascii="Segoe UI" w:eastAsia="MS Mincho" w:hAnsi="Segoe UI" w:cs="Segoe UI"/>
                <w:b/>
                <w:bCs/>
                <w:color w:val="FFC000"/>
                <w:sz w:val="18"/>
                <w:szCs w:val="18"/>
              </w:rPr>
            </w:pPr>
          </w:p>
          <w:p w14:paraId="570B14DF" w14:textId="77777777" w:rsidR="00497AE8" w:rsidRPr="00497AE8" w:rsidRDefault="00497AE8" w:rsidP="00497AE8">
            <w:pPr>
              <w:spacing w:line="264" w:lineRule="auto"/>
              <w:jc w:val="center"/>
              <w:rPr>
                <w:rFonts w:ascii="Segoe UI" w:eastAsia="MS Mincho" w:hAnsi="Segoe UI" w:cs="Segoe UI"/>
                <w:b/>
                <w:bCs/>
                <w:color w:val="FFC000"/>
                <w:sz w:val="8"/>
                <w:szCs w:val="8"/>
              </w:rPr>
            </w:pPr>
          </w:p>
          <w:p w14:paraId="5F2CA46C" w14:textId="77777777" w:rsidR="00497AE8" w:rsidRPr="00497AE8" w:rsidRDefault="00497AE8" w:rsidP="00497AE8">
            <w:pPr>
              <w:spacing w:line="264" w:lineRule="auto"/>
              <w:jc w:val="center"/>
              <w:rPr>
                <w:rFonts w:ascii="Segoe UI" w:eastAsia="MS Mincho" w:hAnsi="Segoe UI" w:cs="Segoe UI"/>
                <w:b/>
                <w:bCs/>
                <w:color w:val="FF0000"/>
                <w:sz w:val="18"/>
                <w:szCs w:val="18"/>
              </w:rPr>
            </w:pPr>
          </w:p>
          <w:p w14:paraId="4EACB546" w14:textId="77777777" w:rsidR="00497AE8" w:rsidRPr="00497AE8" w:rsidRDefault="00497AE8" w:rsidP="00497AE8">
            <w:pPr>
              <w:spacing w:line="264" w:lineRule="auto"/>
              <w:jc w:val="center"/>
              <w:rPr>
                <w:rFonts w:ascii="Segoe UI" w:eastAsia="MS Mincho" w:hAnsi="Segoe UI" w:cs="Segoe UI"/>
                <w:b/>
                <w:bCs/>
                <w:color w:val="FF0000"/>
                <w:sz w:val="18"/>
                <w:szCs w:val="18"/>
              </w:rPr>
            </w:pPr>
          </w:p>
          <w:p w14:paraId="52B329CD" w14:textId="77777777" w:rsidR="00497AE8" w:rsidRPr="00497AE8" w:rsidRDefault="00497AE8" w:rsidP="00497AE8">
            <w:pPr>
              <w:spacing w:line="264" w:lineRule="auto"/>
              <w:jc w:val="center"/>
              <w:rPr>
                <w:rFonts w:ascii="Segoe UI" w:eastAsia="MS Mincho" w:hAnsi="Segoe UI"/>
                <w:b/>
                <w:color w:val="FF0000"/>
                <w:sz w:val="18"/>
                <w:szCs w:val="18"/>
              </w:rPr>
            </w:pPr>
            <w:r w:rsidRPr="00497AE8">
              <w:rPr>
                <w:rFonts w:ascii="Segoe UI" w:eastAsia="MS Mincho" w:hAnsi="Segoe UI" w:cs="Segoe UI"/>
                <w:b/>
                <w:bCs/>
                <w:color w:val="FF0000"/>
                <w:sz w:val="18"/>
                <w:szCs w:val="18"/>
              </w:rPr>
              <w:t>High</w:t>
            </w:r>
          </w:p>
          <w:p w14:paraId="3E57827A" w14:textId="77777777" w:rsidR="00497AE8" w:rsidRPr="00497AE8" w:rsidRDefault="00497AE8" w:rsidP="00497AE8">
            <w:pPr>
              <w:spacing w:line="220" w:lineRule="atLeast"/>
              <w:jc w:val="center"/>
              <w:rPr>
                <w:rFonts w:ascii="Segoe UI" w:eastAsia="MS Mincho" w:hAnsi="Segoe UI" w:cs="Segoe UI"/>
                <w:b/>
                <w:bCs/>
                <w:color w:val="FF0000"/>
                <w:sz w:val="16"/>
                <w:szCs w:val="16"/>
              </w:rPr>
            </w:pPr>
          </w:p>
        </w:tc>
        <w:tc>
          <w:tcPr>
            <w:tcW w:w="595" w:type="pct"/>
          </w:tcPr>
          <w:p w14:paraId="3E355677" w14:textId="77777777" w:rsidR="00497AE8" w:rsidRPr="00497AE8" w:rsidRDefault="00497AE8" w:rsidP="00497AE8">
            <w:pPr>
              <w:spacing w:line="300" w:lineRule="exact"/>
              <w:jc w:val="center"/>
              <w:rPr>
                <w:rFonts w:ascii="Segoe UI" w:eastAsia="MS Mincho" w:hAnsi="Segoe UI" w:cs="Segoe UI"/>
                <w:b/>
                <w:bCs/>
                <w:sz w:val="18"/>
                <w:szCs w:val="18"/>
              </w:rPr>
            </w:pPr>
          </w:p>
          <w:p w14:paraId="1F42EC66"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Short to</w:t>
            </w:r>
          </w:p>
          <w:p w14:paraId="6573BE5F"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Medium Term</w:t>
            </w:r>
          </w:p>
          <w:p w14:paraId="245B40FE" w14:textId="77777777" w:rsidR="00497AE8" w:rsidRPr="00497AE8" w:rsidRDefault="00497AE8" w:rsidP="00497AE8">
            <w:pPr>
              <w:spacing w:line="300" w:lineRule="exact"/>
              <w:jc w:val="center"/>
              <w:rPr>
                <w:rFonts w:ascii="Segoe UI" w:eastAsia="MS Mincho" w:hAnsi="Segoe UI" w:cs="Segoe UI"/>
                <w:b/>
                <w:bCs/>
                <w:sz w:val="18"/>
                <w:szCs w:val="18"/>
              </w:rPr>
            </w:pPr>
          </w:p>
          <w:p w14:paraId="5BD91B20" w14:textId="77777777" w:rsidR="00497AE8" w:rsidRPr="00497AE8" w:rsidRDefault="00497AE8" w:rsidP="00497AE8">
            <w:pPr>
              <w:spacing w:line="300" w:lineRule="exact"/>
              <w:jc w:val="center"/>
              <w:rPr>
                <w:rFonts w:ascii="Segoe UI" w:eastAsia="MS Mincho" w:hAnsi="Segoe UI" w:cs="Segoe UI"/>
                <w:b/>
                <w:bCs/>
                <w:sz w:val="18"/>
                <w:szCs w:val="18"/>
              </w:rPr>
            </w:pPr>
          </w:p>
          <w:p w14:paraId="32F28613"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Short to</w:t>
            </w:r>
          </w:p>
          <w:p w14:paraId="1D0E4C83"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Medium Term</w:t>
            </w:r>
          </w:p>
          <w:p w14:paraId="489A0D9D" w14:textId="77777777" w:rsidR="00497AE8" w:rsidRPr="00497AE8" w:rsidRDefault="00497AE8" w:rsidP="00497AE8">
            <w:pPr>
              <w:spacing w:line="300" w:lineRule="exact"/>
              <w:jc w:val="center"/>
              <w:rPr>
                <w:rFonts w:ascii="Segoe UI" w:eastAsia="MS Mincho" w:hAnsi="Segoe UI" w:cs="Segoe UI"/>
                <w:b/>
                <w:bCs/>
                <w:sz w:val="18"/>
                <w:szCs w:val="18"/>
              </w:rPr>
            </w:pPr>
          </w:p>
          <w:p w14:paraId="59091993" w14:textId="77777777" w:rsidR="00497AE8" w:rsidRPr="00497AE8" w:rsidRDefault="00497AE8" w:rsidP="00497AE8">
            <w:pPr>
              <w:spacing w:line="300" w:lineRule="exact"/>
              <w:jc w:val="center"/>
              <w:rPr>
                <w:rFonts w:ascii="Segoe UI" w:eastAsia="MS Mincho" w:hAnsi="Segoe UI" w:cs="Segoe UI"/>
                <w:b/>
                <w:bCs/>
                <w:sz w:val="18"/>
                <w:szCs w:val="18"/>
              </w:rPr>
            </w:pPr>
          </w:p>
          <w:p w14:paraId="4D26F890" w14:textId="77777777" w:rsidR="00497AE8" w:rsidRPr="00497AE8" w:rsidRDefault="00497AE8" w:rsidP="00497AE8">
            <w:pPr>
              <w:spacing w:line="300" w:lineRule="exact"/>
              <w:jc w:val="center"/>
              <w:rPr>
                <w:rFonts w:ascii="Segoe UI" w:eastAsia="MS Mincho" w:hAnsi="Segoe UI" w:cs="Segoe UI"/>
                <w:b/>
                <w:bCs/>
                <w:sz w:val="18"/>
                <w:szCs w:val="18"/>
              </w:rPr>
            </w:pPr>
          </w:p>
          <w:p w14:paraId="6B1A962F"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Short</w:t>
            </w:r>
          </w:p>
          <w:p w14:paraId="76007C29" w14:textId="77777777" w:rsidR="00497AE8" w:rsidRPr="00497AE8" w:rsidRDefault="00497AE8" w:rsidP="00497AE8">
            <w:pPr>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sz w:val="18"/>
                <w:szCs w:val="18"/>
              </w:rPr>
              <w:t>Term</w:t>
            </w:r>
          </w:p>
        </w:tc>
        <w:tc>
          <w:tcPr>
            <w:tcW w:w="560" w:type="pct"/>
          </w:tcPr>
          <w:p w14:paraId="0BA8311A"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4E705DD4" w14:textId="77777777" w:rsidR="00497AE8" w:rsidRPr="00497AE8" w:rsidRDefault="00497AE8" w:rsidP="00497AE8">
            <w:pPr>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color w:val="92D050"/>
                <w:sz w:val="18"/>
                <w:szCs w:val="18"/>
              </w:rPr>
              <w:t>Low</w:t>
            </w:r>
          </w:p>
          <w:p w14:paraId="47CC6E60"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08B322FC"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5B51C34F"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6ABE9C84"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2D876698"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3E77AB9D"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0FFF6A13"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79646" w:themeColor="accent6"/>
                <w:sz w:val="18"/>
                <w:szCs w:val="18"/>
              </w:rPr>
            </w:pPr>
            <w:r w:rsidRPr="00497AE8">
              <w:rPr>
                <w:rFonts w:ascii="Segoe UI" w:eastAsia="MS Mincho" w:hAnsi="Segoe UI" w:cs="Segoe UI"/>
                <w:b/>
                <w:bCs/>
                <w:color w:val="F79646" w:themeColor="accent6"/>
                <w:sz w:val="18"/>
                <w:szCs w:val="18"/>
              </w:rPr>
              <w:t>Medium</w:t>
            </w:r>
          </w:p>
          <w:p w14:paraId="54950BAE"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74EDF590"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67F28FF8"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79646" w:themeColor="accent6"/>
                <w:sz w:val="18"/>
                <w:szCs w:val="18"/>
              </w:rPr>
            </w:pPr>
          </w:p>
          <w:p w14:paraId="5F8A0445"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79646" w:themeColor="accent6"/>
                <w:sz w:val="18"/>
                <w:szCs w:val="18"/>
              </w:rPr>
            </w:pPr>
          </w:p>
          <w:p w14:paraId="4CD2A97A"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79646" w:themeColor="accent6"/>
                <w:sz w:val="18"/>
                <w:szCs w:val="18"/>
              </w:rPr>
            </w:pPr>
          </w:p>
          <w:p w14:paraId="48BC8210"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79646" w:themeColor="accent6"/>
                <w:sz w:val="18"/>
                <w:szCs w:val="18"/>
              </w:rPr>
            </w:pPr>
          </w:p>
          <w:p w14:paraId="02D68A5D"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79646" w:themeColor="accent6"/>
                <w:sz w:val="18"/>
                <w:szCs w:val="18"/>
              </w:rPr>
            </w:pPr>
            <w:r w:rsidRPr="00497AE8">
              <w:rPr>
                <w:rFonts w:ascii="Segoe UI" w:eastAsia="MS Mincho" w:hAnsi="Segoe UI" w:cs="Segoe UI"/>
                <w:b/>
                <w:bCs/>
                <w:color w:val="F79646" w:themeColor="accent6"/>
                <w:sz w:val="18"/>
                <w:szCs w:val="18"/>
              </w:rPr>
              <w:t>Medium</w:t>
            </w:r>
          </w:p>
          <w:p w14:paraId="7B86D07F"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tc>
        <w:tc>
          <w:tcPr>
            <w:tcW w:w="1236" w:type="pct"/>
          </w:tcPr>
          <w:p w14:paraId="7DF9999D"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 xml:space="preserve">Preemptively increase FX reserves through sterilized intervention. </w:t>
            </w:r>
          </w:p>
          <w:p w14:paraId="6B870828"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 xml:space="preserve">Medium term: Improve competitiveness through structural reform. </w:t>
            </w:r>
          </w:p>
          <w:p w14:paraId="3650C491"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 xml:space="preserve">Reduce energy dependence by developing additional domestic generation capacity. </w:t>
            </w:r>
          </w:p>
        </w:tc>
      </w:tr>
      <w:tr w:rsidR="00497AE8" w:rsidRPr="00497AE8" w14:paraId="225A4773" w14:textId="77777777" w:rsidTr="00497AE8">
        <w:trPr>
          <w:jc w:val="center"/>
        </w:trPr>
        <w:tc>
          <w:tcPr>
            <w:tcW w:w="253" w:type="pct"/>
            <w:vMerge/>
          </w:tcPr>
          <w:p w14:paraId="1A8CC437" w14:textId="77777777" w:rsidR="00497AE8" w:rsidRPr="00497AE8" w:rsidRDefault="00497AE8" w:rsidP="00497AE8">
            <w:pPr>
              <w:tabs>
                <w:tab w:val="center" w:pos="4320"/>
                <w:tab w:val="right" w:pos="8640"/>
              </w:tabs>
              <w:spacing w:line="220" w:lineRule="atLeast"/>
              <w:rPr>
                <w:rFonts w:ascii="Segoe UI" w:eastAsia="MS Mincho" w:hAnsi="Segoe UI" w:cs="Segoe UI"/>
                <w:b/>
                <w:bCs/>
                <w:sz w:val="16"/>
                <w:szCs w:val="16"/>
              </w:rPr>
            </w:pPr>
          </w:p>
        </w:tc>
        <w:tc>
          <w:tcPr>
            <w:tcW w:w="1798" w:type="pct"/>
          </w:tcPr>
          <w:p w14:paraId="25502AB4" w14:textId="77777777" w:rsidR="00497AE8" w:rsidRPr="00497AE8" w:rsidRDefault="00497AE8" w:rsidP="00497AE8">
            <w:pPr>
              <w:tabs>
                <w:tab w:val="center" w:pos="4320"/>
                <w:tab w:val="right" w:pos="8640"/>
              </w:tabs>
              <w:spacing w:line="220" w:lineRule="atLeast"/>
              <w:rPr>
                <w:rFonts w:ascii="Segoe UI" w:eastAsia="MS Mincho" w:hAnsi="Segoe UI" w:cs="Segoe UI"/>
                <w:b/>
                <w:bCs/>
                <w:sz w:val="16"/>
                <w:szCs w:val="16"/>
              </w:rPr>
            </w:pPr>
            <w:r w:rsidRPr="00497AE8">
              <w:rPr>
                <w:rFonts w:ascii="Segoe UI" w:eastAsia="MS Mincho" w:hAnsi="Segoe UI" w:cs="Segoe UI"/>
                <w:b/>
                <w:bCs/>
                <w:sz w:val="16"/>
                <w:szCs w:val="16"/>
              </w:rPr>
              <w:t>Tighter</w:t>
            </w:r>
            <w:r w:rsidRPr="00497AE8">
              <w:rPr>
                <w:rFonts w:ascii="Segoe UI" w:eastAsia="MS Mincho" w:hAnsi="Segoe UI" w:cs="Segoe UI"/>
                <w:b/>
                <w:sz w:val="16"/>
                <w:szCs w:val="16"/>
              </w:rPr>
              <w:t xml:space="preserve"> or more volatile global financial conditions</w:t>
            </w:r>
            <w:r w:rsidRPr="00497AE8">
              <w:rPr>
                <w:rFonts w:ascii="Segoe UI" w:eastAsia="MS Mincho" w:hAnsi="Segoe UI" w:cs="Segoe UI"/>
                <w:b/>
                <w:bCs/>
                <w:sz w:val="16"/>
                <w:szCs w:val="16"/>
              </w:rPr>
              <w:t>:</w:t>
            </w:r>
          </w:p>
          <w:p w14:paraId="0F830220"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b/>
                <w:sz w:val="16"/>
                <w:szCs w:val="16"/>
              </w:rPr>
            </w:pPr>
            <w:r w:rsidRPr="00497AE8">
              <w:rPr>
                <w:rFonts w:ascii="Segoe UI" w:eastAsia="MS Mincho" w:hAnsi="Segoe UI" w:cs="Segoe UI"/>
                <w:b/>
                <w:bCs/>
                <w:sz w:val="16"/>
                <w:szCs w:val="16"/>
              </w:rPr>
              <w:t xml:space="preserve">Sharp rise in risk premia with flight to safety: </w:t>
            </w:r>
            <w:r w:rsidRPr="00497AE8">
              <w:rPr>
                <w:rFonts w:ascii="Segoe UI" w:eastAsia="MS Mincho" w:hAnsi="Segoe UI" w:cs="Segoe UI"/>
                <w:bCs/>
                <w:sz w:val="16"/>
                <w:szCs w:val="16"/>
              </w:rPr>
              <w:t xml:space="preserve">Investors withdraw from specific risk </w:t>
            </w:r>
            <w:r w:rsidRPr="00497AE8">
              <w:rPr>
                <w:rFonts w:ascii="Segoe UI" w:eastAsia="MS Mincho" w:hAnsi="Segoe UI"/>
                <w:sz w:val="16"/>
                <w:szCs w:val="16"/>
              </w:rPr>
              <w:t xml:space="preserve">asset </w:t>
            </w:r>
            <w:r w:rsidRPr="00497AE8">
              <w:rPr>
                <w:rFonts w:ascii="Segoe UI" w:eastAsia="MS Mincho" w:hAnsi="Segoe UI" w:cs="Segoe UI"/>
                <w:bCs/>
                <w:sz w:val="16"/>
                <w:szCs w:val="16"/>
              </w:rPr>
              <w:t>classes as they reassess underlying economic and financial risks in large economies, or respond to unanticipated Fed tightening, and increases in U.S. term premia, with poor market liquidity amplifying volatility.</w:t>
            </w:r>
            <w:r w:rsidRPr="00497AE8">
              <w:rPr>
                <w:rFonts w:ascii="Segoe UI" w:eastAsia="MS Mincho" w:hAnsi="Segoe UI"/>
                <w:sz w:val="16"/>
                <w:szCs w:val="16"/>
              </w:rPr>
              <w:t xml:space="preserve"> </w:t>
            </w:r>
            <w:r w:rsidRPr="00497AE8">
              <w:rPr>
                <w:rFonts w:ascii="Segoe UI" w:eastAsia="MS Mincho" w:hAnsi="Segoe UI" w:cs="Segoe UI"/>
                <w:bCs/>
                <w:sz w:val="16"/>
                <w:szCs w:val="16"/>
              </w:rPr>
              <w:t>Safe haven currencies—especially</w:t>
            </w:r>
            <w:r w:rsidRPr="00497AE8">
              <w:rPr>
                <w:rFonts w:ascii="Segoe UI" w:eastAsia="MS Mincho" w:hAnsi="Segoe UI"/>
                <w:sz w:val="16"/>
                <w:szCs w:val="16"/>
              </w:rPr>
              <w:t xml:space="preserve"> the US dollar</w:t>
            </w:r>
            <w:r w:rsidRPr="00497AE8">
              <w:rPr>
                <w:rFonts w:ascii="Segoe UI" w:eastAsia="MS Mincho" w:hAnsi="Segoe UI" w:cs="Segoe UI"/>
                <w:bCs/>
                <w:sz w:val="16"/>
                <w:szCs w:val="16"/>
              </w:rPr>
              <w:t>—surge creates balance sheet strains for FX debtors.</w:t>
            </w:r>
          </w:p>
          <w:p w14:paraId="2FF54B16"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b/>
                <w:sz w:val="16"/>
                <w:szCs w:val="16"/>
              </w:rPr>
              <w:t xml:space="preserve">Reduced financial services by global/regional banks ("de-risking"): </w:t>
            </w:r>
            <w:r w:rsidRPr="00497AE8">
              <w:rPr>
                <w:rFonts w:ascii="Segoe UI" w:eastAsia="MS Mincho" w:hAnsi="Segoe UI" w:cs="Segoe UI"/>
                <w:sz w:val="16"/>
                <w:szCs w:val="16"/>
              </w:rPr>
              <w:t xml:space="preserve">Further loss of correspondent banking </w:t>
            </w:r>
            <w:r w:rsidRPr="00497AE8">
              <w:rPr>
                <w:rFonts w:ascii="Segoe UI" w:eastAsia="MS Mincho" w:hAnsi="Segoe UI" w:cs="Segoe UI"/>
                <w:bCs/>
                <w:sz w:val="16"/>
                <w:szCs w:val="16"/>
              </w:rPr>
              <w:t>services</w:t>
            </w:r>
            <w:r w:rsidRPr="00497AE8">
              <w:rPr>
                <w:rFonts w:ascii="Segoe UI" w:eastAsia="MS Mincho" w:hAnsi="Segoe UI" w:cs="Segoe UI"/>
                <w:sz w:val="16"/>
                <w:szCs w:val="16"/>
              </w:rPr>
              <w:t xml:space="preserve"> significantly curtails cross-border payments, trade finance, and remittances in emerging and developing economies.</w:t>
            </w:r>
          </w:p>
        </w:tc>
        <w:tc>
          <w:tcPr>
            <w:tcW w:w="559" w:type="pct"/>
          </w:tcPr>
          <w:p w14:paraId="704E4D14"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06EFDA0D"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3A8CD9D9" w14:textId="77777777" w:rsidR="00497AE8" w:rsidRPr="00497AE8" w:rsidRDefault="00497AE8" w:rsidP="00497AE8">
            <w:pPr>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color w:val="E36C0A" w:themeColor="accent6" w:themeShade="BF"/>
                <w:sz w:val="18"/>
                <w:szCs w:val="18"/>
              </w:rPr>
              <w:t>Medium</w:t>
            </w:r>
          </w:p>
          <w:p w14:paraId="488E2B5B"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11220D84"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626D310E"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11FFD775"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1EF9502A"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5D85189F"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560E82E6"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05C0840E"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4596C00A" w14:textId="77777777" w:rsidR="00497AE8" w:rsidRPr="00497AE8" w:rsidDel="00354D90" w:rsidRDefault="00497AE8" w:rsidP="00497AE8">
            <w:pPr>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color w:val="FF0000"/>
                <w:sz w:val="18"/>
                <w:szCs w:val="18"/>
              </w:rPr>
              <w:t>High</w:t>
            </w:r>
          </w:p>
        </w:tc>
        <w:tc>
          <w:tcPr>
            <w:tcW w:w="595" w:type="pct"/>
          </w:tcPr>
          <w:p w14:paraId="435206E4" w14:textId="77777777" w:rsidR="00497AE8" w:rsidRPr="00497AE8" w:rsidRDefault="00497AE8" w:rsidP="00497AE8">
            <w:pPr>
              <w:spacing w:line="300" w:lineRule="exact"/>
              <w:jc w:val="center"/>
              <w:rPr>
                <w:rFonts w:ascii="Segoe UI" w:eastAsia="MS Mincho" w:hAnsi="Segoe UI" w:cs="Segoe UI"/>
                <w:b/>
                <w:bCs/>
                <w:sz w:val="18"/>
                <w:szCs w:val="18"/>
              </w:rPr>
            </w:pPr>
          </w:p>
          <w:p w14:paraId="3CDF28B4" w14:textId="77777777" w:rsidR="00497AE8" w:rsidRPr="00497AE8" w:rsidRDefault="00497AE8" w:rsidP="00497AE8">
            <w:pPr>
              <w:spacing w:line="300" w:lineRule="exact"/>
              <w:jc w:val="center"/>
              <w:rPr>
                <w:rFonts w:ascii="Segoe UI" w:eastAsia="MS Mincho" w:hAnsi="Segoe UI" w:cs="Segoe UI"/>
                <w:b/>
                <w:bCs/>
                <w:sz w:val="18"/>
                <w:szCs w:val="18"/>
              </w:rPr>
            </w:pPr>
          </w:p>
          <w:p w14:paraId="58294CFE"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Short Term</w:t>
            </w:r>
          </w:p>
          <w:p w14:paraId="437B90AD" w14:textId="77777777" w:rsidR="00497AE8" w:rsidRPr="00497AE8" w:rsidRDefault="00497AE8" w:rsidP="00497AE8">
            <w:pPr>
              <w:spacing w:line="300" w:lineRule="exact"/>
              <w:jc w:val="center"/>
              <w:rPr>
                <w:rFonts w:ascii="Segoe UI" w:eastAsia="MS Mincho" w:hAnsi="Segoe UI" w:cs="Segoe UI"/>
                <w:b/>
                <w:bCs/>
                <w:sz w:val="18"/>
                <w:szCs w:val="18"/>
              </w:rPr>
            </w:pPr>
          </w:p>
          <w:p w14:paraId="766A25F8" w14:textId="77777777" w:rsidR="00497AE8" w:rsidRPr="00497AE8" w:rsidRDefault="00497AE8" w:rsidP="00497AE8">
            <w:pPr>
              <w:spacing w:line="300" w:lineRule="exact"/>
              <w:jc w:val="center"/>
              <w:rPr>
                <w:rFonts w:ascii="Segoe UI" w:eastAsia="MS Mincho" w:hAnsi="Segoe UI" w:cs="Segoe UI"/>
                <w:b/>
                <w:bCs/>
                <w:sz w:val="18"/>
                <w:szCs w:val="18"/>
              </w:rPr>
            </w:pPr>
          </w:p>
          <w:p w14:paraId="613F953A" w14:textId="77777777" w:rsidR="00497AE8" w:rsidRPr="00497AE8" w:rsidRDefault="00497AE8" w:rsidP="00497AE8">
            <w:pPr>
              <w:spacing w:line="300" w:lineRule="exact"/>
              <w:jc w:val="center"/>
              <w:rPr>
                <w:rFonts w:ascii="Segoe UI" w:eastAsia="MS Mincho" w:hAnsi="Segoe UI" w:cs="Segoe UI"/>
                <w:b/>
                <w:bCs/>
                <w:sz w:val="18"/>
                <w:szCs w:val="18"/>
              </w:rPr>
            </w:pPr>
          </w:p>
          <w:p w14:paraId="5F4CAEE8" w14:textId="77777777" w:rsidR="00497AE8" w:rsidRPr="00497AE8" w:rsidRDefault="00497AE8" w:rsidP="00497AE8">
            <w:pPr>
              <w:spacing w:line="300" w:lineRule="exact"/>
              <w:jc w:val="center"/>
              <w:rPr>
                <w:rFonts w:ascii="Segoe UI" w:eastAsia="MS Mincho" w:hAnsi="Segoe UI" w:cs="Segoe UI"/>
                <w:b/>
                <w:bCs/>
                <w:sz w:val="18"/>
                <w:szCs w:val="18"/>
              </w:rPr>
            </w:pPr>
          </w:p>
          <w:p w14:paraId="1BDED625" w14:textId="77777777" w:rsidR="00497AE8" w:rsidRPr="00497AE8" w:rsidRDefault="00497AE8" w:rsidP="00497AE8">
            <w:pPr>
              <w:spacing w:line="300" w:lineRule="exact"/>
              <w:jc w:val="center"/>
              <w:rPr>
                <w:rFonts w:ascii="Segoe UI" w:eastAsia="MS Mincho" w:hAnsi="Segoe UI" w:cs="Segoe UI"/>
                <w:b/>
                <w:bCs/>
                <w:sz w:val="18"/>
                <w:szCs w:val="18"/>
              </w:rPr>
            </w:pPr>
          </w:p>
          <w:p w14:paraId="4ECA1771" w14:textId="77777777" w:rsidR="00497AE8" w:rsidRPr="00497AE8" w:rsidRDefault="00497AE8" w:rsidP="00497AE8">
            <w:pPr>
              <w:spacing w:line="300" w:lineRule="exact"/>
              <w:jc w:val="center"/>
              <w:rPr>
                <w:rFonts w:ascii="Segoe UI" w:eastAsia="MS Mincho" w:hAnsi="Segoe UI" w:cs="Segoe UI"/>
                <w:b/>
                <w:bCs/>
                <w:sz w:val="18"/>
                <w:szCs w:val="18"/>
              </w:rPr>
            </w:pPr>
          </w:p>
          <w:p w14:paraId="39F22743" w14:textId="77777777" w:rsidR="00497AE8" w:rsidRPr="00497AE8" w:rsidRDefault="00497AE8" w:rsidP="00497AE8">
            <w:pPr>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sz w:val="18"/>
                <w:szCs w:val="18"/>
              </w:rPr>
              <w:t>Medium Te</w:t>
            </w:r>
            <w:r w:rsidRPr="00497AE8">
              <w:rPr>
                <w:rFonts w:ascii="Segoe UI" w:eastAsia="MS Mincho" w:hAnsi="Segoe UI" w:cs="Segoe UI"/>
                <w:b/>
                <w:bCs/>
                <w:sz w:val="20"/>
                <w:szCs w:val="20"/>
              </w:rPr>
              <w:t>rm</w:t>
            </w:r>
          </w:p>
        </w:tc>
        <w:tc>
          <w:tcPr>
            <w:tcW w:w="560" w:type="pct"/>
          </w:tcPr>
          <w:p w14:paraId="19D90DAF"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36EEABF8"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7D48282D" w14:textId="77777777" w:rsidR="00497AE8" w:rsidRPr="00497AE8" w:rsidRDefault="00497AE8" w:rsidP="00497AE8">
            <w:pPr>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color w:val="FF0000"/>
                <w:sz w:val="18"/>
                <w:szCs w:val="18"/>
              </w:rPr>
              <w:t>High</w:t>
            </w:r>
          </w:p>
          <w:p w14:paraId="543A3371"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57D461DF"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09BB9077"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7BA1E0A5"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0C341BB8"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46182C66"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286C14A1" w14:textId="77777777" w:rsidR="00497AE8" w:rsidRPr="00497AE8" w:rsidRDefault="00497AE8" w:rsidP="00497AE8">
            <w:pPr>
              <w:spacing w:line="220" w:lineRule="atLeast"/>
              <w:jc w:val="center"/>
              <w:rPr>
                <w:rFonts w:ascii="Segoe UI" w:eastAsia="MS Mincho" w:hAnsi="Segoe UI" w:cs="Segoe UI"/>
                <w:b/>
                <w:bCs/>
                <w:color w:val="E36C0A" w:themeColor="accent6" w:themeShade="BF"/>
                <w:sz w:val="18"/>
                <w:szCs w:val="18"/>
              </w:rPr>
            </w:pPr>
          </w:p>
          <w:p w14:paraId="55603A94" w14:textId="77777777" w:rsidR="00497AE8" w:rsidRPr="00497AE8" w:rsidRDefault="00497AE8" w:rsidP="00497AE8">
            <w:pPr>
              <w:spacing w:line="220" w:lineRule="atLeast"/>
              <w:jc w:val="center"/>
              <w:rPr>
                <w:rFonts w:ascii="Segoe UI" w:eastAsia="MS Mincho" w:hAnsi="Segoe UI" w:cs="Segoe UI"/>
                <w:b/>
                <w:bCs/>
                <w:color w:val="E36C0A" w:themeColor="accent6" w:themeShade="BF"/>
                <w:sz w:val="18"/>
                <w:szCs w:val="18"/>
              </w:rPr>
            </w:pPr>
          </w:p>
          <w:p w14:paraId="67B434A7" w14:textId="77777777" w:rsidR="00497AE8" w:rsidRPr="00497AE8" w:rsidRDefault="00497AE8" w:rsidP="00497AE8">
            <w:pPr>
              <w:spacing w:line="220" w:lineRule="atLeast"/>
              <w:jc w:val="center"/>
              <w:rPr>
                <w:rFonts w:ascii="Segoe UI" w:eastAsia="MS Mincho" w:hAnsi="Segoe UI" w:cs="Segoe UI"/>
                <w:b/>
                <w:bCs/>
                <w:color w:val="E36C0A" w:themeColor="accent6" w:themeShade="BF"/>
                <w:sz w:val="18"/>
                <w:szCs w:val="18"/>
              </w:rPr>
            </w:pPr>
            <w:r w:rsidRPr="00497AE8">
              <w:rPr>
                <w:rFonts w:ascii="Segoe UI" w:eastAsia="MS Mincho" w:hAnsi="Segoe UI" w:cs="Segoe UI"/>
                <w:b/>
                <w:bCs/>
                <w:color w:val="E36C0A" w:themeColor="accent6" w:themeShade="BF"/>
                <w:sz w:val="18"/>
                <w:szCs w:val="18"/>
              </w:rPr>
              <w:t>Medium</w:t>
            </w:r>
          </w:p>
        </w:tc>
        <w:tc>
          <w:tcPr>
            <w:tcW w:w="1236" w:type="pct"/>
          </w:tcPr>
          <w:p w14:paraId="0754D24C"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 xml:space="preserve">Tighten monetary policy </w:t>
            </w:r>
          </w:p>
          <w:p w14:paraId="5C14691A"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 xml:space="preserve">To the extent the NIR level allows, use FX reserves to </w:t>
            </w:r>
            <w:r w:rsidRPr="00497AE8">
              <w:rPr>
                <w:rFonts w:ascii="Segoe UI" w:eastAsia="MS Mincho" w:hAnsi="Segoe UI" w:cs="Segoe UI"/>
                <w:bCs/>
                <w:sz w:val="16"/>
                <w:szCs w:val="16"/>
              </w:rPr>
              <w:t>smooth</w:t>
            </w:r>
            <w:r w:rsidRPr="00497AE8">
              <w:rPr>
                <w:rFonts w:ascii="Segoe UI" w:eastAsia="MS Mincho" w:hAnsi="Segoe UI" w:cs="Segoe UI"/>
                <w:sz w:val="16"/>
                <w:szCs w:val="16"/>
              </w:rPr>
              <w:t xml:space="preserve"> volatility in disorderly market conditions. </w:t>
            </w:r>
          </w:p>
          <w:p w14:paraId="0EDEC456" w14:textId="77777777" w:rsidR="00E23F55"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 xml:space="preserve">In case a recession ensues, consider loosening the fiscal stance. Publish a fiscal risk </w:t>
            </w:r>
            <w:r w:rsidRPr="00497AE8">
              <w:rPr>
                <w:rFonts w:ascii="Segoe UI" w:eastAsia="MS Mincho" w:hAnsi="Segoe UI" w:cs="Segoe UI"/>
                <w:bCs/>
                <w:sz w:val="16"/>
                <w:szCs w:val="16"/>
              </w:rPr>
              <w:t>statement</w:t>
            </w:r>
            <w:r w:rsidRPr="00497AE8">
              <w:rPr>
                <w:rFonts w:ascii="Segoe UI" w:eastAsia="MS Mincho" w:hAnsi="Segoe UI" w:cs="Segoe UI"/>
                <w:sz w:val="16"/>
                <w:szCs w:val="16"/>
              </w:rPr>
              <w:t xml:space="preserve"> to guide policies.</w:t>
            </w:r>
          </w:p>
          <w:p w14:paraId="1610ECD4" w14:textId="1E1794BE" w:rsidR="00497AE8" w:rsidRPr="00497AE8" w:rsidRDefault="00E23F55" w:rsidP="00497AE8">
            <w:pPr>
              <w:numPr>
                <w:ilvl w:val="0"/>
                <w:numId w:val="1"/>
              </w:numPr>
              <w:tabs>
                <w:tab w:val="clear" w:pos="720"/>
              </w:tabs>
              <w:spacing w:line="180" w:lineRule="atLeast"/>
              <w:ind w:left="216" w:hanging="216"/>
              <w:rPr>
                <w:rFonts w:ascii="Segoe UI" w:eastAsia="MS Mincho" w:hAnsi="Segoe UI" w:cs="Segoe UI"/>
                <w:sz w:val="16"/>
                <w:szCs w:val="16"/>
              </w:rPr>
            </w:pPr>
            <w:r w:rsidRPr="00E23F55">
              <w:rPr>
                <w:rFonts w:ascii="Segoe UI" w:eastAsia="MS Mincho" w:hAnsi="Segoe UI" w:cs="Segoe UI"/>
                <w:sz w:val="16"/>
                <w:szCs w:val="16"/>
              </w:rPr>
              <w:t>Strengthen bank and NFC balance-sheets through restrictions on the structure of liabilities and higher risk weights or provisioning on lending to NFCs in FX.</w:t>
            </w:r>
            <w:r w:rsidRPr="00387BF5">
              <w:rPr>
                <w:rFonts w:cs="Segoe UI"/>
                <w:kern w:val="28"/>
                <w:sz w:val="16"/>
                <w:szCs w:val="16"/>
              </w:rPr>
              <w:t xml:space="preserve"> </w:t>
            </w:r>
            <w:r w:rsidR="00497AE8" w:rsidRPr="00497AE8">
              <w:rPr>
                <w:rFonts w:ascii="Segoe UI" w:eastAsia="MS Mincho" w:hAnsi="Segoe UI" w:cs="Segoe UI"/>
                <w:sz w:val="16"/>
                <w:szCs w:val="16"/>
              </w:rPr>
              <w:t xml:space="preserve"> </w:t>
            </w:r>
          </w:p>
        </w:tc>
      </w:tr>
      <w:tr w:rsidR="00497AE8" w:rsidRPr="00497AE8" w14:paraId="10305FB4" w14:textId="77777777" w:rsidTr="00497AE8">
        <w:trPr>
          <w:jc w:val="center"/>
        </w:trPr>
        <w:tc>
          <w:tcPr>
            <w:tcW w:w="253" w:type="pct"/>
            <w:vMerge/>
          </w:tcPr>
          <w:p w14:paraId="7C73D6B9" w14:textId="77777777" w:rsidR="00497AE8" w:rsidRPr="00497AE8" w:rsidRDefault="00497AE8" w:rsidP="00497AE8">
            <w:pPr>
              <w:tabs>
                <w:tab w:val="center" w:pos="4320"/>
                <w:tab w:val="right" w:pos="8640"/>
              </w:tabs>
              <w:spacing w:line="220" w:lineRule="atLeast"/>
              <w:rPr>
                <w:rFonts w:ascii="Segoe UI" w:eastAsia="MS Mincho" w:hAnsi="Segoe UI" w:cs="Segoe UI"/>
                <w:b/>
                <w:bCs/>
                <w:sz w:val="16"/>
                <w:szCs w:val="16"/>
              </w:rPr>
            </w:pPr>
          </w:p>
        </w:tc>
        <w:tc>
          <w:tcPr>
            <w:tcW w:w="1798" w:type="pct"/>
          </w:tcPr>
          <w:p w14:paraId="03017025" w14:textId="77777777" w:rsidR="00497AE8" w:rsidRPr="00497AE8" w:rsidRDefault="00497AE8" w:rsidP="00497AE8">
            <w:pPr>
              <w:tabs>
                <w:tab w:val="center" w:pos="4320"/>
                <w:tab w:val="right" w:pos="8640"/>
              </w:tabs>
              <w:spacing w:line="220" w:lineRule="atLeast"/>
              <w:rPr>
                <w:rFonts w:ascii="Segoe UI" w:eastAsia="MS Mincho" w:hAnsi="Segoe UI" w:cs="Segoe UI"/>
                <w:b/>
                <w:bCs/>
                <w:sz w:val="16"/>
                <w:szCs w:val="16"/>
              </w:rPr>
            </w:pPr>
            <w:r w:rsidRPr="00497AE8">
              <w:rPr>
                <w:rFonts w:ascii="Segoe UI" w:eastAsia="MS Mincho" w:hAnsi="Segoe UI" w:cs="Segoe UI"/>
                <w:b/>
                <w:bCs/>
                <w:sz w:val="16"/>
                <w:szCs w:val="16"/>
              </w:rPr>
              <w:t>Weaker-than-expected global growth:</w:t>
            </w:r>
          </w:p>
          <w:p w14:paraId="6937F582"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bCs/>
                <w:sz w:val="16"/>
                <w:szCs w:val="16"/>
              </w:rPr>
            </w:pPr>
            <w:r w:rsidRPr="00497AE8">
              <w:rPr>
                <w:rFonts w:ascii="Segoe UI" w:eastAsia="MS Mincho" w:hAnsi="Segoe UI" w:cs="Segoe UI"/>
                <w:b/>
                <w:bCs/>
                <w:sz w:val="16"/>
                <w:szCs w:val="16"/>
              </w:rPr>
              <w:t xml:space="preserve">Significant China slowdown and its spillovers: </w:t>
            </w:r>
            <w:r w:rsidRPr="00497AE8">
              <w:rPr>
                <w:rFonts w:ascii="Segoe UI" w:eastAsia="MS Mincho" w:hAnsi="Segoe UI" w:cs="Segoe UI"/>
                <w:color w:val="000000" w:themeColor="text1"/>
                <w:sz w:val="16"/>
                <w:szCs w:val="16"/>
              </w:rPr>
              <w:t>Key near term risks are a loss of investor confidence, disorderly</w:t>
            </w:r>
            <w:r w:rsidRPr="00497AE8">
              <w:rPr>
                <w:rFonts w:ascii="Segoe UI" w:eastAsia="MS Mincho" w:hAnsi="Segoe UI"/>
                <w:color w:val="000000" w:themeColor="text1"/>
                <w:sz w:val="16"/>
                <w:szCs w:val="16"/>
              </w:rPr>
              <w:t xml:space="preserve"> corporate </w:t>
            </w:r>
            <w:r w:rsidRPr="00497AE8">
              <w:rPr>
                <w:rFonts w:ascii="Segoe UI" w:eastAsia="MS Mincho" w:hAnsi="Segoe UI" w:cs="Segoe UI"/>
                <w:color w:val="000000" w:themeColor="text1"/>
                <w:sz w:val="16"/>
                <w:szCs w:val="16"/>
              </w:rPr>
              <w:t>defaults, a sharp fall in asset prices,</w:t>
            </w:r>
            <w:r w:rsidRPr="00497AE8">
              <w:rPr>
                <w:rFonts w:ascii="Segoe UI" w:eastAsia="MS Mincho" w:hAnsi="Segoe UI"/>
                <w:color w:val="000000" w:themeColor="text1"/>
                <w:sz w:val="16"/>
                <w:szCs w:val="16"/>
              </w:rPr>
              <w:t xml:space="preserve"> </w:t>
            </w:r>
            <w:r w:rsidRPr="00497AE8">
              <w:rPr>
                <w:rFonts w:ascii="Segoe UI" w:eastAsia="MS Mincho" w:hAnsi="Segoe UI" w:cs="Segoe UI"/>
                <w:bCs/>
                <w:sz w:val="16"/>
                <w:szCs w:val="16"/>
              </w:rPr>
              <w:t>and</w:t>
            </w:r>
            <w:r w:rsidRPr="00497AE8">
              <w:rPr>
                <w:rFonts w:ascii="Segoe UI" w:eastAsia="MS Mincho" w:hAnsi="Segoe UI"/>
                <w:color w:val="000000" w:themeColor="text1"/>
                <w:sz w:val="16"/>
                <w:szCs w:val="16"/>
              </w:rPr>
              <w:t xml:space="preserve"> </w:t>
            </w:r>
            <w:r w:rsidRPr="00497AE8">
              <w:rPr>
                <w:rFonts w:ascii="Segoe UI" w:eastAsia="MS Mincho" w:hAnsi="Segoe UI" w:cs="Segoe UI"/>
                <w:color w:val="000000" w:themeColor="text1"/>
                <w:sz w:val="16"/>
                <w:szCs w:val="16"/>
              </w:rPr>
              <w:t>a quicker fading of</w:t>
            </w:r>
            <w:r w:rsidRPr="00497AE8">
              <w:rPr>
                <w:rFonts w:ascii="Segoe UI" w:eastAsia="MS Mincho" w:hAnsi="Segoe UI"/>
                <w:color w:val="000000" w:themeColor="text1"/>
                <w:sz w:val="16"/>
                <w:szCs w:val="16"/>
              </w:rPr>
              <w:t xml:space="preserve"> the </w:t>
            </w:r>
            <w:r w:rsidRPr="00497AE8">
              <w:rPr>
                <w:rFonts w:ascii="Segoe UI" w:eastAsia="MS Mincho" w:hAnsi="Segoe UI" w:cs="Segoe UI"/>
                <w:color w:val="000000" w:themeColor="text1"/>
                <w:sz w:val="16"/>
                <w:szCs w:val="16"/>
              </w:rPr>
              <w:t>stimulus impact</w:t>
            </w:r>
            <w:r w:rsidRPr="00497AE8">
              <w:rPr>
                <w:rFonts w:ascii="Segoe UI" w:eastAsia="MS Mincho" w:hAnsi="Segoe UI"/>
                <w:color w:val="000000" w:themeColor="text1"/>
                <w:sz w:val="16"/>
                <w:szCs w:val="16"/>
              </w:rPr>
              <w:t xml:space="preserve">. Weak </w:t>
            </w:r>
            <w:r w:rsidRPr="00497AE8">
              <w:rPr>
                <w:rFonts w:ascii="Segoe UI" w:eastAsia="MS Mincho" w:hAnsi="Segoe UI" w:cs="Segoe UI"/>
                <w:bCs/>
                <w:sz w:val="16"/>
                <w:szCs w:val="16"/>
              </w:rPr>
              <w:t>domestic demand further suppresses commodity prices, roils global financial markets, and reduces global growth (Likelihood: low in short-term, medium thereafter).</w:t>
            </w:r>
          </w:p>
          <w:p w14:paraId="22D273AB"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b/>
                <w:bCs/>
                <w:sz w:val="16"/>
                <w:szCs w:val="16"/>
              </w:rPr>
            </w:pPr>
            <w:r w:rsidRPr="00497AE8">
              <w:rPr>
                <w:rFonts w:ascii="Segoe UI" w:eastAsia="MS Mincho" w:hAnsi="Segoe UI" w:cs="Segoe UI"/>
                <w:b/>
                <w:bCs/>
                <w:sz w:val="16"/>
                <w:szCs w:val="16"/>
              </w:rPr>
              <w:t>Significant slowdown in other large EMs/frontier economies.</w:t>
            </w:r>
            <w:r w:rsidRPr="00497AE8">
              <w:rPr>
                <w:rFonts w:ascii="Segoe UI" w:eastAsia="MS Mincho" w:hAnsi="Segoe UI" w:cs="Segoe UI"/>
                <w:bCs/>
                <w:sz w:val="16"/>
                <w:szCs w:val="16"/>
              </w:rPr>
              <w:t xml:space="preserve"> Turning of the credit cycle and fallout from excess household and corporate (FX) leverage as investors withdraw from EM corporate debt, generating disorderly deleveraging, with potential spillbacks to advanced economies.</w:t>
            </w:r>
          </w:p>
          <w:p w14:paraId="7EAC1FC3"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b/>
                <w:bCs/>
                <w:sz w:val="16"/>
                <w:szCs w:val="16"/>
              </w:rPr>
            </w:pPr>
            <w:r w:rsidRPr="00497AE8">
              <w:rPr>
                <w:rFonts w:ascii="Segoe UI" w:eastAsia="MS Mincho" w:hAnsi="Segoe UI" w:cs="Segoe UI"/>
                <w:b/>
                <w:bCs/>
                <w:sz w:val="16"/>
                <w:szCs w:val="16"/>
              </w:rPr>
              <w:t>Structurally weak growth in key advanced and emerging economies</w:t>
            </w:r>
            <w:r w:rsidRPr="00497AE8">
              <w:rPr>
                <w:rFonts w:ascii="Segoe UI" w:eastAsia="MS Mincho" w:hAnsi="Segoe UI"/>
                <w:b/>
                <w:sz w:val="16"/>
                <w:szCs w:val="16"/>
              </w:rPr>
              <w:t>:</w:t>
            </w:r>
            <w:r w:rsidRPr="00497AE8">
              <w:rPr>
                <w:rFonts w:ascii="Segoe UI" w:eastAsia="MS Mincho" w:hAnsi="Segoe UI" w:cs="Segoe UI"/>
                <w:sz w:val="16"/>
                <w:szCs w:val="16"/>
              </w:rPr>
              <w:t xml:space="preserve"> Weak demand, low productivity growth, and persistently low inflation from a failure to fully address crisis legacies and undertake structural reforms, leading to lower medium-term path of potential growth (the Euro area, Japan, and the United States) and exacerbating legacy financial imbalances especially among banks (the Euro area) (high likelihood).</w:t>
            </w:r>
            <w:r w:rsidRPr="00497AE8">
              <w:rPr>
                <w:rFonts w:ascii="Segoe UI" w:eastAsia="MS Mincho" w:hAnsi="Segoe UI"/>
                <w:sz w:val="16"/>
                <w:szCs w:val="16"/>
              </w:rPr>
              <w:t xml:space="preserve"> </w:t>
            </w:r>
            <w:r w:rsidRPr="00497AE8">
              <w:rPr>
                <w:rFonts w:ascii="Segoe UI" w:eastAsia="MS Mincho" w:hAnsi="Segoe UI" w:cs="Segoe UI"/>
                <w:sz w:val="16"/>
                <w:szCs w:val="16"/>
              </w:rPr>
              <w:t>Tighter</w:t>
            </w:r>
            <w:r w:rsidRPr="00497AE8">
              <w:rPr>
                <w:rFonts w:ascii="Segoe UI" w:eastAsia="MS Mincho" w:hAnsi="Segoe UI"/>
                <w:sz w:val="16"/>
                <w:szCs w:val="16"/>
              </w:rPr>
              <w:t xml:space="preserve"> financial conditions and insufficient </w:t>
            </w:r>
            <w:r w:rsidRPr="00497AE8">
              <w:rPr>
                <w:rFonts w:ascii="Segoe UI" w:eastAsia="MS Mincho" w:hAnsi="Segoe UI" w:cs="Segoe UI"/>
                <w:sz w:val="16"/>
                <w:szCs w:val="16"/>
              </w:rPr>
              <w:t>reforms</w:t>
            </w:r>
            <w:r w:rsidRPr="00497AE8">
              <w:rPr>
                <w:rFonts w:ascii="Segoe UI" w:eastAsia="MS Mincho" w:hAnsi="Segoe UI" w:cs="Segoe UI"/>
                <w:bCs/>
                <w:sz w:val="16"/>
                <w:szCs w:val="16"/>
              </w:rPr>
              <w:t xml:space="preserve"> undermine medium-term growth in emerging markets (medium likelihood).</w:t>
            </w:r>
          </w:p>
        </w:tc>
        <w:tc>
          <w:tcPr>
            <w:tcW w:w="559" w:type="pct"/>
          </w:tcPr>
          <w:p w14:paraId="2C4B8855"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68B9EE88" w14:textId="77777777" w:rsidR="00497AE8" w:rsidRPr="00497AE8" w:rsidRDefault="00497AE8" w:rsidP="00497AE8">
            <w:pPr>
              <w:spacing w:line="264" w:lineRule="auto"/>
              <w:jc w:val="center"/>
              <w:rPr>
                <w:rFonts w:ascii="Segoe UI" w:eastAsia="MS Mincho" w:hAnsi="Segoe UI" w:cs="Segoe UI"/>
                <w:b/>
                <w:bCs/>
                <w:color w:val="92D050"/>
                <w:sz w:val="18"/>
                <w:szCs w:val="18"/>
              </w:rPr>
            </w:pPr>
            <w:r w:rsidRPr="00497AE8">
              <w:rPr>
                <w:rFonts w:ascii="Segoe UI" w:eastAsia="MS Mincho" w:hAnsi="Segoe UI" w:cs="Segoe UI"/>
                <w:b/>
                <w:bCs/>
                <w:color w:val="92D050"/>
                <w:sz w:val="18"/>
                <w:szCs w:val="18"/>
              </w:rPr>
              <w:t>Low/</w:t>
            </w:r>
          </w:p>
          <w:p w14:paraId="4000C673" w14:textId="77777777" w:rsidR="00497AE8" w:rsidRPr="00497AE8" w:rsidRDefault="00497AE8" w:rsidP="00497AE8">
            <w:pPr>
              <w:spacing w:line="264" w:lineRule="auto"/>
              <w:jc w:val="center"/>
              <w:rPr>
                <w:rFonts w:ascii="Segoe UI" w:eastAsia="MS Mincho" w:hAnsi="Segoe UI" w:cs="Segoe UI"/>
                <w:b/>
                <w:bCs/>
                <w:color w:val="92D050"/>
                <w:sz w:val="18"/>
                <w:szCs w:val="18"/>
              </w:rPr>
            </w:pPr>
            <w:r w:rsidRPr="00497AE8">
              <w:rPr>
                <w:rFonts w:ascii="Segoe UI" w:eastAsia="MS Mincho" w:hAnsi="Segoe UI" w:cs="Segoe UI"/>
                <w:b/>
                <w:bCs/>
                <w:color w:val="FFC000"/>
                <w:sz w:val="18"/>
                <w:szCs w:val="18"/>
              </w:rPr>
              <w:t>Medium</w:t>
            </w:r>
          </w:p>
          <w:p w14:paraId="78CA0AF5" w14:textId="77777777" w:rsidR="00497AE8" w:rsidRPr="00497AE8" w:rsidRDefault="00497AE8" w:rsidP="00497AE8">
            <w:pPr>
              <w:spacing w:line="264" w:lineRule="auto"/>
              <w:jc w:val="center"/>
              <w:rPr>
                <w:rFonts w:ascii="Segoe UI" w:eastAsia="MS Mincho" w:hAnsi="Segoe UI" w:cs="Segoe UI"/>
                <w:b/>
                <w:bCs/>
                <w:color w:val="FFC000"/>
                <w:sz w:val="18"/>
                <w:szCs w:val="18"/>
              </w:rPr>
            </w:pPr>
          </w:p>
          <w:p w14:paraId="7A134965" w14:textId="77777777" w:rsidR="00497AE8" w:rsidRPr="00497AE8" w:rsidRDefault="00497AE8" w:rsidP="00497AE8">
            <w:pPr>
              <w:spacing w:line="264" w:lineRule="auto"/>
              <w:jc w:val="center"/>
              <w:rPr>
                <w:rFonts w:ascii="Segoe UI" w:eastAsia="MS Mincho" w:hAnsi="Segoe UI"/>
                <w:b/>
                <w:color w:val="FFC000"/>
                <w:sz w:val="18"/>
                <w:szCs w:val="18"/>
              </w:rPr>
            </w:pPr>
          </w:p>
          <w:p w14:paraId="50F39336" w14:textId="77777777" w:rsidR="00497AE8" w:rsidRPr="00497AE8" w:rsidRDefault="00497AE8" w:rsidP="00497AE8">
            <w:pPr>
              <w:spacing w:line="264" w:lineRule="auto"/>
              <w:jc w:val="center"/>
              <w:rPr>
                <w:rFonts w:ascii="Segoe UI" w:eastAsia="MS Mincho" w:hAnsi="Segoe UI"/>
                <w:b/>
                <w:color w:val="FFC000"/>
                <w:sz w:val="18"/>
                <w:szCs w:val="18"/>
              </w:rPr>
            </w:pPr>
          </w:p>
          <w:p w14:paraId="2B6371A2" w14:textId="77777777" w:rsidR="00497AE8" w:rsidRPr="00497AE8" w:rsidRDefault="00497AE8" w:rsidP="00497AE8">
            <w:pPr>
              <w:spacing w:line="264" w:lineRule="auto"/>
              <w:jc w:val="center"/>
              <w:rPr>
                <w:rFonts w:ascii="Segoe UI" w:eastAsia="MS Mincho" w:hAnsi="Segoe UI"/>
                <w:b/>
                <w:color w:val="FFC000"/>
                <w:sz w:val="18"/>
                <w:szCs w:val="18"/>
              </w:rPr>
            </w:pPr>
          </w:p>
          <w:p w14:paraId="210B26B9" w14:textId="77777777" w:rsidR="00497AE8" w:rsidRPr="00497AE8" w:rsidRDefault="00497AE8" w:rsidP="00497AE8">
            <w:pPr>
              <w:spacing w:line="264" w:lineRule="auto"/>
              <w:jc w:val="center"/>
              <w:rPr>
                <w:rFonts w:ascii="Segoe UI" w:eastAsia="MS Mincho" w:hAnsi="Segoe UI"/>
                <w:b/>
                <w:color w:val="FFC000"/>
                <w:sz w:val="18"/>
                <w:szCs w:val="18"/>
              </w:rPr>
            </w:pPr>
          </w:p>
          <w:p w14:paraId="43D95D00" w14:textId="77777777" w:rsidR="00497AE8" w:rsidRPr="00497AE8" w:rsidRDefault="00497AE8" w:rsidP="00497AE8">
            <w:pPr>
              <w:spacing w:line="264" w:lineRule="auto"/>
              <w:jc w:val="center"/>
              <w:rPr>
                <w:rFonts w:ascii="Segoe UI" w:eastAsia="MS Mincho" w:hAnsi="Segoe UI"/>
                <w:b/>
                <w:color w:val="FFC000"/>
                <w:sz w:val="18"/>
                <w:szCs w:val="18"/>
              </w:rPr>
            </w:pPr>
          </w:p>
          <w:p w14:paraId="04D1A205" w14:textId="77777777" w:rsidR="00497AE8" w:rsidRPr="00497AE8" w:rsidRDefault="00497AE8" w:rsidP="00497AE8">
            <w:pPr>
              <w:spacing w:line="264" w:lineRule="auto"/>
              <w:jc w:val="center"/>
              <w:rPr>
                <w:rFonts w:ascii="Segoe UI" w:eastAsia="MS Mincho" w:hAnsi="Segoe UI" w:cs="Segoe UI"/>
                <w:b/>
                <w:bCs/>
                <w:color w:val="FFC000"/>
                <w:sz w:val="18"/>
                <w:szCs w:val="18"/>
              </w:rPr>
            </w:pPr>
            <w:r w:rsidRPr="00497AE8">
              <w:rPr>
                <w:rFonts w:ascii="Segoe UI" w:eastAsia="MS Mincho" w:hAnsi="Segoe UI" w:cs="Segoe UI"/>
                <w:b/>
                <w:bCs/>
                <w:color w:val="FFC000"/>
                <w:sz w:val="18"/>
                <w:szCs w:val="18"/>
              </w:rPr>
              <w:t>Medium</w:t>
            </w:r>
          </w:p>
          <w:p w14:paraId="79414532" w14:textId="77777777" w:rsidR="00497AE8" w:rsidRPr="00497AE8" w:rsidRDefault="00497AE8" w:rsidP="00497AE8">
            <w:pPr>
              <w:spacing w:line="264" w:lineRule="auto"/>
              <w:jc w:val="center"/>
              <w:rPr>
                <w:rFonts w:ascii="Segoe UI" w:eastAsia="MS Mincho" w:hAnsi="Segoe UI"/>
                <w:b/>
                <w:color w:val="FFC000"/>
                <w:sz w:val="18"/>
                <w:szCs w:val="18"/>
              </w:rPr>
            </w:pPr>
          </w:p>
          <w:p w14:paraId="580895E2" w14:textId="77777777" w:rsidR="00497AE8" w:rsidRPr="00497AE8" w:rsidRDefault="00497AE8" w:rsidP="00497AE8">
            <w:pPr>
              <w:spacing w:line="264" w:lineRule="auto"/>
              <w:jc w:val="center"/>
              <w:rPr>
                <w:rFonts w:ascii="Segoe UI" w:eastAsia="MS Mincho" w:hAnsi="Segoe UI"/>
                <w:b/>
                <w:color w:val="FFC000"/>
                <w:sz w:val="18"/>
                <w:szCs w:val="18"/>
              </w:rPr>
            </w:pPr>
          </w:p>
          <w:p w14:paraId="5C6AEFB8" w14:textId="77777777" w:rsidR="00497AE8" w:rsidRPr="00497AE8" w:rsidRDefault="00497AE8" w:rsidP="00497AE8">
            <w:pPr>
              <w:spacing w:line="264" w:lineRule="auto"/>
              <w:jc w:val="center"/>
              <w:rPr>
                <w:rFonts w:ascii="Segoe UI" w:eastAsia="MS Mincho" w:hAnsi="Segoe UI"/>
                <w:b/>
                <w:color w:val="FFC000"/>
                <w:sz w:val="18"/>
                <w:szCs w:val="18"/>
              </w:rPr>
            </w:pPr>
          </w:p>
          <w:p w14:paraId="0D7B3FE9" w14:textId="77777777" w:rsidR="00497AE8" w:rsidRPr="00497AE8" w:rsidRDefault="00497AE8" w:rsidP="00497AE8">
            <w:pPr>
              <w:spacing w:line="264" w:lineRule="auto"/>
              <w:jc w:val="center"/>
              <w:rPr>
                <w:rFonts w:ascii="Segoe UI" w:eastAsia="MS Mincho" w:hAnsi="Segoe UI"/>
                <w:b/>
                <w:color w:val="FFC000"/>
                <w:sz w:val="18"/>
                <w:szCs w:val="18"/>
              </w:rPr>
            </w:pPr>
          </w:p>
          <w:p w14:paraId="4C4F8DDC" w14:textId="77777777" w:rsidR="00497AE8" w:rsidRPr="00497AE8" w:rsidRDefault="00497AE8" w:rsidP="00497AE8">
            <w:pPr>
              <w:spacing w:line="264" w:lineRule="auto"/>
              <w:jc w:val="center"/>
              <w:rPr>
                <w:rFonts w:ascii="Segoe UI" w:eastAsia="MS Mincho" w:hAnsi="Segoe UI" w:cs="Segoe UI"/>
                <w:b/>
                <w:bCs/>
                <w:color w:val="FF0000"/>
                <w:sz w:val="18"/>
                <w:szCs w:val="18"/>
              </w:rPr>
            </w:pPr>
          </w:p>
          <w:p w14:paraId="2301FDF3" w14:textId="77777777" w:rsidR="00497AE8" w:rsidRPr="00497AE8" w:rsidRDefault="00497AE8" w:rsidP="00497AE8">
            <w:pPr>
              <w:spacing w:line="264" w:lineRule="auto"/>
              <w:jc w:val="center"/>
              <w:rPr>
                <w:rFonts w:ascii="Segoe UI" w:eastAsia="MS Mincho" w:hAnsi="Segoe UI" w:cs="Segoe UI"/>
                <w:b/>
                <w:bCs/>
                <w:color w:val="FFC000"/>
                <w:sz w:val="18"/>
                <w:szCs w:val="18"/>
              </w:rPr>
            </w:pPr>
            <w:r w:rsidRPr="00497AE8">
              <w:rPr>
                <w:rFonts w:ascii="Segoe UI" w:eastAsia="MS Mincho" w:hAnsi="Segoe UI" w:cs="Segoe UI"/>
                <w:b/>
                <w:bCs/>
                <w:color w:val="FF0000"/>
                <w:sz w:val="18"/>
                <w:szCs w:val="18"/>
              </w:rPr>
              <w:t>High/</w:t>
            </w:r>
          </w:p>
          <w:p w14:paraId="1E7822A1" w14:textId="77777777" w:rsidR="00497AE8" w:rsidRPr="00497AE8" w:rsidRDefault="00497AE8" w:rsidP="00497AE8">
            <w:pPr>
              <w:spacing w:line="264" w:lineRule="auto"/>
              <w:jc w:val="center"/>
              <w:rPr>
                <w:rFonts w:ascii="Segoe UI" w:eastAsia="MS Mincho" w:hAnsi="Segoe UI" w:cs="Segoe UI"/>
                <w:b/>
                <w:bCs/>
                <w:color w:val="FFC000"/>
                <w:sz w:val="18"/>
                <w:szCs w:val="18"/>
              </w:rPr>
            </w:pPr>
            <w:r w:rsidRPr="00497AE8">
              <w:rPr>
                <w:rFonts w:ascii="Segoe UI" w:eastAsia="MS Mincho" w:hAnsi="Segoe UI" w:cs="Segoe UI"/>
                <w:b/>
                <w:bCs/>
                <w:color w:val="FFC000"/>
                <w:sz w:val="18"/>
                <w:szCs w:val="18"/>
              </w:rPr>
              <w:t>Medium</w:t>
            </w:r>
          </w:p>
          <w:p w14:paraId="01D53BAE"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tc>
        <w:tc>
          <w:tcPr>
            <w:tcW w:w="595" w:type="pct"/>
          </w:tcPr>
          <w:p w14:paraId="6C5F36BC" w14:textId="77777777" w:rsidR="00497AE8" w:rsidRPr="00497AE8" w:rsidRDefault="00497AE8" w:rsidP="00497AE8">
            <w:pPr>
              <w:spacing w:line="300" w:lineRule="exact"/>
              <w:jc w:val="center"/>
              <w:rPr>
                <w:rFonts w:ascii="Segoe UI" w:eastAsia="MS Mincho" w:hAnsi="Segoe UI" w:cs="Segoe UI"/>
                <w:b/>
                <w:bCs/>
                <w:sz w:val="18"/>
                <w:szCs w:val="18"/>
              </w:rPr>
            </w:pPr>
          </w:p>
          <w:p w14:paraId="1BC3B0CE"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Short to</w:t>
            </w:r>
          </w:p>
          <w:p w14:paraId="3D62859C"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Medium Term</w:t>
            </w:r>
          </w:p>
          <w:p w14:paraId="07AC830C" w14:textId="77777777" w:rsidR="00497AE8" w:rsidRPr="00497AE8" w:rsidRDefault="00497AE8" w:rsidP="00497AE8">
            <w:pPr>
              <w:spacing w:line="300" w:lineRule="exact"/>
              <w:jc w:val="center"/>
              <w:rPr>
                <w:rFonts w:ascii="Segoe UI" w:eastAsia="MS Mincho" w:hAnsi="Segoe UI" w:cs="Segoe UI"/>
                <w:b/>
                <w:bCs/>
                <w:sz w:val="18"/>
                <w:szCs w:val="18"/>
              </w:rPr>
            </w:pPr>
          </w:p>
          <w:p w14:paraId="002C20E1" w14:textId="77777777" w:rsidR="00497AE8" w:rsidRPr="00497AE8" w:rsidRDefault="00497AE8" w:rsidP="00497AE8">
            <w:pPr>
              <w:spacing w:line="300" w:lineRule="exact"/>
              <w:jc w:val="center"/>
              <w:rPr>
                <w:rFonts w:ascii="Segoe UI" w:eastAsia="MS Mincho" w:hAnsi="Segoe UI" w:cs="Segoe UI"/>
                <w:b/>
                <w:bCs/>
                <w:sz w:val="18"/>
                <w:szCs w:val="18"/>
              </w:rPr>
            </w:pPr>
          </w:p>
          <w:p w14:paraId="37F61016" w14:textId="77777777" w:rsidR="00497AE8" w:rsidRPr="00497AE8" w:rsidRDefault="00497AE8" w:rsidP="00497AE8">
            <w:pPr>
              <w:spacing w:line="300" w:lineRule="exact"/>
              <w:jc w:val="center"/>
              <w:rPr>
                <w:rFonts w:ascii="Segoe UI" w:eastAsia="MS Mincho" w:hAnsi="Segoe UI" w:cs="Segoe UI"/>
                <w:b/>
                <w:bCs/>
                <w:sz w:val="18"/>
                <w:szCs w:val="18"/>
              </w:rPr>
            </w:pPr>
          </w:p>
          <w:p w14:paraId="75D3E63F" w14:textId="77777777" w:rsidR="00497AE8" w:rsidRPr="00497AE8" w:rsidRDefault="00497AE8" w:rsidP="00497AE8">
            <w:pPr>
              <w:spacing w:line="300" w:lineRule="exact"/>
              <w:jc w:val="center"/>
              <w:rPr>
                <w:rFonts w:ascii="Segoe UI" w:eastAsia="MS Mincho" w:hAnsi="Segoe UI" w:cs="Segoe UI"/>
                <w:b/>
                <w:bCs/>
                <w:sz w:val="18"/>
                <w:szCs w:val="18"/>
              </w:rPr>
            </w:pPr>
          </w:p>
          <w:p w14:paraId="5D34E756"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Short Term</w:t>
            </w:r>
          </w:p>
          <w:p w14:paraId="519BB02C" w14:textId="77777777" w:rsidR="00497AE8" w:rsidRPr="00497AE8" w:rsidRDefault="00497AE8" w:rsidP="00497AE8">
            <w:pPr>
              <w:spacing w:line="300" w:lineRule="exact"/>
              <w:jc w:val="center"/>
              <w:rPr>
                <w:rFonts w:ascii="Segoe UI" w:eastAsia="MS Mincho" w:hAnsi="Segoe UI" w:cs="Segoe UI"/>
                <w:b/>
                <w:bCs/>
                <w:sz w:val="20"/>
                <w:szCs w:val="20"/>
              </w:rPr>
            </w:pPr>
          </w:p>
          <w:p w14:paraId="5CC27155" w14:textId="77777777" w:rsidR="00497AE8" w:rsidRPr="00497AE8" w:rsidRDefault="00497AE8" w:rsidP="00497AE8">
            <w:pPr>
              <w:spacing w:line="300" w:lineRule="exact"/>
              <w:jc w:val="center"/>
              <w:rPr>
                <w:rFonts w:ascii="Segoe UI" w:eastAsia="MS Mincho" w:hAnsi="Segoe UI" w:cs="Segoe UI"/>
                <w:b/>
                <w:bCs/>
                <w:sz w:val="20"/>
                <w:szCs w:val="20"/>
              </w:rPr>
            </w:pPr>
          </w:p>
          <w:p w14:paraId="2A82B28E" w14:textId="77777777" w:rsidR="00497AE8" w:rsidRPr="00497AE8" w:rsidRDefault="00497AE8" w:rsidP="00497AE8">
            <w:pPr>
              <w:spacing w:line="300" w:lineRule="exact"/>
              <w:jc w:val="center"/>
              <w:rPr>
                <w:rFonts w:ascii="Segoe UI" w:eastAsia="MS Mincho" w:hAnsi="Segoe UI" w:cs="Segoe UI"/>
                <w:b/>
                <w:bCs/>
                <w:sz w:val="20"/>
                <w:szCs w:val="20"/>
              </w:rPr>
            </w:pPr>
          </w:p>
          <w:p w14:paraId="7308C1E8" w14:textId="77777777" w:rsidR="00497AE8" w:rsidRPr="00497AE8" w:rsidRDefault="00497AE8" w:rsidP="00497AE8">
            <w:pPr>
              <w:spacing w:line="300" w:lineRule="exact"/>
              <w:jc w:val="center"/>
              <w:rPr>
                <w:rFonts w:ascii="Segoe UI" w:eastAsia="MS Mincho" w:hAnsi="Segoe UI" w:cs="Segoe UI"/>
                <w:b/>
                <w:bCs/>
                <w:sz w:val="18"/>
                <w:szCs w:val="18"/>
              </w:rPr>
            </w:pPr>
          </w:p>
          <w:p w14:paraId="3203D6B2" w14:textId="77777777" w:rsidR="00497AE8" w:rsidRPr="00497AE8" w:rsidRDefault="00497AE8" w:rsidP="00497AE8">
            <w:pPr>
              <w:spacing w:line="300" w:lineRule="exact"/>
              <w:jc w:val="center"/>
              <w:rPr>
                <w:rFonts w:ascii="Segoe UI" w:eastAsia="MS Mincho" w:hAnsi="Segoe UI" w:cs="Segoe UI"/>
                <w:b/>
                <w:bCs/>
                <w:sz w:val="18"/>
                <w:szCs w:val="18"/>
              </w:rPr>
            </w:pPr>
          </w:p>
          <w:p w14:paraId="5850366A"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sz w:val="18"/>
                <w:szCs w:val="18"/>
              </w:rPr>
              <w:t>Medium Term</w:t>
            </w:r>
          </w:p>
        </w:tc>
        <w:tc>
          <w:tcPr>
            <w:tcW w:w="560" w:type="pct"/>
          </w:tcPr>
          <w:p w14:paraId="184472DA"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14F6CFB8"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r w:rsidRPr="00497AE8">
              <w:rPr>
                <w:rFonts w:ascii="Segoe UI" w:eastAsia="MS Mincho" w:hAnsi="Segoe UI" w:cs="Segoe UI"/>
                <w:b/>
                <w:bCs/>
                <w:color w:val="E36C0A" w:themeColor="accent6" w:themeShade="BF"/>
                <w:sz w:val="18"/>
                <w:szCs w:val="18"/>
              </w:rPr>
              <w:t>Medium</w:t>
            </w:r>
          </w:p>
          <w:p w14:paraId="5B8B7400"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0FEDF9A5"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378EFA05"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031A6BCF"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27A69D72"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3DF2EF90"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2BDD4D4B"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63EAF1E3"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474E81C8"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r w:rsidRPr="00497AE8">
              <w:rPr>
                <w:rFonts w:ascii="Segoe UI" w:eastAsia="MS Mincho" w:hAnsi="Segoe UI" w:cs="Segoe UI"/>
                <w:b/>
                <w:bCs/>
                <w:color w:val="E36C0A" w:themeColor="accent6" w:themeShade="BF"/>
                <w:sz w:val="18"/>
                <w:szCs w:val="18"/>
              </w:rPr>
              <w:t>Medium</w:t>
            </w:r>
          </w:p>
          <w:p w14:paraId="29D5BA36"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07557A52"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754240F3"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09C2AE14"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0C9CFC3A"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7D84F111"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p>
          <w:p w14:paraId="70211BA0"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E36C0A" w:themeColor="accent6" w:themeShade="BF"/>
                <w:sz w:val="18"/>
                <w:szCs w:val="18"/>
              </w:rPr>
            </w:pPr>
            <w:r w:rsidRPr="00497AE8">
              <w:rPr>
                <w:rFonts w:ascii="Segoe UI" w:eastAsia="MS Mincho" w:hAnsi="Segoe UI" w:cs="Segoe UI"/>
                <w:b/>
                <w:bCs/>
                <w:color w:val="E36C0A" w:themeColor="accent6" w:themeShade="BF"/>
                <w:sz w:val="18"/>
                <w:szCs w:val="18"/>
              </w:rPr>
              <w:t>Medium</w:t>
            </w:r>
          </w:p>
        </w:tc>
        <w:tc>
          <w:tcPr>
            <w:tcW w:w="1236" w:type="pct"/>
          </w:tcPr>
          <w:p w14:paraId="1D37C33A" w14:textId="77777777" w:rsidR="00497AE8"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Medium term: Diversify export destinations, increase high value-added exports, and improve competitiveness, thus boosting exports.</w:t>
            </w:r>
          </w:p>
          <w:p w14:paraId="412DAC1B" w14:textId="13947D0E" w:rsidR="00E23F55" w:rsidRPr="00497AE8" w:rsidRDefault="00E23F55" w:rsidP="00E23F55">
            <w:pPr>
              <w:numPr>
                <w:ilvl w:val="0"/>
                <w:numId w:val="1"/>
              </w:numPr>
              <w:tabs>
                <w:tab w:val="clear" w:pos="720"/>
              </w:tabs>
              <w:spacing w:line="180" w:lineRule="atLeast"/>
              <w:ind w:left="216" w:hanging="216"/>
              <w:rPr>
                <w:rFonts w:ascii="Segoe UI" w:eastAsia="MS Mincho" w:hAnsi="Segoe UI" w:cs="Segoe UI"/>
                <w:sz w:val="16"/>
                <w:szCs w:val="16"/>
              </w:rPr>
            </w:pPr>
            <w:r w:rsidRPr="00E23F55">
              <w:rPr>
                <w:rFonts w:ascii="Segoe UI" w:eastAsia="MS Mincho" w:hAnsi="Segoe UI" w:cs="Segoe UI"/>
                <w:sz w:val="16"/>
                <w:szCs w:val="16"/>
              </w:rPr>
              <w:t>Strengthen bank and NFC balance-sheets through restrictions on the structure of liabilities and higher risk weights or provisioning on lending to NFCs in FX.</w:t>
            </w:r>
          </w:p>
        </w:tc>
      </w:tr>
      <w:tr w:rsidR="00497AE8" w:rsidRPr="00497AE8" w14:paraId="0289371A" w14:textId="77777777" w:rsidTr="00497AE8">
        <w:trPr>
          <w:jc w:val="center"/>
        </w:trPr>
        <w:tc>
          <w:tcPr>
            <w:tcW w:w="253" w:type="pct"/>
            <w:vMerge/>
          </w:tcPr>
          <w:p w14:paraId="2AD43257" w14:textId="77777777" w:rsidR="00497AE8" w:rsidRPr="00497AE8" w:rsidRDefault="00497AE8" w:rsidP="00497AE8">
            <w:pPr>
              <w:spacing w:line="220" w:lineRule="atLeast"/>
              <w:rPr>
                <w:rFonts w:ascii="Segoe UI" w:eastAsia="MS Mincho" w:hAnsi="Segoe UI" w:cs="Segoe UI"/>
                <w:b/>
                <w:bCs/>
                <w:sz w:val="16"/>
                <w:szCs w:val="16"/>
              </w:rPr>
            </w:pPr>
          </w:p>
        </w:tc>
        <w:tc>
          <w:tcPr>
            <w:tcW w:w="1798" w:type="pct"/>
          </w:tcPr>
          <w:p w14:paraId="299C050E" w14:textId="77777777" w:rsidR="00497AE8" w:rsidRPr="00497AE8" w:rsidRDefault="00497AE8" w:rsidP="00497AE8">
            <w:pPr>
              <w:spacing w:line="220" w:lineRule="atLeast"/>
              <w:rPr>
                <w:rFonts w:ascii="Segoe UI" w:eastAsia="MS Mincho" w:hAnsi="Segoe UI" w:cs="Segoe UI"/>
                <w:b/>
                <w:bCs/>
                <w:sz w:val="16"/>
                <w:szCs w:val="16"/>
              </w:rPr>
            </w:pPr>
            <w:r w:rsidRPr="00497AE8">
              <w:rPr>
                <w:rFonts w:ascii="Segoe UI" w:eastAsia="MS Mincho" w:hAnsi="Segoe UI" w:cs="Segoe UI"/>
                <w:b/>
                <w:bCs/>
                <w:sz w:val="16"/>
                <w:szCs w:val="16"/>
              </w:rPr>
              <w:t xml:space="preserve">Persistently lower energy prices, </w:t>
            </w:r>
            <w:r w:rsidRPr="00497AE8">
              <w:rPr>
                <w:rFonts w:ascii="Segoe UI" w:eastAsia="MS Mincho" w:hAnsi="Segoe UI" w:cs="Segoe UI"/>
                <w:bCs/>
                <w:sz w:val="16"/>
                <w:szCs w:val="16"/>
              </w:rPr>
              <w:t>triggered by supply factors reversing more gradually than expected.</w:t>
            </w:r>
          </w:p>
        </w:tc>
        <w:tc>
          <w:tcPr>
            <w:tcW w:w="559" w:type="pct"/>
          </w:tcPr>
          <w:p w14:paraId="617AAE92" w14:textId="77777777" w:rsidR="00497AE8" w:rsidRPr="00497AE8" w:rsidRDefault="00497AE8" w:rsidP="00497AE8">
            <w:pPr>
              <w:spacing w:line="264" w:lineRule="auto"/>
              <w:jc w:val="center"/>
              <w:rPr>
                <w:rFonts w:ascii="Segoe UI" w:eastAsia="MS Mincho" w:hAnsi="Segoe UI" w:cs="Segoe UI"/>
                <w:b/>
                <w:bCs/>
                <w:color w:val="92D050"/>
                <w:sz w:val="18"/>
                <w:szCs w:val="18"/>
              </w:rPr>
            </w:pPr>
          </w:p>
          <w:p w14:paraId="3A87F1A1" w14:textId="77777777" w:rsidR="00497AE8" w:rsidRPr="00497AE8" w:rsidRDefault="00497AE8" w:rsidP="00497AE8">
            <w:pPr>
              <w:spacing w:line="264" w:lineRule="auto"/>
              <w:jc w:val="center"/>
              <w:rPr>
                <w:rFonts w:ascii="Segoe UI" w:eastAsia="MS Mincho" w:hAnsi="Segoe UI"/>
                <w:b/>
                <w:color w:val="FFC000"/>
                <w:sz w:val="18"/>
                <w:szCs w:val="18"/>
              </w:rPr>
            </w:pPr>
            <w:r w:rsidRPr="00497AE8">
              <w:rPr>
                <w:rFonts w:ascii="Segoe UI" w:eastAsia="MS Mincho" w:hAnsi="Segoe UI" w:cs="Segoe UI"/>
                <w:b/>
                <w:bCs/>
                <w:color w:val="92D050"/>
                <w:sz w:val="18"/>
                <w:szCs w:val="18"/>
              </w:rPr>
              <w:t>Low</w:t>
            </w:r>
          </w:p>
          <w:p w14:paraId="0C4D781F"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tc>
        <w:tc>
          <w:tcPr>
            <w:tcW w:w="595" w:type="pct"/>
          </w:tcPr>
          <w:p w14:paraId="1305ED72"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sz w:val="18"/>
                <w:szCs w:val="18"/>
              </w:rPr>
            </w:pPr>
          </w:p>
          <w:p w14:paraId="6572DA05"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sz w:val="18"/>
                <w:szCs w:val="18"/>
              </w:rPr>
              <w:t>Medium Term</w:t>
            </w:r>
          </w:p>
        </w:tc>
        <w:tc>
          <w:tcPr>
            <w:tcW w:w="560" w:type="pct"/>
          </w:tcPr>
          <w:p w14:paraId="0222E715"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p>
          <w:p w14:paraId="1007CE60" w14:textId="77777777" w:rsidR="00497AE8" w:rsidRPr="00497AE8" w:rsidRDefault="00497AE8" w:rsidP="00497AE8">
            <w:pPr>
              <w:spacing w:line="264" w:lineRule="auto"/>
              <w:jc w:val="center"/>
              <w:rPr>
                <w:rFonts w:ascii="Segoe UI" w:eastAsia="MS Mincho" w:hAnsi="Segoe UI"/>
                <w:b/>
                <w:color w:val="FFC000"/>
                <w:sz w:val="18"/>
                <w:szCs w:val="18"/>
              </w:rPr>
            </w:pPr>
            <w:r w:rsidRPr="00497AE8">
              <w:rPr>
                <w:rFonts w:ascii="Segoe UI" w:eastAsia="MS Mincho" w:hAnsi="Segoe UI" w:cs="Segoe UI"/>
                <w:b/>
                <w:bCs/>
                <w:color w:val="92D050"/>
                <w:sz w:val="18"/>
                <w:szCs w:val="18"/>
              </w:rPr>
              <w:t>Low</w:t>
            </w:r>
          </w:p>
        </w:tc>
        <w:tc>
          <w:tcPr>
            <w:tcW w:w="1236" w:type="pct"/>
          </w:tcPr>
          <w:p w14:paraId="1684DFC5" w14:textId="77777777" w:rsidR="00497AE8" w:rsidRPr="00497AE8" w:rsidRDefault="00497AE8" w:rsidP="00497AE8">
            <w:pPr>
              <w:spacing w:line="220" w:lineRule="atLeast"/>
              <w:ind w:left="360" w:hanging="360"/>
              <w:rPr>
                <w:rFonts w:ascii="Segoe UI" w:eastAsia="MS Mincho" w:hAnsi="Segoe UI" w:cs="Segoe UI"/>
                <w:sz w:val="16"/>
                <w:szCs w:val="16"/>
              </w:rPr>
            </w:pPr>
          </w:p>
        </w:tc>
      </w:tr>
      <w:tr w:rsidR="00497AE8" w:rsidRPr="00497AE8" w14:paraId="43201460" w14:textId="77777777" w:rsidTr="00497AE8">
        <w:trPr>
          <w:cantSplit/>
          <w:trHeight w:val="1134"/>
          <w:jc w:val="center"/>
        </w:trPr>
        <w:tc>
          <w:tcPr>
            <w:tcW w:w="253" w:type="pct"/>
            <w:vMerge w:val="restart"/>
            <w:textDirection w:val="btLr"/>
          </w:tcPr>
          <w:p w14:paraId="65138C34" w14:textId="77777777" w:rsidR="00497AE8" w:rsidRPr="00497AE8" w:rsidRDefault="00497AE8" w:rsidP="00497AE8">
            <w:pPr>
              <w:spacing w:line="220" w:lineRule="atLeast"/>
              <w:ind w:left="113" w:right="113"/>
              <w:jc w:val="center"/>
              <w:rPr>
                <w:rFonts w:ascii="Segoe UI" w:eastAsia="MS Mincho" w:hAnsi="Segoe UI" w:cs="Segoe UI"/>
                <w:b/>
                <w:bCs/>
                <w:sz w:val="16"/>
                <w:szCs w:val="16"/>
              </w:rPr>
            </w:pPr>
            <w:r w:rsidRPr="00497AE8">
              <w:rPr>
                <w:rFonts w:ascii="Segoe UI" w:eastAsia="MS Mincho" w:hAnsi="Segoe UI" w:cs="Segoe UI"/>
                <w:b/>
                <w:bCs/>
                <w:sz w:val="16"/>
                <w:szCs w:val="16"/>
              </w:rPr>
              <w:t>Domestic</w:t>
            </w:r>
          </w:p>
        </w:tc>
        <w:tc>
          <w:tcPr>
            <w:tcW w:w="1798" w:type="pct"/>
          </w:tcPr>
          <w:p w14:paraId="39F683BB" w14:textId="77777777" w:rsidR="00497AE8" w:rsidRPr="00497AE8" w:rsidRDefault="00497AE8" w:rsidP="00497AE8">
            <w:pPr>
              <w:spacing w:line="220" w:lineRule="atLeast"/>
              <w:rPr>
                <w:rFonts w:ascii="Segoe UI" w:eastAsia="MS Mincho" w:hAnsi="Segoe UI" w:cs="Segoe UI"/>
                <w:b/>
                <w:bCs/>
                <w:sz w:val="16"/>
                <w:szCs w:val="16"/>
              </w:rPr>
            </w:pPr>
            <w:r w:rsidRPr="00497AE8">
              <w:rPr>
                <w:rFonts w:ascii="Segoe UI" w:eastAsia="MS Mincho" w:hAnsi="Segoe UI" w:cs="Segoe UI"/>
                <w:b/>
                <w:bCs/>
                <w:sz w:val="16"/>
                <w:szCs w:val="16"/>
              </w:rPr>
              <w:t xml:space="preserve">Loose domestic policies leading to: </w:t>
            </w:r>
          </w:p>
          <w:p w14:paraId="41286970"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High inflation and a deteriorating fiscal position, eroding confidence and leading to re</w:t>
            </w:r>
            <w:r w:rsidRPr="00497AE8">
              <w:rPr>
                <w:rFonts w:ascii="Segoe UI" w:eastAsia="MS Mincho" w:hAnsi="Segoe UI" w:cs="Segoe UI"/>
                <w:sz w:val="16"/>
                <w:szCs w:val="16"/>
              </w:rPr>
              <w:noBreakHyphen/>
              <w:t>dollarization. This could occur if the government tries to spur growth through demand management, rather than long-term structural reform.</w:t>
            </w:r>
          </w:p>
        </w:tc>
        <w:tc>
          <w:tcPr>
            <w:tcW w:w="559" w:type="pct"/>
          </w:tcPr>
          <w:p w14:paraId="4661B29F"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p w14:paraId="2D0E5BCC" w14:textId="77777777" w:rsidR="00497AE8" w:rsidRPr="00497AE8" w:rsidRDefault="00497AE8" w:rsidP="00497AE8">
            <w:pPr>
              <w:spacing w:line="220" w:lineRule="atLeast"/>
              <w:jc w:val="center"/>
              <w:rPr>
                <w:rFonts w:ascii="Segoe UI" w:eastAsia="MS Mincho" w:hAnsi="Segoe UI" w:cs="Segoe UI"/>
                <w:b/>
                <w:bCs/>
                <w:color w:val="E36C0A" w:themeColor="accent6" w:themeShade="BF"/>
                <w:sz w:val="18"/>
                <w:szCs w:val="18"/>
              </w:rPr>
            </w:pPr>
            <w:r w:rsidRPr="00497AE8">
              <w:rPr>
                <w:rFonts w:ascii="Segoe UI" w:eastAsia="MS Mincho" w:hAnsi="Segoe UI" w:cs="Segoe UI"/>
                <w:b/>
                <w:bCs/>
                <w:color w:val="E36C0A" w:themeColor="accent6" w:themeShade="BF"/>
                <w:sz w:val="18"/>
                <w:szCs w:val="18"/>
              </w:rPr>
              <w:t>Medium</w:t>
            </w:r>
          </w:p>
          <w:p w14:paraId="1AE47961"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Cs/>
                <w:color w:val="000000" w:themeColor="text1"/>
                <w:sz w:val="18"/>
                <w:szCs w:val="18"/>
              </w:rPr>
            </w:pPr>
          </w:p>
        </w:tc>
        <w:tc>
          <w:tcPr>
            <w:tcW w:w="595" w:type="pct"/>
          </w:tcPr>
          <w:p w14:paraId="4A1130AA"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p>
          <w:p w14:paraId="1084CCF7"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Short to</w:t>
            </w:r>
          </w:p>
          <w:p w14:paraId="51B7E616"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Medium Term</w:t>
            </w:r>
          </w:p>
          <w:p w14:paraId="1702C957"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p>
        </w:tc>
        <w:tc>
          <w:tcPr>
            <w:tcW w:w="560" w:type="pct"/>
          </w:tcPr>
          <w:p w14:paraId="60F2BEEF"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p>
          <w:p w14:paraId="5B93B6BB"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color w:val="FF0000"/>
                <w:sz w:val="18"/>
                <w:szCs w:val="18"/>
              </w:rPr>
              <w:t>High</w:t>
            </w:r>
          </w:p>
          <w:p w14:paraId="4CD610F4" w14:textId="77777777" w:rsidR="00497AE8" w:rsidRPr="00497AE8" w:rsidRDefault="00497AE8" w:rsidP="00497AE8">
            <w:pPr>
              <w:spacing w:line="220" w:lineRule="atLeast"/>
              <w:jc w:val="center"/>
              <w:rPr>
                <w:rFonts w:ascii="Segoe UI" w:eastAsia="MS Mincho" w:hAnsi="Segoe UI" w:cs="Segoe UI"/>
                <w:b/>
                <w:bCs/>
                <w:color w:val="FF0000"/>
                <w:sz w:val="18"/>
                <w:szCs w:val="18"/>
              </w:rPr>
            </w:pPr>
          </w:p>
        </w:tc>
        <w:tc>
          <w:tcPr>
            <w:tcW w:w="1236" w:type="pct"/>
          </w:tcPr>
          <w:p w14:paraId="4B55457E" w14:textId="77777777" w:rsidR="00497AE8" w:rsidRPr="00497AE8" w:rsidRDefault="00497AE8" w:rsidP="00497AE8">
            <w:pPr>
              <w:numPr>
                <w:ilvl w:val="0"/>
                <w:numId w:val="1"/>
              </w:numPr>
              <w:tabs>
                <w:tab w:val="clear" w:pos="720"/>
              </w:tabs>
              <w:adjustRightInd w:val="0"/>
              <w:snapToGrid w:val="0"/>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 xml:space="preserve">Short-run: Tighten monetary policy and normalize the framework. Tightening above and beyond what was originally called for might be necessary. </w:t>
            </w:r>
          </w:p>
          <w:p w14:paraId="2157DF59"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Medium term: Tighten fiscal policy to bring it back into line with the medium-term program. Prioritize expenditure compression.</w:t>
            </w:r>
          </w:p>
        </w:tc>
      </w:tr>
      <w:tr w:rsidR="00497AE8" w:rsidRPr="00497AE8" w14:paraId="5404CB2F" w14:textId="77777777" w:rsidTr="00497AE8">
        <w:trPr>
          <w:cantSplit/>
          <w:trHeight w:val="1134"/>
          <w:jc w:val="center"/>
        </w:trPr>
        <w:tc>
          <w:tcPr>
            <w:tcW w:w="253" w:type="pct"/>
            <w:vMerge/>
            <w:textDirection w:val="btLr"/>
          </w:tcPr>
          <w:p w14:paraId="40BA85CF" w14:textId="77777777" w:rsidR="00497AE8" w:rsidRPr="00497AE8" w:rsidRDefault="00497AE8" w:rsidP="00497AE8">
            <w:pPr>
              <w:spacing w:line="220" w:lineRule="atLeast"/>
              <w:ind w:left="113" w:right="113"/>
              <w:jc w:val="center"/>
              <w:rPr>
                <w:rFonts w:ascii="Segoe UI" w:eastAsia="MS Mincho" w:hAnsi="Segoe UI" w:cs="Segoe UI"/>
                <w:b/>
                <w:bCs/>
                <w:sz w:val="16"/>
                <w:szCs w:val="16"/>
              </w:rPr>
            </w:pPr>
          </w:p>
        </w:tc>
        <w:tc>
          <w:tcPr>
            <w:tcW w:w="1798" w:type="pct"/>
          </w:tcPr>
          <w:p w14:paraId="4EAC355C" w14:textId="77777777" w:rsidR="00497AE8" w:rsidRPr="00497AE8" w:rsidRDefault="00497AE8" w:rsidP="00497AE8">
            <w:pPr>
              <w:spacing w:line="220" w:lineRule="atLeast"/>
              <w:rPr>
                <w:rFonts w:ascii="Segoe UI" w:eastAsia="MS Mincho" w:hAnsi="Segoe UI" w:cs="Segoe UI"/>
                <w:b/>
                <w:bCs/>
                <w:sz w:val="16"/>
                <w:szCs w:val="16"/>
              </w:rPr>
            </w:pPr>
            <w:r w:rsidRPr="00497AE8">
              <w:rPr>
                <w:rFonts w:ascii="Segoe UI" w:eastAsia="MS Mincho" w:hAnsi="Segoe UI" w:cs="Segoe UI"/>
                <w:b/>
                <w:bCs/>
                <w:sz w:val="16"/>
                <w:szCs w:val="16"/>
              </w:rPr>
              <w:t>Private debt overhang weigh on domestic demand</w:t>
            </w:r>
          </w:p>
          <w:p w14:paraId="3F87D81F"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b/>
                <w:bCs/>
                <w:sz w:val="16"/>
                <w:szCs w:val="16"/>
              </w:rPr>
            </w:pPr>
            <w:r w:rsidRPr="00497AE8">
              <w:rPr>
                <w:rFonts w:ascii="Segoe UI" w:eastAsia="MS Mincho" w:hAnsi="Segoe UI" w:cs="Segoe UI"/>
                <w:bCs/>
                <w:sz w:val="16"/>
                <w:szCs w:val="16"/>
              </w:rPr>
              <w:t>The slowdown in private sector credit growth can further weighs on the real economy leading a vicious deleveraging disorderly cycle, ending with a recession.</w:t>
            </w:r>
          </w:p>
        </w:tc>
        <w:tc>
          <w:tcPr>
            <w:tcW w:w="559" w:type="pct"/>
          </w:tcPr>
          <w:p w14:paraId="597B04F6" w14:textId="77777777" w:rsidR="00497AE8" w:rsidRPr="00497AE8" w:rsidRDefault="00497AE8" w:rsidP="00497AE8">
            <w:pPr>
              <w:spacing w:line="220" w:lineRule="atLeast"/>
              <w:jc w:val="center"/>
              <w:rPr>
                <w:rFonts w:ascii="Segoe UI" w:eastAsia="MS Mincho" w:hAnsi="Segoe UI" w:cs="Segoe UI"/>
                <w:b/>
                <w:bCs/>
                <w:color w:val="E36C0A" w:themeColor="accent6" w:themeShade="BF"/>
                <w:sz w:val="18"/>
                <w:szCs w:val="18"/>
              </w:rPr>
            </w:pPr>
          </w:p>
          <w:p w14:paraId="5F7A3A31" w14:textId="77777777" w:rsidR="00497AE8" w:rsidRPr="00497AE8" w:rsidRDefault="00497AE8" w:rsidP="00497AE8">
            <w:pPr>
              <w:spacing w:line="220" w:lineRule="atLeast"/>
              <w:jc w:val="center"/>
              <w:rPr>
                <w:rFonts w:ascii="Segoe UI" w:eastAsia="MS Mincho" w:hAnsi="Segoe UI" w:cs="Segoe UI"/>
                <w:b/>
                <w:bCs/>
                <w:color w:val="E36C0A" w:themeColor="accent6" w:themeShade="BF"/>
                <w:sz w:val="18"/>
                <w:szCs w:val="18"/>
              </w:rPr>
            </w:pPr>
          </w:p>
          <w:p w14:paraId="6F17480F" w14:textId="77777777" w:rsidR="00497AE8" w:rsidRPr="00497AE8" w:rsidRDefault="00497AE8" w:rsidP="00497AE8">
            <w:pPr>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color w:val="E36C0A" w:themeColor="accent6" w:themeShade="BF"/>
                <w:sz w:val="18"/>
                <w:szCs w:val="18"/>
              </w:rPr>
              <w:t>Medium</w:t>
            </w:r>
          </w:p>
        </w:tc>
        <w:tc>
          <w:tcPr>
            <w:tcW w:w="595" w:type="pct"/>
          </w:tcPr>
          <w:p w14:paraId="6B34549E" w14:textId="77777777" w:rsidR="00497AE8" w:rsidRPr="00497AE8" w:rsidRDefault="00497AE8" w:rsidP="00497AE8">
            <w:pPr>
              <w:spacing w:line="300" w:lineRule="exact"/>
              <w:jc w:val="center"/>
              <w:rPr>
                <w:rFonts w:ascii="Segoe UI" w:eastAsia="MS Mincho" w:hAnsi="Segoe UI" w:cs="Segoe UI"/>
                <w:b/>
                <w:bCs/>
                <w:sz w:val="18"/>
                <w:szCs w:val="18"/>
              </w:rPr>
            </w:pPr>
          </w:p>
          <w:p w14:paraId="519F2443" w14:textId="77777777" w:rsidR="00497AE8" w:rsidRPr="00497AE8" w:rsidRDefault="00497AE8" w:rsidP="00497AE8">
            <w:pPr>
              <w:spacing w:line="300" w:lineRule="exact"/>
              <w:jc w:val="center"/>
              <w:rPr>
                <w:rFonts w:ascii="Segoe UI" w:eastAsia="MS Mincho" w:hAnsi="Segoe UI" w:cs="Segoe UI"/>
                <w:b/>
                <w:bCs/>
                <w:sz w:val="18"/>
                <w:szCs w:val="18"/>
              </w:rPr>
            </w:pPr>
          </w:p>
          <w:p w14:paraId="613F09B6" w14:textId="77777777" w:rsidR="00497AE8" w:rsidRPr="00497AE8" w:rsidRDefault="00497AE8" w:rsidP="00497AE8">
            <w:pPr>
              <w:spacing w:line="300" w:lineRule="exact"/>
              <w:jc w:val="center"/>
              <w:rPr>
                <w:rFonts w:ascii="Segoe UI" w:eastAsia="MS Mincho" w:hAnsi="Segoe UI" w:cs="Segoe UI"/>
                <w:b/>
                <w:bCs/>
                <w:sz w:val="18"/>
                <w:szCs w:val="18"/>
              </w:rPr>
            </w:pPr>
            <w:r w:rsidRPr="00497AE8">
              <w:rPr>
                <w:rFonts w:ascii="Segoe UI" w:eastAsia="MS Mincho" w:hAnsi="Segoe UI" w:cs="Segoe UI"/>
                <w:b/>
                <w:bCs/>
                <w:sz w:val="18"/>
                <w:szCs w:val="18"/>
              </w:rPr>
              <w:t>Short to</w:t>
            </w:r>
          </w:p>
          <w:p w14:paraId="4A64701F"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sz w:val="18"/>
                <w:szCs w:val="18"/>
              </w:rPr>
              <w:t>Medium Term</w:t>
            </w:r>
          </w:p>
        </w:tc>
        <w:tc>
          <w:tcPr>
            <w:tcW w:w="560" w:type="pct"/>
          </w:tcPr>
          <w:p w14:paraId="0A2E2969"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p>
          <w:p w14:paraId="27F753F3"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p>
          <w:p w14:paraId="565C4A99" w14:textId="77777777" w:rsidR="00497AE8" w:rsidRPr="00497AE8" w:rsidRDefault="00497AE8" w:rsidP="00497AE8">
            <w:pPr>
              <w:tabs>
                <w:tab w:val="center" w:pos="4320"/>
                <w:tab w:val="right" w:pos="8640"/>
              </w:tabs>
              <w:spacing w:line="220" w:lineRule="atLeast"/>
              <w:jc w:val="center"/>
              <w:rPr>
                <w:rFonts w:ascii="Segoe UI" w:eastAsia="MS Mincho" w:hAnsi="Segoe UI" w:cs="Segoe UI"/>
                <w:b/>
                <w:bCs/>
                <w:color w:val="FF0000"/>
                <w:sz w:val="18"/>
                <w:szCs w:val="18"/>
              </w:rPr>
            </w:pPr>
            <w:r w:rsidRPr="00497AE8">
              <w:rPr>
                <w:rFonts w:ascii="Segoe UI" w:eastAsia="MS Mincho" w:hAnsi="Segoe UI" w:cs="Segoe UI"/>
                <w:b/>
                <w:bCs/>
                <w:color w:val="FF0000"/>
                <w:sz w:val="18"/>
                <w:szCs w:val="18"/>
              </w:rPr>
              <w:t>High</w:t>
            </w:r>
          </w:p>
        </w:tc>
        <w:tc>
          <w:tcPr>
            <w:tcW w:w="1236" w:type="pct"/>
          </w:tcPr>
          <w:p w14:paraId="2DA6A7B3" w14:textId="77777777" w:rsidR="00497AE8" w:rsidRPr="00497AE8" w:rsidRDefault="00497AE8" w:rsidP="00497AE8">
            <w:pPr>
              <w:numPr>
                <w:ilvl w:val="0"/>
                <w:numId w:val="1"/>
              </w:numPr>
              <w:tabs>
                <w:tab w:val="clear" w:pos="720"/>
              </w:tabs>
              <w:spacing w:line="180" w:lineRule="atLeast"/>
              <w:ind w:left="216" w:hanging="216"/>
              <w:rPr>
                <w:rFonts w:ascii="Segoe UI" w:eastAsia="MS Mincho" w:hAnsi="Segoe UI" w:cs="Segoe UI"/>
                <w:sz w:val="16"/>
                <w:szCs w:val="16"/>
              </w:rPr>
            </w:pPr>
            <w:r w:rsidRPr="00497AE8">
              <w:rPr>
                <w:rFonts w:ascii="Segoe UI" w:eastAsia="MS Mincho" w:hAnsi="Segoe UI" w:cs="Segoe UI"/>
                <w:sz w:val="16"/>
                <w:szCs w:val="16"/>
              </w:rPr>
              <w:t>Short-run: Allow fiscal automatic stabilizers to run their course. Re</w:t>
            </w:r>
            <w:r w:rsidRPr="00497AE8">
              <w:rPr>
                <w:rFonts w:ascii="Segoe UI" w:eastAsia="MS Mincho" w:hAnsi="Segoe UI" w:cs="Segoe UI"/>
                <w:sz w:val="16"/>
                <w:szCs w:val="16"/>
              </w:rPr>
              <w:noBreakHyphen/>
              <w:t>evaluate the need for monetary and discretionary fiscal tightening, depending on the strength and speed of the moderating effect of private deleveraging on inflation and the current account deficit.</w:t>
            </w:r>
          </w:p>
          <w:p w14:paraId="60BECE33" w14:textId="77777777" w:rsidR="00382DB1" w:rsidRPr="00382DB1" w:rsidRDefault="00382DB1" w:rsidP="00382DB1">
            <w:pPr>
              <w:numPr>
                <w:ilvl w:val="0"/>
                <w:numId w:val="1"/>
              </w:numPr>
              <w:tabs>
                <w:tab w:val="clear" w:pos="720"/>
              </w:tabs>
              <w:spacing w:line="180" w:lineRule="atLeast"/>
              <w:ind w:left="216" w:hanging="216"/>
              <w:rPr>
                <w:rFonts w:ascii="Segoe UI" w:eastAsia="MS Mincho" w:hAnsi="Segoe UI" w:cs="Segoe UI"/>
                <w:sz w:val="16"/>
                <w:szCs w:val="16"/>
              </w:rPr>
            </w:pPr>
            <w:r w:rsidRPr="00382DB1">
              <w:rPr>
                <w:rFonts w:ascii="Segoe UI" w:eastAsia="MS Mincho" w:hAnsi="Segoe UI" w:cs="Segoe UI"/>
                <w:sz w:val="16"/>
                <w:szCs w:val="16"/>
              </w:rPr>
              <w:t>Strengthen bank and NFC balance-sheets through restrictions on the structure of liabilities and higher risk weights or provisioning on lending to NFCs in FX.</w:t>
            </w:r>
          </w:p>
          <w:p w14:paraId="6D7C48E1" w14:textId="12F9533F" w:rsidR="00497AE8" w:rsidRPr="00497AE8" w:rsidRDefault="00382DB1" w:rsidP="00382DB1">
            <w:pPr>
              <w:numPr>
                <w:ilvl w:val="0"/>
                <w:numId w:val="1"/>
              </w:numPr>
              <w:tabs>
                <w:tab w:val="clear" w:pos="720"/>
              </w:tabs>
              <w:spacing w:line="180" w:lineRule="atLeast"/>
              <w:ind w:left="216" w:hanging="216"/>
              <w:rPr>
                <w:rFonts w:ascii="Segoe UI" w:eastAsia="MS Mincho" w:hAnsi="Segoe UI" w:cs="Segoe UI"/>
                <w:sz w:val="16"/>
                <w:szCs w:val="16"/>
              </w:rPr>
            </w:pPr>
            <w:r w:rsidRPr="00382DB1">
              <w:rPr>
                <w:rFonts w:ascii="Segoe UI" w:eastAsia="MS Mincho" w:hAnsi="Segoe UI" w:cs="Segoe UI"/>
                <w:sz w:val="16"/>
                <w:szCs w:val="16"/>
              </w:rPr>
              <w:t>A robust debt</w:t>
            </w:r>
            <w:r w:rsidRPr="00382DB1">
              <w:rPr>
                <w:rFonts w:ascii="Segoe UI" w:eastAsia="MS Mincho" w:hAnsi="Segoe UI" w:cs="Segoe UI"/>
                <w:sz w:val="16"/>
                <w:szCs w:val="16"/>
              </w:rPr>
              <w:noBreakHyphen/>
              <w:t>restructuring framework needs to be put in place.</w:t>
            </w:r>
          </w:p>
        </w:tc>
      </w:tr>
      <w:tr w:rsidR="00497AE8" w:rsidRPr="00497AE8" w14:paraId="5EA17A1F" w14:textId="77777777" w:rsidTr="00497AE8">
        <w:trPr>
          <w:jc w:val="center"/>
        </w:trPr>
        <w:tc>
          <w:tcPr>
            <w:tcW w:w="5000" w:type="pct"/>
            <w:gridSpan w:val="6"/>
          </w:tcPr>
          <w:p w14:paraId="56F3B632" w14:textId="77777777" w:rsidR="00497AE8" w:rsidRPr="00497AE8" w:rsidRDefault="00497AE8" w:rsidP="00497AE8">
            <w:pPr>
              <w:spacing w:line="220" w:lineRule="atLeast"/>
              <w:ind w:left="-25"/>
              <w:rPr>
                <w:rFonts w:ascii="Segoe UI" w:eastAsia="MS Mincho" w:hAnsi="Segoe UI" w:cs="Segoe UI"/>
                <w:sz w:val="16"/>
                <w:szCs w:val="16"/>
              </w:rPr>
            </w:pPr>
            <w:r w:rsidRPr="00497AE8">
              <w:rPr>
                <w:rFonts w:ascii="Segoe UI" w:eastAsia="MS Mincho" w:hAnsi="Segoe UI" w:cs="Segoe UI"/>
                <w:sz w:val="16"/>
                <w:szCs w:val="16"/>
                <w:vertAlign w:val="superscript"/>
              </w:rPr>
              <w:t>1</w:t>
            </w:r>
            <w:r w:rsidRPr="00497AE8">
              <w:rPr>
                <w:rFonts w:ascii="Segoe UI" w:eastAsia="MS Mincho" w:hAnsi="Segoe UI" w:cs="Segoe UI"/>
                <w:sz w:val="16"/>
                <w:szCs w:val="16"/>
              </w:rPr>
              <w:t xml:space="preserve"> The Risk Assessment Matrix (RAM) shows events that could materially alter the baseline path (the scenario most likely to materialize in the view of IMF staff). The relative likelihood is the staff’s subjective assessment of the risks surrounding the baseline (“low” is meant to indicate a probability below 10 percent, “medium” a probability between 10 and 30 percent, and “high” a probability between 30 and 50 percent). The RAM reflects staff views on the source of risks and overall level of concern as of the time of discussions with the authorities. Non-mutually exclusive risks may interact and materialize jointly. “Short term” and “medium term” are meant to indicate that the risk could materialize within 1 year and 3 years, respectively. </w:t>
            </w:r>
          </w:p>
        </w:tc>
      </w:tr>
    </w:tbl>
    <w:p w14:paraId="73D6EEEB" w14:textId="54A96F97" w:rsidR="00497AE8" w:rsidRPr="007729D7" w:rsidRDefault="00497AE8" w:rsidP="007729D7">
      <w:pPr>
        <w:pStyle w:val="Heading1"/>
        <w:numPr>
          <w:ilvl w:val="0"/>
          <w:numId w:val="0"/>
        </w:numPr>
      </w:pPr>
      <w:r w:rsidRPr="007729D7">
        <w:fldChar w:fldCharType="begin"/>
      </w:r>
      <w:r w:rsidRPr="007729D7">
        <w:instrText xml:space="preserve"> TC "</w:instrText>
      </w:r>
      <w:bookmarkStart w:id="167" w:name="_Toc465690027"/>
      <w:bookmarkStart w:id="168" w:name="_Toc465845591"/>
      <w:r w:rsidRPr="007729D7">
        <w:instrText>IV. Previous FSAP Recommendations</w:instrText>
      </w:r>
      <w:bookmarkEnd w:id="167"/>
      <w:bookmarkEnd w:id="168"/>
      <w:r w:rsidRPr="007729D7">
        <w:instrText xml:space="preserve">"\f J </w:instrText>
      </w:r>
      <w:r w:rsidRPr="007729D7">
        <w:fldChar w:fldCharType="end"/>
      </w:r>
      <w:bookmarkStart w:id="169" w:name="_Toc469295364"/>
      <w:r w:rsidRPr="007729D7">
        <w:t>Annex I</w:t>
      </w:r>
      <w:r w:rsidR="007729D7">
        <w:t>II</w:t>
      </w:r>
      <w:r w:rsidRPr="007729D7">
        <w:t>. Previous FSAP Recommendations</w:t>
      </w:r>
      <w:bookmarkEnd w:id="169"/>
    </w:p>
    <w:p w14:paraId="1798B0A6" w14:textId="77777777" w:rsidR="00497AE8" w:rsidRPr="007729D7" w:rsidRDefault="00497AE8" w:rsidP="00497AE8">
      <w:pPr>
        <w:spacing w:line="300" w:lineRule="exact"/>
        <w:rPr>
          <w:rFonts w:eastAsia="MS Mincho"/>
          <w:spacing w:val="-1"/>
        </w:rPr>
      </w:pPr>
      <w:r w:rsidRPr="007729D7">
        <w:rPr>
          <w:rFonts w:eastAsia="MS Mincho"/>
        </w:rPr>
        <w:t xml:space="preserve">The </w:t>
      </w:r>
      <w:r w:rsidRPr="007729D7">
        <w:rPr>
          <w:rFonts w:eastAsia="MS Mincho"/>
          <w:spacing w:val="-1"/>
        </w:rPr>
        <w:t>table below presents</w:t>
      </w:r>
      <w:r w:rsidRPr="007729D7">
        <w:rPr>
          <w:rFonts w:eastAsia="MS Mincho"/>
          <w:spacing w:val="19"/>
        </w:rPr>
        <w:t xml:space="preserve"> </w:t>
      </w:r>
      <w:r w:rsidRPr="007729D7">
        <w:rPr>
          <w:rFonts w:eastAsia="MS Mincho"/>
        </w:rPr>
        <w:t>the</w:t>
      </w:r>
      <w:r w:rsidRPr="007729D7">
        <w:rPr>
          <w:rFonts w:eastAsia="MS Mincho"/>
          <w:spacing w:val="20"/>
        </w:rPr>
        <w:t xml:space="preserve"> </w:t>
      </w:r>
      <w:r w:rsidRPr="007729D7">
        <w:rPr>
          <w:rFonts w:eastAsia="MS Mincho"/>
          <w:spacing w:val="-1"/>
        </w:rPr>
        <w:t>follow-up</w:t>
      </w:r>
      <w:r w:rsidRPr="007729D7">
        <w:rPr>
          <w:rFonts w:eastAsia="MS Mincho"/>
          <w:spacing w:val="18"/>
        </w:rPr>
        <w:t xml:space="preserve"> </w:t>
      </w:r>
      <w:r w:rsidRPr="007729D7">
        <w:rPr>
          <w:rFonts w:eastAsia="MS Mincho"/>
          <w:spacing w:val="-1"/>
        </w:rPr>
        <w:t>actions</w:t>
      </w:r>
      <w:r w:rsidRPr="007729D7">
        <w:rPr>
          <w:rFonts w:eastAsia="MS Mincho"/>
          <w:spacing w:val="19"/>
        </w:rPr>
        <w:t xml:space="preserve"> </w:t>
      </w:r>
      <w:r w:rsidRPr="007729D7">
        <w:rPr>
          <w:rFonts w:eastAsia="MS Mincho"/>
        </w:rPr>
        <w:t>to</w:t>
      </w:r>
      <w:r w:rsidRPr="007729D7">
        <w:rPr>
          <w:rFonts w:eastAsia="MS Mincho"/>
          <w:spacing w:val="18"/>
        </w:rPr>
        <w:t xml:space="preserve"> </w:t>
      </w:r>
      <w:r w:rsidRPr="007729D7">
        <w:rPr>
          <w:rFonts w:eastAsia="MS Mincho"/>
        </w:rPr>
        <w:t>key</w:t>
      </w:r>
      <w:r w:rsidRPr="007729D7">
        <w:rPr>
          <w:rFonts w:eastAsia="MS Mincho"/>
          <w:spacing w:val="11"/>
        </w:rPr>
        <w:t xml:space="preserve"> </w:t>
      </w:r>
      <w:r w:rsidRPr="007729D7">
        <w:rPr>
          <w:rFonts w:eastAsia="MS Mincho"/>
          <w:spacing w:val="-1"/>
        </w:rPr>
        <w:t>recommendations</w:t>
      </w:r>
      <w:r w:rsidRPr="007729D7">
        <w:rPr>
          <w:rFonts w:eastAsia="MS Mincho"/>
          <w:spacing w:val="-2"/>
        </w:rPr>
        <w:t xml:space="preserve"> of the 2011 FSAP</w:t>
      </w:r>
      <w:r w:rsidRPr="007729D7">
        <w:rPr>
          <w:rFonts w:eastAsia="MS Mincho"/>
          <w:spacing w:val="-2"/>
          <w:vertAlign w:val="superscript"/>
        </w:rPr>
        <w:footnoteReference w:id="18"/>
      </w:r>
      <w:r w:rsidRPr="007729D7">
        <w:rPr>
          <w:rFonts w:eastAsia="MS Mincho"/>
          <w:spacing w:val="-1"/>
        </w:rPr>
        <w:t>.</w:t>
      </w:r>
    </w:p>
    <w:tbl>
      <w:tblPr>
        <w:tblStyle w:val="TableGrid3"/>
        <w:tblpPr w:leftFromText="180" w:rightFromText="180" w:vertAnchor="text" w:horzAnchor="margin" w:tblpX="72" w:tblpY="257"/>
        <w:tblW w:w="8995" w:type="dxa"/>
        <w:tblLook w:val="04A0" w:firstRow="1" w:lastRow="0" w:firstColumn="1" w:lastColumn="0" w:noHBand="0" w:noVBand="1"/>
      </w:tblPr>
      <w:tblGrid>
        <w:gridCol w:w="5935"/>
        <w:gridCol w:w="3060"/>
      </w:tblGrid>
      <w:tr w:rsidR="00497AE8" w:rsidRPr="00497AE8" w14:paraId="0F254FCA" w14:textId="77777777" w:rsidTr="00497AE8">
        <w:tc>
          <w:tcPr>
            <w:tcW w:w="5935" w:type="dxa"/>
            <w:shd w:val="clear" w:color="auto" w:fill="auto"/>
          </w:tcPr>
          <w:p w14:paraId="57BD8CC5" w14:textId="77777777" w:rsidR="00497AE8" w:rsidRPr="00497AE8" w:rsidRDefault="00497AE8" w:rsidP="00497AE8">
            <w:pPr>
              <w:widowControl w:val="0"/>
              <w:adjustRightInd w:val="0"/>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b/>
                <w:spacing w:val="-1"/>
                <w:sz w:val="18"/>
                <w:szCs w:val="18"/>
              </w:rPr>
              <w:t>Recommendations</w:t>
            </w:r>
          </w:p>
        </w:tc>
        <w:tc>
          <w:tcPr>
            <w:tcW w:w="3060" w:type="dxa"/>
            <w:shd w:val="clear" w:color="auto" w:fill="auto"/>
          </w:tcPr>
          <w:p w14:paraId="1DCE51D0" w14:textId="77777777" w:rsidR="00497AE8" w:rsidRPr="00497AE8" w:rsidRDefault="00497AE8" w:rsidP="00497AE8">
            <w:pPr>
              <w:widowControl w:val="0"/>
              <w:adjustRightInd w:val="0"/>
              <w:snapToGrid w:val="0"/>
              <w:spacing w:after="120" w:line="220" w:lineRule="exact"/>
              <w:rPr>
                <w:rFonts w:ascii="Segoe UI" w:eastAsia="Times New Roman" w:hAnsi="Segoe UI" w:cs="Segoe UI"/>
                <w:spacing w:val="-1"/>
                <w:sz w:val="18"/>
                <w:szCs w:val="18"/>
              </w:rPr>
            </w:pPr>
            <w:r w:rsidRPr="00497AE8">
              <w:rPr>
                <w:rFonts w:ascii="Segoe UI" w:eastAsiaTheme="minorHAnsi" w:hAnsi="Segoe UI" w:cs="Segoe UI"/>
                <w:b/>
                <w:spacing w:val="-1"/>
                <w:sz w:val="18"/>
                <w:szCs w:val="18"/>
              </w:rPr>
              <w:t>Progress</w:t>
            </w:r>
          </w:p>
        </w:tc>
      </w:tr>
      <w:tr w:rsidR="00497AE8" w:rsidRPr="00497AE8" w14:paraId="3A775142" w14:textId="77777777" w:rsidTr="00497AE8">
        <w:tc>
          <w:tcPr>
            <w:tcW w:w="8995" w:type="dxa"/>
            <w:gridSpan w:val="2"/>
            <w:shd w:val="clear" w:color="auto" w:fill="D9D9D9" w:themeFill="background1" w:themeFillShade="D9"/>
          </w:tcPr>
          <w:p w14:paraId="2572A6D7" w14:textId="77777777" w:rsidR="00497AE8" w:rsidRPr="00497AE8" w:rsidRDefault="00497AE8" w:rsidP="00497AE8">
            <w:pPr>
              <w:widowControl w:val="0"/>
              <w:adjustRightInd w:val="0"/>
              <w:snapToGrid w:val="0"/>
              <w:spacing w:after="120" w:line="220" w:lineRule="exact"/>
              <w:rPr>
                <w:rFonts w:ascii="Segoe UI" w:eastAsia="Times New Roman" w:hAnsi="Segoe UI" w:cs="Segoe UI"/>
                <w:i/>
                <w:spacing w:val="-1"/>
                <w:sz w:val="18"/>
                <w:szCs w:val="18"/>
              </w:rPr>
            </w:pPr>
            <w:r w:rsidRPr="00497AE8">
              <w:rPr>
                <w:rFonts w:ascii="Segoe UI" w:eastAsiaTheme="minorHAnsi" w:hAnsi="Segoe UI" w:cs="Segoe UI"/>
                <w:b/>
                <w:i/>
                <w:spacing w:val="-1"/>
                <w:sz w:val="18"/>
                <w:szCs w:val="18"/>
              </w:rPr>
              <w:t>Overall financial sector oversight</w:t>
            </w:r>
          </w:p>
        </w:tc>
      </w:tr>
      <w:tr w:rsidR="00497AE8" w:rsidRPr="00497AE8" w14:paraId="237FC396" w14:textId="77777777" w:rsidTr="00497AE8">
        <w:tc>
          <w:tcPr>
            <w:tcW w:w="5935" w:type="dxa"/>
            <w:shd w:val="clear" w:color="auto" w:fill="auto"/>
          </w:tcPr>
          <w:p w14:paraId="0E7531F0" w14:textId="77777777" w:rsidR="00497AE8" w:rsidRPr="00497AE8" w:rsidRDefault="00497AE8" w:rsidP="00497AE8">
            <w:pPr>
              <w:widowControl w:val="0"/>
              <w:adjustRightInd w:val="0"/>
              <w:snapToGrid w:val="0"/>
              <w:spacing w:after="120" w:line="220" w:lineRule="exact"/>
              <w:rPr>
                <w:rFonts w:ascii="Segoe UI" w:eastAsia="MS Mincho" w:hAnsi="Segoe UI" w:cs="Segoe UI"/>
                <w:b/>
                <w:spacing w:val="-1"/>
                <w:sz w:val="18"/>
                <w:szCs w:val="18"/>
              </w:rPr>
            </w:pPr>
            <w:r w:rsidRPr="00497AE8">
              <w:rPr>
                <w:rFonts w:ascii="Segoe UI" w:eastAsia="MS Mincho" w:hAnsi="Segoe UI" w:cs="Segoe UI"/>
                <w:spacing w:val="-1"/>
                <w:sz w:val="18"/>
                <w:szCs w:val="18"/>
              </w:rPr>
              <w:t>Consider</w:t>
            </w:r>
            <w:r w:rsidRPr="00497AE8">
              <w:rPr>
                <w:rFonts w:ascii="Segoe UI" w:eastAsia="MS Mincho" w:hAnsi="Segoe UI" w:cs="Segoe UI"/>
                <w:spacing w:val="-2"/>
                <w:sz w:val="18"/>
                <w:szCs w:val="18"/>
              </w:rPr>
              <w:t xml:space="preserve"> </w:t>
            </w:r>
            <w:r w:rsidRPr="00497AE8">
              <w:rPr>
                <w:rFonts w:ascii="Segoe UI" w:eastAsia="MS Mincho" w:hAnsi="Segoe UI" w:cs="Segoe UI"/>
                <w:spacing w:val="-1"/>
                <w:sz w:val="18"/>
                <w:szCs w:val="18"/>
              </w:rPr>
              <w:t>further</w:t>
            </w:r>
            <w:r w:rsidRPr="00497AE8">
              <w:rPr>
                <w:rFonts w:ascii="Segoe UI" w:eastAsia="MS Mincho" w:hAnsi="Segoe UI" w:cs="Segoe UI"/>
                <w:spacing w:val="1"/>
                <w:sz w:val="18"/>
                <w:szCs w:val="18"/>
              </w:rPr>
              <w:t xml:space="preserve"> </w:t>
            </w:r>
            <w:r w:rsidRPr="00497AE8">
              <w:rPr>
                <w:rFonts w:ascii="Segoe UI" w:eastAsia="MS Mincho" w:hAnsi="Segoe UI" w:cs="Segoe UI"/>
                <w:spacing w:val="-1"/>
                <w:sz w:val="18"/>
                <w:szCs w:val="18"/>
              </w:rPr>
              <w:t>prudential</w:t>
            </w:r>
            <w:r w:rsidRPr="00497AE8">
              <w:rPr>
                <w:rFonts w:ascii="Segoe UI" w:eastAsia="MS Mincho" w:hAnsi="Segoe UI" w:cs="Segoe UI"/>
                <w:spacing w:val="27"/>
                <w:sz w:val="18"/>
                <w:szCs w:val="18"/>
              </w:rPr>
              <w:t xml:space="preserve"> </w:t>
            </w:r>
            <w:r w:rsidRPr="00497AE8">
              <w:rPr>
                <w:rFonts w:ascii="Segoe UI" w:eastAsia="MS Mincho" w:hAnsi="Segoe UI" w:cs="Segoe UI"/>
                <w:spacing w:val="-1"/>
                <w:sz w:val="18"/>
                <w:szCs w:val="18"/>
              </w:rPr>
              <w:t>action</w:t>
            </w:r>
            <w:r w:rsidRPr="00497AE8">
              <w:rPr>
                <w:rFonts w:ascii="Segoe UI" w:eastAsia="MS Mincho" w:hAnsi="Segoe UI" w:cs="Segoe UI"/>
                <w:spacing w:val="-3"/>
                <w:sz w:val="18"/>
                <w:szCs w:val="18"/>
              </w:rPr>
              <w:t xml:space="preserve"> </w:t>
            </w:r>
            <w:r w:rsidRPr="00497AE8">
              <w:rPr>
                <w:rFonts w:ascii="Segoe UI" w:eastAsia="MS Mincho" w:hAnsi="Segoe UI" w:cs="Segoe UI"/>
                <w:sz w:val="18"/>
                <w:szCs w:val="18"/>
              </w:rPr>
              <w:t xml:space="preserve">to </w:t>
            </w:r>
            <w:r w:rsidRPr="00497AE8">
              <w:rPr>
                <w:rFonts w:ascii="Segoe UI" w:eastAsia="MS Mincho" w:hAnsi="Segoe UI" w:cs="Segoe UI"/>
                <w:spacing w:val="-1"/>
                <w:sz w:val="18"/>
                <w:szCs w:val="18"/>
              </w:rPr>
              <w:t>ensure</w:t>
            </w:r>
            <w:r w:rsidRPr="00497AE8">
              <w:rPr>
                <w:rFonts w:ascii="Segoe UI" w:eastAsia="MS Mincho" w:hAnsi="Segoe UI" w:cs="Segoe UI"/>
                <w:sz w:val="18"/>
                <w:szCs w:val="18"/>
              </w:rPr>
              <w:t xml:space="preserve"> </w:t>
            </w:r>
            <w:r w:rsidRPr="00497AE8">
              <w:rPr>
                <w:rFonts w:ascii="Segoe UI" w:eastAsia="MS Mincho" w:hAnsi="Segoe UI" w:cs="Segoe UI"/>
                <w:spacing w:val="-1"/>
                <w:sz w:val="18"/>
                <w:szCs w:val="18"/>
              </w:rPr>
              <w:t>strong</w:t>
            </w:r>
            <w:r w:rsidRPr="00497AE8">
              <w:rPr>
                <w:rFonts w:ascii="Segoe UI" w:eastAsia="MS Mincho" w:hAnsi="Segoe UI" w:cs="Segoe UI"/>
                <w:spacing w:val="25"/>
                <w:sz w:val="18"/>
                <w:szCs w:val="18"/>
              </w:rPr>
              <w:t xml:space="preserve"> </w:t>
            </w:r>
            <w:r w:rsidRPr="00497AE8">
              <w:rPr>
                <w:rFonts w:ascii="Segoe UI" w:eastAsia="MS Mincho" w:hAnsi="Segoe UI" w:cs="Segoe UI"/>
                <w:spacing w:val="-1"/>
                <w:sz w:val="18"/>
                <w:szCs w:val="18"/>
              </w:rPr>
              <w:t>capital</w:t>
            </w:r>
            <w:r w:rsidRPr="00497AE8">
              <w:rPr>
                <w:rFonts w:ascii="Segoe UI" w:eastAsia="MS Mincho" w:hAnsi="Segoe UI" w:cs="Segoe UI"/>
                <w:spacing w:val="1"/>
                <w:sz w:val="18"/>
                <w:szCs w:val="18"/>
              </w:rPr>
              <w:t xml:space="preserve"> </w:t>
            </w:r>
            <w:r w:rsidRPr="00497AE8">
              <w:rPr>
                <w:rFonts w:ascii="Segoe UI" w:eastAsia="MS Mincho" w:hAnsi="Segoe UI" w:cs="Segoe UI"/>
                <w:spacing w:val="-1"/>
                <w:sz w:val="18"/>
                <w:szCs w:val="18"/>
              </w:rPr>
              <w:t>positions</w:t>
            </w:r>
            <w:r w:rsidRPr="00497AE8">
              <w:rPr>
                <w:rFonts w:ascii="Segoe UI" w:eastAsia="MS Mincho" w:hAnsi="Segoe UI" w:cs="Segoe UI"/>
                <w:sz w:val="18"/>
                <w:szCs w:val="18"/>
              </w:rPr>
              <w:t xml:space="preserve"> and</w:t>
            </w:r>
            <w:r w:rsidRPr="00497AE8">
              <w:rPr>
                <w:rFonts w:ascii="Segoe UI" w:eastAsia="MS Mincho" w:hAnsi="Segoe UI" w:cs="Segoe UI"/>
                <w:spacing w:val="29"/>
                <w:sz w:val="18"/>
                <w:szCs w:val="18"/>
              </w:rPr>
              <w:t xml:space="preserve"> </w:t>
            </w:r>
            <w:r w:rsidRPr="00497AE8">
              <w:rPr>
                <w:rFonts w:ascii="Segoe UI" w:eastAsia="MS Mincho" w:hAnsi="Segoe UI" w:cs="Segoe UI"/>
                <w:spacing w:val="-1"/>
                <w:sz w:val="18"/>
                <w:szCs w:val="18"/>
              </w:rPr>
              <w:t>stability</w:t>
            </w:r>
            <w:r w:rsidRPr="00497AE8">
              <w:rPr>
                <w:rFonts w:ascii="Segoe UI" w:eastAsia="MS Mincho" w:hAnsi="Segoe UI" w:cs="Segoe UI"/>
                <w:spacing w:val="-3"/>
                <w:sz w:val="18"/>
                <w:szCs w:val="18"/>
              </w:rPr>
              <w:t xml:space="preserve"> </w:t>
            </w:r>
            <w:r w:rsidRPr="00497AE8">
              <w:rPr>
                <w:rFonts w:ascii="Segoe UI" w:eastAsia="MS Mincho" w:hAnsi="Segoe UI" w:cs="Segoe UI"/>
                <w:sz w:val="18"/>
                <w:szCs w:val="18"/>
              </w:rPr>
              <w:t>of</w:t>
            </w:r>
            <w:r w:rsidRPr="00497AE8">
              <w:rPr>
                <w:rFonts w:ascii="Segoe UI" w:eastAsia="MS Mincho" w:hAnsi="Segoe UI" w:cs="Segoe UI"/>
                <w:spacing w:val="-2"/>
                <w:sz w:val="18"/>
                <w:szCs w:val="18"/>
              </w:rPr>
              <w:t xml:space="preserve"> </w:t>
            </w:r>
            <w:r w:rsidRPr="00497AE8">
              <w:rPr>
                <w:rFonts w:ascii="Segoe UI" w:eastAsia="MS Mincho" w:hAnsi="Segoe UI" w:cs="Segoe UI"/>
                <w:spacing w:val="-1"/>
                <w:sz w:val="18"/>
                <w:szCs w:val="18"/>
              </w:rPr>
              <w:t>funding.</w:t>
            </w:r>
          </w:p>
        </w:tc>
        <w:tc>
          <w:tcPr>
            <w:tcW w:w="3060" w:type="dxa"/>
            <w:shd w:val="clear" w:color="auto" w:fill="auto"/>
          </w:tcPr>
          <w:p w14:paraId="41097950" w14:textId="77777777" w:rsidR="00497AE8" w:rsidRPr="00497AE8" w:rsidRDefault="00497AE8" w:rsidP="00497AE8">
            <w:pPr>
              <w:adjustRightInd w:val="0"/>
              <w:snapToGrid w:val="0"/>
              <w:spacing w:after="120" w:line="220" w:lineRule="exact"/>
              <w:rPr>
                <w:rFonts w:ascii="Segoe UI" w:eastAsia="Times New Roman" w:hAnsi="Segoe UI" w:cs="Segoe UI"/>
                <w:spacing w:val="-1"/>
                <w:sz w:val="18"/>
                <w:szCs w:val="18"/>
              </w:rPr>
            </w:pPr>
            <w:r w:rsidRPr="00497AE8">
              <w:rPr>
                <w:rFonts w:ascii="Segoe UI" w:eastAsia="Times New Roman" w:hAnsi="Segoe UI" w:cs="Segoe UI"/>
                <w:spacing w:val="-1"/>
                <w:sz w:val="18"/>
                <w:szCs w:val="18"/>
              </w:rPr>
              <w:t>The BRSA has adopted the various components of Basel II, 2.5 and III according to the framework established by the Basel Committee.</w:t>
            </w:r>
          </w:p>
        </w:tc>
      </w:tr>
      <w:tr w:rsidR="00497AE8" w:rsidRPr="00497AE8" w14:paraId="5446E8C1" w14:textId="77777777" w:rsidTr="00497AE8">
        <w:tc>
          <w:tcPr>
            <w:tcW w:w="5935" w:type="dxa"/>
            <w:shd w:val="clear" w:color="auto" w:fill="auto"/>
          </w:tcPr>
          <w:p w14:paraId="777F1CF1" w14:textId="77777777" w:rsidR="00497AE8" w:rsidRPr="00497AE8" w:rsidRDefault="00497AE8" w:rsidP="00497AE8">
            <w:pPr>
              <w:keepNext/>
              <w:adjustRightInd w:val="0"/>
              <w:snapToGrid w:val="0"/>
              <w:spacing w:after="120" w:line="220" w:lineRule="exact"/>
              <w:rPr>
                <w:rFonts w:ascii="Segoe UI" w:eastAsia="MS Mincho" w:hAnsi="Segoe UI" w:cs="Segoe UI"/>
                <w:bCs/>
                <w:iCs/>
                <w:spacing w:val="-1"/>
                <w:sz w:val="18"/>
                <w:szCs w:val="18"/>
              </w:rPr>
            </w:pPr>
            <w:r w:rsidRPr="00497AE8">
              <w:rPr>
                <w:rFonts w:ascii="Segoe UI" w:eastAsia="MS Mincho" w:hAnsi="Segoe UI" w:cs="Segoe UI"/>
                <w:bCs/>
                <w:iCs/>
                <w:spacing w:val="-1"/>
                <w:sz w:val="18"/>
                <w:szCs w:val="18"/>
              </w:rPr>
              <w:t xml:space="preserve">Ensure data are available to assess the risk from unhedged corporate net short FX positions and take corrective action as necessary. </w:t>
            </w:r>
          </w:p>
        </w:tc>
        <w:tc>
          <w:tcPr>
            <w:tcW w:w="3060" w:type="dxa"/>
            <w:shd w:val="clear" w:color="auto" w:fill="auto"/>
          </w:tcPr>
          <w:p w14:paraId="62864661" w14:textId="77777777" w:rsidR="00497AE8" w:rsidRPr="00497AE8" w:rsidRDefault="00497AE8" w:rsidP="00497AE8">
            <w:pPr>
              <w:widowControl w:val="0"/>
              <w:adjustRightInd w:val="0"/>
              <w:snapToGrid w:val="0"/>
              <w:spacing w:after="120" w:line="220" w:lineRule="exact"/>
              <w:rPr>
                <w:rFonts w:ascii="Segoe UI" w:eastAsia="Times New Roman" w:hAnsi="Segoe UI" w:cs="Segoe UI"/>
                <w:iCs/>
                <w:spacing w:val="-1"/>
                <w:sz w:val="18"/>
                <w:szCs w:val="18"/>
              </w:rPr>
            </w:pPr>
            <w:r w:rsidRPr="00497AE8">
              <w:rPr>
                <w:rFonts w:ascii="Segoe UI" w:eastAsiaTheme="minorHAnsi" w:hAnsi="Segoe UI" w:cs="Segoe UI"/>
                <w:sz w:val="18"/>
                <w:szCs w:val="18"/>
              </w:rPr>
              <w:t>Partly implemented</w:t>
            </w:r>
          </w:p>
        </w:tc>
      </w:tr>
      <w:tr w:rsidR="00497AE8" w:rsidRPr="00497AE8" w14:paraId="2495F111" w14:textId="77777777" w:rsidTr="00497AE8">
        <w:tc>
          <w:tcPr>
            <w:tcW w:w="5935" w:type="dxa"/>
            <w:shd w:val="clear" w:color="auto" w:fill="auto"/>
          </w:tcPr>
          <w:p w14:paraId="3F5C1512" w14:textId="77777777" w:rsidR="00497AE8" w:rsidRPr="00497AE8" w:rsidRDefault="00497AE8" w:rsidP="00497AE8">
            <w:pPr>
              <w:keepNext/>
              <w:adjustRightInd w:val="0"/>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spacing w:val="-1"/>
                <w:sz w:val="18"/>
                <w:szCs w:val="18"/>
              </w:rPr>
              <w:t>Consider further measures to address the risk of worsening lending standards in the consumer and SME segments.</w:t>
            </w:r>
          </w:p>
        </w:tc>
        <w:tc>
          <w:tcPr>
            <w:tcW w:w="3060" w:type="dxa"/>
            <w:shd w:val="clear" w:color="auto" w:fill="auto"/>
          </w:tcPr>
          <w:p w14:paraId="4AA12F07" w14:textId="77777777" w:rsidR="00497AE8" w:rsidRPr="00497AE8" w:rsidRDefault="00497AE8" w:rsidP="00497AE8">
            <w:pPr>
              <w:widowControl w:val="0"/>
              <w:adjustRightInd w:val="0"/>
              <w:snapToGrid w:val="0"/>
              <w:spacing w:after="120" w:line="220" w:lineRule="exact"/>
              <w:rPr>
                <w:rFonts w:asciiTheme="minorHAnsi" w:eastAsia="Times New Roman" w:hAnsiTheme="minorHAnsi" w:cs="Segoe UI"/>
                <w:iCs/>
                <w:spacing w:val="-1"/>
                <w:sz w:val="18"/>
                <w:szCs w:val="18"/>
              </w:rPr>
            </w:pPr>
            <w:r w:rsidRPr="00497AE8">
              <w:rPr>
                <w:rFonts w:ascii="Segoe UI" w:eastAsia="Times New Roman" w:hAnsi="Segoe UI" w:cs="Segoe UI"/>
                <w:iCs/>
                <w:spacing w:val="-1"/>
                <w:sz w:val="18"/>
                <w:szCs w:val="18"/>
              </w:rPr>
              <w:t>Partly implemented</w:t>
            </w:r>
          </w:p>
        </w:tc>
      </w:tr>
      <w:tr w:rsidR="00497AE8" w:rsidRPr="00497AE8" w14:paraId="6D9EE401" w14:textId="77777777" w:rsidTr="00497AE8">
        <w:tc>
          <w:tcPr>
            <w:tcW w:w="5935" w:type="dxa"/>
            <w:shd w:val="clear" w:color="auto" w:fill="auto"/>
          </w:tcPr>
          <w:p w14:paraId="274DE4A1" w14:textId="77777777" w:rsidR="00497AE8" w:rsidRPr="00497AE8" w:rsidRDefault="00497AE8" w:rsidP="00497AE8">
            <w:pPr>
              <w:keepNext/>
              <w:adjustRightInd w:val="0"/>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iCs/>
                <w:spacing w:val="-1"/>
                <w:sz w:val="18"/>
                <w:szCs w:val="18"/>
              </w:rPr>
              <w:t>Develop an approach to risk identification that combines the monitoring of key indicators with qualitative information. Better leverage the expert resources of the BRSA and CBRT by jointly developing databases and modeling frameworks for financial stability analysis.</w:t>
            </w:r>
          </w:p>
        </w:tc>
        <w:tc>
          <w:tcPr>
            <w:tcW w:w="3060" w:type="dxa"/>
            <w:shd w:val="clear" w:color="auto" w:fill="auto"/>
          </w:tcPr>
          <w:p w14:paraId="7248CAF4" w14:textId="77777777" w:rsidR="00497AE8" w:rsidRPr="00497AE8" w:rsidRDefault="00497AE8" w:rsidP="00497AE8">
            <w:pPr>
              <w:keepNext/>
              <w:tabs>
                <w:tab w:val="center" w:pos="4320"/>
                <w:tab w:val="right" w:pos="8640"/>
              </w:tabs>
              <w:adjustRightInd w:val="0"/>
              <w:snapToGrid w:val="0"/>
              <w:spacing w:after="120" w:line="220" w:lineRule="exact"/>
              <w:rPr>
                <w:rFonts w:ascii="Segoe UI" w:eastAsia="Times New Roman" w:hAnsi="Segoe UI" w:cs="Segoe UI"/>
                <w:spacing w:val="-1"/>
                <w:sz w:val="18"/>
                <w:szCs w:val="18"/>
              </w:rPr>
            </w:pPr>
            <w:r w:rsidRPr="00497AE8">
              <w:rPr>
                <w:rFonts w:ascii="Segoe UI" w:eastAsia="Times New Roman" w:hAnsi="Segoe UI" w:cs="Segoe UI"/>
                <w:iCs/>
                <w:spacing w:val="-1"/>
                <w:sz w:val="18"/>
                <w:szCs w:val="18"/>
              </w:rPr>
              <w:t>Partly implemented</w:t>
            </w:r>
          </w:p>
        </w:tc>
      </w:tr>
      <w:tr w:rsidR="00497AE8" w:rsidRPr="00497AE8" w14:paraId="5D9FAA0F" w14:textId="77777777" w:rsidTr="00497AE8">
        <w:tc>
          <w:tcPr>
            <w:tcW w:w="8995" w:type="dxa"/>
            <w:gridSpan w:val="2"/>
            <w:shd w:val="clear" w:color="auto" w:fill="D9D9D9" w:themeFill="background1" w:themeFillShade="D9"/>
          </w:tcPr>
          <w:p w14:paraId="039DF3D3" w14:textId="77777777" w:rsidR="00497AE8" w:rsidRPr="00497AE8" w:rsidRDefault="00497AE8" w:rsidP="00497AE8">
            <w:pPr>
              <w:keepNext/>
              <w:adjustRightInd w:val="0"/>
              <w:snapToGrid w:val="0"/>
              <w:spacing w:after="120" w:line="220" w:lineRule="exact"/>
              <w:rPr>
                <w:rFonts w:ascii="Segoe UI" w:eastAsia="MS Mincho" w:hAnsi="Segoe UI" w:cs="Segoe UI"/>
                <w:b/>
                <w:i/>
                <w:iCs/>
                <w:spacing w:val="-1"/>
                <w:sz w:val="18"/>
                <w:szCs w:val="18"/>
              </w:rPr>
            </w:pPr>
            <w:r w:rsidRPr="00497AE8">
              <w:rPr>
                <w:rFonts w:ascii="Segoe UI" w:eastAsia="MS Mincho" w:hAnsi="Segoe UI" w:cs="Segoe UI"/>
                <w:b/>
                <w:i/>
                <w:iCs/>
                <w:spacing w:val="-1"/>
                <w:sz w:val="18"/>
                <w:szCs w:val="18"/>
              </w:rPr>
              <w:t>Macro-prudential policy framework</w:t>
            </w:r>
          </w:p>
        </w:tc>
      </w:tr>
      <w:tr w:rsidR="00497AE8" w:rsidRPr="00497AE8" w14:paraId="057ECF13" w14:textId="77777777" w:rsidTr="00497AE8">
        <w:tc>
          <w:tcPr>
            <w:tcW w:w="5935" w:type="dxa"/>
            <w:shd w:val="clear" w:color="auto" w:fill="FFFFFF" w:themeFill="background1"/>
          </w:tcPr>
          <w:p w14:paraId="514BFB6F" w14:textId="77777777" w:rsidR="00497AE8" w:rsidRPr="00497AE8" w:rsidRDefault="00497AE8" w:rsidP="00497AE8">
            <w:pPr>
              <w:keepNext/>
              <w:tabs>
                <w:tab w:val="center" w:pos="4320"/>
                <w:tab w:val="right" w:pos="8640"/>
              </w:tabs>
              <w:adjustRightInd w:val="0"/>
              <w:snapToGrid w:val="0"/>
              <w:spacing w:after="120" w:line="220" w:lineRule="exact"/>
              <w:rPr>
                <w:rFonts w:ascii="Segoe UI" w:eastAsia="MS Mincho" w:hAnsi="Segoe UI" w:cs="Segoe UI"/>
                <w:iCs/>
                <w:spacing w:val="-1"/>
                <w:sz w:val="18"/>
                <w:szCs w:val="18"/>
              </w:rPr>
            </w:pPr>
            <w:r w:rsidRPr="00497AE8">
              <w:rPr>
                <w:rFonts w:ascii="Segoe UI" w:eastAsia="MS Mincho" w:hAnsi="Segoe UI" w:cs="Segoe UI"/>
                <w:iCs/>
                <w:spacing w:val="-1"/>
                <w:sz w:val="18"/>
                <w:szCs w:val="18"/>
              </w:rPr>
              <w:t xml:space="preserve">Ensure appropriate communication and accountability of the FSC and strengthen its powers through primary legislation. </w:t>
            </w:r>
          </w:p>
        </w:tc>
        <w:tc>
          <w:tcPr>
            <w:tcW w:w="3060" w:type="dxa"/>
            <w:shd w:val="clear" w:color="auto" w:fill="FFFFFF" w:themeFill="background1"/>
          </w:tcPr>
          <w:p w14:paraId="6AF9A012" w14:textId="77777777" w:rsidR="00497AE8" w:rsidRPr="00497AE8" w:rsidRDefault="00497AE8" w:rsidP="00497AE8">
            <w:pPr>
              <w:keepNext/>
              <w:tabs>
                <w:tab w:val="center" w:pos="4320"/>
                <w:tab w:val="right" w:pos="8640"/>
              </w:tabs>
              <w:adjustRightInd w:val="0"/>
              <w:snapToGrid w:val="0"/>
              <w:spacing w:after="120" w:line="220" w:lineRule="exact"/>
              <w:rPr>
                <w:rFonts w:ascii="Segoe UI" w:eastAsia="MS Mincho" w:hAnsi="Segoe UI" w:cs="Segoe UI"/>
                <w:iCs/>
                <w:spacing w:val="-1"/>
                <w:sz w:val="18"/>
                <w:szCs w:val="18"/>
              </w:rPr>
            </w:pPr>
            <w:r w:rsidRPr="00497AE8">
              <w:rPr>
                <w:rFonts w:ascii="Segoe UI" w:eastAsia="Times New Roman" w:hAnsi="Segoe UI" w:cs="Segoe UI"/>
                <w:iCs/>
                <w:spacing w:val="-1"/>
                <w:sz w:val="18"/>
                <w:szCs w:val="18"/>
              </w:rPr>
              <w:t xml:space="preserve">Partly implemented </w:t>
            </w:r>
          </w:p>
        </w:tc>
      </w:tr>
      <w:tr w:rsidR="00497AE8" w:rsidRPr="00497AE8" w14:paraId="5BD7434E" w14:textId="77777777" w:rsidTr="00497AE8">
        <w:tc>
          <w:tcPr>
            <w:tcW w:w="5935" w:type="dxa"/>
            <w:shd w:val="clear" w:color="auto" w:fill="FFFFFF" w:themeFill="background1"/>
          </w:tcPr>
          <w:p w14:paraId="6CDABB2E" w14:textId="77777777" w:rsidR="00497AE8" w:rsidRPr="00497AE8" w:rsidRDefault="00497AE8" w:rsidP="00497AE8">
            <w:pPr>
              <w:keepNext/>
              <w:adjustRightInd w:val="0"/>
              <w:snapToGrid w:val="0"/>
              <w:spacing w:after="120" w:line="220" w:lineRule="exact"/>
              <w:rPr>
                <w:rFonts w:ascii="Segoe UI" w:eastAsia="MS Mincho" w:hAnsi="Segoe UI" w:cs="Segoe UI"/>
                <w:bCs/>
                <w:iCs/>
                <w:spacing w:val="-1"/>
                <w:sz w:val="18"/>
                <w:szCs w:val="18"/>
              </w:rPr>
            </w:pPr>
            <w:r w:rsidRPr="00497AE8">
              <w:rPr>
                <w:rFonts w:ascii="Segoe UI" w:eastAsia="MS Mincho" w:hAnsi="Segoe UI" w:cs="Segoe UI"/>
                <w:bCs/>
                <w:iCs/>
                <w:spacing w:val="-1"/>
                <w:sz w:val="18"/>
                <w:szCs w:val="18"/>
              </w:rPr>
              <w:t>Consider separating macroprudential policy and crisis management arrangements and ensuring a leading role of the CBRT in systemic risk monitoring and prevention.</w:t>
            </w:r>
          </w:p>
        </w:tc>
        <w:tc>
          <w:tcPr>
            <w:tcW w:w="3060" w:type="dxa"/>
            <w:shd w:val="clear" w:color="auto" w:fill="FFFFFF" w:themeFill="background1"/>
          </w:tcPr>
          <w:p w14:paraId="1E4BC528" w14:textId="77777777" w:rsidR="00497AE8" w:rsidRPr="00497AE8" w:rsidRDefault="00497AE8" w:rsidP="00497AE8">
            <w:pPr>
              <w:keepNext/>
              <w:adjustRightInd w:val="0"/>
              <w:snapToGrid w:val="0"/>
              <w:spacing w:after="120" w:line="220" w:lineRule="exact"/>
              <w:rPr>
                <w:rFonts w:ascii="Segoe UI" w:eastAsia="MS Mincho" w:hAnsi="Segoe UI" w:cs="Segoe UI"/>
                <w:bCs/>
                <w:i/>
                <w:iCs/>
                <w:spacing w:val="-1"/>
                <w:sz w:val="18"/>
                <w:szCs w:val="18"/>
              </w:rPr>
            </w:pPr>
            <w:r w:rsidRPr="00497AE8">
              <w:rPr>
                <w:rFonts w:ascii="Segoe UI" w:eastAsia="MS Mincho" w:hAnsi="Segoe UI" w:cs="Segoe UI"/>
                <w:bCs/>
                <w:iCs/>
                <w:spacing w:val="-1"/>
                <w:sz w:val="18"/>
                <w:szCs w:val="18"/>
              </w:rPr>
              <w:t>Partly implemented</w:t>
            </w:r>
          </w:p>
        </w:tc>
      </w:tr>
      <w:tr w:rsidR="00497AE8" w:rsidRPr="00497AE8" w14:paraId="1FE84B02" w14:textId="77777777" w:rsidTr="00497AE8">
        <w:tc>
          <w:tcPr>
            <w:tcW w:w="8995" w:type="dxa"/>
            <w:gridSpan w:val="2"/>
            <w:shd w:val="clear" w:color="auto" w:fill="D9D9D9" w:themeFill="background1" w:themeFillShade="D9"/>
          </w:tcPr>
          <w:p w14:paraId="6C3DF4E1" w14:textId="77777777" w:rsidR="00497AE8" w:rsidRPr="00497AE8" w:rsidRDefault="00497AE8" w:rsidP="00497AE8">
            <w:pPr>
              <w:keepNext/>
              <w:adjustRightInd w:val="0"/>
              <w:snapToGrid w:val="0"/>
              <w:spacing w:after="120" w:line="220" w:lineRule="exact"/>
              <w:rPr>
                <w:rFonts w:ascii="Segoe UI" w:eastAsia="MS Mincho" w:hAnsi="Segoe UI" w:cs="Segoe UI"/>
                <w:b/>
                <w:i/>
                <w:spacing w:val="-1"/>
                <w:sz w:val="18"/>
                <w:szCs w:val="18"/>
              </w:rPr>
            </w:pPr>
            <w:r w:rsidRPr="00497AE8">
              <w:rPr>
                <w:rFonts w:ascii="Segoe UI" w:eastAsia="MS Mincho" w:hAnsi="Segoe UI" w:cs="Segoe UI"/>
                <w:b/>
                <w:i/>
                <w:spacing w:val="-1"/>
                <w:sz w:val="18"/>
                <w:szCs w:val="18"/>
              </w:rPr>
              <w:t>Micro-prudential</w:t>
            </w:r>
            <w:r w:rsidRPr="00497AE8">
              <w:rPr>
                <w:rFonts w:ascii="Segoe UI" w:eastAsia="MS Mincho" w:hAnsi="Segoe UI" w:cs="Segoe UI"/>
                <w:b/>
                <w:i/>
                <w:spacing w:val="1"/>
                <w:sz w:val="18"/>
                <w:szCs w:val="18"/>
              </w:rPr>
              <w:t xml:space="preserve"> </w:t>
            </w:r>
            <w:r w:rsidRPr="00497AE8">
              <w:rPr>
                <w:rFonts w:ascii="Segoe UI" w:eastAsia="MS Mincho" w:hAnsi="Segoe UI" w:cs="Segoe UI"/>
                <w:b/>
                <w:i/>
                <w:spacing w:val="-1"/>
                <w:sz w:val="18"/>
                <w:szCs w:val="18"/>
              </w:rPr>
              <w:t>regulation and supervision banking</w:t>
            </w:r>
          </w:p>
        </w:tc>
      </w:tr>
      <w:tr w:rsidR="00497AE8" w:rsidRPr="00497AE8" w14:paraId="1615EB60" w14:textId="77777777" w:rsidTr="00497AE8">
        <w:tc>
          <w:tcPr>
            <w:tcW w:w="5935" w:type="dxa"/>
            <w:shd w:val="clear" w:color="auto" w:fill="auto"/>
          </w:tcPr>
          <w:p w14:paraId="2D925B87" w14:textId="77777777" w:rsidR="00497AE8" w:rsidRPr="00497AE8" w:rsidRDefault="00497AE8" w:rsidP="00497AE8">
            <w:pPr>
              <w:keepNext/>
              <w:adjustRightInd w:val="0"/>
              <w:snapToGrid w:val="0"/>
              <w:spacing w:after="120" w:line="220" w:lineRule="exact"/>
              <w:rPr>
                <w:rFonts w:ascii="Segoe UI" w:eastAsia="MS Mincho" w:hAnsi="Segoe UI" w:cs="Segoe UI"/>
                <w:b/>
                <w:spacing w:val="-1"/>
                <w:sz w:val="18"/>
                <w:szCs w:val="18"/>
              </w:rPr>
            </w:pPr>
            <w:r w:rsidRPr="00497AE8">
              <w:rPr>
                <w:rFonts w:ascii="Segoe UI" w:eastAsia="MS Mincho" w:hAnsi="Segoe UI" w:cs="Segoe UI"/>
                <w:spacing w:val="-1"/>
                <w:sz w:val="18"/>
                <w:szCs w:val="18"/>
              </w:rPr>
              <w:t>Review and revise key aspects of the supervisory and regulatory framework to bring it fully into line with the Basel framework, especially as regards the supervision of key risks and the definition of capital.</w:t>
            </w:r>
          </w:p>
        </w:tc>
        <w:tc>
          <w:tcPr>
            <w:tcW w:w="3060" w:type="dxa"/>
            <w:shd w:val="clear" w:color="auto" w:fill="auto"/>
          </w:tcPr>
          <w:p w14:paraId="62CE0EAD" w14:textId="77777777" w:rsidR="00497AE8" w:rsidRPr="00497AE8" w:rsidRDefault="00497AE8" w:rsidP="00497AE8">
            <w:pPr>
              <w:widowControl w:val="0"/>
              <w:adjustRightInd w:val="0"/>
              <w:snapToGrid w:val="0"/>
              <w:spacing w:after="120" w:line="220" w:lineRule="exact"/>
              <w:rPr>
                <w:rFonts w:asciiTheme="minorHAnsi" w:eastAsiaTheme="minorHAnsi" w:hAnsiTheme="minorHAnsi" w:cs="Segoe UI"/>
                <w:b/>
                <w:i/>
                <w:spacing w:val="-1"/>
                <w:sz w:val="18"/>
                <w:szCs w:val="18"/>
              </w:rPr>
            </w:pPr>
            <w:r w:rsidRPr="00497AE8">
              <w:rPr>
                <w:rFonts w:ascii="Segoe UI" w:eastAsiaTheme="minorHAnsi" w:hAnsi="Segoe UI" w:cs="Segoe UI"/>
                <w:spacing w:val="-1"/>
                <w:sz w:val="18"/>
                <w:szCs w:val="18"/>
              </w:rPr>
              <w:t xml:space="preserve">Implemented  </w:t>
            </w:r>
          </w:p>
        </w:tc>
      </w:tr>
      <w:tr w:rsidR="00497AE8" w:rsidRPr="00497AE8" w14:paraId="048172C9" w14:textId="77777777" w:rsidTr="00497AE8">
        <w:tc>
          <w:tcPr>
            <w:tcW w:w="5935" w:type="dxa"/>
            <w:shd w:val="clear" w:color="auto" w:fill="auto"/>
          </w:tcPr>
          <w:p w14:paraId="61F38442" w14:textId="77777777" w:rsidR="00497AE8" w:rsidRPr="00497AE8" w:rsidRDefault="00497AE8" w:rsidP="00497AE8">
            <w:pPr>
              <w:keepNext/>
              <w:adjustRightInd w:val="0"/>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spacing w:val="-1"/>
                <w:sz w:val="18"/>
                <w:szCs w:val="18"/>
              </w:rPr>
              <w:t>Implement consolidated banking supervision and enhance the coverage of risks emanating from non- banking entities in the group.</w:t>
            </w:r>
          </w:p>
        </w:tc>
        <w:tc>
          <w:tcPr>
            <w:tcW w:w="3060" w:type="dxa"/>
            <w:shd w:val="clear" w:color="auto" w:fill="auto"/>
          </w:tcPr>
          <w:p w14:paraId="5625D5A1" w14:textId="77777777" w:rsidR="00497AE8" w:rsidRPr="00497AE8" w:rsidRDefault="00497AE8" w:rsidP="00497AE8">
            <w:pPr>
              <w:widowControl w:val="0"/>
              <w:adjustRightInd w:val="0"/>
              <w:snapToGrid w:val="0"/>
              <w:spacing w:after="120" w:line="220" w:lineRule="exact"/>
              <w:rPr>
                <w:rFonts w:asciiTheme="minorHAnsi" w:eastAsia="Times New Roman" w:hAnsiTheme="minorHAnsi" w:cs="Segoe UI"/>
                <w:spacing w:val="-1"/>
                <w:sz w:val="18"/>
                <w:szCs w:val="18"/>
              </w:rPr>
            </w:pPr>
            <w:r w:rsidRPr="00497AE8">
              <w:rPr>
                <w:rFonts w:ascii="Segoe UI" w:eastAsia="Times New Roman" w:hAnsi="Segoe UI" w:cs="Segoe UI"/>
                <w:spacing w:val="-1"/>
                <w:sz w:val="18"/>
                <w:szCs w:val="18"/>
              </w:rPr>
              <w:t xml:space="preserve">Partly implemented </w:t>
            </w:r>
          </w:p>
        </w:tc>
      </w:tr>
      <w:tr w:rsidR="00497AE8" w:rsidRPr="00497AE8" w14:paraId="3A97B3DB" w14:textId="77777777" w:rsidTr="00497AE8">
        <w:tc>
          <w:tcPr>
            <w:tcW w:w="5935" w:type="dxa"/>
            <w:shd w:val="clear" w:color="auto" w:fill="auto"/>
          </w:tcPr>
          <w:p w14:paraId="751D2EB5" w14:textId="77777777" w:rsidR="00497AE8" w:rsidRPr="00497AE8" w:rsidRDefault="00497AE8" w:rsidP="00497AE8">
            <w:pPr>
              <w:keepNext/>
              <w:adjustRightInd w:val="0"/>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spacing w:val="-1"/>
                <w:sz w:val="18"/>
                <w:szCs w:val="18"/>
              </w:rPr>
              <w:t>Revise the Banking Law to enhance the operational and organizational autonomy of the BRSA for banking supervision.</w:t>
            </w:r>
          </w:p>
        </w:tc>
        <w:tc>
          <w:tcPr>
            <w:tcW w:w="3060" w:type="dxa"/>
            <w:shd w:val="clear" w:color="auto" w:fill="auto"/>
          </w:tcPr>
          <w:p w14:paraId="7B95BD9A" w14:textId="77777777" w:rsidR="00497AE8" w:rsidRPr="00497AE8" w:rsidRDefault="00497AE8" w:rsidP="00497AE8">
            <w:pPr>
              <w:widowControl w:val="0"/>
              <w:adjustRightInd w:val="0"/>
              <w:snapToGrid w:val="0"/>
              <w:spacing w:after="120" w:line="220" w:lineRule="exact"/>
              <w:rPr>
                <w:rFonts w:asciiTheme="minorHAnsi" w:eastAsiaTheme="minorHAnsi" w:hAnsiTheme="minorHAnsi" w:cs="Segoe UI"/>
                <w:bCs/>
                <w:spacing w:val="-1"/>
                <w:sz w:val="18"/>
                <w:szCs w:val="18"/>
              </w:rPr>
            </w:pPr>
            <w:r w:rsidRPr="00497AE8">
              <w:rPr>
                <w:rFonts w:ascii="Segoe UI" w:eastAsiaTheme="minorHAnsi" w:hAnsi="Segoe UI" w:cs="Segoe UI"/>
                <w:bCs/>
                <w:spacing w:val="-1"/>
                <w:sz w:val="18"/>
                <w:szCs w:val="18"/>
              </w:rPr>
              <w:t>Not implemented</w:t>
            </w:r>
          </w:p>
        </w:tc>
      </w:tr>
      <w:tr w:rsidR="00497AE8" w:rsidRPr="00497AE8" w14:paraId="50DEB323" w14:textId="77777777" w:rsidTr="00497AE8">
        <w:tc>
          <w:tcPr>
            <w:tcW w:w="8995" w:type="dxa"/>
            <w:gridSpan w:val="2"/>
            <w:shd w:val="clear" w:color="auto" w:fill="D9D9D9" w:themeFill="background1" w:themeFillShade="D9"/>
          </w:tcPr>
          <w:p w14:paraId="68DBBC96" w14:textId="77777777" w:rsidR="00497AE8" w:rsidRPr="00497AE8" w:rsidRDefault="00497AE8" w:rsidP="00497AE8">
            <w:pPr>
              <w:keepNext/>
              <w:adjustRightInd w:val="0"/>
              <w:snapToGrid w:val="0"/>
              <w:spacing w:after="120" w:line="220" w:lineRule="exact"/>
              <w:rPr>
                <w:rFonts w:ascii="Segoe UI" w:eastAsia="MS Mincho" w:hAnsi="Segoe UI" w:cs="Segoe UI"/>
                <w:b/>
                <w:i/>
                <w:spacing w:val="-1"/>
                <w:sz w:val="18"/>
                <w:szCs w:val="18"/>
              </w:rPr>
            </w:pPr>
            <w:r w:rsidRPr="00497AE8">
              <w:rPr>
                <w:rFonts w:ascii="Segoe UI" w:eastAsia="MS Mincho" w:hAnsi="Segoe UI" w:cs="Segoe UI"/>
                <w:b/>
                <w:i/>
                <w:spacing w:val="-1"/>
                <w:sz w:val="18"/>
                <w:szCs w:val="18"/>
              </w:rPr>
              <w:t>Micro-prudential</w:t>
            </w:r>
            <w:r w:rsidRPr="00497AE8">
              <w:rPr>
                <w:rFonts w:ascii="Segoe UI" w:eastAsia="MS Mincho" w:hAnsi="Segoe UI" w:cs="Segoe UI"/>
                <w:b/>
                <w:i/>
                <w:spacing w:val="1"/>
                <w:sz w:val="18"/>
                <w:szCs w:val="18"/>
              </w:rPr>
              <w:t xml:space="preserve"> </w:t>
            </w:r>
            <w:r w:rsidRPr="00497AE8">
              <w:rPr>
                <w:rFonts w:ascii="Segoe UI" w:eastAsia="MS Mincho" w:hAnsi="Segoe UI" w:cs="Segoe UI"/>
                <w:b/>
                <w:i/>
                <w:spacing w:val="-1"/>
                <w:sz w:val="18"/>
                <w:szCs w:val="18"/>
              </w:rPr>
              <w:t>regulation and supervision-insurance</w:t>
            </w:r>
          </w:p>
        </w:tc>
      </w:tr>
      <w:tr w:rsidR="00497AE8" w:rsidRPr="00497AE8" w14:paraId="35AA6828" w14:textId="77777777" w:rsidTr="00497AE8">
        <w:tc>
          <w:tcPr>
            <w:tcW w:w="5935" w:type="dxa"/>
            <w:shd w:val="clear" w:color="auto" w:fill="auto"/>
          </w:tcPr>
          <w:p w14:paraId="0A8B2E18" w14:textId="77777777" w:rsidR="00497AE8" w:rsidRPr="00497AE8" w:rsidRDefault="00497AE8" w:rsidP="00497AE8">
            <w:pPr>
              <w:keepNext/>
              <w:adjustRightInd w:val="0"/>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spacing w:val="-1"/>
                <w:sz w:val="18"/>
                <w:szCs w:val="18"/>
              </w:rPr>
              <w:t>Reform the current insurance regulation and supervision processes by making them more transparent, consultative, and accountable to the industry.</w:t>
            </w:r>
          </w:p>
        </w:tc>
        <w:tc>
          <w:tcPr>
            <w:tcW w:w="3060" w:type="dxa"/>
            <w:shd w:val="clear" w:color="auto" w:fill="auto"/>
          </w:tcPr>
          <w:p w14:paraId="1874032C" w14:textId="77777777" w:rsidR="00497AE8" w:rsidRPr="00497AE8" w:rsidRDefault="00497AE8" w:rsidP="00497AE8">
            <w:pPr>
              <w:widowControl w:val="0"/>
              <w:adjustRightInd w:val="0"/>
              <w:snapToGrid w:val="0"/>
              <w:spacing w:after="120" w:line="220" w:lineRule="exact"/>
              <w:rPr>
                <w:rFonts w:asciiTheme="minorHAnsi" w:eastAsiaTheme="minorHAnsi" w:hAnsiTheme="minorHAnsi" w:cs="Segoe UI"/>
                <w:b/>
                <w:i/>
                <w:spacing w:val="-1"/>
                <w:sz w:val="18"/>
                <w:szCs w:val="18"/>
              </w:rPr>
            </w:pPr>
            <w:r w:rsidRPr="00497AE8">
              <w:rPr>
                <w:rFonts w:ascii="Segoe UI" w:eastAsia="MS Mincho" w:hAnsi="Segoe UI" w:cs="Segoe UI"/>
                <w:snapToGrid w:val="0"/>
                <w:color w:val="000000"/>
                <w:sz w:val="18"/>
                <w:szCs w:val="18"/>
              </w:rPr>
              <w:t>Partly implemented</w:t>
            </w:r>
          </w:p>
        </w:tc>
      </w:tr>
      <w:tr w:rsidR="00497AE8" w:rsidRPr="00497AE8" w14:paraId="29572751" w14:textId="77777777" w:rsidTr="00497AE8">
        <w:tc>
          <w:tcPr>
            <w:tcW w:w="5935" w:type="dxa"/>
            <w:shd w:val="clear" w:color="auto" w:fill="auto"/>
          </w:tcPr>
          <w:p w14:paraId="656A90B5" w14:textId="77777777" w:rsidR="00497AE8" w:rsidRPr="00497AE8" w:rsidRDefault="00497AE8" w:rsidP="00497AE8">
            <w:pPr>
              <w:keepNext/>
              <w:adjustRightInd w:val="0"/>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spacing w:val="-1"/>
                <w:sz w:val="18"/>
                <w:szCs w:val="18"/>
              </w:rPr>
              <w:t>Improve the “early warning” system for the required solvency margin.</w:t>
            </w:r>
          </w:p>
        </w:tc>
        <w:tc>
          <w:tcPr>
            <w:tcW w:w="3060" w:type="dxa"/>
            <w:shd w:val="clear" w:color="auto" w:fill="auto"/>
          </w:tcPr>
          <w:p w14:paraId="443E6936" w14:textId="77777777" w:rsidR="00497AE8" w:rsidRPr="00497AE8" w:rsidRDefault="00497AE8" w:rsidP="00497AE8">
            <w:pPr>
              <w:widowControl w:val="0"/>
              <w:adjustRightInd w:val="0"/>
              <w:snapToGrid w:val="0"/>
              <w:spacing w:after="120" w:line="220" w:lineRule="exact"/>
              <w:ind w:right="97"/>
              <w:rPr>
                <w:rFonts w:asciiTheme="minorHAnsi" w:eastAsia="Times New Roman" w:hAnsiTheme="minorHAnsi" w:cs="Segoe UI"/>
                <w:spacing w:val="-1"/>
                <w:sz w:val="18"/>
                <w:szCs w:val="18"/>
              </w:rPr>
            </w:pPr>
            <w:r w:rsidRPr="00497AE8">
              <w:rPr>
                <w:rFonts w:ascii="Segoe UI" w:eastAsia="Times New Roman" w:hAnsi="Segoe UI" w:cs="Segoe UI"/>
                <w:spacing w:val="-1"/>
                <w:sz w:val="18"/>
                <w:szCs w:val="18"/>
              </w:rPr>
              <w:t>Implemented</w:t>
            </w:r>
          </w:p>
        </w:tc>
      </w:tr>
      <w:tr w:rsidR="00497AE8" w:rsidRPr="00497AE8" w14:paraId="12ED9183" w14:textId="77777777" w:rsidTr="00497AE8">
        <w:tc>
          <w:tcPr>
            <w:tcW w:w="5935" w:type="dxa"/>
            <w:shd w:val="clear" w:color="auto" w:fill="auto"/>
          </w:tcPr>
          <w:p w14:paraId="0F8C1B15" w14:textId="77777777" w:rsidR="00497AE8" w:rsidRPr="00497AE8" w:rsidRDefault="00497AE8" w:rsidP="00497AE8">
            <w:pPr>
              <w:widowControl w:val="0"/>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spacing w:val="-1"/>
                <w:sz w:val="19"/>
                <w:szCs w:val="19"/>
              </w:rPr>
              <w:t>Transfer the responsibilities for insurance regulation and supervision to an independent integrated insurance supervisory body.</w:t>
            </w:r>
          </w:p>
        </w:tc>
        <w:tc>
          <w:tcPr>
            <w:tcW w:w="3060" w:type="dxa"/>
            <w:shd w:val="clear" w:color="auto" w:fill="auto"/>
          </w:tcPr>
          <w:p w14:paraId="0CF7A124" w14:textId="77777777" w:rsidR="00497AE8" w:rsidRPr="00497AE8" w:rsidRDefault="00497AE8" w:rsidP="00497AE8">
            <w:pPr>
              <w:widowControl w:val="0"/>
              <w:snapToGrid w:val="0"/>
              <w:spacing w:after="120" w:line="220" w:lineRule="exact"/>
              <w:rPr>
                <w:rFonts w:ascii="Segoe UI" w:eastAsia="Times New Roman" w:hAnsi="Segoe UI" w:cs="Segoe UI"/>
                <w:spacing w:val="-1"/>
                <w:sz w:val="18"/>
                <w:szCs w:val="18"/>
              </w:rPr>
            </w:pPr>
            <w:r w:rsidRPr="00497AE8">
              <w:rPr>
                <w:rFonts w:ascii="Segoe UI" w:eastAsiaTheme="minorHAnsi" w:hAnsi="Segoe UI" w:cs="Segoe UI"/>
                <w:bCs/>
                <w:spacing w:val="-1"/>
                <w:sz w:val="19"/>
                <w:szCs w:val="19"/>
              </w:rPr>
              <w:t>Not implemented</w:t>
            </w:r>
          </w:p>
        </w:tc>
      </w:tr>
    </w:tbl>
    <w:p w14:paraId="3EF4013E" w14:textId="77777777" w:rsidR="00497AE8" w:rsidRPr="00497AE8" w:rsidRDefault="00497AE8" w:rsidP="00497AE8">
      <w:pPr>
        <w:spacing w:line="300" w:lineRule="exact"/>
        <w:rPr>
          <w:rFonts w:ascii="Segoe UI" w:eastAsia="MS Mincho" w:hAnsi="Segoe UI"/>
          <w:sz w:val="21"/>
        </w:rPr>
      </w:pPr>
      <w:r w:rsidRPr="00497AE8">
        <w:rPr>
          <w:rFonts w:ascii="Segoe UI" w:eastAsia="MS Mincho" w:hAnsi="Segoe UI"/>
          <w:sz w:val="21"/>
        </w:rPr>
        <w:br w:type="page"/>
      </w:r>
    </w:p>
    <w:tbl>
      <w:tblPr>
        <w:tblStyle w:val="TableGrid3"/>
        <w:tblpPr w:leftFromText="180" w:rightFromText="180" w:vertAnchor="text" w:horzAnchor="margin" w:tblpX="72" w:tblpY="257"/>
        <w:tblW w:w="8995" w:type="dxa"/>
        <w:tblLook w:val="04A0" w:firstRow="1" w:lastRow="0" w:firstColumn="1" w:lastColumn="0" w:noHBand="0" w:noVBand="1"/>
      </w:tblPr>
      <w:tblGrid>
        <w:gridCol w:w="5935"/>
        <w:gridCol w:w="3060"/>
      </w:tblGrid>
      <w:tr w:rsidR="00497AE8" w:rsidRPr="00497AE8" w14:paraId="0E4A1BB5" w14:textId="77777777" w:rsidTr="00497AE8">
        <w:tc>
          <w:tcPr>
            <w:tcW w:w="5935" w:type="dxa"/>
            <w:shd w:val="clear" w:color="auto" w:fill="auto"/>
          </w:tcPr>
          <w:p w14:paraId="31E07945" w14:textId="77777777" w:rsidR="00497AE8" w:rsidRPr="00497AE8" w:rsidRDefault="00497AE8" w:rsidP="00497AE8">
            <w:pPr>
              <w:widowControl w:val="0"/>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b/>
                <w:spacing w:val="-1"/>
                <w:sz w:val="18"/>
                <w:szCs w:val="18"/>
              </w:rPr>
              <w:t>Recommendations</w:t>
            </w:r>
          </w:p>
        </w:tc>
        <w:tc>
          <w:tcPr>
            <w:tcW w:w="3060" w:type="dxa"/>
            <w:shd w:val="clear" w:color="auto" w:fill="auto"/>
          </w:tcPr>
          <w:p w14:paraId="0B992C6D" w14:textId="77777777" w:rsidR="00497AE8" w:rsidRPr="00497AE8" w:rsidRDefault="00497AE8" w:rsidP="00497AE8">
            <w:pPr>
              <w:widowControl w:val="0"/>
              <w:snapToGrid w:val="0"/>
              <w:spacing w:after="120" w:line="220" w:lineRule="exact"/>
              <w:rPr>
                <w:rFonts w:ascii="Segoe UI" w:eastAsia="Times New Roman" w:hAnsi="Segoe UI" w:cs="Segoe UI"/>
                <w:spacing w:val="-1"/>
                <w:sz w:val="18"/>
                <w:szCs w:val="18"/>
              </w:rPr>
            </w:pPr>
            <w:r w:rsidRPr="00497AE8">
              <w:rPr>
                <w:rFonts w:ascii="Segoe UI" w:eastAsiaTheme="minorHAnsi" w:hAnsi="Segoe UI" w:cs="Segoe UI"/>
                <w:b/>
                <w:spacing w:val="-1"/>
                <w:sz w:val="18"/>
                <w:szCs w:val="18"/>
              </w:rPr>
              <w:t>Progress</w:t>
            </w:r>
          </w:p>
        </w:tc>
      </w:tr>
      <w:tr w:rsidR="00497AE8" w:rsidRPr="00497AE8" w14:paraId="72EF7AC5" w14:textId="77777777" w:rsidTr="00497AE8">
        <w:tc>
          <w:tcPr>
            <w:tcW w:w="8995" w:type="dxa"/>
            <w:gridSpan w:val="2"/>
            <w:shd w:val="clear" w:color="auto" w:fill="D9D9D9" w:themeFill="background1" w:themeFillShade="D9"/>
          </w:tcPr>
          <w:p w14:paraId="4C159484" w14:textId="77777777" w:rsidR="00497AE8" w:rsidRPr="00497AE8" w:rsidRDefault="00497AE8" w:rsidP="00497AE8">
            <w:pPr>
              <w:keepNext/>
              <w:snapToGrid w:val="0"/>
              <w:spacing w:after="120" w:line="220" w:lineRule="exact"/>
              <w:rPr>
                <w:rFonts w:ascii="Segoe UI" w:eastAsia="MS Mincho" w:hAnsi="Segoe UI" w:cs="Segoe UI"/>
                <w:b/>
                <w:i/>
                <w:spacing w:val="-1"/>
                <w:sz w:val="18"/>
                <w:szCs w:val="18"/>
              </w:rPr>
            </w:pPr>
            <w:r w:rsidRPr="00497AE8">
              <w:rPr>
                <w:rFonts w:ascii="Segoe UI" w:eastAsia="MS Mincho" w:hAnsi="Segoe UI" w:cs="Segoe UI"/>
                <w:b/>
                <w:i/>
                <w:spacing w:val="-1"/>
                <w:sz w:val="18"/>
                <w:szCs w:val="18"/>
              </w:rPr>
              <w:t>Anti-money</w:t>
            </w:r>
            <w:r w:rsidRPr="00497AE8">
              <w:rPr>
                <w:rFonts w:ascii="Segoe UI" w:eastAsia="MS Mincho" w:hAnsi="Segoe UI" w:cs="Segoe UI"/>
                <w:b/>
                <w:i/>
                <w:sz w:val="18"/>
                <w:szCs w:val="18"/>
              </w:rPr>
              <w:t xml:space="preserve"> </w:t>
            </w:r>
            <w:r w:rsidRPr="00497AE8">
              <w:rPr>
                <w:rFonts w:ascii="Segoe UI" w:eastAsia="MS Mincho" w:hAnsi="Segoe UI" w:cs="Segoe UI"/>
                <w:b/>
                <w:i/>
                <w:spacing w:val="-1"/>
                <w:sz w:val="18"/>
                <w:szCs w:val="18"/>
              </w:rPr>
              <w:t>laundering</w:t>
            </w:r>
            <w:r w:rsidRPr="00497AE8">
              <w:rPr>
                <w:rFonts w:ascii="Segoe UI" w:eastAsia="MS Mincho" w:hAnsi="Segoe UI" w:cs="Segoe UI"/>
                <w:b/>
                <w:i/>
                <w:sz w:val="18"/>
                <w:szCs w:val="18"/>
              </w:rPr>
              <w:t xml:space="preserve"> </w:t>
            </w:r>
            <w:r w:rsidRPr="00497AE8">
              <w:rPr>
                <w:rFonts w:ascii="Segoe UI" w:eastAsia="MS Mincho" w:hAnsi="Segoe UI" w:cs="Segoe UI"/>
                <w:b/>
                <w:i/>
                <w:spacing w:val="-1"/>
                <w:sz w:val="18"/>
                <w:szCs w:val="18"/>
              </w:rPr>
              <w:t>(AML)</w:t>
            </w:r>
            <w:r w:rsidRPr="00497AE8">
              <w:rPr>
                <w:rFonts w:ascii="Segoe UI" w:eastAsia="MS Mincho" w:hAnsi="Segoe UI" w:cs="Segoe UI"/>
                <w:b/>
                <w:i/>
                <w:spacing w:val="1"/>
                <w:sz w:val="18"/>
                <w:szCs w:val="18"/>
              </w:rPr>
              <w:t xml:space="preserve"> </w:t>
            </w:r>
            <w:r w:rsidRPr="00497AE8">
              <w:rPr>
                <w:rFonts w:ascii="Segoe UI" w:eastAsia="MS Mincho" w:hAnsi="Segoe UI" w:cs="Segoe UI"/>
                <w:b/>
                <w:i/>
                <w:sz w:val="18"/>
                <w:szCs w:val="18"/>
              </w:rPr>
              <w:t>/</w:t>
            </w:r>
            <w:r w:rsidRPr="00497AE8">
              <w:rPr>
                <w:rFonts w:ascii="Segoe UI" w:eastAsia="MS Mincho" w:hAnsi="Segoe UI" w:cs="Segoe UI"/>
                <w:b/>
                <w:i/>
                <w:spacing w:val="1"/>
                <w:sz w:val="18"/>
                <w:szCs w:val="18"/>
              </w:rPr>
              <w:t xml:space="preserve"> </w:t>
            </w:r>
            <w:r w:rsidRPr="00497AE8">
              <w:rPr>
                <w:rFonts w:ascii="Segoe UI" w:eastAsia="MS Mincho" w:hAnsi="Segoe UI" w:cs="Segoe UI"/>
                <w:b/>
                <w:i/>
                <w:spacing w:val="-1"/>
                <w:sz w:val="18"/>
                <w:szCs w:val="18"/>
              </w:rPr>
              <w:t>Combating</w:t>
            </w:r>
            <w:r w:rsidRPr="00497AE8">
              <w:rPr>
                <w:rFonts w:ascii="Segoe UI" w:eastAsia="MS Mincho" w:hAnsi="Segoe UI" w:cs="Segoe UI"/>
                <w:b/>
                <w:i/>
                <w:spacing w:val="-3"/>
                <w:sz w:val="18"/>
                <w:szCs w:val="18"/>
              </w:rPr>
              <w:t xml:space="preserve"> </w:t>
            </w:r>
            <w:r w:rsidRPr="00497AE8">
              <w:rPr>
                <w:rFonts w:ascii="Segoe UI" w:eastAsia="MS Mincho" w:hAnsi="Segoe UI" w:cs="Segoe UI"/>
                <w:b/>
                <w:i/>
                <w:spacing w:val="-1"/>
                <w:sz w:val="18"/>
                <w:szCs w:val="18"/>
              </w:rPr>
              <w:t>the</w:t>
            </w:r>
            <w:r w:rsidRPr="00497AE8">
              <w:rPr>
                <w:rFonts w:ascii="Segoe UI" w:eastAsia="MS Mincho" w:hAnsi="Segoe UI" w:cs="Segoe UI"/>
                <w:b/>
                <w:i/>
                <w:spacing w:val="-2"/>
                <w:sz w:val="18"/>
                <w:szCs w:val="18"/>
              </w:rPr>
              <w:t xml:space="preserve"> </w:t>
            </w:r>
            <w:r w:rsidRPr="00497AE8">
              <w:rPr>
                <w:rFonts w:ascii="Segoe UI" w:eastAsia="MS Mincho" w:hAnsi="Segoe UI" w:cs="Segoe UI"/>
                <w:b/>
                <w:i/>
                <w:spacing w:val="-1"/>
                <w:sz w:val="18"/>
                <w:szCs w:val="18"/>
              </w:rPr>
              <w:t>financing</w:t>
            </w:r>
            <w:r w:rsidRPr="00497AE8">
              <w:rPr>
                <w:rFonts w:ascii="Segoe UI" w:eastAsia="MS Mincho" w:hAnsi="Segoe UI" w:cs="Segoe UI"/>
                <w:b/>
                <w:i/>
                <w:sz w:val="18"/>
                <w:szCs w:val="18"/>
              </w:rPr>
              <w:t xml:space="preserve"> </w:t>
            </w:r>
            <w:r w:rsidRPr="00497AE8">
              <w:rPr>
                <w:rFonts w:ascii="Segoe UI" w:eastAsia="MS Mincho" w:hAnsi="Segoe UI" w:cs="Segoe UI"/>
                <w:b/>
                <w:i/>
                <w:spacing w:val="-2"/>
                <w:sz w:val="18"/>
                <w:szCs w:val="18"/>
              </w:rPr>
              <w:t>of</w:t>
            </w:r>
            <w:r w:rsidRPr="00497AE8">
              <w:rPr>
                <w:rFonts w:ascii="Segoe UI" w:eastAsia="MS Mincho" w:hAnsi="Segoe UI" w:cs="Segoe UI"/>
                <w:b/>
                <w:i/>
                <w:spacing w:val="1"/>
                <w:sz w:val="18"/>
                <w:szCs w:val="18"/>
              </w:rPr>
              <w:t xml:space="preserve"> </w:t>
            </w:r>
            <w:r w:rsidRPr="00497AE8">
              <w:rPr>
                <w:rFonts w:ascii="Segoe UI" w:eastAsia="MS Mincho" w:hAnsi="Segoe UI" w:cs="Segoe UI"/>
                <w:b/>
                <w:i/>
                <w:spacing w:val="-1"/>
                <w:sz w:val="18"/>
                <w:szCs w:val="18"/>
              </w:rPr>
              <w:t>terrorism</w:t>
            </w:r>
            <w:r w:rsidRPr="00497AE8">
              <w:rPr>
                <w:rFonts w:ascii="Segoe UI" w:eastAsia="MS Mincho" w:hAnsi="Segoe UI" w:cs="Segoe UI"/>
                <w:b/>
                <w:i/>
                <w:spacing w:val="-2"/>
                <w:sz w:val="18"/>
                <w:szCs w:val="18"/>
              </w:rPr>
              <w:t xml:space="preserve"> (CFT)</w:t>
            </w:r>
            <w:r w:rsidRPr="00497AE8">
              <w:rPr>
                <w:rFonts w:ascii="Segoe UI" w:eastAsia="MS Mincho" w:hAnsi="Segoe UI" w:cs="Segoe UI"/>
                <w:b/>
                <w:i/>
                <w:spacing w:val="1"/>
                <w:sz w:val="18"/>
                <w:szCs w:val="18"/>
              </w:rPr>
              <w:t xml:space="preserve"> </w:t>
            </w:r>
            <w:r w:rsidRPr="00497AE8">
              <w:rPr>
                <w:rFonts w:ascii="Segoe UI" w:eastAsia="MS Mincho" w:hAnsi="Segoe UI" w:cs="Segoe UI"/>
                <w:b/>
                <w:i/>
                <w:spacing w:val="-1"/>
                <w:sz w:val="18"/>
                <w:szCs w:val="18"/>
              </w:rPr>
              <w:t>regime</w:t>
            </w:r>
          </w:p>
        </w:tc>
      </w:tr>
      <w:tr w:rsidR="00497AE8" w:rsidRPr="00497AE8" w14:paraId="222F4915" w14:textId="77777777" w:rsidTr="00497AE8">
        <w:tc>
          <w:tcPr>
            <w:tcW w:w="5935" w:type="dxa"/>
            <w:shd w:val="clear" w:color="auto" w:fill="auto"/>
          </w:tcPr>
          <w:p w14:paraId="6845CA34" w14:textId="77777777" w:rsidR="00497AE8" w:rsidRPr="00497AE8" w:rsidRDefault="00497AE8" w:rsidP="00497AE8">
            <w:pPr>
              <w:keepNext/>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spacing w:val="-1"/>
                <w:sz w:val="18"/>
                <w:szCs w:val="18"/>
              </w:rPr>
              <w:t>Adopt a new Law on Combating the Financing of Terrorism (CFT) to address the deficiencies identified by the FATF.</w:t>
            </w:r>
          </w:p>
        </w:tc>
        <w:tc>
          <w:tcPr>
            <w:tcW w:w="3060" w:type="dxa"/>
            <w:shd w:val="clear" w:color="auto" w:fill="auto"/>
          </w:tcPr>
          <w:p w14:paraId="586B29CB" w14:textId="77777777" w:rsidR="00497AE8" w:rsidRPr="00497AE8" w:rsidRDefault="00497AE8" w:rsidP="00497AE8">
            <w:pPr>
              <w:widowControl w:val="0"/>
              <w:snapToGrid w:val="0"/>
              <w:spacing w:after="120" w:line="220" w:lineRule="exact"/>
              <w:ind w:right="100"/>
              <w:rPr>
                <w:rFonts w:asciiTheme="minorHAnsi" w:eastAsia="Times New Roman" w:hAnsiTheme="minorHAnsi" w:cs="Segoe UI"/>
                <w:sz w:val="18"/>
                <w:szCs w:val="18"/>
              </w:rPr>
            </w:pPr>
            <w:r w:rsidRPr="00497AE8">
              <w:rPr>
                <w:rFonts w:ascii="Segoe UI" w:eastAsiaTheme="minorHAnsi" w:hAnsi="Segoe UI" w:cs="Segoe UI"/>
                <w:spacing w:val="-1"/>
                <w:sz w:val="18"/>
                <w:szCs w:val="18"/>
              </w:rPr>
              <w:t xml:space="preserve">Implemented </w:t>
            </w:r>
          </w:p>
        </w:tc>
      </w:tr>
      <w:tr w:rsidR="00497AE8" w:rsidRPr="00497AE8" w14:paraId="3A53C30E" w14:textId="77777777" w:rsidTr="00497AE8">
        <w:tc>
          <w:tcPr>
            <w:tcW w:w="5935" w:type="dxa"/>
            <w:shd w:val="clear" w:color="auto" w:fill="auto"/>
          </w:tcPr>
          <w:p w14:paraId="0B137988" w14:textId="77777777" w:rsidR="00497AE8" w:rsidRPr="00497AE8" w:rsidRDefault="00497AE8" w:rsidP="00497AE8">
            <w:pPr>
              <w:keepNext/>
              <w:snapToGrid w:val="0"/>
              <w:spacing w:after="120" w:line="220" w:lineRule="exact"/>
              <w:rPr>
                <w:rFonts w:ascii="Segoe UI" w:eastAsia="MS Mincho" w:hAnsi="Segoe UI" w:cs="Segoe UI"/>
                <w:spacing w:val="-1"/>
                <w:sz w:val="18"/>
                <w:szCs w:val="18"/>
              </w:rPr>
            </w:pPr>
            <w:r w:rsidRPr="00497AE8">
              <w:rPr>
                <w:rFonts w:ascii="Segoe UI" w:eastAsia="MS Mincho" w:hAnsi="Segoe UI" w:cs="Segoe UI"/>
                <w:spacing w:val="-1"/>
                <w:sz w:val="18"/>
                <w:szCs w:val="18"/>
              </w:rPr>
              <w:t>Strengthen and integrate the institutional supervisory framework for AML/CFT to include participation of sector supervisors within the monitoring, selection, planning and coordination of AML/CFT activities.</w:t>
            </w:r>
          </w:p>
        </w:tc>
        <w:tc>
          <w:tcPr>
            <w:tcW w:w="3060" w:type="dxa"/>
            <w:shd w:val="clear" w:color="auto" w:fill="auto"/>
          </w:tcPr>
          <w:p w14:paraId="052A1427" w14:textId="77777777" w:rsidR="00497AE8" w:rsidRPr="00497AE8" w:rsidRDefault="00497AE8" w:rsidP="00497AE8">
            <w:pPr>
              <w:widowControl w:val="0"/>
              <w:snapToGrid w:val="0"/>
              <w:spacing w:after="120" w:line="220" w:lineRule="exact"/>
              <w:ind w:right="100"/>
              <w:rPr>
                <w:rFonts w:ascii="Segoe UI" w:eastAsia="Times New Roman" w:hAnsi="Segoe UI" w:cs="Segoe UI"/>
                <w:sz w:val="18"/>
                <w:szCs w:val="18"/>
              </w:rPr>
            </w:pPr>
            <w:r w:rsidRPr="00497AE8">
              <w:rPr>
                <w:rFonts w:ascii="Segoe UI" w:eastAsiaTheme="minorHAnsi" w:hAnsi="Segoe UI" w:cs="Segoe UI"/>
                <w:spacing w:val="-1"/>
                <w:sz w:val="18"/>
                <w:szCs w:val="18"/>
              </w:rPr>
              <w:t>Implemented</w:t>
            </w:r>
          </w:p>
        </w:tc>
      </w:tr>
      <w:tr w:rsidR="00497AE8" w:rsidRPr="00497AE8" w14:paraId="2AF38FC2" w14:textId="77777777" w:rsidTr="00497AE8">
        <w:tc>
          <w:tcPr>
            <w:tcW w:w="5935" w:type="dxa"/>
            <w:shd w:val="clear" w:color="auto" w:fill="auto"/>
          </w:tcPr>
          <w:p w14:paraId="3A6ED457" w14:textId="77777777" w:rsidR="00497AE8" w:rsidRPr="00497AE8" w:rsidRDefault="00497AE8" w:rsidP="00497AE8">
            <w:pPr>
              <w:keepNext/>
              <w:snapToGrid w:val="0"/>
              <w:spacing w:after="120" w:line="220" w:lineRule="exact"/>
              <w:rPr>
                <w:rFonts w:ascii="Segoe UI" w:eastAsia="MS Mincho" w:hAnsi="Segoe UI" w:cs="Segoe UI"/>
                <w:b/>
                <w:spacing w:val="-1"/>
                <w:sz w:val="18"/>
                <w:szCs w:val="18"/>
              </w:rPr>
            </w:pPr>
            <w:r w:rsidRPr="00497AE8">
              <w:rPr>
                <w:rFonts w:ascii="Segoe UI" w:eastAsia="MS Mincho" w:hAnsi="Segoe UI" w:cs="Segoe UI"/>
                <w:spacing w:val="-1"/>
                <w:sz w:val="18"/>
                <w:szCs w:val="18"/>
              </w:rPr>
              <w:t>Establish</w:t>
            </w:r>
            <w:r w:rsidRPr="00497AE8">
              <w:rPr>
                <w:rFonts w:ascii="Segoe UI" w:eastAsia="MS Mincho" w:hAnsi="Segoe UI" w:cs="Segoe UI"/>
                <w:sz w:val="18"/>
                <w:szCs w:val="18"/>
              </w:rPr>
              <w:t xml:space="preserve"> a</w:t>
            </w:r>
            <w:r w:rsidRPr="00497AE8">
              <w:rPr>
                <w:rFonts w:ascii="Segoe UI" w:eastAsia="MS Mincho" w:hAnsi="Segoe UI" w:cs="Segoe UI"/>
                <w:spacing w:val="-2"/>
                <w:sz w:val="18"/>
                <w:szCs w:val="18"/>
              </w:rPr>
              <w:t xml:space="preserve"> </w:t>
            </w:r>
            <w:r w:rsidRPr="00497AE8">
              <w:rPr>
                <w:rFonts w:ascii="Segoe UI" w:eastAsia="MS Mincho" w:hAnsi="Segoe UI" w:cs="Segoe UI"/>
                <w:spacing w:val="-1"/>
                <w:sz w:val="18"/>
                <w:szCs w:val="18"/>
              </w:rPr>
              <w:t>definition</w:t>
            </w:r>
            <w:r w:rsidRPr="00497AE8">
              <w:rPr>
                <w:rFonts w:ascii="Segoe UI" w:eastAsia="MS Mincho" w:hAnsi="Segoe UI" w:cs="Segoe UI"/>
                <w:sz w:val="18"/>
                <w:szCs w:val="18"/>
              </w:rPr>
              <w:t xml:space="preserve"> </w:t>
            </w:r>
            <w:r w:rsidRPr="00497AE8">
              <w:rPr>
                <w:rFonts w:ascii="Segoe UI" w:eastAsia="MS Mincho" w:hAnsi="Segoe UI" w:cs="Segoe UI"/>
                <w:spacing w:val="-1"/>
                <w:sz w:val="18"/>
                <w:szCs w:val="18"/>
              </w:rPr>
              <w:t>for</w:t>
            </w:r>
            <w:r w:rsidRPr="00497AE8">
              <w:rPr>
                <w:rFonts w:ascii="Segoe UI" w:eastAsia="MS Mincho" w:hAnsi="Segoe UI" w:cs="Segoe UI"/>
                <w:spacing w:val="25"/>
                <w:sz w:val="18"/>
                <w:szCs w:val="18"/>
              </w:rPr>
              <w:t xml:space="preserve"> </w:t>
            </w:r>
            <w:r w:rsidRPr="00497AE8">
              <w:rPr>
                <w:rFonts w:ascii="Segoe UI" w:eastAsia="MS Mincho" w:hAnsi="Segoe UI" w:cs="Segoe UI"/>
                <w:spacing w:val="-1"/>
                <w:sz w:val="18"/>
                <w:szCs w:val="18"/>
              </w:rPr>
              <w:t>Politically</w:t>
            </w:r>
            <w:r w:rsidRPr="00497AE8">
              <w:rPr>
                <w:rFonts w:ascii="Segoe UI" w:eastAsia="MS Mincho" w:hAnsi="Segoe UI" w:cs="Segoe UI"/>
                <w:spacing w:val="-3"/>
                <w:sz w:val="18"/>
                <w:szCs w:val="18"/>
              </w:rPr>
              <w:t xml:space="preserve"> </w:t>
            </w:r>
            <w:r w:rsidRPr="00497AE8">
              <w:rPr>
                <w:rFonts w:ascii="Segoe UI" w:eastAsia="MS Mincho" w:hAnsi="Segoe UI" w:cs="Segoe UI"/>
                <w:spacing w:val="-1"/>
                <w:sz w:val="18"/>
                <w:szCs w:val="18"/>
              </w:rPr>
              <w:t>Exposed</w:t>
            </w:r>
            <w:r w:rsidRPr="00497AE8">
              <w:rPr>
                <w:rFonts w:ascii="Segoe UI" w:eastAsia="MS Mincho" w:hAnsi="Segoe UI" w:cs="Segoe UI"/>
                <w:sz w:val="18"/>
                <w:szCs w:val="18"/>
              </w:rPr>
              <w:t xml:space="preserve"> </w:t>
            </w:r>
            <w:r w:rsidRPr="00497AE8">
              <w:rPr>
                <w:rFonts w:ascii="Segoe UI" w:eastAsia="MS Mincho" w:hAnsi="Segoe UI" w:cs="Segoe UI"/>
                <w:spacing w:val="-1"/>
                <w:sz w:val="18"/>
                <w:szCs w:val="18"/>
              </w:rPr>
              <w:t>Persons</w:t>
            </w:r>
            <w:r w:rsidRPr="00497AE8">
              <w:rPr>
                <w:rFonts w:ascii="Segoe UI" w:eastAsia="MS Mincho" w:hAnsi="Segoe UI" w:cs="Segoe UI"/>
                <w:spacing w:val="25"/>
                <w:sz w:val="18"/>
                <w:szCs w:val="18"/>
              </w:rPr>
              <w:t xml:space="preserve"> </w:t>
            </w:r>
            <w:r w:rsidRPr="00497AE8">
              <w:rPr>
                <w:rFonts w:ascii="Segoe UI" w:eastAsia="MS Mincho" w:hAnsi="Segoe UI" w:cs="Segoe UI"/>
                <w:spacing w:val="-1"/>
                <w:sz w:val="18"/>
                <w:szCs w:val="18"/>
              </w:rPr>
              <w:t>(PEP)</w:t>
            </w:r>
            <w:r w:rsidRPr="00497AE8">
              <w:rPr>
                <w:rFonts w:ascii="Segoe UI" w:eastAsia="MS Mincho" w:hAnsi="Segoe UI" w:cs="Segoe UI"/>
                <w:spacing w:val="1"/>
                <w:sz w:val="18"/>
                <w:szCs w:val="18"/>
              </w:rPr>
              <w:t xml:space="preserve"> </w:t>
            </w:r>
            <w:r w:rsidRPr="00497AE8">
              <w:rPr>
                <w:rFonts w:ascii="Segoe UI" w:eastAsia="MS Mincho" w:hAnsi="Segoe UI" w:cs="Segoe UI"/>
                <w:spacing w:val="-1"/>
                <w:sz w:val="18"/>
                <w:szCs w:val="18"/>
              </w:rPr>
              <w:t>and</w:t>
            </w:r>
            <w:r w:rsidRPr="00497AE8">
              <w:rPr>
                <w:rFonts w:ascii="Segoe UI" w:eastAsia="MS Mincho" w:hAnsi="Segoe UI" w:cs="Segoe UI"/>
                <w:sz w:val="18"/>
                <w:szCs w:val="18"/>
              </w:rPr>
              <w:t xml:space="preserve"> </w:t>
            </w:r>
            <w:r w:rsidRPr="00497AE8">
              <w:rPr>
                <w:rFonts w:ascii="Segoe UI" w:eastAsia="MS Mincho" w:hAnsi="Segoe UI" w:cs="Segoe UI"/>
                <w:spacing w:val="-1"/>
                <w:sz w:val="18"/>
                <w:szCs w:val="18"/>
              </w:rPr>
              <w:t>requirements</w:t>
            </w:r>
            <w:r w:rsidRPr="00497AE8">
              <w:rPr>
                <w:rFonts w:ascii="Segoe UI" w:eastAsia="MS Mincho" w:hAnsi="Segoe UI" w:cs="Segoe UI"/>
                <w:spacing w:val="-2"/>
                <w:sz w:val="18"/>
                <w:szCs w:val="18"/>
              </w:rPr>
              <w:t xml:space="preserve"> </w:t>
            </w:r>
            <w:r w:rsidRPr="00497AE8">
              <w:rPr>
                <w:rFonts w:ascii="Segoe UI" w:eastAsia="MS Mincho" w:hAnsi="Segoe UI" w:cs="Segoe UI"/>
                <w:sz w:val="18"/>
                <w:szCs w:val="18"/>
              </w:rPr>
              <w:t>for</w:t>
            </w:r>
            <w:r w:rsidRPr="00497AE8">
              <w:rPr>
                <w:rFonts w:ascii="Segoe UI" w:eastAsia="MS Mincho" w:hAnsi="Segoe UI" w:cs="Segoe UI"/>
                <w:spacing w:val="29"/>
                <w:sz w:val="18"/>
                <w:szCs w:val="18"/>
              </w:rPr>
              <w:t xml:space="preserve"> </w:t>
            </w:r>
            <w:r w:rsidRPr="00497AE8">
              <w:rPr>
                <w:rFonts w:ascii="Segoe UI" w:eastAsia="MS Mincho" w:hAnsi="Segoe UI" w:cs="Segoe UI"/>
                <w:spacing w:val="-1"/>
                <w:sz w:val="18"/>
                <w:szCs w:val="18"/>
              </w:rPr>
              <w:t>reporting</w:t>
            </w:r>
            <w:r w:rsidRPr="00497AE8">
              <w:rPr>
                <w:rFonts w:ascii="Segoe UI" w:eastAsia="MS Mincho" w:hAnsi="Segoe UI" w:cs="Segoe UI"/>
                <w:spacing w:val="-3"/>
                <w:sz w:val="18"/>
                <w:szCs w:val="18"/>
              </w:rPr>
              <w:t xml:space="preserve"> </w:t>
            </w:r>
            <w:r w:rsidRPr="00497AE8">
              <w:rPr>
                <w:rFonts w:ascii="Segoe UI" w:eastAsia="MS Mincho" w:hAnsi="Segoe UI" w:cs="Segoe UI"/>
                <w:spacing w:val="-1"/>
                <w:sz w:val="18"/>
                <w:szCs w:val="18"/>
              </w:rPr>
              <w:t>entities</w:t>
            </w:r>
            <w:r w:rsidRPr="00497AE8">
              <w:rPr>
                <w:rFonts w:ascii="Segoe UI" w:eastAsia="MS Mincho" w:hAnsi="Segoe UI" w:cs="Segoe UI"/>
                <w:spacing w:val="-2"/>
                <w:sz w:val="18"/>
                <w:szCs w:val="18"/>
              </w:rPr>
              <w:t xml:space="preserve"> </w:t>
            </w:r>
            <w:r w:rsidRPr="00497AE8">
              <w:rPr>
                <w:rFonts w:ascii="Segoe UI" w:eastAsia="MS Mincho" w:hAnsi="Segoe UI" w:cs="Segoe UI"/>
                <w:sz w:val="18"/>
                <w:szCs w:val="18"/>
              </w:rPr>
              <w:t>in</w:t>
            </w:r>
            <w:r w:rsidRPr="00497AE8">
              <w:rPr>
                <w:rFonts w:ascii="Segoe UI" w:eastAsia="MS Mincho" w:hAnsi="Segoe UI" w:cs="Segoe UI"/>
                <w:spacing w:val="-3"/>
                <w:sz w:val="18"/>
                <w:szCs w:val="18"/>
              </w:rPr>
              <w:t xml:space="preserve"> </w:t>
            </w:r>
            <w:r w:rsidRPr="00497AE8">
              <w:rPr>
                <w:rFonts w:ascii="Segoe UI" w:eastAsia="MS Mincho" w:hAnsi="Segoe UI" w:cs="Segoe UI"/>
                <w:spacing w:val="-1"/>
                <w:sz w:val="18"/>
                <w:szCs w:val="18"/>
              </w:rPr>
              <w:t>line</w:t>
            </w:r>
            <w:r w:rsidRPr="00497AE8">
              <w:rPr>
                <w:rFonts w:ascii="Segoe UI" w:eastAsia="MS Mincho" w:hAnsi="Segoe UI" w:cs="Segoe UI"/>
                <w:spacing w:val="31"/>
                <w:sz w:val="18"/>
                <w:szCs w:val="18"/>
              </w:rPr>
              <w:t xml:space="preserve"> </w:t>
            </w:r>
            <w:r w:rsidRPr="00497AE8">
              <w:rPr>
                <w:rFonts w:ascii="Segoe UI" w:eastAsia="MS Mincho" w:hAnsi="Segoe UI" w:cs="Segoe UI"/>
                <w:sz w:val="18"/>
                <w:szCs w:val="18"/>
              </w:rPr>
              <w:t>with</w:t>
            </w:r>
            <w:r w:rsidRPr="00497AE8">
              <w:rPr>
                <w:rFonts w:ascii="Segoe UI" w:eastAsia="MS Mincho" w:hAnsi="Segoe UI" w:cs="Segoe UI"/>
                <w:spacing w:val="-3"/>
                <w:sz w:val="18"/>
                <w:szCs w:val="18"/>
              </w:rPr>
              <w:t xml:space="preserve"> </w:t>
            </w:r>
            <w:r w:rsidRPr="00497AE8">
              <w:rPr>
                <w:rFonts w:ascii="Segoe UI" w:eastAsia="MS Mincho" w:hAnsi="Segoe UI" w:cs="Segoe UI"/>
                <w:sz w:val="18"/>
                <w:szCs w:val="18"/>
              </w:rPr>
              <w:t xml:space="preserve">the </w:t>
            </w:r>
            <w:r w:rsidRPr="00497AE8">
              <w:rPr>
                <w:rFonts w:ascii="Segoe UI" w:eastAsia="MS Mincho" w:hAnsi="Segoe UI" w:cs="Segoe UI"/>
                <w:spacing w:val="-1"/>
                <w:sz w:val="18"/>
                <w:szCs w:val="18"/>
              </w:rPr>
              <w:t>FATF standard.</w:t>
            </w:r>
          </w:p>
        </w:tc>
        <w:tc>
          <w:tcPr>
            <w:tcW w:w="3060" w:type="dxa"/>
            <w:shd w:val="clear" w:color="auto" w:fill="auto"/>
          </w:tcPr>
          <w:p w14:paraId="48D4E8CB" w14:textId="77777777" w:rsidR="00497AE8" w:rsidRPr="00497AE8" w:rsidRDefault="00497AE8" w:rsidP="00497AE8">
            <w:pPr>
              <w:widowControl w:val="0"/>
              <w:snapToGrid w:val="0"/>
              <w:spacing w:after="120" w:line="220" w:lineRule="exact"/>
              <w:ind w:right="100"/>
              <w:rPr>
                <w:rFonts w:asciiTheme="minorHAnsi" w:eastAsiaTheme="minorHAnsi" w:hAnsiTheme="minorHAnsi" w:cs="Segoe UI"/>
                <w:b/>
                <w:spacing w:val="-1"/>
                <w:sz w:val="18"/>
                <w:szCs w:val="18"/>
              </w:rPr>
            </w:pPr>
            <w:r w:rsidRPr="00497AE8">
              <w:rPr>
                <w:rFonts w:ascii="Segoe UI" w:eastAsiaTheme="minorHAnsi" w:hAnsi="Segoe UI" w:cs="Segoe UI"/>
                <w:spacing w:val="-1"/>
                <w:sz w:val="18"/>
                <w:szCs w:val="18"/>
              </w:rPr>
              <w:t>Not implemented</w:t>
            </w:r>
          </w:p>
        </w:tc>
      </w:tr>
    </w:tbl>
    <w:p w14:paraId="5CDEE16A" w14:textId="77777777" w:rsidR="00497AE8" w:rsidRPr="00497AE8" w:rsidRDefault="00497AE8" w:rsidP="00497AE8">
      <w:pPr>
        <w:spacing w:line="300" w:lineRule="exact"/>
        <w:rPr>
          <w:rFonts w:ascii="Segoe UI" w:eastAsia="MS Mincho" w:hAnsi="Segoe UI"/>
          <w:sz w:val="21"/>
        </w:rPr>
      </w:pPr>
    </w:p>
    <w:bookmarkEnd w:id="147"/>
    <w:p w14:paraId="633CE13E" w14:textId="77777777" w:rsidR="00630C47" w:rsidRPr="0074410D" w:rsidRDefault="00630C47" w:rsidP="00D9284C"/>
    <w:sectPr w:rsidR="00630C47" w:rsidRPr="0074410D" w:rsidSect="0070088D">
      <w:headerReference w:type="default" r:id="rId77"/>
      <w:headerReference w:type="first" r:id="rId78"/>
      <w:pgSz w:w="12240" w:h="15840" w:code="1"/>
      <w:pgMar w:top="1440" w:right="1469" w:bottom="1440" w:left="1469"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C655A" w14:textId="77777777" w:rsidR="00282860" w:rsidRDefault="00282860">
      <w:r>
        <w:separator/>
      </w:r>
    </w:p>
  </w:endnote>
  <w:endnote w:type="continuationSeparator" w:id="0">
    <w:p w14:paraId="7FAACB9B" w14:textId="77777777" w:rsidR="00282860" w:rsidRDefault="00282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Regular">
    <w:altName w:val="AGaramond"/>
    <w:panose1 w:val="00000000000000000000"/>
    <w:charset w:val="4D"/>
    <w:family w:val="auto"/>
    <w:notTrueType/>
    <w:pitch w:val="default"/>
    <w:sig w:usb0="00000003" w:usb1="00000000" w:usb2="00000000" w:usb3="00000000" w:csb0="00000001" w:csb1="00000000"/>
  </w:font>
  <w:font w:name="New Baskerville">
    <w:altName w:val="Cambria"/>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53F83" w14:textId="77777777" w:rsidR="00A82B7E" w:rsidRDefault="00A82B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40B19" w14:textId="77777777" w:rsidR="00A82B7E" w:rsidRDefault="00A82B7E">
    <w:pPr>
      <w:pStyle w:val="Footer"/>
      <w:tabs>
        <w:tab w:val="clear" w:pos="8640"/>
        <w:tab w:val="right" w:pos="90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07728" w14:textId="77777777" w:rsidR="00A82B7E" w:rsidRPr="004A675E" w:rsidRDefault="00A82B7E" w:rsidP="004A6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7210C" w14:textId="77777777" w:rsidR="00282860" w:rsidRDefault="00282860">
      <w:r>
        <w:separator/>
      </w:r>
    </w:p>
  </w:footnote>
  <w:footnote w:type="continuationSeparator" w:id="0">
    <w:p w14:paraId="54DA9C97" w14:textId="77777777" w:rsidR="00282860" w:rsidRDefault="00282860">
      <w:r>
        <w:continuationSeparator/>
      </w:r>
    </w:p>
  </w:footnote>
  <w:footnote w:type="continuationNotice" w:id="1">
    <w:p w14:paraId="22A6FB78" w14:textId="77777777" w:rsidR="00282860" w:rsidRPr="0029419F" w:rsidRDefault="00282860" w:rsidP="0029419F">
      <w:pPr>
        <w:pStyle w:val="Footer"/>
      </w:pPr>
    </w:p>
  </w:footnote>
  <w:footnote w:id="2">
    <w:p w14:paraId="7B136361" w14:textId="6BB29B5C" w:rsidR="00A82B7E" w:rsidRPr="00490E94" w:rsidRDefault="00A82B7E" w:rsidP="00BC5203">
      <w:pPr>
        <w:rPr>
          <w:sz w:val="20"/>
          <w:szCs w:val="20"/>
        </w:rPr>
      </w:pPr>
      <w:r w:rsidRPr="00E72453">
        <w:rPr>
          <w:rStyle w:val="FootnoteReference"/>
        </w:rPr>
        <w:footnoteRef/>
      </w:r>
      <w:r w:rsidRPr="00E72453">
        <w:rPr>
          <w:sz w:val="20"/>
        </w:rPr>
        <w:t xml:space="preserve"> </w:t>
      </w:r>
      <w:r w:rsidRPr="003D2797">
        <w:rPr>
          <w:sz w:val="20"/>
          <w:szCs w:val="20"/>
        </w:rPr>
        <w:t xml:space="preserve">The team was led by Nigel Jenkinson, (IMF) and Mario Guadamillas (WB) and included Jay Surti (IMF) and Anderson Silva (WB) as Deputy Mission Chiefs, </w:t>
      </w:r>
      <w:r w:rsidRPr="00490E94">
        <w:rPr>
          <w:sz w:val="20"/>
          <w:szCs w:val="20"/>
        </w:rPr>
        <w:t>Laura Ard, Subika Farazi, Jose Antonio Gragnani, Michael Grist, Zamir Iqbal, Damodaran Krishnamurti, Harish Natarajan, and Kevin Mark Stephenson (all WB)</w:t>
      </w:r>
      <w:r>
        <w:rPr>
          <w:sz w:val="20"/>
          <w:szCs w:val="20"/>
        </w:rPr>
        <w:t>; as well as</w:t>
      </w:r>
      <w:r>
        <w:rPr>
          <w:rFonts w:cs="Segoe UI"/>
          <w:szCs w:val="20"/>
        </w:rPr>
        <w:t xml:space="preserve"> </w:t>
      </w:r>
      <w:r w:rsidRPr="00490E94">
        <w:rPr>
          <w:sz w:val="20"/>
          <w:szCs w:val="20"/>
        </w:rPr>
        <w:t xml:space="preserve">Jefferson Alvares, Jana Bricco, </w:t>
      </w:r>
      <w:r>
        <w:rPr>
          <w:sz w:val="20"/>
          <w:szCs w:val="20"/>
        </w:rPr>
        <w:t xml:space="preserve">Ryan Davis, </w:t>
      </w:r>
      <w:r w:rsidRPr="00490E94">
        <w:rPr>
          <w:sz w:val="20"/>
          <w:szCs w:val="20"/>
        </w:rPr>
        <w:t xml:space="preserve">Kelly Eckhold, Caio Ferreira, Gregorio Impavido, Richard Lalonde, </w:t>
      </w:r>
      <w:r>
        <w:rPr>
          <w:sz w:val="20"/>
          <w:szCs w:val="20"/>
        </w:rPr>
        <w:t xml:space="preserve">Jonathan Pampolina, </w:t>
      </w:r>
      <w:r w:rsidRPr="00490E94">
        <w:rPr>
          <w:sz w:val="20"/>
          <w:szCs w:val="20"/>
        </w:rPr>
        <w:t xml:space="preserve">Narayan Suryakumar, and Nico Valckx (all IMF); </w:t>
      </w:r>
      <w:r w:rsidRPr="003D2797">
        <w:rPr>
          <w:sz w:val="20"/>
          <w:szCs w:val="20"/>
        </w:rPr>
        <w:t>and Geof Mortloc</w:t>
      </w:r>
      <w:r>
        <w:rPr>
          <w:sz w:val="20"/>
          <w:szCs w:val="20"/>
        </w:rPr>
        <w:t>k and Anand Sinha (IMF experts).</w:t>
      </w:r>
    </w:p>
  </w:footnote>
  <w:footnote w:id="3">
    <w:p w14:paraId="31D86A30" w14:textId="31A69193" w:rsidR="00A82B7E" w:rsidRPr="00CC4AE3" w:rsidRDefault="00A82B7E" w:rsidP="0020131E">
      <w:pPr>
        <w:pStyle w:val="FootnoteText"/>
        <w:spacing w:after="0"/>
        <w:rPr>
          <w:rFonts w:eastAsia="Calibri"/>
        </w:rPr>
      </w:pPr>
      <w:r w:rsidRPr="00CC4AE3">
        <w:rPr>
          <w:rStyle w:val="FootnoteReference"/>
        </w:rPr>
        <w:footnoteRef/>
      </w:r>
      <w:r w:rsidRPr="00CC4AE3">
        <w:t xml:space="preserve"> </w:t>
      </w:r>
      <w:r w:rsidRPr="00401A6D">
        <w:rPr>
          <w:rFonts w:eastAsia="Calibri"/>
        </w:rPr>
        <w:t xml:space="preserve">(I) = </w:t>
      </w:r>
      <w:r>
        <w:rPr>
          <w:rFonts w:eastAsia="Calibri"/>
        </w:rPr>
        <w:t>immediate</w:t>
      </w:r>
      <w:r w:rsidRPr="00401A6D">
        <w:rPr>
          <w:rFonts w:eastAsia="Calibri"/>
        </w:rPr>
        <w:t xml:space="preserve">; (ST) = </w:t>
      </w:r>
      <w:r>
        <w:rPr>
          <w:rFonts w:eastAsia="Calibri"/>
        </w:rPr>
        <w:t>short-term (</w:t>
      </w:r>
      <w:r w:rsidRPr="00401A6D">
        <w:rPr>
          <w:rFonts w:eastAsia="Calibri"/>
        </w:rPr>
        <w:t>within one year</w:t>
      </w:r>
      <w:r>
        <w:rPr>
          <w:rFonts w:eastAsia="Calibri"/>
        </w:rPr>
        <w:t>)</w:t>
      </w:r>
      <w:r w:rsidRPr="00401A6D">
        <w:rPr>
          <w:rFonts w:eastAsia="Calibri"/>
        </w:rPr>
        <w:t xml:space="preserve">; (MT) = </w:t>
      </w:r>
      <w:r>
        <w:rPr>
          <w:rFonts w:eastAsia="Calibri"/>
        </w:rPr>
        <w:t>medium-term (beyond</w:t>
      </w:r>
      <w:r w:rsidRPr="00401A6D">
        <w:rPr>
          <w:rFonts w:eastAsia="Calibri"/>
        </w:rPr>
        <w:t xml:space="preserve"> one year</w:t>
      </w:r>
      <w:r>
        <w:rPr>
          <w:rFonts w:eastAsia="Calibri"/>
        </w:rPr>
        <w:t>)</w:t>
      </w:r>
      <w:r w:rsidRPr="00CC4AE3">
        <w:rPr>
          <w:rFonts w:eastAsia="Calibri"/>
        </w:rPr>
        <w:t>.</w:t>
      </w:r>
    </w:p>
  </w:footnote>
  <w:footnote w:id="4">
    <w:p w14:paraId="566E8748" w14:textId="4A0E6775" w:rsidR="00A82B7E" w:rsidRDefault="00A82B7E" w:rsidP="00560530">
      <w:pPr>
        <w:pStyle w:val="FootnoteText"/>
        <w:spacing w:after="0" w:line="240" w:lineRule="auto"/>
      </w:pPr>
      <w:r>
        <w:rPr>
          <w:rStyle w:val="FootnoteReference"/>
        </w:rPr>
        <w:footnoteRef/>
      </w:r>
      <w:r>
        <w:t xml:space="preserve"> T</w:t>
      </w:r>
      <w:r w:rsidRPr="00AA2309">
        <w:t xml:space="preserve">he macro-financial scenarios </w:t>
      </w:r>
      <w:r>
        <w:t xml:space="preserve">are guided by the country risk </w:t>
      </w:r>
      <w:r w:rsidRPr="00AA2309">
        <w:t>assess</w:t>
      </w:r>
      <w:r>
        <w:t>ment of Turkey and analyze</w:t>
      </w:r>
      <w:r w:rsidRPr="00AA2309">
        <w:t xml:space="preserve"> the performance of the banking and NFC sectors under a baseline and two adverse stress scenarios. The baseline scenario assumes stable GDP growth of around 3½ percent with a zero output gap, high credit growth, FX depreciation, and persistently high current account deficits. An adverse scenario assumes a short period of sharp </w:t>
      </w:r>
      <w:r>
        <w:t>contraction</w:t>
      </w:r>
      <w:r w:rsidRPr="00AA2309">
        <w:t xml:space="preserve"> in </w:t>
      </w:r>
      <w:r>
        <w:t>output</w:t>
      </w:r>
      <w:r w:rsidRPr="00AA2309">
        <w:t xml:space="preserve"> with a corresponding loss of access to international capital markets of the order of severity experienced in 2008-09. It may result from a period of volatile global financial conditions with weaker than expected growth in the euro area</w:t>
      </w:r>
      <w:r>
        <w:t>,</w:t>
      </w:r>
      <w:r w:rsidRPr="00AA2309">
        <w:t xml:space="preserve"> </w:t>
      </w:r>
      <w:r>
        <w:t xml:space="preserve">and would </w:t>
      </w:r>
      <w:r w:rsidRPr="00AA2309">
        <w:t>result in high inflation, capital outflows, increases in interest rates, and stronger FX depreciation, prompting moderate balance-sheet strains for banks and NFCs. A severely adverse scenario assumes a prolonged loss of market access by Turkey that may be triggered by a larger and more prolonged deterioration of the factors generating the adverse scenario</w:t>
      </w:r>
      <w:r>
        <w:t>.</w:t>
      </w:r>
      <w:r w:rsidRPr="00AA2309">
        <w:t xml:space="preserve"> This would be associated with a deep recession, wherein GDP would suffer a significantly larger cumulative and more persistent decline, capital outflows would be higher, and market and credit disruptions more severe and protracted than under the adverse scenario</w:t>
      </w:r>
    </w:p>
  </w:footnote>
  <w:footnote w:id="5">
    <w:p w14:paraId="5C476525" w14:textId="5920EB14" w:rsidR="00A82B7E" w:rsidRDefault="00A82B7E" w:rsidP="00560530">
      <w:pPr>
        <w:pStyle w:val="FootnoteText"/>
        <w:spacing w:after="0" w:line="240" w:lineRule="auto"/>
      </w:pPr>
      <w:r>
        <w:rPr>
          <w:rStyle w:val="FootnoteReference"/>
        </w:rPr>
        <w:footnoteRef/>
      </w:r>
      <w:r>
        <w:t xml:space="preserve"> For details of stress test results see graphs in Annex I.</w:t>
      </w:r>
    </w:p>
  </w:footnote>
  <w:footnote w:id="6">
    <w:p w14:paraId="25E6CD5E" w14:textId="0A730A9B" w:rsidR="00A82B7E" w:rsidRPr="006666B8" w:rsidRDefault="00A82B7E" w:rsidP="006C0052">
      <w:pPr>
        <w:spacing w:line="240" w:lineRule="auto"/>
        <w:rPr>
          <w:rFonts w:ascii="Calibri" w:hAnsi="Calibri"/>
          <w:sz w:val="28"/>
          <w:szCs w:val="28"/>
        </w:rPr>
      </w:pPr>
      <w:r>
        <w:rPr>
          <w:rStyle w:val="FootnoteReference"/>
        </w:rPr>
        <w:footnoteRef/>
      </w:r>
      <w:r>
        <w:t xml:space="preserve"> </w:t>
      </w:r>
      <w:r w:rsidRPr="00A85811">
        <w:rPr>
          <w:sz w:val="18"/>
          <w:szCs w:val="20"/>
        </w:rPr>
        <w:t>Most of these recommendations are consistent with the CBRT’s reform plans announced in its 2015 “Roadmap”.</w:t>
      </w:r>
      <w:r>
        <w:rPr>
          <w:sz w:val="18"/>
          <w:szCs w:val="20"/>
        </w:rPr>
        <w:t xml:space="preserve"> See </w:t>
      </w:r>
      <w:hyperlink r:id="rId1" w:history="1">
        <w:r w:rsidRPr="00CA3191">
          <w:rPr>
            <w:sz w:val="18"/>
            <w:szCs w:val="20"/>
          </w:rPr>
          <w:t>http://www.tcmb.gov.tr/wps/wcm/connect/TCMB+EN/TCMB+EN/Main+Menu/Announcements/Press+Releases/2015/CBRTRoadMap2015</w:t>
        </w:r>
      </w:hyperlink>
    </w:p>
  </w:footnote>
  <w:footnote w:id="7">
    <w:p w14:paraId="6EBBB1C3" w14:textId="77777777" w:rsidR="00A82B7E" w:rsidRPr="001E4119" w:rsidRDefault="00A82B7E" w:rsidP="00806384">
      <w:pPr>
        <w:pStyle w:val="FootnoteText"/>
        <w:rPr>
          <w:szCs w:val="18"/>
        </w:rPr>
      </w:pPr>
      <w:r w:rsidRPr="001E4119">
        <w:rPr>
          <w:rStyle w:val="FootnoteReference"/>
          <w:sz w:val="18"/>
          <w:szCs w:val="18"/>
        </w:rPr>
        <w:footnoteRef/>
      </w:r>
      <w:r w:rsidRPr="001E4119">
        <w:rPr>
          <w:szCs w:val="18"/>
        </w:rPr>
        <w:t xml:space="preserve"> The CBRT has not offered to sell any FX via auction since 27 April 2016 but has not formally cancelled daily auctions.</w:t>
      </w:r>
    </w:p>
  </w:footnote>
  <w:footnote w:id="8">
    <w:p w14:paraId="226165C5" w14:textId="77777777" w:rsidR="00A82B7E" w:rsidRDefault="00A82B7E" w:rsidP="006C0052">
      <w:pPr>
        <w:pStyle w:val="FootnoteText"/>
        <w:spacing w:after="0" w:line="240" w:lineRule="auto"/>
      </w:pPr>
      <w:r>
        <w:rPr>
          <w:rStyle w:val="FootnoteReference"/>
        </w:rPr>
        <w:footnoteRef/>
      </w:r>
      <w:r>
        <w:t xml:space="preserve"> Many of these limitations are closely linked to the issues discussed in the vulnerabilities and systemic liquidity sections, such as short-term maturities, FX exposure and lack of a clear reference rate on money markets.</w:t>
      </w:r>
    </w:p>
  </w:footnote>
  <w:footnote w:id="9">
    <w:p w14:paraId="0D89E925" w14:textId="77777777" w:rsidR="00A82B7E" w:rsidRDefault="00A82B7E" w:rsidP="006C0052">
      <w:pPr>
        <w:pStyle w:val="FootnoteText"/>
        <w:spacing w:after="0" w:line="240" w:lineRule="auto"/>
      </w:pPr>
      <w:r>
        <w:rPr>
          <w:rStyle w:val="FootnoteReference"/>
        </w:rPr>
        <w:footnoteRef/>
      </w:r>
      <w:r>
        <w:t xml:space="preserve"> A new Capital Markets Law was launched in 2012 followed by a series of secondary regulations.</w:t>
      </w:r>
    </w:p>
  </w:footnote>
  <w:footnote w:id="10">
    <w:p w14:paraId="7EC1FB37" w14:textId="77777777" w:rsidR="00A82B7E" w:rsidRDefault="00A82B7E" w:rsidP="006C0052">
      <w:pPr>
        <w:pStyle w:val="FootnoteText"/>
        <w:spacing w:after="0" w:line="240" w:lineRule="auto"/>
      </w:pPr>
      <w:r w:rsidRPr="003D4D7B">
        <w:rPr>
          <w:rStyle w:val="FootnoteReference"/>
        </w:rPr>
        <w:footnoteRef/>
      </w:r>
      <w:r w:rsidRPr="003D4D7B">
        <w:rPr>
          <w:rStyle w:val="FootnoteReference"/>
        </w:rPr>
        <w:t xml:space="preserve"> </w:t>
      </w:r>
      <w:r>
        <w:t xml:space="preserve">The initiative is </w:t>
      </w:r>
      <w:r w:rsidRPr="003D4D7B">
        <w:t>the result of solid collaboration among several stakeholders including the UoT, CBRT, CMB, BIST and TAKASBANK</w:t>
      </w:r>
      <w:r>
        <w:t xml:space="preserve">. </w:t>
      </w:r>
    </w:p>
  </w:footnote>
  <w:footnote w:id="11">
    <w:p w14:paraId="72CF77D2" w14:textId="77777777" w:rsidR="00A82B7E" w:rsidRDefault="00A82B7E" w:rsidP="000E36E0">
      <w:pPr>
        <w:pStyle w:val="FootnoteText"/>
        <w:spacing w:after="0"/>
      </w:pPr>
      <w:r>
        <w:rPr>
          <w:rStyle w:val="FootnoteReference"/>
        </w:rPr>
        <w:footnoteRef/>
      </w:r>
      <w:r>
        <w:t xml:space="preserve"> </w:t>
      </w:r>
      <w:r>
        <w:rPr>
          <w:szCs w:val="21"/>
        </w:rPr>
        <w:t xml:space="preserve">For instance, London Stock Exchange launched the Premium segment in 2010 and BM&amp;FBovespa (Brazil) is currently discussing new improvements with companies listed in </w:t>
      </w:r>
      <w:r w:rsidRPr="00920BC1">
        <w:rPr>
          <w:i/>
          <w:szCs w:val="21"/>
        </w:rPr>
        <w:t>Novo Mercado</w:t>
      </w:r>
      <w:r>
        <w:rPr>
          <w:szCs w:val="21"/>
        </w:rPr>
        <w:t xml:space="preserve"> (premium segment).</w:t>
      </w:r>
    </w:p>
  </w:footnote>
  <w:footnote w:id="12">
    <w:p w14:paraId="1C34A376" w14:textId="77777777" w:rsidR="00A82B7E" w:rsidRPr="00D22676" w:rsidRDefault="00A82B7E" w:rsidP="006C0052">
      <w:pPr>
        <w:pStyle w:val="FootnoteText"/>
        <w:spacing w:after="0" w:line="240" w:lineRule="auto"/>
      </w:pPr>
      <w:r>
        <w:rPr>
          <w:rStyle w:val="FootnoteReference"/>
        </w:rPr>
        <w:footnoteRef/>
      </w:r>
      <w:r>
        <w:t xml:space="preserve"> Three other areas of financial inclusion are covered in the next section: </w:t>
      </w:r>
      <w:r w:rsidRPr="00D22676">
        <w:t>(i) implementing the financial inclusion strategy; (ii) Islamic finance as a vehicle for improving financial inclusion; and (i</w:t>
      </w:r>
      <w:r>
        <w:t>ii)</w:t>
      </w:r>
      <w:r w:rsidRPr="00D22676">
        <w:t xml:space="preserve"> strengthening financial infrastructure</w:t>
      </w:r>
      <w:r>
        <w:t>.</w:t>
      </w:r>
    </w:p>
  </w:footnote>
  <w:footnote w:id="13">
    <w:p w14:paraId="2A6F9633" w14:textId="2066796F" w:rsidR="00A82B7E" w:rsidRDefault="00A82B7E" w:rsidP="006C0052">
      <w:pPr>
        <w:pStyle w:val="FootnoteText"/>
        <w:spacing w:after="0" w:line="240" w:lineRule="auto"/>
      </w:pPr>
      <w:r>
        <w:rPr>
          <w:rStyle w:val="FootnoteReference"/>
        </w:rPr>
        <w:footnoteRef/>
      </w:r>
      <w:r>
        <w:t xml:space="preserve"> </w:t>
      </w:r>
      <w:r>
        <w:rPr>
          <w:szCs w:val="21"/>
        </w:rPr>
        <w:t>Turkey Credit Guarantee Fund (KGF) and the European Investment Fund will provide around a 70 percent guarantee on the portfolio.</w:t>
      </w:r>
    </w:p>
  </w:footnote>
  <w:footnote w:id="14">
    <w:p w14:paraId="15E1DC13" w14:textId="77777777" w:rsidR="00A82B7E" w:rsidRDefault="00A82B7E" w:rsidP="006C0052">
      <w:pPr>
        <w:pStyle w:val="FootnoteText"/>
        <w:spacing w:after="0" w:line="240" w:lineRule="auto"/>
      </w:pPr>
      <w:r>
        <w:rPr>
          <w:rStyle w:val="FootnoteReference"/>
        </w:rPr>
        <w:footnoteRef/>
      </w:r>
      <w:r>
        <w:t xml:space="preserve"> For example, matching, since 2013, 25 percent of individual contributions in the pension system. An ambitious reform to introduce auto-enrollment is under advanced stage of discussion.</w:t>
      </w:r>
    </w:p>
  </w:footnote>
  <w:footnote w:id="15">
    <w:p w14:paraId="14C48B90" w14:textId="77777777" w:rsidR="00A82B7E" w:rsidRDefault="00A82B7E" w:rsidP="006C0052">
      <w:pPr>
        <w:pStyle w:val="FootnoteText"/>
        <w:spacing w:after="0" w:line="240" w:lineRule="auto"/>
      </w:pPr>
      <w:r>
        <w:rPr>
          <w:rStyle w:val="FootnoteReference"/>
        </w:rPr>
        <w:footnoteRef/>
      </w:r>
      <w:r>
        <w:t xml:space="preserve"> </w:t>
      </w:r>
      <w:r w:rsidRPr="00A03DBF">
        <w:t xml:space="preserve">The gap between Turkish men and women in terms of having an account, though </w:t>
      </w:r>
      <w:r>
        <w:t>showing improvement</w:t>
      </w:r>
      <w:r w:rsidRPr="00A03DBF">
        <w:t xml:space="preserve"> in recent years is still among the widest in the world</w:t>
      </w:r>
      <w:r>
        <w:t>.</w:t>
      </w:r>
    </w:p>
  </w:footnote>
  <w:footnote w:id="16">
    <w:p w14:paraId="4C529167" w14:textId="269B499F" w:rsidR="00A82B7E" w:rsidRDefault="00A82B7E" w:rsidP="008F33EE">
      <w:pPr>
        <w:pStyle w:val="FootnoteText"/>
        <w:spacing w:after="0" w:line="240" w:lineRule="auto"/>
      </w:pPr>
      <w:r>
        <w:rPr>
          <w:rStyle w:val="FootnoteReference"/>
        </w:rPr>
        <w:footnoteRef/>
      </w:r>
      <w:r>
        <w:t xml:space="preserve"> While the Turkish Treasury does not issue conventional T-Bills, partly with the intent to crowd in corporate issuers in the short-end of the yield curve, the introduction of Shariah-compliant T-Bills would be relatively more important. due to the current scarcity of high quality Islamic instruments that could be issued regularly and support liquidity management market participants.</w:t>
      </w:r>
    </w:p>
  </w:footnote>
  <w:footnote w:id="17">
    <w:p w14:paraId="16A0FB5B" w14:textId="77777777" w:rsidR="00A82B7E" w:rsidRDefault="00A82B7E" w:rsidP="008F33EE">
      <w:pPr>
        <w:pStyle w:val="FootnoteText"/>
        <w:spacing w:after="0" w:line="240" w:lineRule="auto"/>
      </w:pPr>
      <w:r>
        <w:rPr>
          <w:rStyle w:val="FootnoteReference"/>
        </w:rPr>
        <w:footnoteRef/>
      </w:r>
      <w:r>
        <w:t xml:space="preserve"> Turkey has a robust infrastructure for debit cards with all banks being able to issue debit cards and high proportion of bank accounts with linked debit cards. In many countries, not all bank accounts have linked debit cards as some banks do not issue debit cards because of their limited automation, etc. This makes the product offerings unattractive and necessitating wide reach of bank branches. In the case of Turkey, nearly all bank accounts have linked debit cards, this indicates ability to scale up access without needing physical presence.</w:t>
      </w:r>
    </w:p>
  </w:footnote>
  <w:footnote w:id="18">
    <w:p w14:paraId="6CCA6200" w14:textId="77777777" w:rsidR="00A82B7E" w:rsidRDefault="00A82B7E" w:rsidP="00734048">
      <w:pPr>
        <w:pStyle w:val="FootnoteText"/>
        <w:spacing w:after="0" w:line="240" w:lineRule="auto"/>
      </w:pPr>
      <w:r>
        <w:rPr>
          <w:rStyle w:val="FootnoteReference"/>
        </w:rPr>
        <w:footnoteRef/>
      </w:r>
      <w:r>
        <w:t xml:space="preserve"> See the FSB Peer Review for Turkey 2015 for additional information provided by the Turkish authorities, and the Detailed Assessment Reports and Technical Notes for additional details.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FFF95" w14:textId="77777777" w:rsidR="00A82B7E" w:rsidRDefault="00A82B7E" w:rsidP="00D44CF2">
    <w:pPr>
      <w:pStyle w:val="Header"/>
      <w:tabs>
        <w:tab w:val="clear" w:pos="8640"/>
        <w:tab w:val="right" w:pos="9000"/>
      </w:tabs>
      <w:jc w:val="center"/>
    </w:pPr>
    <w:r>
      <w:fldChar w:fldCharType="begin"/>
    </w:r>
    <w:r>
      <w:instrText xml:space="preserve"> PAGE </w:instrText>
    </w:r>
    <w:r>
      <w:fldChar w:fldCharType="separate"/>
    </w:r>
    <w:r>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9EAE7" w14:textId="77777777" w:rsidR="00A82B7E" w:rsidRDefault="00A82B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31FAB" w14:textId="46C592C7" w:rsidR="00A82B7E" w:rsidRPr="00D35C14" w:rsidRDefault="00A82B7E" w:rsidP="007729D7">
    <w:pPr>
      <w:pStyle w:val="Footer"/>
      <w:tabs>
        <w:tab w:val="clear" w:pos="4320"/>
        <w:tab w:val="clear" w:pos="8640"/>
        <w:tab w:val="right" w:pos="9270"/>
      </w:tabs>
      <w:jc w:val="center"/>
      <w:rPr>
        <w:sz w:val="20"/>
        <w:szCs w:val="20"/>
      </w:rPr>
    </w:pPr>
    <w:r w:rsidRPr="00D35C14">
      <w:rPr>
        <w:sz w:val="20"/>
        <w:szCs w:val="20"/>
      </w:rPr>
      <w:fldChar w:fldCharType="begin"/>
    </w:r>
    <w:r w:rsidRPr="00D35C14">
      <w:rPr>
        <w:sz w:val="20"/>
        <w:szCs w:val="20"/>
      </w:rPr>
      <w:instrText xml:space="preserve"> PAGE   \* MERGEFORMAT </w:instrText>
    </w:r>
    <w:r w:rsidRPr="00D35C14">
      <w:rPr>
        <w:sz w:val="20"/>
        <w:szCs w:val="20"/>
      </w:rPr>
      <w:fldChar w:fldCharType="separate"/>
    </w:r>
    <w:r w:rsidR="000E6E59">
      <w:rPr>
        <w:noProof/>
        <w:sz w:val="20"/>
        <w:szCs w:val="20"/>
      </w:rPr>
      <w:t>2</w:t>
    </w:r>
    <w:r w:rsidRPr="00D35C14">
      <w:rPr>
        <w:noProof/>
        <w:sz w:val="20"/>
        <w:szCs w:val="20"/>
      </w:rPr>
      <w:fldChar w:fldCharType="end"/>
    </w:r>
  </w:p>
  <w:p w14:paraId="3082DCA8" w14:textId="77777777" w:rsidR="00A82B7E" w:rsidRDefault="00A82B7E">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E463" w14:textId="77777777" w:rsidR="00A82B7E" w:rsidRDefault="00A82B7E">
    <w:pPr>
      <w:pStyle w:val="Header"/>
      <w:tabs>
        <w:tab w:val="clear" w:pos="8640"/>
        <w:tab w:val="right" w:pos="90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5763572"/>
      <w:docPartObj>
        <w:docPartGallery w:val="Page Numbers (Top of Page)"/>
        <w:docPartUnique/>
      </w:docPartObj>
    </w:sdtPr>
    <w:sdtEndPr>
      <w:rPr>
        <w:sz w:val="20"/>
        <w:szCs w:val="20"/>
      </w:rPr>
    </w:sdtEndPr>
    <w:sdtContent>
      <w:p w14:paraId="69D7D616" w14:textId="50B96377" w:rsidR="00A82B7E" w:rsidRPr="007729D7" w:rsidRDefault="00A82B7E">
        <w:pPr>
          <w:pStyle w:val="Header"/>
          <w:jc w:val="center"/>
          <w:rPr>
            <w:sz w:val="20"/>
            <w:szCs w:val="20"/>
          </w:rPr>
        </w:pPr>
        <w:r w:rsidRPr="007729D7">
          <w:rPr>
            <w:rStyle w:val="PageNumber"/>
            <w:sz w:val="20"/>
            <w:szCs w:val="20"/>
          </w:rPr>
          <w:fldChar w:fldCharType="begin"/>
        </w:r>
        <w:r w:rsidRPr="007729D7">
          <w:rPr>
            <w:rStyle w:val="PageNumber"/>
            <w:sz w:val="20"/>
            <w:szCs w:val="20"/>
          </w:rPr>
          <w:instrText xml:space="preserve"> PAGE </w:instrText>
        </w:r>
        <w:r w:rsidRPr="007729D7">
          <w:rPr>
            <w:rStyle w:val="PageNumber"/>
            <w:sz w:val="20"/>
            <w:szCs w:val="20"/>
          </w:rPr>
          <w:fldChar w:fldCharType="separate"/>
        </w:r>
        <w:r w:rsidR="002D43A8">
          <w:rPr>
            <w:rStyle w:val="PageNumber"/>
            <w:noProof/>
            <w:sz w:val="20"/>
            <w:szCs w:val="20"/>
          </w:rPr>
          <w:t>40</w:t>
        </w:r>
        <w:r w:rsidRPr="007729D7">
          <w:rPr>
            <w:rStyle w:val="PageNumber"/>
            <w:sz w:val="20"/>
            <w:szCs w:val="20"/>
          </w:rPr>
          <w:fldChar w:fldCharType="end"/>
        </w:r>
        <w:r w:rsidRPr="007729D7">
          <w:rPr>
            <w:noProof/>
            <w:sz w:val="20"/>
            <w:szCs w:val="20"/>
          </w:rPr>
          <mc:AlternateContent>
            <mc:Choice Requires="wps">
              <w:drawing>
                <wp:anchor distT="0" distB="0" distL="114300" distR="114300" simplePos="0" relativeHeight="251674624" behindDoc="0" locked="1" layoutInCell="0" allowOverlap="1" wp14:anchorId="48F29ABC" wp14:editId="1E26FAC3">
                  <wp:simplePos x="0" y="0"/>
                  <wp:positionH relativeFrom="margin">
                    <wp:posOffset>8966200</wp:posOffset>
                  </wp:positionH>
                  <wp:positionV relativeFrom="paragraph">
                    <wp:posOffset>-228600</wp:posOffset>
                  </wp:positionV>
                  <wp:extent cx="365760" cy="7315200"/>
                  <wp:effectExtent l="3175" t="0" r="2540" b="0"/>
                  <wp:wrapSquare wrapText="left"/>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0E8AD" w14:textId="77777777" w:rsidR="00A82B7E" w:rsidRDefault="00A82B7E">
                              <w:pPr>
                                <w:tabs>
                                  <w:tab w:val="center" w:pos="5760"/>
                                  <w:tab w:val="right" w:pos="10440"/>
                                </w:tabs>
                              </w:pPr>
                              <w:r>
                                <w:tab/>
                              </w:r>
                              <w: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29ABC" id="_x0000_t202" coordsize="21600,21600" o:spt="202" path="m,l,21600r21600,l21600,xe">
                  <v:stroke joinstyle="miter"/>
                  <v:path gradientshapeok="t" o:connecttype="rect"/>
                </v:shapetype>
                <v:shape id="Text Box 14" o:spid="_x0000_s1026" type="#_x0000_t202" style="position:absolute;left:0;text-align:left;margin-left:706pt;margin-top:-18pt;width:28.8pt;height:8in;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" o:allowincell="f" filled="f" stroked="f">
                  <v:textbox style="layout-flow:vertical">
                    <w:txbxContent>
                      <w:p w14:paraId="7860E8AD" w14:textId="77777777" w:rsidR="00D35C14" w:rsidRDefault="00D35C14">
                        <w:pPr>
                          <w:tabs>
                            <w:tab w:val="center" w:pos="5760"/>
                            <w:tab w:val="right" w:pos="10440"/>
                          </w:tabs>
                        </w:pPr>
                        <w:r>
                          <w:tab/>
                        </w:r>
                        <w:r>
                          <w:tab/>
                        </w:r>
                      </w:p>
                    </w:txbxContent>
                  </v:textbox>
                  <w10:wrap type="square" side="left" anchorx="margin"/>
                  <w10:anchorlock/>
                </v:shape>
              </w:pict>
            </mc:Fallback>
          </mc:AlternateContent>
        </w:r>
      </w:p>
    </w:sdtContent>
  </w:sdt>
  <w:p w14:paraId="183D003B" w14:textId="77777777" w:rsidR="00A82B7E" w:rsidRDefault="00A82B7E">
    <w:pPr>
      <w:pStyle w:val="Header"/>
    </w:pPr>
  </w:p>
  <w:p w14:paraId="773EA308" w14:textId="77777777" w:rsidR="00A82B7E" w:rsidRDefault="00A82B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359330"/>
      <w:docPartObj>
        <w:docPartGallery w:val="Page Numbers (Top of Page)"/>
        <w:docPartUnique/>
      </w:docPartObj>
    </w:sdtPr>
    <w:sdtEndPr/>
    <w:sdtContent>
      <w:p w14:paraId="07E5D39D" w14:textId="77777777" w:rsidR="00A82B7E" w:rsidRDefault="00A82B7E" w:rsidP="00476D36">
        <w:pPr>
          <w:pStyle w:val="Footer"/>
          <w:jc w:val="cent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r>
          <w:tab/>
        </w:r>
        <w:sdt>
          <w:sdtPr>
            <w:id w:val="1844504053"/>
            <w:docPartObj>
              <w:docPartGallery w:val="Page Numbers (Bottom of Page)"/>
              <w:docPartUnique/>
            </w:docPartObj>
          </w:sdtPr>
          <w:sdtEndPr/>
          <w:sdtContent>
            <w:r>
              <w:rPr>
                <w:noProof/>
              </w:rPr>
              <mc:AlternateContent>
                <mc:Choice Requires="wps">
                  <w:drawing>
                    <wp:anchor distT="0" distB="0" distL="114300" distR="114300" simplePos="0" relativeHeight="251662336" behindDoc="0" locked="1" layoutInCell="0" allowOverlap="1" wp14:anchorId="586EC3DC" wp14:editId="2C5CB187">
                      <wp:simplePos x="0" y="0"/>
                      <wp:positionH relativeFrom="margin">
                        <wp:posOffset>9025890</wp:posOffset>
                      </wp:positionH>
                      <wp:positionV relativeFrom="paragraph">
                        <wp:posOffset>-228600</wp:posOffset>
                      </wp:positionV>
                      <wp:extent cx="365760" cy="7315200"/>
                      <wp:effectExtent l="0" t="0" r="0" b="0"/>
                      <wp:wrapSquare wrapText="lef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2DD1" w14:textId="77777777" w:rsidR="00A82B7E" w:rsidRDefault="00A82B7E">
                                  <w:pPr>
                                    <w:tabs>
                                      <w:tab w:val="center" w:pos="5760"/>
                                      <w:tab w:val="right" w:pos="10440"/>
                                    </w:tabs>
                                  </w:pPr>
                                  <w:r>
                                    <w:tab/>
                                  </w:r>
                                  <w: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EC3DC" id="_x0000_t202" coordsize="21600,21600" o:spt="202" path="m,l,21600r21600,l21600,xe">
                      <v:stroke joinstyle="miter"/>
                      <v:path gradientshapeok="t" o:connecttype="rect"/>
                    </v:shapetype>
                    <v:shape id="Text Box 2" o:spid="_x0000_s1027" type="#_x0000_t202" style="position:absolute;left:0;text-align:left;margin-left:710.7pt;margin-top:-18pt;width:28.8pt;height:8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" o:allowincell="f" filled="f" stroked="f">
                      <v:textbox style="layout-flow:vertical">
                        <w:txbxContent>
                          <w:p w14:paraId="633E2DD1" w14:textId="77777777" w:rsidR="00D35C14" w:rsidRDefault="00D35C14">
                            <w:pPr>
                              <w:tabs>
                                <w:tab w:val="center" w:pos="5760"/>
                                <w:tab w:val="right" w:pos="10440"/>
                              </w:tabs>
                            </w:pPr>
                            <w:r>
                              <w:tab/>
                            </w:r>
                            <w:r>
                              <w:tab/>
                            </w:r>
                          </w:p>
                        </w:txbxContent>
                      </v:textbox>
                      <w10:wrap type="square" side="left" anchorx="margin"/>
                      <w10:anchorlock/>
                    </v:shape>
                  </w:pict>
                </mc:Fallback>
              </mc:AlternateContent>
            </w:r>
          </w:sdtContent>
        </w:sdt>
      </w:p>
    </w:sdtContent>
  </w:sdt>
  <w:p w14:paraId="16F3DB72" w14:textId="77777777" w:rsidR="00A82B7E" w:rsidRDefault="00A82B7E">
    <w:pPr>
      <w:pStyle w:val="Header"/>
      <w:tabs>
        <w:tab w:val="clear" w:pos="8640"/>
        <w:tab w:val="right" w:pos="90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F9E495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B72F90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95C684A"/>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D976226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AB90612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F0CAFCC4"/>
    <w:lvl w:ilvl="0">
      <w:start w:val="1"/>
      <w:numFmt w:val="bullet"/>
      <w:pStyle w:val="ListBullet"/>
      <w:lvlText w:val=""/>
      <w:lvlJc w:val="left"/>
      <w:pPr>
        <w:tabs>
          <w:tab w:val="num" w:pos="720"/>
        </w:tabs>
        <w:ind w:left="720" w:hanging="720"/>
      </w:pPr>
      <w:rPr>
        <w:rFonts w:ascii="Symbol" w:hAnsi="Symbol" w:hint="default"/>
      </w:rPr>
    </w:lvl>
  </w:abstractNum>
  <w:abstractNum w:abstractNumId="6" w15:restartNumberingAfterBreak="0">
    <w:nsid w:val="14105CA9"/>
    <w:multiLevelType w:val="hybridMultilevel"/>
    <w:tmpl w:val="C9D45462"/>
    <w:lvl w:ilvl="0" w:tplc="9D1CA0E8">
      <w:start w:val="1"/>
      <w:numFmt w:val="decimal"/>
      <w:pStyle w:val="ParagraphNumbering"/>
      <w:lvlText w:val="%1.     "/>
      <w:lvlJc w:val="left"/>
      <w:pPr>
        <w:tabs>
          <w:tab w:val="num" w:pos="1260"/>
        </w:tabs>
        <w:ind w:left="540" w:firstLine="0"/>
      </w:pPr>
      <w:rPr>
        <w:rFonts w:ascii="Times New Roman" w:hAnsi="Times New Roman" w:cs="Times New Roman" w:hint="default"/>
        <w:b w:val="0"/>
        <w:color w:val="auto"/>
        <w:sz w:val="24"/>
        <w:szCs w:val="24"/>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1A9B51D2"/>
    <w:multiLevelType w:val="hybridMultilevel"/>
    <w:tmpl w:val="01F6A974"/>
    <w:lvl w:ilvl="0" w:tplc="A34C3D8E">
      <w:start w:val="1"/>
      <w:numFmt w:val="decimal"/>
      <w:pStyle w:val="ListParagraph"/>
      <w:lvlText w:val="%1&gt;"/>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D6BF5"/>
    <w:multiLevelType w:val="hybridMultilevel"/>
    <w:tmpl w:val="A378ABA2"/>
    <w:lvl w:ilvl="0" w:tplc="EF02E5FA">
      <w:start w:val="1"/>
      <w:numFmt w:val="bullet"/>
      <w:pStyle w:val="BoxBullet"/>
      <w:lvlText w:val=""/>
      <w:lvlJc w:val="left"/>
      <w:pPr>
        <w:ind w:left="720" w:hanging="360"/>
      </w:pPr>
      <w:rPr>
        <w:rFonts w:ascii="Symbol" w:hAnsi="Symbol" w:hint="default"/>
        <w:color w:val="4B82AD"/>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B4A2B"/>
    <w:multiLevelType w:val="hybridMultilevel"/>
    <w:tmpl w:val="684A422C"/>
    <w:lvl w:ilvl="0" w:tplc="9B0C9C7A">
      <w:start w:val="1"/>
      <w:numFmt w:val="decimal"/>
      <w:pStyle w:val="AnnAppParagraphNumbering"/>
      <w:lvlText w:val="%1.     "/>
      <w:lvlJc w:val="left"/>
      <w:pPr>
        <w:ind w:left="360" w:hanging="360"/>
      </w:pPr>
      <w:rPr>
        <w:rFonts w:ascii="Segoe UI" w:hAnsi="Segoe UI" w:hint="default"/>
        <w:b/>
        <w:bCs/>
        <w:i w:val="0"/>
        <w:iCs w:val="0"/>
        <w:sz w:val="21"/>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2D6A99"/>
    <w:multiLevelType w:val="hybridMultilevel"/>
    <w:tmpl w:val="A0764970"/>
    <w:lvl w:ilvl="0" w:tplc="7638D8F2">
      <w:start w:val="1"/>
      <w:numFmt w:val="bullet"/>
      <w:pStyle w:val="AnnAppListBullets"/>
      <w:lvlText w:val=""/>
      <w:lvlJc w:val="left"/>
      <w:pPr>
        <w:ind w:left="720" w:hanging="360"/>
      </w:pPr>
      <w:rPr>
        <w:rFonts w:ascii="Symbol" w:hAnsi="Symbol" w:hint="default"/>
        <w:color w:val="4B82AD"/>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1718CF"/>
    <w:multiLevelType w:val="hybridMultilevel"/>
    <w:tmpl w:val="F8581220"/>
    <w:lvl w:ilvl="0" w:tplc="99F6F24A">
      <w:start w:val="1"/>
      <w:numFmt w:val="upperLetter"/>
      <w:pStyle w:val="AnnAppHeading2"/>
      <w:lvlText w:val="%1."/>
      <w:lvlJc w:val="left"/>
      <w:pPr>
        <w:ind w:left="720" w:hanging="360"/>
      </w:pPr>
      <w:rPr>
        <w:rFonts w:ascii="Segoe UI" w:hAnsi="Segoe UI" w:cs="Segoe UI" w:hint="default"/>
        <w:b/>
        <w:i w:val="0"/>
        <w:color w:val="4B82AD"/>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EA15A1"/>
    <w:multiLevelType w:val="multilevel"/>
    <w:tmpl w:val="C164C012"/>
    <w:lvl w:ilvl="0">
      <w:start w:val="1"/>
      <w:numFmt w:val="upperRoman"/>
      <w:pStyle w:val="Heading1"/>
      <w:suff w:val="nothing"/>
      <w:lvlText w:val="%1.   "/>
      <w:lvlJc w:val="left"/>
      <w:pPr>
        <w:ind w:left="3150" w:firstLine="0"/>
      </w:pPr>
      <w:rPr>
        <w:rFonts w:hint="default"/>
      </w:rPr>
    </w:lvl>
    <w:lvl w:ilvl="1">
      <w:start w:val="1"/>
      <w:numFmt w:val="upperLetter"/>
      <w:pStyle w:val="Heading2"/>
      <w:suff w:val="nothing"/>
      <w:lvlText w:val="%2.   "/>
      <w:lvlJc w:val="left"/>
      <w:pPr>
        <w:ind w:left="5850" w:firstLine="0"/>
      </w:pPr>
      <w:rPr>
        <w:rFonts w:hint="default"/>
        <w:color w:val="auto"/>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990"/>
        </w:tabs>
        <w:ind w:left="63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num w:numId="1">
    <w:abstractNumId w:val="5"/>
  </w:num>
  <w:num w:numId="2">
    <w:abstractNumId w:val="4"/>
  </w:num>
  <w:num w:numId="3">
    <w:abstractNumId w:val="12"/>
  </w:num>
  <w:num w:numId="4">
    <w:abstractNumId w:val="5"/>
  </w:num>
  <w:num w:numId="5">
    <w:abstractNumId w:val="3"/>
  </w:num>
  <w:num w:numId="6">
    <w:abstractNumId w:val="2"/>
  </w:num>
  <w:num w:numId="7">
    <w:abstractNumId w:val="1"/>
  </w:num>
  <w:num w:numId="8">
    <w:abstractNumId w:val="0"/>
  </w:num>
  <w:num w:numId="9">
    <w:abstractNumId w:val="6"/>
  </w:num>
  <w:num w:numId="10">
    <w:abstractNumId w:val="7"/>
  </w:num>
  <w:num w:numId="11">
    <w:abstractNumId w:val="8"/>
  </w:num>
  <w:num w:numId="12">
    <w:abstractNumId w:val="9"/>
  </w:num>
  <w:num w:numId="13">
    <w:abstractNumId w:val="11"/>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C15"/>
    <w:rsid w:val="0000182A"/>
    <w:rsid w:val="0000194B"/>
    <w:rsid w:val="00002B79"/>
    <w:rsid w:val="000043C6"/>
    <w:rsid w:val="00005A4C"/>
    <w:rsid w:val="00005DF5"/>
    <w:rsid w:val="000077F5"/>
    <w:rsid w:val="00010CD2"/>
    <w:rsid w:val="00011079"/>
    <w:rsid w:val="00012C21"/>
    <w:rsid w:val="00013E0A"/>
    <w:rsid w:val="0001407E"/>
    <w:rsid w:val="00014773"/>
    <w:rsid w:val="00016FBA"/>
    <w:rsid w:val="00017A4D"/>
    <w:rsid w:val="00017F60"/>
    <w:rsid w:val="000214CB"/>
    <w:rsid w:val="000243DB"/>
    <w:rsid w:val="00024B4E"/>
    <w:rsid w:val="0002550C"/>
    <w:rsid w:val="0002632F"/>
    <w:rsid w:val="00027E23"/>
    <w:rsid w:val="00031055"/>
    <w:rsid w:val="00031382"/>
    <w:rsid w:val="00031A50"/>
    <w:rsid w:val="00031F3F"/>
    <w:rsid w:val="00035BCE"/>
    <w:rsid w:val="0003678F"/>
    <w:rsid w:val="00036917"/>
    <w:rsid w:val="00036F3E"/>
    <w:rsid w:val="000402FB"/>
    <w:rsid w:val="00040D64"/>
    <w:rsid w:val="00041ADC"/>
    <w:rsid w:val="00041B75"/>
    <w:rsid w:val="00042B4F"/>
    <w:rsid w:val="000431CE"/>
    <w:rsid w:val="0004336E"/>
    <w:rsid w:val="00043CB7"/>
    <w:rsid w:val="00043E22"/>
    <w:rsid w:val="00044085"/>
    <w:rsid w:val="000445FD"/>
    <w:rsid w:val="00045E46"/>
    <w:rsid w:val="00046127"/>
    <w:rsid w:val="0004637A"/>
    <w:rsid w:val="00046928"/>
    <w:rsid w:val="00047B6B"/>
    <w:rsid w:val="00052264"/>
    <w:rsid w:val="00052FC2"/>
    <w:rsid w:val="0005380F"/>
    <w:rsid w:val="000546E6"/>
    <w:rsid w:val="00056B40"/>
    <w:rsid w:val="0006016A"/>
    <w:rsid w:val="000610EC"/>
    <w:rsid w:val="0006194C"/>
    <w:rsid w:val="00061AF3"/>
    <w:rsid w:val="0006211B"/>
    <w:rsid w:val="000628B5"/>
    <w:rsid w:val="00062FA0"/>
    <w:rsid w:val="0006445C"/>
    <w:rsid w:val="00064921"/>
    <w:rsid w:val="000668A7"/>
    <w:rsid w:val="0007202F"/>
    <w:rsid w:val="00072322"/>
    <w:rsid w:val="00072D3A"/>
    <w:rsid w:val="000746E8"/>
    <w:rsid w:val="00074C44"/>
    <w:rsid w:val="00075EA3"/>
    <w:rsid w:val="0007609A"/>
    <w:rsid w:val="0007655B"/>
    <w:rsid w:val="00077A2E"/>
    <w:rsid w:val="00080643"/>
    <w:rsid w:val="000816F9"/>
    <w:rsid w:val="00082E1E"/>
    <w:rsid w:val="00084838"/>
    <w:rsid w:val="000926EA"/>
    <w:rsid w:val="00092CD9"/>
    <w:rsid w:val="0009354D"/>
    <w:rsid w:val="00096950"/>
    <w:rsid w:val="00096E2D"/>
    <w:rsid w:val="000979EF"/>
    <w:rsid w:val="000A1294"/>
    <w:rsid w:val="000A1EBA"/>
    <w:rsid w:val="000A2CCE"/>
    <w:rsid w:val="000A3B74"/>
    <w:rsid w:val="000A3FA4"/>
    <w:rsid w:val="000A4057"/>
    <w:rsid w:val="000A425A"/>
    <w:rsid w:val="000A443D"/>
    <w:rsid w:val="000A7E0C"/>
    <w:rsid w:val="000B5F83"/>
    <w:rsid w:val="000B72C8"/>
    <w:rsid w:val="000C056E"/>
    <w:rsid w:val="000C0E90"/>
    <w:rsid w:val="000C1734"/>
    <w:rsid w:val="000C2241"/>
    <w:rsid w:val="000C3E6E"/>
    <w:rsid w:val="000C3EEA"/>
    <w:rsid w:val="000C6587"/>
    <w:rsid w:val="000C67BD"/>
    <w:rsid w:val="000C7EE9"/>
    <w:rsid w:val="000D05B4"/>
    <w:rsid w:val="000D093E"/>
    <w:rsid w:val="000D11B2"/>
    <w:rsid w:val="000D1B2D"/>
    <w:rsid w:val="000D2777"/>
    <w:rsid w:val="000D2F4F"/>
    <w:rsid w:val="000D3010"/>
    <w:rsid w:val="000D332C"/>
    <w:rsid w:val="000D3910"/>
    <w:rsid w:val="000D7861"/>
    <w:rsid w:val="000E11B3"/>
    <w:rsid w:val="000E18E5"/>
    <w:rsid w:val="000E1B77"/>
    <w:rsid w:val="000E1FAA"/>
    <w:rsid w:val="000E36E0"/>
    <w:rsid w:val="000E4648"/>
    <w:rsid w:val="000E4E7C"/>
    <w:rsid w:val="000E51CF"/>
    <w:rsid w:val="000E5FB4"/>
    <w:rsid w:val="000E6384"/>
    <w:rsid w:val="000E6AA4"/>
    <w:rsid w:val="000E6D91"/>
    <w:rsid w:val="000E6E59"/>
    <w:rsid w:val="000E7434"/>
    <w:rsid w:val="000E771B"/>
    <w:rsid w:val="000E7FFC"/>
    <w:rsid w:val="000F04C8"/>
    <w:rsid w:val="000F14CF"/>
    <w:rsid w:val="000F2A60"/>
    <w:rsid w:val="000F2CB0"/>
    <w:rsid w:val="000F4CEC"/>
    <w:rsid w:val="000F7EA5"/>
    <w:rsid w:val="00100711"/>
    <w:rsid w:val="00102C0C"/>
    <w:rsid w:val="00105A6F"/>
    <w:rsid w:val="0010652E"/>
    <w:rsid w:val="0010774B"/>
    <w:rsid w:val="00110686"/>
    <w:rsid w:val="001134FC"/>
    <w:rsid w:val="00114EB9"/>
    <w:rsid w:val="001166A1"/>
    <w:rsid w:val="00117391"/>
    <w:rsid w:val="001178A2"/>
    <w:rsid w:val="00120930"/>
    <w:rsid w:val="00120D03"/>
    <w:rsid w:val="0012139E"/>
    <w:rsid w:val="00121C5A"/>
    <w:rsid w:val="0012222E"/>
    <w:rsid w:val="00126CCF"/>
    <w:rsid w:val="001276A8"/>
    <w:rsid w:val="001302B8"/>
    <w:rsid w:val="00130507"/>
    <w:rsid w:val="00130E69"/>
    <w:rsid w:val="0013730E"/>
    <w:rsid w:val="00140717"/>
    <w:rsid w:val="0014148F"/>
    <w:rsid w:val="00141A61"/>
    <w:rsid w:val="00141C95"/>
    <w:rsid w:val="001420E0"/>
    <w:rsid w:val="001420F8"/>
    <w:rsid w:val="00143808"/>
    <w:rsid w:val="00145178"/>
    <w:rsid w:val="001469EF"/>
    <w:rsid w:val="00147680"/>
    <w:rsid w:val="00151A90"/>
    <w:rsid w:val="0015268B"/>
    <w:rsid w:val="00152D21"/>
    <w:rsid w:val="00152FD2"/>
    <w:rsid w:val="00153154"/>
    <w:rsid w:val="00153830"/>
    <w:rsid w:val="00154F8C"/>
    <w:rsid w:val="00155919"/>
    <w:rsid w:val="00156567"/>
    <w:rsid w:val="0015687B"/>
    <w:rsid w:val="001611FD"/>
    <w:rsid w:val="00161320"/>
    <w:rsid w:val="00161840"/>
    <w:rsid w:val="0016231D"/>
    <w:rsid w:val="0016285E"/>
    <w:rsid w:val="00165A91"/>
    <w:rsid w:val="00167162"/>
    <w:rsid w:val="0016723E"/>
    <w:rsid w:val="00170144"/>
    <w:rsid w:val="00170973"/>
    <w:rsid w:val="00174B2A"/>
    <w:rsid w:val="001758EA"/>
    <w:rsid w:val="00175A6A"/>
    <w:rsid w:val="00175E1F"/>
    <w:rsid w:val="00176072"/>
    <w:rsid w:val="001762DA"/>
    <w:rsid w:val="001764FC"/>
    <w:rsid w:val="00176784"/>
    <w:rsid w:val="001773FE"/>
    <w:rsid w:val="001777A5"/>
    <w:rsid w:val="001777FF"/>
    <w:rsid w:val="00180A08"/>
    <w:rsid w:val="001845F4"/>
    <w:rsid w:val="00185FF8"/>
    <w:rsid w:val="001903B2"/>
    <w:rsid w:val="00191546"/>
    <w:rsid w:val="0019166A"/>
    <w:rsid w:val="001925DA"/>
    <w:rsid w:val="00193866"/>
    <w:rsid w:val="001938D8"/>
    <w:rsid w:val="0019594F"/>
    <w:rsid w:val="001A11D0"/>
    <w:rsid w:val="001A123E"/>
    <w:rsid w:val="001A12FB"/>
    <w:rsid w:val="001A131F"/>
    <w:rsid w:val="001A2697"/>
    <w:rsid w:val="001A29D3"/>
    <w:rsid w:val="001A3775"/>
    <w:rsid w:val="001A4339"/>
    <w:rsid w:val="001A45F6"/>
    <w:rsid w:val="001A4A70"/>
    <w:rsid w:val="001A564E"/>
    <w:rsid w:val="001A6491"/>
    <w:rsid w:val="001A6604"/>
    <w:rsid w:val="001A6776"/>
    <w:rsid w:val="001B0163"/>
    <w:rsid w:val="001B03A0"/>
    <w:rsid w:val="001B2926"/>
    <w:rsid w:val="001B3D6C"/>
    <w:rsid w:val="001B41F6"/>
    <w:rsid w:val="001B4791"/>
    <w:rsid w:val="001B5650"/>
    <w:rsid w:val="001C0E66"/>
    <w:rsid w:val="001C0E9F"/>
    <w:rsid w:val="001C17FF"/>
    <w:rsid w:val="001C25F9"/>
    <w:rsid w:val="001C2A4F"/>
    <w:rsid w:val="001C513B"/>
    <w:rsid w:val="001C6318"/>
    <w:rsid w:val="001C641C"/>
    <w:rsid w:val="001D18B2"/>
    <w:rsid w:val="001D2410"/>
    <w:rsid w:val="001D488A"/>
    <w:rsid w:val="001D683A"/>
    <w:rsid w:val="001E04DD"/>
    <w:rsid w:val="001E1974"/>
    <w:rsid w:val="001E1A07"/>
    <w:rsid w:val="001E360D"/>
    <w:rsid w:val="001E5D39"/>
    <w:rsid w:val="001E64C1"/>
    <w:rsid w:val="001E7248"/>
    <w:rsid w:val="001E781A"/>
    <w:rsid w:val="001E7986"/>
    <w:rsid w:val="001E7C80"/>
    <w:rsid w:val="001F0F50"/>
    <w:rsid w:val="001F0FB6"/>
    <w:rsid w:val="001F106F"/>
    <w:rsid w:val="001F11F8"/>
    <w:rsid w:val="001F13DA"/>
    <w:rsid w:val="001F1892"/>
    <w:rsid w:val="001F3CA8"/>
    <w:rsid w:val="001F3D71"/>
    <w:rsid w:val="001F4BC0"/>
    <w:rsid w:val="001F5828"/>
    <w:rsid w:val="001F58A4"/>
    <w:rsid w:val="001F5A19"/>
    <w:rsid w:val="001F6CD6"/>
    <w:rsid w:val="001F77FB"/>
    <w:rsid w:val="0020131E"/>
    <w:rsid w:val="00201ACA"/>
    <w:rsid w:val="00202B8C"/>
    <w:rsid w:val="00203791"/>
    <w:rsid w:val="00204405"/>
    <w:rsid w:val="002046CE"/>
    <w:rsid w:val="002074E8"/>
    <w:rsid w:val="00207530"/>
    <w:rsid w:val="002077EC"/>
    <w:rsid w:val="002109CD"/>
    <w:rsid w:val="00211D52"/>
    <w:rsid w:val="002133B5"/>
    <w:rsid w:val="00213962"/>
    <w:rsid w:val="00213E3B"/>
    <w:rsid w:val="00217673"/>
    <w:rsid w:val="00217E29"/>
    <w:rsid w:val="002221C9"/>
    <w:rsid w:val="00223484"/>
    <w:rsid w:val="002237FB"/>
    <w:rsid w:val="00223E41"/>
    <w:rsid w:val="00224293"/>
    <w:rsid w:val="002253CB"/>
    <w:rsid w:val="00225594"/>
    <w:rsid w:val="00226399"/>
    <w:rsid w:val="00226F79"/>
    <w:rsid w:val="002271F8"/>
    <w:rsid w:val="002279AB"/>
    <w:rsid w:val="00227DF3"/>
    <w:rsid w:val="002305F4"/>
    <w:rsid w:val="002310C0"/>
    <w:rsid w:val="002315EA"/>
    <w:rsid w:val="002327CA"/>
    <w:rsid w:val="002335E5"/>
    <w:rsid w:val="00233ABC"/>
    <w:rsid w:val="002345FA"/>
    <w:rsid w:val="002349A6"/>
    <w:rsid w:val="00234E52"/>
    <w:rsid w:val="00236230"/>
    <w:rsid w:val="00237AE3"/>
    <w:rsid w:val="002405F2"/>
    <w:rsid w:val="00241B32"/>
    <w:rsid w:val="00242217"/>
    <w:rsid w:val="00243650"/>
    <w:rsid w:val="0024399E"/>
    <w:rsid w:val="00244328"/>
    <w:rsid w:val="00244B9B"/>
    <w:rsid w:val="00245319"/>
    <w:rsid w:val="00245EF4"/>
    <w:rsid w:val="00246060"/>
    <w:rsid w:val="00247556"/>
    <w:rsid w:val="00247B7B"/>
    <w:rsid w:val="00247D8D"/>
    <w:rsid w:val="002528CC"/>
    <w:rsid w:val="00252BA1"/>
    <w:rsid w:val="00252F49"/>
    <w:rsid w:val="0025305E"/>
    <w:rsid w:val="0025317A"/>
    <w:rsid w:val="00253215"/>
    <w:rsid w:val="00255E90"/>
    <w:rsid w:val="0025693D"/>
    <w:rsid w:val="00257037"/>
    <w:rsid w:val="00257AE5"/>
    <w:rsid w:val="00257BE1"/>
    <w:rsid w:val="00260223"/>
    <w:rsid w:val="002606CD"/>
    <w:rsid w:val="00261F17"/>
    <w:rsid w:val="00263535"/>
    <w:rsid w:val="002638A4"/>
    <w:rsid w:val="00264708"/>
    <w:rsid w:val="0026546D"/>
    <w:rsid w:val="00265657"/>
    <w:rsid w:val="002662D5"/>
    <w:rsid w:val="00266632"/>
    <w:rsid w:val="002668F5"/>
    <w:rsid w:val="00266D45"/>
    <w:rsid w:val="00267B28"/>
    <w:rsid w:val="0027075B"/>
    <w:rsid w:val="00272C93"/>
    <w:rsid w:val="002730DB"/>
    <w:rsid w:val="00275626"/>
    <w:rsid w:val="002759DA"/>
    <w:rsid w:val="00276674"/>
    <w:rsid w:val="00281806"/>
    <w:rsid w:val="0028266C"/>
    <w:rsid w:val="00282860"/>
    <w:rsid w:val="00283250"/>
    <w:rsid w:val="00283FB7"/>
    <w:rsid w:val="002841E0"/>
    <w:rsid w:val="00284BB6"/>
    <w:rsid w:val="00284BE5"/>
    <w:rsid w:val="00284EAD"/>
    <w:rsid w:val="0028567F"/>
    <w:rsid w:val="002871FC"/>
    <w:rsid w:val="00290037"/>
    <w:rsid w:val="00290262"/>
    <w:rsid w:val="00291538"/>
    <w:rsid w:val="00291637"/>
    <w:rsid w:val="00291786"/>
    <w:rsid w:val="00291BD4"/>
    <w:rsid w:val="0029419F"/>
    <w:rsid w:val="002956CA"/>
    <w:rsid w:val="002965AE"/>
    <w:rsid w:val="0029796D"/>
    <w:rsid w:val="002A0048"/>
    <w:rsid w:val="002A01CD"/>
    <w:rsid w:val="002A347D"/>
    <w:rsid w:val="002A5408"/>
    <w:rsid w:val="002A5460"/>
    <w:rsid w:val="002A57DC"/>
    <w:rsid w:val="002A5B6C"/>
    <w:rsid w:val="002A6FEA"/>
    <w:rsid w:val="002A7721"/>
    <w:rsid w:val="002B21C1"/>
    <w:rsid w:val="002B3488"/>
    <w:rsid w:val="002B45AB"/>
    <w:rsid w:val="002B6014"/>
    <w:rsid w:val="002B61E7"/>
    <w:rsid w:val="002B6254"/>
    <w:rsid w:val="002B6470"/>
    <w:rsid w:val="002B7C2A"/>
    <w:rsid w:val="002B7FA6"/>
    <w:rsid w:val="002C0D21"/>
    <w:rsid w:val="002C1F58"/>
    <w:rsid w:val="002C2DF0"/>
    <w:rsid w:val="002C4002"/>
    <w:rsid w:val="002C4A68"/>
    <w:rsid w:val="002C6DF9"/>
    <w:rsid w:val="002C7A5B"/>
    <w:rsid w:val="002D003A"/>
    <w:rsid w:val="002D1E06"/>
    <w:rsid w:val="002D2BAC"/>
    <w:rsid w:val="002D38C6"/>
    <w:rsid w:val="002D3D33"/>
    <w:rsid w:val="002D3F8B"/>
    <w:rsid w:val="002D43A8"/>
    <w:rsid w:val="002D491C"/>
    <w:rsid w:val="002D67E6"/>
    <w:rsid w:val="002D6BB9"/>
    <w:rsid w:val="002D6E2F"/>
    <w:rsid w:val="002E0D6C"/>
    <w:rsid w:val="002E1A9B"/>
    <w:rsid w:val="002E1D02"/>
    <w:rsid w:val="002E21EB"/>
    <w:rsid w:val="002E28CA"/>
    <w:rsid w:val="002E2E7A"/>
    <w:rsid w:val="002E4A7D"/>
    <w:rsid w:val="002E5474"/>
    <w:rsid w:val="002E79E8"/>
    <w:rsid w:val="002F01D5"/>
    <w:rsid w:val="002F0B24"/>
    <w:rsid w:val="002F0E82"/>
    <w:rsid w:val="002F1F22"/>
    <w:rsid w:val="002F1FF2"/>
    <w:rsid w:val="002F4ED1"/>
    <w:rsid w:val="002F504A"/>
    <w:rsid w:val="002F5199"/>
    <w:rsid w:val="002F5A35"/>
    <w:rsid w:val="002F6CF9"/>
    <w:rsid w:val="00300DF2"/>
    <w:rsid w:val="003033E3"/>
    <w:rsid w:val="00304917"/>
    <w:rsid w:val="0030623E"/>
    <w:rsid w:val="00307C84"/>
    <w:rsid w:val="00311FF7"/>
    <w:rsid w:val="003129E3"/>
    <w:rsid w:val="0031483F"/>
    <w:rsid w:val="00314E56"/>
    <w:rsid w:val="00317712"/>
    <w:rsid w:val="0031775D"/>
    <w:rsid w:val="00317FDC"/>
    <w:rsid w:val="00321598"/>
    <w:rsid w:val="00322AF6"/>
    <w:rsid w:val="00324C73"/>
    <w:rsid w:val="0032622F"/>
    <w:rsid w:val="00327493"/>
    <w:rsid w:val="00327D2E"/>
    <w:rsid w:val="00330106"/>
    <w:rsid w:val="003311F1"/>
    <w:rsid w:val="003325FE"/>
    <w:rsid w:val="00333689"/>
    <w:rsid w:val="0033596A"/>
    <w:rsid w:val="00336262"/>
    <w:rsid w:val="003378EB"/>
    <w:rsid w:val="003409EA"/>
    <w:rsid w:val="0034200C"/>
    <w:rsid w:val="0034788F"/>
    <w:rsid w:val="00347B64"/>
    <w:rsid w:val="00350714"/>
    <w:rsid w:val="00350A5C"/>
    <w:rsid w:val="003518F7"/>
    <w:rsid w:val="00351C61"/>
    <w:rsid w:val="003522F6"/>
    <w:rsid w:val="00354ADD"/>
    <w:rsid w:val="00355E52"/>
    <w:rsid w:val="003565F7"/>
    <w:rsid w:val="00356DDB"/>
    <w:rsid w:val="00356F0C"/>
    <w:rsid w:val="00356F46"/>
    <w:rsid w:val="00357FAE"/>
    <w:rsid w:val="00360103"/>
    <w:rsid w:val="00362151"/>
    <w:rsid w:val="00362B65"/>
    <w:rsid w:val="00363EA7"/>
    <w:rsid w:val="003647D8"/>
    <w:rsid w:val="00364CAF"/>
    <w:rsid w:val="003662AA"/>
    <w:rsid w:val="0037124D"/>
    <w:rsid w:val="003714B2"/>
    <w:rsid w:val="00371C15"/>
    <w:rsid w:val="003721D3"/>
    <w:rsid w:val="00372812"/>
    <w:rsid w:val="00373F8F"/>
    <w:rsid w:val="00374533"/>
    <w:rsid w:val="00374ABD"/>
    <w:rsid w:val="00375A45"/>
    <w:rsid w:val="0037615F"/>
    <w:rsid w:val="00376747"/>
    <w:rsid w:val="00376B60"/>
    <w:rsid w:val="003779F1"/>
    <w:rsid w:val="00377D46"/>
    <w:rsid w:val="0038082B"/>
    <w:rsid w:val="00381D89"/>
    <w:rsid w:val="00382DB1"/>
    <w:rsid w:val="003846F0"/>
    <w:rsid w:val="00385AAC"/>
    <w:rsid w:val="00386AD4"/>
    <w:rsid w:val="0038706B"/>
    <w:rsid w:val="003873FB"/>
    <w:rsid w:val="003878C7"/>
    <w:rsid w:val="00391593"/>
    <w:rsid w:val="00393FB7"/>
    <w:rsid w:val="00397065"/>
    <w:rsid w:val="0039725A"/>
    <w:rsid w:val="003A083F"/>
    <w:rsid w:val="003A17A8"/>
    <w:rsid w:val="003A17E5"/>
    <w:rsid w:val="003A2049"/>
    <w:rsid w:val="003A2324"/>
    <w:rsid w:val="003A2796"/>
    <w:rsid w:val="003A2F55"/>
    <w:rsid w:val="003A2F74"/>
    <w:rsid w:val="003A3BB1"/>
    <w:rsid w:val="003A41BF"/>
    <w:rsid w:val="003A486D"/>
    <w:rsid w:val="003A5130"/>
    <w:rsid w:val="003A5496"/>
    <w:rsid w:val="003A7EC3"/>
    <w:rsid w:val="003B03AF"/>
    <w:rsid w:val="003B06AE"/>
    <w:rsid w:val="003B1F49"/>
    <w:rsid w:val="003B2869"/>
    <w:rsid w:val="003B40F5"/>
    <w:rsid w:val="003B4858"/>
    <w:rsid w:val="003B5AD0"/>
    <w:rsid w:val="003B6411"/>
    <w:rsid w:val="003B644E"/>
    <w:rsid w:val="003B7433"/>
    <w:rsid w:val="003B758C"/>
    <w:rsid w:val="003B76D1"/>
    <w:rsid w:val="003C00CB"/>
    <w:rsid w:val="003C02B9"/>
    <w:rsid w:val="003C1E52"/>
    <w:rsid w:val="003C20C7"/>
    <w:rsid w:val="003C3FBF"/>
    <w:rsid w:val="003C5C81"/>
    <w:rsid w:val="003C6AF0"/>
    <w:rsid w:val="003C6BB9"/>
    <w:rsid w:val="003C6DEA"/>
    <w:rsid w:val="003C702F"/>
    <w:rsid w:val="003D0CBE"/>
    <w:rsid w:val="003D0EF9"/>
    <w:rsid w:val="003D2797"/>
    <w:rsid w:val="003D2C7F"/>
    <w:rsid w:val="003D2E9F"/>
    <w:rsid w:val="003D3DA1"/>
    <w:rsid w:val="003D3FB7"/>
    <w:rsid w:val="003D3FC7"/>
    <w:rsid w:val="003D4042"/>
    <w:rsid w:val="003D455D"/>
    <w:rsid w:val="003D4B3D"/>
    <w:rsid w:val="003D78CF"/>
    <w:rsid w:val="003E089D"/>
    <w:rsid w:val="003E14FE"/>
    <w:rsid w:val="003E166B"/>
    <w:rsid w:val="003E2597"/>
    <w:rsid w:val="003E3F0D"/>
    <w:rsid w:val="003E5EB6"/>
    <w:rsid w:val="003E6803"/>
    <w:rsid w:val="003E7BE2"/>
    <w:rsid w:val="003F123D"/>
    <w:rsid w:val="003F1E91"/>
    <w:rsid w:val="003F2AFE"/>
    <w:rsid w:val="003F2B52"/>
    <w:rsid w:val="003F46E9"/>
    <w:rsid w:val="003F5DF4"/>
    <w:rsid w:val="003F62BA"/>
    <w:rsid w:val="003F748E"/>
    <w:rsid w:val="003F7740"/>
    <w:rsid w:val="004001D2"/>
    <w:rsid w:val="00401258"/>
    <w:rsid w:val="00401A6D"/>
    <w:rsid w:val="00405454"/>
    <w:rsid w:val="004056E2"/>
    <w:rsid w:val="00405CC0"/>
    <w:rsid w:val="00410CF8"/>
    <w:rsid w:val="00411986"/>
    <w:rsid w:val="00411FCA"/>
    <w:rsid w:val="00412D26"/>
    <w:rsid w:val="00412EE5"/>
    <w:rsid w:val="004163A1"/>
    <w:rsid w:val="004164D1"/>
    <w:rsid w:val="004212E3"/>
    <w:rsid w:val="004222C0"/>
    <w:rsid w:val="0042256E"/>
    <w:rsid w:val="00422771"/>
    <w:rsid w:val="004236A0"/>
    <w:rsid w:val="00423A29"/>
    <w:rsid w:val="00424023"/>
    <w:rsid w:val="00425A4A"/>
    <w:rsid w:val="004267E1"/>
    <w:rsid w:val="00427043"/>
    <w:rsid w:val="004277C7"/>
    <w:rsid w:val="004277D1"/>
    <w:rsid w:val="00427E2E"/>
    <w:rsid w:val="00431D15"/>
    <w:rsid w:val="00432686"/>
    <w:rsid w:val="00432D9F"/>
    <w:rsid w:val="004333FD"/>
    <w:rsid w:val="00434B62"/>
    <w:rsid w:val="004351F6"/>
    <w:rsid w:val="004369F3"/>
    <w:rsid w:val="00437BDF"/>
    <w:rsid w:val="00437E2B"/>
    <w:rsid w:val="004405A4"/>
    <w:rsid w:val="00440830"/>
    <w:rsid w:val="00441271"/>
    <w:rsid w:val="00441CF9"/>
    <w:rsid w:val="00442026"/>
    <w:rsid w:val="00442F0A"/>
    <w:rsid w:val="00442F4F"/>
    <w:rsid w:val="00443BFC"/>
    <w:rsid w:val="00446AEE"/>
    <w:rsid w:val="00447A6D"/>
    <w:rsid w:val="00451C0D"/>
    <w:rsid w:val="00452250"/>
    <w:rsid w:val="00457A63"/>
    <w:rsid w:val="0046065E"/>
    <w:rsid w:val="004615E9"/>
    <w:rsid w:val="0046192A"/>
    <w:rsid w:val="00461C58"/>
    <w:rsid w:val="004623AC"/>
    <w:rsid w:val="004642C6"/>
    <w:rsid w:val="004674CA"/>
    <w:rsid w:val="00467C7C"/>
    <w:rsid w:val="00467C82"/>
    <w:rsid w:val="004701CF"/>
    <w:rsid w:val="00470E95"/>
    <w:rsid w:val="00471A74"/>
    <w:rsid w:val="0047586E"/>
    <w:rsid w:val="00476A33"/>
    <w:rsid w:val="00476D36"/>
    <w:rsid w:val="0047731F"/>
    <w:rsid w:val="004779F2"/>
    <w:rsid w:val="00477D1E"/>
    <w:rsid w:val="00482E58"/>
    <w:rsid w:val="004845A6"/>
    <w:rsid w:val="00484984"/>
    <w:rsid w:val="00485973"/>
    <w:rsid w:val="004872AE"/>
    <w:rsid w:val="00487D13"/>
    <w:rsid w:val="00490CBE"/>
    <w:rsid w:val="00490E94"/>
    <w:rsid w:val="00492897"/>
    <w:rsid w:val="00492BC3"/>
    <w:rsid w:val="00494167"/>
    <w:rsid w:val="00495880"/>
    <w:rsid w:val="004958C7"/>
    <w:rsid w:val="00495FF3"/>
    <w:rsid w:val="00497AE8"/>
    <w:rsid w:val="004A02C6"/>
    <w:rsid w:val="004A066A"/>
    <w:rsid w:val="004A1F65"/>
    <w:rsid w:val="004A2830"/>
    <w:rsid w:val="004A2D29"/>
    <w:rsid w:val="004A3131"/>
    <w:rsid w:val="004A38BD"/>
    <w:rsid w:val="004A42EE"/>
    <w:rsid w:val="004A43FE"/>
    <w:rsid w:val="004A4469"/>
    <w:rsid w:val="004A46A8"/>
    <w:rsid w:val="004A675E"/>
    <w:rsid w:val="004A72DF"/>
    <w:rsid w:val="004A7953"/>
    <w:rsid w:val="004B2C14"/>
    <w:rsid w:val="004B43C4"/>
    <w:rsid w:val="004B6C95"/>
    <w:rsid w:val="004B6DD9"/>
    <w:rsid w:val="004B7862"/>
    <w:rsid w:val="004C0A74"/>
    <w:rsid w:val="004C0C0C"/>
    <w:rsid w:val="004C1771"/>
    <w:rsid w:val="004C1B64"/>
    <w:rsid w:val="004C28BD"/>
    <w:rsid w:val="004C3AB4"/>
    <w:rsid w:val="004C4FA6"/>
    <w:rsid w:val="004C6AB3"/>
    <w:rsid w:val="004D0A59"/>
    <w:rsid w:val="004D19E4"/>
    <w:rsid w:val="004D21EA"/>
    <w:rsid w:val="004D2AB0"/>
    <w:rsid w:val="004D39B8"/>
    <w:rsid w:val="004D3F3C"/>
    <w:rsid w:val="004D520A"/>
    <w:rsid w:val="004D61BB"/>
    <w:rsid w:val="004D67A0"/>
    <w:rsid w:val="004D69AB"/>
    <w:rsid w:val="004D7D1A"/>
    <w:rsid w:val="004E2965"/>
    <w:rsid w:val="004E2E7A"/>
    <w:rsid w:val="004E3B8B"/>
    <w:rsid w:val="004E4BCC"/>
    <w:rsid w:val="004E4F84"/>
    <w:rsid w:val="004E5258"/>
    <w:rsid w:val="004E62A3"/>
    <w:rsid w:val="004E65F1"/>
    <w:rsid w:val="004E72A8"/>
    <w:rsid w:val="004E793A"/>
    <w:rsid w:val="004F01D3"/>
    <w:rsid w:val="004F0231"/>
    <w:rsid w:val="004F077A"/>
    <w:rsid w:val="004F09FF"/>
    <w:rsid w:val="004F150B"/>
    <w:rsid w:val="004F1B32"/>
    <w:rsid w:val="004F1E9E"/>
    <w:rsid w:val="004F2135"/>
    <w:rsid w:val="004F4302"/>
    <w:rsid w:val="004F452C"/>
    <w:rsid w:val="004F4AFE"/>
    <w:rsid w:val="004F509D"/>
    <w:rsid w:val="004F511F"/>
    <w:rsid w:val="004F55BE"/>
    <w:rsid w:val="004F5DB1"/>
    <w:rsid w:val="004F5DC5"/>
    <w:rsid w:val="004F6130"/>
    <w:rsid w:val="004F6370"/>
    <w:rsid w:val="004F6583"/>
    <w:rsid w:val="004F71BF"/>
    <w:rsid w:val="00500738"/>
    <w:rsid w:val="0050143C"/>
    <w:rsid w:val="00501D9F"/>
    <w:rsid w:val="00501F5B"/>
    <w:rsid w:val="00502157"/>
    <w:rsid w:val="0050295B"/>
    <w:rsid w:val="005046EB"/>
    <w:rsid w:val="00505E8F"/>
    <w:rsid w:val="00505F76"/>
    <w:rsid w:val="00506375"/>
    <w:rsid w:val="00506CCD"/>
    <w:rsid w:val="005079B8"/>
    <w:rsid w:val="00507E25"/>
    <w:rsid w:val="005100A5"/>
    <w:rsid w:val="00511FC8"/>
    <w:rsid w:val="00512CF7"/>
    <w:rsid w:val="00512FB7"/>
    <w:rsid w:val="005131CA"/>
    <w:rsid w:val="005134EB"/>
    <w:rsid w:val="00514446"/>
    <w:rsid w:val="00515559"/>
    <w:rsid w:val="005156B2"/>
    <w:rsid w:val="00516181"/>
    <w:rsid w:val="00521C18"/>
    <w:rsid w:val="00522C15"/>
    <w:rsid w:val="005239E6"/>
    <w:rsid w:val="00524946"/>
    <w:rsid w:val="00525576"/>
    <w:rsid w:val="0052564D"/>
    <w:rsid w:val="00526112"/>
    <w:rsid w:val="0052614E"/>
    <w:rsid w:val="00526A5E"/>
    <w:rsid w:val="00526C8B"/>
    <w:rsid w:val="005301E7"/>
    <w:rsid w:val="005302AD"/>
    <w:rsid w:val="0053072F"/>
    <w:rsid w:val="00530AE6"/>
    <w:rsid w:val="00531670"/>
    <w:rsid w:val="00531C4B"/>
    <w:rsid w:val="00532936"/>
    <w:rsid w:val="005340A4"/>
    <w:rsid w:val="00534515"/>
    <w:rsid w:val="00535D42"/>
    <w:rsid w:val="00540D2D"/>
    <w:rsid w:val="00541455"/>
    <w:rsid w:val="00541726"/>
    <w:rsid w:val="00543839"/>
    <w:rsid w:val="00546364"/>
    <w:rsid w:val="00547C76"/>
    <w:rsid w:val="00547CDC"/>
    <w:rsid w:val="005515A7"/>
    <w:rsid w:val="00551CF9"/>
    <w:rsid w:val="00552B37"/>
    <w:rsid w:val="005530FA"/>
    <w:rsid w:val="00554658"/>
    <w:rsid w:val="005551CC"/>
    <w:rsid w:val="00557F93"/>
    <w:rsid w:val="00560530"/>
    <w:rsid w:val="00560FE7"/>
    <w:rsid w:val="005616A3"/>
    <w:rsid w:val="005650CE"/>
    <w:rsid w:val="005701FE"/>
    <w:rsid w:val="00570CE7"/>
    <w:rsid w:val="00573D33"/>
    <w:rsid w:val="005747C0"/>
    <w:rsid w:val="00574AC9"/>
    <w:rsid w:val="0057699A"/>
    <w:rsid w:val="005770EE"/>
    <w:rsid w:val="00577B79"/>
    <w:rsid w:val="00577B90"/>
    <w:rsid w:val="00577BD8"/>
    <w:rsid w:val="00583C5E"/>
    <w:rsid w:val="00585796"/>
    <w:rsid w:val="005858C4"/>
    <w:rsid w:val="005879B2"/>
    <w:rsid w:val="005879B3"/>
    <w:rsid w:val="005902EC"/>
    <w:rsid w:val="005903A7"/>
    <w:rsid w:val="00591267"/>
    <w:rsid w:val="00591B19"/>
    <w:rsid w:val="005928C6"/>
    <w:rsid w:val="005940CE"/>
    <w:rsid w:val="00595AF9"/>
    <w:rsid w:val="005A1935"/>
    <w:rsid w:val="005A1A41"/>
    <w:rsid w:val="005A2857"/>
    <w:rsid w:val="005A33E8"/>
    <w:rsid w:val="005A382E"/>
    <w:rsid w:val="005A41D4"/>
    <w:rsid w:val="005A5786"/>
    <w:rsid w:val="005B0CE7"/>
    <w:rsid w:val="005B345D"/>
    <w:rsid w:val="005B45A7"/>
    <w:rsid w:val="005B4698"/>
    <w:rsid w:val="005B575F"/>
    <w:rsid w:val="005C1372"/>
    <w:rsid w:val="005C25EA"/>
    <w:rsid w:val="005C2EB7"/>
    <w:rsid w:val="005C35C7"/>
    <w:rsid w:val="005C5361"/>
    <w:rsid w:val="005C5503"/>
    <w:rsid w:val="005C5B16"/>
    <w:rsid w:val="005C5F0D"/>
    <w:rsid w:val="005C708C"/>
    <w:rsid w:val="005C7ED3"/>
    <w:rsid w:val="005D02B8"/>
    <w:rsid w:val="005D04AB"/>
    <w:rsid w:val="005D0ADD"/>
    <w:rsid w:val="005D0D0C"/>
    <w:rsid w:val="005D1961"/>
    <w:rsid w:val="005D4126"/>
    <w:rsid w:val="005D689E"/>
    <w:rsid w:val="005D73CC"/>
    <w:rsid w:val="005D7599"/>
    <w:rsid w:val="005E0A2D"/>
    <w:rsid w:val="005E178B"/>
    <w:rsid w:val="005E24AB"/>
    <w:rsid w:val="005E3B73"/>
    <w:rsid w:val="005E3DD0"/>
    <w:rsid w:val="005E43E2"/>
    <w:rsid w:val="005E798C"/>
    <w:rsid w:val="005F0B49"/>
    <w:rsid w:val="005F0EFF"/>
    <w:rsid w:val="005F1B86"/>
    <w:rsid w:val="005F3891"/>
    <w:rsid w:val="005F3E42"/>
    <w:rsid w:val="005F44DC"/>
    <w:rsid w:val="005F5EF7"/>
    <w:rsid w:val="005F60AB"/>
    <w:rsid w:val="005F629C"/>
    <w:rsid w:val="005F64BC"/>
    <w:rsid w:val="005F6772"/>
    <w:rsid w:val="005F79C2"/>
    <w:rsid w:val="00600602"/>
    <w:rsid w:val="00601EC9"/>
    <w:rsid w:val="0060260D"/>
    <w:rsid w:val="006028BD"/>
    <w:rsid w:val="00603DB9"/>
    <w:rsid w:val="00604030"/>
    <w:rsid w:val="006051EE"/>
    <w:rsid w:val="00610463"/>
    <w:rsid w:val="00611296"/>
    <w:rsid w:val="0061233E"/>
    <w:rsid w:val="006124C5"/>
    <w:rsid w:val="0061295C"/>
    <w:rsid w:val="00612F1F"/>
    <w:rsid w:val="00613B16"/>
    <w:rsid w:val="006146E3"/>
    <w:rsid w:val="00615D12"/>
    <w:rsid w:val="00616D8F"/>
    <w:rsid w:val="006176C4"/>
    <w:rsid w:val="00617849"/>
    <w:rsid w:val="006206C0"/>
    <w:rsid w:val="0062179C"/>
    <w:rsid w:val="00623A50"/>
    <w:rsid w:val="00625B94"/>
    <w:rsid w:val="00625BD9"/>
    <w:rsid w:val="00626535"/>
    <w:rsid w:val="006273FF"/>
    <w:rsid w:val="0062755C"/>
    <w:rsid w:val="006307DE"/>
    <w:rsid w:val="00630C47"/>
    <w:rsid w:val="00633E74"/>
    <w:rsid w:val="0063453D"/>
    <w:rsid w:val="00634C11"/>
    <w:rsid w:val="00635223"/>
    <w:rsid w:val="00635FB2"/>
    <w:rsid w:val="0063644C"/>
    <w:rsid w:val="00637CC5"/>
    <w:rsid w:val="00641797"/>
    <w:rsid w:val="0064356F"/>
    <w:rsid w:val="00643747"/>
    <w:rsid w:val="00644095"/>
    <w:rsid w:val="006468A0"/>
    <w:rsid w:val="00647B6E"/>
    <w:rsid w:val="006512EC"/>
    <w:rsid w:val="00651D20"/>
    <w:rsid w:val="0065312F"/>
    <w:rsid w:val="00653742"/>
    <w:rsid w:val="0066051B"/>
    <w:rsid w:val="00660FE4"/>
    <w:rsid w:val="0066301D"/>
    <w:rsid w:val="0066323E"/>
    <w:rsid w:val="00663390"/>
    <w:rsid w:val="00664862"/>
    <w:rsid w:val="00664BB1"/>
    <w:rsid w:val="00665A6D"/>
    <w:rsid w:val="006666B8"/>
    <w:rsid w:val="00666E81"/>
    <w:rsid w:val="006718EE"/>
    <w:rsid w:val="00672810"/>
    <w:rsid w:val="00673254"/>
    <w:rsid w:val="006742AC"/>
    <w:rsid w:val="00674912"/>
    <w:rsid w:val="00675088"/>
    <w:rsid w:val="00675DDE"/>
    <w:rsid w:val="006763ED"/>
    <w:rsid w:val="006763F3"/>
    <w:rsid w:val="006767C9"/>
    <w:rsid w:val="00677480"/>
    <w:rsid w:val="00677C28"/>
    <w:rsid w:val="00680596"/>
    <w:rsid w:val="0068350A"/>
    <w:rsid w:val="006855B8"/>
    <w:rsid w:val="00686581"/>
    <w:rsid w:val="0068670E"/>
    <w:rsid w:val="00686C01"/>
    <w:rsid w:val="006870A5"/>
    <w:rsid w:val="00687418"/>
    <w:rsid w:val="00693959"/>
    <w:rsid w:val="00694DDE"/>
    <w:rsid w:val="00695ECB"/>
    <w:rsid w:val="00696FB6"/>
    <w:rsid w:val="00697471"/>
    <w:rsid w:val="006A0FB8"/>
    <w:rsid w:val="006A15C2"/>
    <w:rsid w:val="006A2E94"/>
    <w:rsid w:val="006A3B33"/>
    <w:rsid w:val="006A3B93"/>
    <w:rsid w:val="006A41CF"/>
    <w:rsid w:val="006A4BD5"/>
    <w:rsid w:val="006A5DC7"/>
    <w:rsid w:val="006A6138"/>
    <w:rsid w:val="006A6E03"/>
    <w:rsid w:val="006B0453"/>
    <w:rsid w:val="006B2678"/>
    <w:rsid w:val="006B548E"/>
    <w:rsid w:val="006B6EF3"/>
    <w:rsid w:val="006B74B8"/>
    <w:rsid w:val="006B7E88"/>
    <w:rsid w:val="006C0052"/>
    <w:rsid w:val="006C26FB"/>
    <w:rsid w:val="006C2A93"/>
    <w:rsid w:val="006C3C7D"/>
    <w:rsid w:val="006C4148"/>
    <w:rsid w:val="006C4B99"/>
    <w:rsid w:val="006C5FAF"/>
    <w:rsid w:val="006C5FB4"/>
    <w:rsid w:val="006D1887"/>
    <w:rsid w:val="006D189D"/>
    <w:rsid w:val="006D2902"/>
    <w:rsid w:val="006D2BCA"/>
    <w:rsid w:val="006D2BEA"/>
    <w:rsid w:val="006D358E"/>
    <w:rsid w:val="006D3931"/>
    <w:rsid w:val="006D627B"/>
    <w:rsid w:val="006D6F07"/>
    <w:rsid w:val="006D733F"/>
    <w:rsid w:val="006D78BE"/>
    <w:rsid w:val="006E08A6"/>
    <w:rsid w:val="006E3200"/>
    <w:rsid w:val="006E4120"/>
    <w:rsid w:val="006E51A2"/>
    <w:rsid w:val="006E7066"/>
    <w:rsid w:val="006E75DF"/>
    <w:rsid w:val="006F0A86"/>
    <w:rsid w:val="006F2392"/>
    <w:rsid w:val="006F24B1"/>
    <w:rsid w:val="006F3504"/>
    <w:rsid w:val="006F4E4C"/>
    <w:rsid w:val="006F4E89"/>
    <w:rsid w:val="006F55CD"/>
    <w:rsid w:val="006F6714"/>
    <w:rsid w:val="00700343"/>
    <w:rsid w:val="0070088D"/>
    <w:rsid w:val="0070118A"/>
    <w:rsid w:val="00701C22"/>
    <w:rsid w:val="00702E43"/>
    <w:rsid w:val="00703112"/>
    <w:rsid w:val="00703B78"/>
    <w:rsid w:val="007047C0"/>
    <w:rsid w:val="00704CF5"/>
    <w:rsid w:val="00704F50"/>
    <w:rsid w:val="00706B9E"/>
    <w:rsid w:val="00710B84"/>
    <w:rsid w:val="007112F8"/>
    <w:rsid w:val="0071171E"/>
    <w:rsid w:val="00712C19"/>
    <w:rsid w:val="007141E9"/>
    <w:rsid w:val="00714C0E"/>
    <w:rsid w:val="00714E30"/>
    <w:rsid w:val="007151F6"/>
    <w:rsid w:val="0071529F"/>
    <w:rsid w:val="00720E16"/>
    <w:rsid w:val="0072194B"/>
    <w:rsid w:val="00721D30"/>
    <w:rsid w:val="00722B9C"/>
    <w:rsid w:val="00724AE6"/>
    <w:rsid w:val="007262F2"/>
    <w:rsid w:val="007271DA"/>
    <w:rsid w:val="0072782D"/>
    <w:rsid w:val="007302C0"/>
    <w:rsid w:val="0073040E"/>
    <w:rsid w:val="00730A12"/>
    <w:rsid w:val="00730F5E"/>
    <w:rsid w:val="00731797"/>
    <w:rsid w:val="00734048"/>
    <w:rsid w:val="007358A0"/>
    <w:rsid w:val="007376A5"/>
    <w:rsid w:val="00740A62"/>
    <w:rsid w:val="007419A3"/>
    <w:rsid w:val="00742C5C"/>
    <w:rsid w:val="0074410D"/>
    <w:rsid w:val="007449BF"/>
    <w:rsid w:val="007452FF"/>
    <w:rsid w:val="00745E2B"/>
    <w:rsid w:val="00745FD1"/>
    <w:rsid w:val="00746DF0"/>
    <w:rsid w:val="00751A22"/>
    <w:rsid w:val="007529C4"/>
    <w:rsid w:val="00752D7F"/>
    <w:rsid w:val="007531B1"/>
    <w:rsid w:val="0075394A"/>
    <w:rsid w:val="00754CBE"/>
    <w:rsid w:val="00754D22"/>
    <w:rsid w:val="00755602"/>
    <w:rsid w:val="00760482"/>
    <w:rsid w:val="00762C02"/>
    <w:rsid w:val="007630B0"/>
    <w:rsid w:val="007647EE"/>
    <w:rsid w:val="00764A0E"/>
    <w:rsid w:val="00764EF6"/>
    <w:rsid w:val="00764F9C"/>
    <w:rsid w:val="00765657"/>
    <w:rsid w:val="0076582C"/>
    <w:rsid w:val="00765A4F"/>
    <w:rsid w:val="00765F93"/>
    <w:rsid w:val="00766994"/>
    <w:rsid w:val="00766B7D"/>
    <w:rsid w:val="007675CE"/>
    <w:rsid w:val="00770A4E"/>
    <w:rsid w:val="00771CAC"/>
    <w:rsid w:val="00772032"/>
    <w:rsid w:val="00772371"/>
    <w:rsid w:val="007729D7"/>
    <w:rsid w:val="00775563"/>
    <w:rsid w:val="00776354"/>
    <w:rsid w:val="00776C2B"/>
    <w:rsid w:val="00777140"/>
    <w:rsid w:val="00777CC1"/>
    <w:rsid w:val="00780E8C"/>
    <w:rsid w:val="00781440"/>
    <w:rsid w:val="007835C4"/>
    <w:rsid w:val="00783CDD"/>
    <w:rsid w:val="0078406B"/>
    <w:rsid w:val="007844DB"/>
    <w:rsid w:val="00784669"/>
    <w:rsid w:val="007874F5"/>
    <w:rsid w:val="00791184"/>
    <w:rsid w:val="00792367"/>
    <w:rsid w:val="007941F3"/>
    <w:rsid w:val="00795713"/>
    <w:rsid w:val="007A04BC"/>
    <w:rsid w:val="007A0DCA"/>
    <w:rsid w:val="007A1941"/>
    <w:rsid w:val="007A2424"/>
    <w:rsid w:val="007A2F07"/>
    <w:rsid w:val="007A2F52"/>
    <w:rsid w:val="007A4CA6"/>
    <w:rsid w:val="007A4D98"/>
    <w:rsid w:val="007A656F"/>
    <w:rsid w:val="007A661C"/>
    <w:rsid w:val="007A6F82"/>
    <w:rsid w:val="007B0838"/>
    <w:rsid w:val="007B1BC7"/>
    <w:rsid w:val="007B6234"/>
    <w:rsid w:val="007B73C1"/>
    <w:rsid w:val="007C016D"/>
    <w:rsid w:val="007C056A"/>
    <w:rsid w:val="007C3F27"/>
    <w:rsid w:val="007C42F2"/>
    <w:rsid w:val="007C4631"/>
    <w:rsid w:val="007C4E8C"/>
    <w:rsid w:val="007C73D1"/>
    <w:rsid w:val="007C79C2"/>
    <w:rsid w:val="007D2504"/>
    <w:rsid w:val="007D2B1E"/>
    <w:rsid w:val="007D2C57"/>
    <w:rsid w:val="007D34CD"/>
    <w:rsid w:val="007D3B9B"/>
    <w:rsid w:val="007D4A2F"/>
    <w:rsid w:val="007D524E"/>
    <w:rsid w:val="007D5CEF"/>
    <w:rsid w:val="007D5D38"/>
    <w:rsid w:val="007D6B5A"/>
    <w:rsid w:val="007D6C5D"/>
    <w:rsid w:val="007D6DA8"/>
    <w:rsid w:val="007D73FE"/>
    <w:rsid w:val="007D7CAA"/>
    <w:rsid w:val="007E0A22"/>
    <w:rsid w:val="007E15EB"/>
    <w:rsid w:val="007E179F"/>
    <w:rsid w:val="007E31FA"/>
    <w:rsid w:val="007E47AD"/>
    <w:rsid w:val="007E560D"/>
    <w:rsid w:val="007E5E16"/>
    <w:rsid w:val="007E5FA9"/>
    <w:rsid w:val="007E716C"/>
    <w:rsid w:val="007E74D2"/>
    <w:rsid w:val="007E74EE"/>
    <w:rsid w:val="007F03EC"/>
    <w:rsid w:val="007F18F2"/>
    <w:rsid w:val="007F32BE"/>
    <w:rsid w:val="007F331C"/>
    <w:rsid w:val="007F3EB8"/>
    <w:rsid w:val="007F5131"/>
    <w:rsid w:val="007F515A"/>
    <w:rsid w:val="007F5503"/>
    <w:rsid w:val="007F5D78"/>
    <w:rsid w:val="007F73CE"/>
    <w:rsid w:val="007F772B"/>
    <w:rsid w:val="007F79F6"/>
    <w:rsid w:val="00801A5B"/>
    <w:rsid w:val="00801BE9"/>
    <w:rsid w:val="00802875"/>
    <w:rsid w:val="00803033"/>
    <w:rsid w:val="008057A8"/>
    <w:rsid w:val="0080612D"/>
    <w:rsid w:val="00806384"/>
    <w:rsid w:val="00806881"/>
    <w:rsid w:val="00806A3B"/>
    <w:rsid w:val="00811951"/>
    <w:rsid w:val="00812A34"/>
    <w:rsid w:val="00812B16"/>
    <w:rsid w:val="00812C41"/>
    <w:rsid w:val="00812C8A"/>
    <w:rsid w:val="0081339A"/>
    <w:rsid w:val="00814A3A"/>
    <w:rsid w:val="00814AA0"/>
    <w:rsid w:val="00814F6E"/>
    <w:rsid w:val="00817F7A"/>
    <w:rsid w:val="00823029"/>
    <w:rsid w:val="00823046"/>
    <w:rsid w:val="00823B0E"/>
    <w:rsid w:val="0082408B"/>
    <w:rsid w:val="0082471C"/>
    <w:rsid w:val="00824C62"/>
    <w:rsid w:val="008251B7"/>
    <w:rsid w:val="0082612B"/>
    <w:rsid w:val="00827539"/>
    <w:rsid w:val="0082768B"/>
    <w:rsid w:val="008277D8"/>
    <w:rsid w:val="00830A79"/>
    <w:rsid w:val="00831C4F"/>
    <w:rsid w:val="0083327A"/>
    <w:rsid w:val="00833344"/>
    <w:rsid w:val="00835E64"/>
    <w:rsid w:val="00837472"/>
    <w:rsid w:val="00840E44"/>
    <w:rsid w:val="0084124E"/>
    <w:rsid w:val="00841497"/>
    <w:rsid w:val="0084217A"/>
    <w:rsid w:val="00842D9E"/>
    <w:rsid w:val="00844D84"/>
    <w:rsid w:val="008459DF"/>
    <w:rsid w:val="008464B0"/>
    <w:rsid w:val="008465F4"/>
    <w:rsid w:val="0085140B"/>
    <w:rsid w:val="00855F94"/>
    <w:rsid w:val="00860616"/>
    <w:rsid w:val="00860836"/>
    <w:rsid w:val="00860854"/>
    <w:rsid w:val="008640BC"/>
    <w:rsid w:val="008652CB"/>
    <w:rsid w:val="00865D95"/>
    <w:rsid w:val="00866BED"/>
    <w:rsid w:val="008671A2"/>
    <w:rsid w:val="00867EAE"/>
    <w:rsid w:val="00870061"/>
    <w:rsid w:val="00870498"/>
    <w:rsid w:val="00870EF1"/>
    <w:rsid w:val="00873A0B"/>
    <w:rsid w:val="00873CBE"/>
    <w:rsid w:val="00873EA7"/>
    <w:rsid w:val="008743B8"/>
    <w:rsid w:val="0087466B"/>
    <w:rsid w:val="00875EB2"/>
    <w:rsid w:val="00875F02"/>
    <w:rsid w:val="008761AB"/>
    <w:rsid w:val="008776D3"/>
    <w:rsid w:val="00880426"/>
    <w:rsid w:val="008825FD"/>
    <w:rsid w:val="0088297D"/>
    <w:rsid w:val="008839F4"/>
    <w:rsid w:val="008843D5"/>
    <w:rsid w:val="008844A6"/>
    <w:rsid w:val="00884B64"/>
    <w:rsid w:val="00884DB1"/>
    <w:rsid w:val="008853A5"/>
    <w:rsid w:val="008859C3"/>
    <w:rsid w:val="00886685"/>
    <w:rsid w:val="008877C7"/>
    <w:rsid w:val="00890E49"/>
    <w:rsid w:val="00891C15"/>
    <w:rsid w:val="00891C86"/>
    <w:rsid w:val="00895C8D"/>
    <w:rsid w:val="00896130"/>
    <w:rsid w:val="008A15E3"/>
    <w:rsid w:val="008A1F86"/>
    <w:rsid w:val="008A2678"/>
    <w:rsid w:val="008A542A"/>
    <w:rsid w:val="008A5E8C"/>
    <w:rsid w:val="008A698E"/>
    <w:rsid w:val="008A6B3C"/>
    <w:rsid w:val="008B0E4A"/>
    <w:rsid w:val="008B295B"/>
    <w:rsid w:val="008B4762"/>
    <w:rsid w:val="008B6E42"/>
    <w:rsid w:val="008C1082"/>
    <w:rsid w:val="008C1904"/>
    <w:rsid w:val="008C1B12"/>
    <w:rsid w:val="008C322D"/>
    <w:rsid w:val="008C45E6"/>
    <w:rsid w:val="008C773B"/>
    <w:rsid w:val="008D0780"/>
    <w:rsid w:val="008D0F1E"/>
    <w:rsid w:val="008D0F7C"/>
    <w:rsid w:val="008D1B98"/>
    <w:rsid w:val="008D3274"/>
    <w:rsid w:val="008D421A"/>
    <w:rsid w:val="008D488F"/>
    <w:rsid w:val="008D5E9B"/>
    <w:rsid w:val="008E0F12"/>
    <w:rsid w:val="008E1303"/>
    <w:rsid w:val="008E2520"/>
    <w:rsid w:val="008E337D"/>
    <w:rsid w:val="008E3FCD"/>
    <w:rsid w:val="008E5959"/>
    <w:rsid w:val="008E5C64"/>
    <w:rsid w:val="008E6263"/>
    <w:rsid w:val="008E7A8F"/>
    <w:rsid w:val="008F1596"/>
    <w:rsid w:val="008F1B5E"/>
    <w:rsid w:val="008F1F82"/>
    <w:rsid w:val="008F208C"/>
    <w:rsid w:val="008F2691"/>
    <w:rsid w:val="008F33EE"/>
    <w:rsid w:val="008F3492"/>
    <w:rsid w:val="008F4669"/>
    <w:rsid w:val="008F4A2E"/>
    <w:rsid w:val="008F5B1E"/>
    <w:rsid w:val="008F70A0"/>
    <w:rsid w:val="008F77AA"/>
    <w:rsid w:val="00900F82"/>
    <w:rsid w:val="0090127F"/>
    <w:rsid w:val="0090242E"/>
    <w:rsid w:val="00902E84"/>
    <w:rsid w:val="00903C6F"/>
    <w:rsid w:val="00904719"/>
    <w:rsid w:val="0090485F"/>
    <w:rsid w:val="009109C7"/>
    <w:rsid w:val="00910E36"/>
    <w:rsid w:val="0091104B"/>
    <w:rsid w:val="009110CC"/>
    <w:rsid w:val="00911A3B"/>
    <w:rsid w:val="00912105"/>
    <w:rsid w:val="00912910"/>
    <w:rsid w:val="00912BA1"/>
    <w:rsid w:val="0091468A"/>
    <w:rsid w:val="00914FAA"/>
    <w:rsid w:val="009154DF"/>
    <w:rsid w:val="00916D0A"/>
    <w:rsid w:val="00916D7C"/>
    <w:rsid w:val="00916DB2"/>
    <w:rsid w:val="0091748A"/>
    <w:rsid w:val="00917EB9"/>
    <w:rsid w:val="0092022C"/>
    <w:rsid w:val="00920C3E"/>
    <w:rsid w:val="00921E51"/>
    <w:rsid w:val="009227B8"/>
    <w:rsid w:val="009234C8"/>
    <w:rsid w:val="00923720"/>
    <w:rsid w:val="0092407E"/>
    <w:rsid w:val="009247C2"/>
    <w:rsid w:val="00924AEC"/>
    <w:rsid w:val="009252D2"/>
    <w:rsid w:val="009260B1"/>
    <w:rsid w:val="00926F55"/>
    <w:rsid w:val="009271DE"/>
    <w:rsid w:val="0092768A"/>
    <w:rsid w:val="00927B71"/>
    <w:rsid w:val="00927B9D"/>
    <w:rsid w:val="00930952"/>
    <w:rsid w:val="0093152F"/>
    <w:rsid w:val="0093185C"/>
    <w:rsid w:val="00931B96"/>
    <w:rsid w:val="0093258C"/>
    <w:rsid w:val="00933581"/>
    <w:rsid w:val="009341AD"/>
    <w:rsid w:val="00936583"/>
    <w:rsid w:val="00936CBE"/>
    <w:rsid w:val="00936F8E"/>
    <w:rsid w:val="00937172"/>
    <w:rsid w:val="009401AD"/>
    <w:rsid w:val="00941B23"/>
    <w:rsid w:val="00941F1F"/>
    <w:rsid w:val="00942F3A"/>
    <w:rsid w:val="009440AD"/>
    <w:rsid w:val="00945589"/>
    <w:rsid w:val="009469A1"/>
    <w:rsid w:val="00947BF1"/>
    <w:rsid w:val="00951D44"/>
    <w:rsid w:val="00951F4D"/>
    <w:rsid w:val="009524EF"/>
    <w:rsid w:val="00952688"/>
    <w:rsid w:val="009540F1"/>
    <w:rsid w:val="009543FF"/>
    <w:rsid w:val="00956C36"/>
    <w:rsid w:val="00957245"/>
    <w:rsid w:val="00960A1F"/>
    <w:rsid w:val="009616A3"/>
    <w:rsid w:val="00961B68"/>
    <w:rsid w:val="00961C4F"/>
    <w:rsid w:val="009620A0"/>
    <w:rsid w:val="00963198"/>
    <w:rsid w:val="009643A8"/>
    <w:rsid w:val="00964912"/>
    <w:rsid w:val="009653EF"/>
    <w:rsid w:val="00965995"/>
    <w:rsid w:val="009665CB"/>
    <w:rsid w:val="00967072"/>
    <w:rsid w:val="009674EE"/>
    <w:rsid w:val="00967A01"/>
    <w:rsid w:val="00967B50"/>
    <w:rsid w:val="0097010E"/>
    <w:rsid w:val="009705CF"/>
    <w:rsid w:val="00971656"/>
    <w:rsid w:val="00973E59"/>
    <w:rsid w:val="009754F0"/>
    <w:rsid w:val="00976018"/>
    <w:rsid w:val="00977B73"/>
    <w:rsid w:val="00981A41"/>
    <w:rsid w:val="00982796"/>
    <w:rsid w:val="00982EC0"/>
    <w:rsid w:val="00983994"/>
    <w:rsid w:val="0098527C"/>
    <w:rsid w:val="009856DC"/>
    <w:rsid w:val="00990C3E"/>
    <w:rsid w:val="0099138B"/>
    <w:rsid w:val="00992232"/>
    <w:rsid w:val="00993254"/>
    <w:rsid w:val="00993352"/>
    <w:rsid w:val="00993A8F"/>
    <w:rsid w:val="00993C5C"/>
    <w:rsid w:val="00994472"/>
    <w:rsid w:val="00994A05"/>
    <w:rsid w:val="00994FFD"/>
    <w:rsid w:val="00995C90"/>
    <w:rsid w:val="00996110"/>
    <w:rsid w:val="0099684B"/>
    <w:rsid w:val="0099738A"/>
    <w:rsid w:val="00997EF0"/>
    <w:rsid w:val="009A19D9"/>
    <w:rsid w:val="009A208D"/>
    <w:rsid w:val="009A3E3C"/>
    <w:rsid w:val="009A3F7C"/>
    <w:rsid w:val="009A5040"/>
    <w:rsid w:val="009A6646"/>
    <w:rsid w:val="009B45DF"/>
    <w:rsid w:val="009B732D"/>
    <w:rsid w:val="009B759F"/>
    <w:rsid w:val="009C09D0"/>
    <w:rsid w:val="009C1E22"/>
    <w:rsid w:val="009C3C40"/>
    <w:rsid w:val="009C4D2D"/>
    <w:rsid w:val="009C5CA6"/>
    <w:rsid w:val="009C61BE"/>
    <w:rsid w:val="009C6272"/>
    <w:rsid w:val="009C6E79"/>
    <w:rsid w:val="009C77CB"/>
    <w:rsid w:val="009D0670"/>
    <w:rsid w:val="009D06E1"/>
    <w:rsid w:val="009D1DD1"/>
    <w:rsid w:val="009D2E12"/>
    <w:rsid w:val="009D3553"/>
    <w:rsid w:val="009D36AA"/>
    <w:rsid w:val="009D4939"/>
    <w:rsid w:val="009D53D2"/>
    <w:rsid w:val="009D5A8B"/>
    <w:rsid w:val="009D67F9"/>
    <w:rsid w:val="009D7051"/>
    <w:rsid w:val="009D70F4"/>
    <w:rsid w:val="009D7851"/>
    <w:rsid w:val="009E0F17"/>
    <w:rsid w:val="009E14EF"/>
    <w:rsid w:val="009E17E2"/>
    <w:rsid w:val="009E435F"/>
    <w:rsid w:val="009E48C9"/>
    <w:rsid w:val="009E49F0"/>
    <w:rsid w:val="009E515D"/>
    <w:rsid w:val="009E56BA"/>
    <w:rsid w:val="009E70DD"/>
    <w:rsid w:val="009F12BC"/>
    <w:rsid w:val="009F1936"/>
    <w:rsid w:val="009F51CE"/>
    <w:rsid w:val="009F5A3E"/>
    <w:rsid w:val="009F6B4D"/>
    <w:rsid w:val="009F6EFC"/>
    <w:rsid w:val="009F7078"/>
    <w:rsid w:val="009F7991"/>
    <w:rsid w:val="00A00519"/>
    <w:rsid w:val="00A00641"/>
    <w:rsid w:val="00A02855"/>
    <w:rsid w:val="00A0378C"/>
    <w:rsid w:val="00A054EF"/>
    <w:rsid w:val="00A067DE"/>
    <w:rsid w:val="00A07023"/>
    <w:rsid w:val="00A12D9F"/>
    <w:rsid w:val="00A12DB3"/>
    <w:rsid w:val="00A15B27"/>
    <w:rsid w:val="00A20B07"/>
    <w:rsid w:val="00A241B2"/>
    <w:rsid w:val="00A25041"/>
    <w:rsid w:val="00A258CC"/>
    <w:rsid w:val="00A26320"/>
    <w:rsid w:val="00A2670A"/>
    <w:rsid w:val="00A2745A"/>
    <w:rsid w:val="00A27CC8"/>
    <w:rsid w:val="00A30CF3"/>
    <w:rsid w:val="00A3259E"/>
    <w:rsid w:val="00A33284"/>
    <w:rsid w:val="00A33DC7"/>
    <w:rsid w:val="00A352EC"/>
    <w:rsid w:val="00A35A89"/>
    <w:rsid w:val="00A3614A"/>
    <w:rsid w:val="00A369A0"/>
    <w:rsid w:val="00A37F56"/>
    <w:rsid w:val="00A40434"/>
    <w:rsid w:val="00A40562"/>
    <w:rsid w:val="00A434B8"/>
    <w:rsid w:val="00A44CCA"/>
    <w:rsid w:val="00A456F7"/>
    <w:rsid w:val="00A5033B"/>
    <w:rsid w:val="00A51B7C"/>
    <w:rsid w:val="00A530C4"/>
    <w:rsid w:val="00A531D4"/>
    <w:rsid w:val="00A53AF0"/>
    <w:rsid w:val="00A54519"/>
    <w:rsid w:val="00A566C2"/>
    <w:rsid w:val="00A5682F"/>
    <w:rsid w:val="00A60000"/>
    <w:rsid w:val="00A60774"/>
    <w:rsid w:val="00A6222B"/>
    <w:rsid w:val="00A641B3"/>
    <w:rsid w:val="00A65031"/>
    <w:rsid w:val="00A66DC9"/>
    <w:rsid w:val="00A66FDC"/>
    <w:rsid w:val="00A67AF2"/>
    <w:rsid w:val="00A70448"/>
    <w:rsid w:val="00A713C5"/>
    <w:rsid w:val="00A724CB"/>
    <w:rsid w:val="00A75D30"/>
    <w:rsid w:val="00A762F3"/>
    <w:rsid w:val="00A76B8A"/>
    <w:rsid w:val="00A77DC6"/>
    <w:rsid w:val="00A80DCE"/>
    <w:rsid w:val="00A812EA"/>
    <w:rsid w:val="00A8205A"/>
    <w:rsid w:val="00A82B7E"/>
    <w:rsid w:val="00A84A4F"/>
    <w:rsid w:val="00A850D3"/>
    <w:rsid w:val="00A85811"/>
    <w:rsid w:val="00A879DC"/>
    <w:rsid w:val="00A9049F"/>
    <w:rsid w:val="00A90864"/>
    <w:rsid w:val="00A9186F"/>
    <w:rsid w:val="00A92E6B"/>
    <w:rsid w:val="00A93010"/>
    <w:rsid w:val="00A932F0"/>
    <w:rsid w:val="00A94828"/>
    <w:rsid w:val="00A95015"/>
    <w:rsid w:val="00AA1360"/>
    <w:rsid w:val="00AA2309"/>
    <w:rsid w:val="00AA23F8"/>
    <w:rsid w:val="00AA26D2"/>
    <w:rsid w:val="00AA3884"/>
    <w:rsid w:val="00AA408C"/>
    <w:rsid w:val="00AA4221"/>
    <w:rsid w:val="00AB0640"/>
    <w:rsid w:val="00AB12CC"/>
    <w:rsid w:val="00AB4E63"/>
    <w:rsid w:val="00AB5243"/>
    <w:rsid w:val="00AB59A1"/>
    <w:rsid w:val="00AB5A82"/>
    <w:rsid w:val="00AB7B55"/>
    <w:rsid w:val="00AB7D4A"/>
    <w:rsid w:val="00AC0855"/>
    <w:rsid w:val="00AC0BFA"/>
    <w:rsid w:val="00AC1ACC"/>
    <w:rsid w:val="00AC20E7"/>
    <w:rsid w:val="00AC2912"/>
    <w:rsid w:val="00AC3F29"/>
    <w:rsid w:val="00AC4730"/>
    <w:rsid w:val="00AC5312"/>
    <w:rsid w:val="00AC5E03"/>
    <w:rsid w:val="00AC7E21"/>
    <w:rsid w:val="00AC7F05"/>
    <w:rsid w:val="00AD1624"/>
    <w:rsid w:val="00AD1F2A"/>
    <w:rsid w:val="00AD3115"/>
    <w:rsid w:val="00AD37EA"/>
    <w:rsid w:val="00AD3B64"/>
    <w:rsid w:val="00AD3BDB"/>
    <w:rsid w:val="00AD5854"/>
    <w:rsid w:val="00AD6B2B"/>
    <w:rsid w:val="00AD6E8A"/>
    <w:rsid w:val="00AE08DD"/>
    <w:rsid w:val="00AE0D66"/>
    <w:rsid w:val="00AE181B"/>
    <w:rsid w:val="00AE2720"/>
    <w:rsid w:val="00AE31FD"/>
    <w:rsid w:val="00AE5120"/>
    <w:rsid w:val="00AE58EA"/>
    <w:rsid w:val="00AE5E60"/>
    <w:rsid w:val="00AE6827"/>
    <w:rsid w:val="00AE6C05"/>
    <w:rsid w:val="00AE7507"/>
    <w:rsid w:val="00AF2128"/>
    <w:rsid w:val="00AF343A"/>
    <w:rsid w:val="00AF36FB"/>
    <w:rsid w:val="00AF3C6A"/>
    <w:rsid w:val="00AF4025"/>
    <w:rsid w:val="00AF434D"/>
    <w:rsid w:val="00AF5291"/>
    <w:rsid w:val="00AF550E"/>
    <w:rsid w:val="00AF6BA9"/>
    <w:rsid w:val="00AF6EF4"/>
    <w:rsid w:val="00AF7891"/>
    <w:rsid w:val="00AF7AE9"/>
    <w:rsid w:val="00AF7D35"/>
    <w:rsid w:val="00B005BD"/>
    <w:rsid w:val="00B03E76"/>
    <w:rsid w:val="00B041A4"/>
    <w:rsid w:val="00B0473F"/>
    <w:rsid w:val="00B05980"/>
    <w:rsid w:val="00B06045"/>
    <w:rsid w:val="00B06EFE"/>
    <w:rsid w:val="00B071A8"/>
    <w:rsid w:val="00B07FC3"/>
    <w:rsid w:val="00B105EA"/>
    <w:rsid w:val="00B110BD"/>
    <w:rsid w:val="00B1114B"/>
    <w:rsid w:val="00B11DF0"/>
    <w:rsid w:val="00B13138"/>
    <w:rsid w:val="00B1360C"/>
    <w:rsid w:val="00B146EE"/>
    <w:rsid w:val="00B14FA8"/>
    <w:rsid w:val="00B1573C"/>
    <w:rsid w:val="00B15A56"/>
    <w:rsid w:val="00B15A98"/>
    <w:rsid w:val="00B21BE3"/>
    <w:rsid w:val="00B21E60"/>
    <w:rsid w:val="00B21EF5"/>
    <w:rsid w:val="00B22249"/>
    <w:rsid w:val="00B22EA9"/>
    <w:rsid w:val="00B23177"/>
    <w:rsid w:val="00B2353C"/>
    <w:rsid w:val="00B24F7B"/>
    <w:rsid w:val="00B26112"/>
    <w:rsid w:val="00B27A60"/>
    <w:rsid w:val="00B306C5"/>
    <w:rsid w:val="00B30FB9"/>
    <w:rsid w:val="00B31047"/>
    <w:rsid w:val="00B32223"/>
    <w:rsid w:val="00B328E4"/>
    <w:rsid w:val="00B3315A"/>
    <w:rsid w:val="00B33798"/>
    <w:rsid w:val="00B33AD2"/>
    <w:rsid w:val="00B33E93"/>
    <w:rsid w:val="00B35510"/>
    <w:rsid w:val="00B35EFE"/>
    <w:rsid w:val="00B36381"/>
    <w:rsid w:val="00B373F0"/>
    <w:rsid w:val="00B37787"/>
    <w:rsid w:val="00B4092B"/>
    <w:rsid w:val="00B412B7"/>
    <w:rsid w:val="00B416B0"/>
    <w:rsid w:val="00B418BF"/>
    <w:rsid w:val="00B41E60"/>
    <w:rsid w:val="00B42013"/>
    <w:rsid w:val="00B426D1"/>
    <w:rsid w:val="00B43046"/>
    <w:rsid w:val="00B454F8"/>
    <w:rsid w:val="00B4757E"/>
    <w:rsid w:val="00B476B0"/>
    <w:rsid w:val="00B4793A"/>
    <w:rsid w:val="00B507B3"/>
    <w:rsid w:val="00B50FCF"/>
    <w:rsid w:val="00B51415"/>
    <w:rsid w:val="00B52765"/>
    <w:rsid w:val="00B52F81"/>
    <w:rsid w:val="00B53CC5"/>
    <w:rsid w:val="00B5742C"/>
    <w:rsid w:val="00B62410"/>
    <w:rsid w:val="00B62798"/>
    <w:rsid w:val="00B62D46"/>
    <w:rsid w:val="00B63C0F"/>
    <w:rsid w:val="00B646AE"/>
    <w:rsid w:val="00B646FB"/>
    <w:rsid w:val="00B650D4"/>
    <w:rsid w:val="00B67953"/>
    <w:rsid w:val="00B71BC0"/>
    <w:rsid w:val="00B71F81"/>
    <w:rsid w:val="00B744EE"/>
    <w:rsid w:val="00B75C35"/>
    <w:rsid w:val="00B763E1"/>
    <w:rsid w:val="00B76D28"/>
    <w:rsid w:val="00B77156"/>
    <w:rsid w:val="00B779A4"/>
    <w:rsid w:val="00B8119B"/>
    <w:rsid w:val="00B81E77"/>
    <w:rsid w:val="00B82BC6"/>
    <w:rsid w:val="00B84CF2"/>
    <w:rsid w:val="00B85654"/>
    <w:rsid w:val="00B8595A"/>
    <w:rsid w:val="00B85B78"/>
    <w:rsid w:val="00B85BC9"/>
    <w:rsid w:val="00B864A0"/>
    <w:rsid w:val="00B86BB4"/>
    <w:rsid w:val="00B87EC0"/>
    <w:rsid w:val="00B9117B"/>
    <w:rsid w:val="00B9145D"/>
    <w:rsid w:val="00B91E4E"/>
    <w:rsid w:val="00B94880"/>
    <w:rsid w:val="00B9497A"/>
    <w:rsid w:val="00B95EFB"/>
    <w:rsid w:val="00B96DE8"/>
    <w:rsid w:val="00B9745B"/>
    <w:rsid w:val="00B97496"/>
    <w:rsid w:val="00B97ADD"/>
    <w:rsid w:val="00B97B9E"/>
    <w:rsid w:val="00BA13CC"/>
    <w:rsid w:val="00BA265E"/>
    <w:rsid w:val="00BA3158"/>
    <w:rsid w:val="00BA348C"/>
    <w:rsid w:val="00BA3B33"/>
    <w:rsid w:val="00BA3B64"/>
    <w:rsid w:val="00BA5A60"/>
    <w:rsid w:val="00BA6AD7"/>
    <w:rsid w:val="00BA7AB7"/>
    <w:rsid w:val="00BB0461"/>
    <w:rsid w:val="00BB0AAB"/>
    <w:rsid w:val="00BB1811"/>
    <w:rsid w:val="00BB407E"/>
    <w:rsid w:val="00BC19D0"/>
    <w:rsid w:val="00BC1DE6"/>
    <w:rsid w:val="00BC1E4A"/>
    <w:rsid w:val="00BC3F89"/>
    <w:rsid w:val="00BC47C8"/>
    <w:rsid w:val="00BC5203"/>
    <w:rsid w:val="00BC58D3"/>
    <w:rsid w:val="00BC6233"/>
    <w:rsid w:val="00BC6D41"/>
    <w:rsid w:val="00BC72C5"/>
    <w:rsid w:val="00BC76A3"/>
    <w:rsid w:val="00BD0040"/>
    <w:rsid w:val="00BD0AB0"/>
    <w:rsid w:val="00BD1A50"/>
    <w:rsid w:val="00BD267A"/>
    <w:rsid w:val="00BD2D63"/>
    <w:rsid w:val="00BD512D"/>
    <w:rsid w:val="00BD51FA"/>
    <w:rsid w:val="00BD5D4C"/>
    <w:rsid w:val="00BD63BB"/>
    <w:rsid w:val="00BD6D9D"/>
    <w:rsid w:val="00BE0A6B"/>
    <w:rsid w:val="00BE2997"/>
    <w:rsid w:val="00BE506E"/>
    <w:rsid w:val="00BE566A"/>
    <w:rsid w:val="00BE5826"/>
    <w:rsid w:val="00BE606A"/>
    <w:rsid w:val="00BE6BA7"/>
    <w:rsid w:val="00BE7874"/>
    <w:rsid w:val="00BE78D0"/>
    <w:rsid w:val="00BF07E1"/>
    <w:rsid w:val="00BF3853"/>
    <w:rsid w:val="00BF3B37"/>
    <w:rsid w:val="00BF4399"/>
    <w:rsid w:val="00BF4A4A"/>
    <w:rsid w:val="00BF6220"/>
    <w:rsid w:val="00BF709E"/>
    <w:rsid w:val="00BF7434"/>
    <w:rsid w:val="00C000DD"/>
    <w:rsid w:val="00C01756"/>
    <w:rsid w:val="00C051C8"/>
    <w:rsid w:val="00C0595C"/>
    <w:rsid w:val="00C06D89"/>
    <w:rsid w:val="00C07906"/>
    <w:rsid w:val="00C07D85"/>
    <w:rsid w:val="00C10D35"/>
    <w:rsid w:val="00C11037"/>
    <w:rsid w:val="00C13378"/>
    <w:rsid w:val="00C15472"/>
    <w:rsid w:val="00C16132"/>
    <w:rsid w:val="00C16A44"/>
    <w:rsid w:val="00C178D6"/>
    <w:rsid w:val="00C17EBA"/>
    <w:rsid w:val="00C2040C"/>
    <w:rsid w:val="00C25156"/>
    <w:rsid w:val="00C26339"/>
    <w:rsid w:val="00C2679D"/>
    <w:rsid w:val="00C27CF9"/>
    <w:rsid w:val="00C30BE5"/>
    <w:rsid w:val="00C314B5"/>
    <w:rsid w:val="00C31B48"/>
    <w:rsid w:val="00C33A94"/>
    <w:rsid w:val="00C33D90"/>
    <w:rsid w:val="00C35CBD"/>
    <w:rsid w:val="00C3601F"/>
    <w:rsid w:val="00C3676A"/>
    <w:rsid w:val="00C36CD7"/>
    <w:rsid w:val="00C37224"/>
    <w:rsid w:val="00C374F6"/>
    <w:rsid w:val="00C40F8C"/>
    <w:rsid w:val="00C410E7"/>
    <w:rsid w:val="00C420E5"/>
    <w:rsid w:val="00C45387"/>
    <w:rsid w:val="00C50341"/>
    <w:rsid w:val="00C504B5"/>
    <w:rsid w:val="00C5052F"/>
    <w:rsid w:val="00C54697"/>
    <w:rsid w:val="00C56F46"/>
    <w:rsid w:val="00C57B80"/>
    <w:rsid w:val="00C57C85"/>
    <w:rsid w:val="00C602A3"/>
    <w:rsid w:val="00C62110"/>
    <w:rsid w:val="00C6549B"/>
    <w:rsid w:val="00C65AFA"/>
    <w:rsid w:val="00C6679F"/>
    <w:rsid w:val="00C67F13"/>
    <w:rsid w:val="00C70882"/>
    <w:rsid w:val="00C70FA5"/>
    <w:rsid w:val="00C70FEF"/>
    <w:rsid w:val="00C713A1"/>
    <w:rsid w:val="00C7169D"/>
    <w:rsid w:val="00C7552B"/>
    <w:rsid w:val="00C770A7"/>
    <w:rsid w:val="00C77A32"/>
    <w:rsid w:val="00C77B1C"/>
    <w:rsid w:val="00C806A3"/>
    <w:rsid w:val="00C80758"/>
    <w:rsid w:val="00C8090A"/>
    <w:rsid w:val="00C80ACE"/>
    <w:rsid w:val="00C80CC2"/>
    <w:rsid w:val="00C80E1D"/>
    <w:rsid w:val="00C81944"/>
    <w:rsid w:val="00C838BF"/>
    <w:rsid w:val="00C83F21"/>
    <w:rsid w:val="00C842B1"/>
    <w:rsid w:val="00C84629"/>
    <w:rsid w:val="00C84CE5"/>
    <w:rsid w:val="00C854BA"/>
    <w:rsid w:val="00C8608E"/>
    <w:rsid w:val="00C879EC"/>
    <w:rsid w:val="00C87CE5"/>
    <w:rsid w:val="00C90197"/>
    <w:rsid w:val="00C90203"/>
    <w:rsid w:val="00C90D3D"/>
    <w:rsid w:val="00C910CE"/>
    <w:rsid w:val="00C91ED7"/>
    <w:rsid w:val="00C929C2"/>
    <w:rsid w:val="00C93108"/>
    <w:rsid w:val="00C933A7"/>
    <w:rsid w:val="00C9360F"/>
    <w:rsid w:val="00C93BF2"/>
    <w:rsid w:val="00C93D07"/>
    <w:rsid w:val="00C94034"/>
    <w:rsid w:val="00C9489A"/>
    <w:rsid w:val="00C954F5"/>
    <w:rsid w:val="00CA2146"/>
    <w:rsid w:val="00CA4164"/>
    <w:rsid w:val="00CA5C01"/>
    <w:rsid w:val="00CA7362"/>
    <w:rsid w:val="00CB007B"/>
    <w:rsid w:val="00CB04F2"/>
    <w:rsid w:val="00CB0C32"/>
    <w:rsid w:val="00CB0E88"/>
    <w:rsid w:val="00CB1A85"/>
    <w:rsid w:val="00CB3CFA"/>
    <w:rsid w:val="00CB4C69"/>
    <w:rsid w:val="00CB5192"/>
    <w:rsid w:val="00CB547E"/>
    <w:rsid w:val="00CB560A"/>
    <w:rsid w:val="00CB6E2B"/>
    <w:rsid w:val="00CB7754"/>
    <w:rsid w:val="00CB7B0F"/>
    <w:rsid w:val="00CC052B"/>
    <w:rsid w:val="00CC0C62"/>
    <w:rsid w:val="00CC4AE3"/>
    <w:rsid w:val="00CC4B72"/>
    <w:rsid w:val="00CC6911"/>
    <w:rsid w:val="00CC6B86"/>
    <w:rsid w:val="00CD017B"/>
    <w:rsid w:val="00CD0755"/>
    <w:rsid w:val="00CD0928"/>
    <w:rsid w:val="00CD172B"/>
    <w:rsid w:val="00CD1D69"/>
    <w:rsid w:val="00CD2290"/>
    <w:rsid w:val="00CD28DB"/>
    <w:rsid w:val="00CD2BD3"/>
    <w:rsid w:val="00CD2DB5"/>
    <w:rsid w:val="00CD3755"/>
    <w:rsid w:val="00CD4B8B"/>
    <w:rsid w:val="00CD4DF5"/>
    <w:rsid w:val="00CD7B0F"/>
    <w:rsid w:val="00CE01FD"/>
    <w:rsid w:val="00CE1640"/>
    <w:rsid w:val="00CE2ADA"/>
    <w:rsid w:val="00CE33A4"/>
    <w:rsid w:val="00CE3C18"/>
    <w:rsid w:val="00CE4A55"/>
    <w:rsid w:val="00CE6105"/>
    <w:rsid w:val="00CE6B7A"/>
    <w:rsid w:val="00CE6B9D"/>
    <w:rsid w:val="00CF0576"/>
    <w:rsid w:val="00CF1961"/>
    <w:rsid w:val="00CF3346"/>
    <w:rsid w:val="00CF6446"/>
    <w:rsid w:val="00CF662D"/>
    <w:rsid w:val="00CF70D2"/>
    <w:rsid w:val="00CF72CB"/>
    <w:rsid w:val="00D00D8E"/>
    <w:rsid w:val="00D01C06"/>
    <w:rsid w:val="00D01D0A"/>
    <w:rsid w:val="00D04E59"/>
    <w:rsid w:val="00D050D8"/>
    <w:rsid w:val="00D07C0E"/>
    <w:rsid w:val="00D1039A"/>
    <w:rsid w:val="00D10549"/>
    <w:rsid w:val="00D128F6"/>
    <w:rsid w:val="00D12CE6"/>
    <w:rsid w:val="00D1439E"/>
    <w:rsid w:val="00D15E85"/>
    <w:rsid w:val="00D164CF"/>
    <w:rsid w:val="00D17015"/>
    <w:rsid w:val="00D1768E"/>
    <w:rsid w:val="00D17C81"/>
    <w:rsid w:val="00D20634"/>
    <w:rsid w:val="00D20D91"/>
    <w:rsid w:val="00D220F5"/>
    <w:rsid w:val="00D2284F"/>
    <w:rsid w:val="00D25E3A"/>
    <w:rsid w:val="00D26778"/>
    <w:rsid w:val="00D26BB7"/>
    <w:rsid w:val="00D3017B"/>
    <w:rsid w:val="00D30BA8"/>
    <w:rsid w:val="00D35319"/>
    <w:rsid w:val="00D3596E"/>
    <w:rsid w:val="00D35C14"/>
    <w:rsid w:val="00D37116"/>
    <w:rsid w:val="00D37D6C"/>
    <w:rsid w:val="00D40392"/>
    <w:rsid w:val="00D40660"/>
    <w:rsid w:val="00D40C35"/>
    <w:rsid w:val="00D41466"/>
    <w:rsid w:val="00D423B5"/>
    <w:rsid w:val="00D425FA"/>
    <w:rsid w:val="00D42C89"/>
    <w:rsid w:val="00D4393D"/>
    <w:rsid w:val="00D43A45"/>
    <w:rsid w:val="00D448EB"/>
    <w:rsid w:val="00D44CF2"/>
    <w:rsid w:val="00D45EF8"/>
    <w:rsid w:val="00D45F75"/>
    <w:rsid w:val="00D46CE4"/>
    <w:rsid w:val="00D47014"/>
    <w:rsid w:val="00D47A15"/>
    <w:rsid w:val="00D51CB2"/>
    <w:rsid w:val="00D52D74"/>
    <w:rsid w:val="00D52DB3"/>
    <w:rsid w:val="00D53256"/>
    <w:rsid w:val="00D542AC"/>
    <w:rsid w:val="00D5449D"/>
    <w:rsid w:val="00D55DC7"/>
    <w:rsid w:val="00D5786E"/>
    <w:rsid w:val="00D57D3F"/>
    <w:rsid w:val="00D57F24"/>
    <w:rsid w:val="00D628C2"/>
    <w:rsid w:val="00D62ED9"/>
    <w:rsid w:val="00D6309E"/>
    <w:rsid w:val="00D63C74"/>
    <w:rsid w:val="00D63F26"/>
    <w:rsid w:val="00D665FD"/>
    <w:rsid w:val="00D669DE"/>
    <w:rsid w:val="00D672B1"/>
    <w:rsid w:val="00D704BA"/>
    <w:rsid w:val="00D71AE2"/>
    <w:rsid w:val="00D73297"/>
    <w:rsid w:val="00D73E40"/>
    <w:rsid w:val="00D73EC3"/>
    <w:rsid w:val="00D7414C"/>
    <w:rsid w:val="00D7624F"/>
    <w:rsid w:val="00D820A8"/>
    <w:rsid w:val="00D822AF"/>
    <w:rsid w:val="00D82948"/>
    <w:rsid w:val="00D846FB"/>
    <w:rsid w:val="00D8554A"/>
    <w:rsid w:val="00D86800"/>
    <w:rsid w:val="00D86F5A"/>
    <w:rsid w:val="00D87185"/>
    <w:rsid w:val="00D87A51"/>
    <w:rsid w:val="00D90CB1"/>
    <w:rsid w:val="00D914B7"/>
    <w:rsid w:val="00D9284C"/>
    <w:rsid w:val="00D92D96"/>
    <w:rsid w:val="00D93A88"/>
    <w:rsid w:val="00D96E1C"/>
    <w:rsid w:val="00DA0223"/>
    <w:rsid w:val="00DA092A"/>
    <w:rsid w:val="00DA1459"/>
    <w:rsid w:val="00DA1A68"/>
    <w:rsid w:val="00DA1E90"/>
    <w:rsid w:val="00DA243F"/>
    <w:rsid w:val="00DA34F1"/>
    <w:rsid w:val="00DA44B1"/>
    <w:rsid w:val="00DA50D2"/>
    <w:rsid w:val="00DA53F9"/>
    <w:rsid w:val="00DA72B7"/>
    <w:rsid w:val="00DB0089"/>
    <w:rsid w:val="00DB1C96"/>
    <w:rsid w:val="00DB1F32"/>
    <w:rsid w:val="00DB21C1"/>
    <w:rsid w:val="00DB492E"/>
    <w:rsid w:val="00DB4A8B"/>
    <w:rsid w:val="00DB5F29"/>
    <w:rsid w:val="00DB7192"/>
    <w:rsid w:val="00DC0302"/>
    <w:rsid w:val="00DC05CF"/>
    <w:rsid w:val="00DC0887"/>
    <w:rsid w:val="00DC182E"/>
    <w:rsid w:val="00DC1AAF"/>
    <w:rsid w:val="00DC3D83"/>
    <w:rsid w:val="00DC3E81"/>
    <w:rsid w:val="00DC418E"/>
    <w:rsid w:val="00DC4836"/>
    <w:rsid w:val="00DC541D"/>
    <w:rsid w:val="00DC7EB4"/>
    <w:rsid w:val="00DC7F83"/>
    <w:rsid w:val="00DD0496"/>
    <w:rsid w:val="00DD3834"/>
    <w:rsid w:val="00DD441C"/>
    <w:rsid w:val="00DD444E"/>
    <w:rsid w:val="00DD4607"/>
    <w:rsid w:val="00DD46B8"/>
    <w:rsid w:val="00DD5333"/>
    <w:rsid w:val="00DD5652"/>
    <w:rsid w:val="00DD5819"/>
    <w:rsid w:val="00DD5EED"/>
    <w:rsid w:val="00DD6B3D"/>
    <w:rsid w:val="00DD7EFF"/>
    <w:rsid w:val="00DE051C"/>
    <w:rsid w:val="00DE2399"/>
    <w:rsid w:val="00DE2770"/>
    <w:rsid w:val="00DE34A5"/>
    <w:rsid w:val="00DE3F23"/>
    <w:rsid w:val="00DE48EF"/>
    <w:rsid w:val="00DE5EC5"/>
    <w:rsid w:val="00DE6CF3"/>
    <w:rsid w:val="00DE70EC"/>
    <w:rsid w:val="00DF0768"/>
    <w:rsid w:val="00DF2301"/>
    <w:rsid w:val="00DF3307"/>
    <w:rsid w:val="00DF4612"/>
    <w:rsid w:val="00DF504E"/>
    <w:rsid w:val="00DF5564"/>
    <w:rsid w:val="00DF6107"/>
    <w:rsid w:val="00DF64D6"/>
    <w:rsid w:val="00DF67B5"/>
    <w:rsid w:val="00DF7402"/>
    <w:rsid w:val="00E0082B"/>
    <w:rsid w:val="00E00CBB"/>
    <w:rsid w:val="00E00F0C"/>
    <w:rsid w:val="00E026B3"/>
    <w:rsid w:val="00E04ABB"/>
    <w:rsid w:val="00E054B2"/>
    <w:rsid w:val="00E059B3"/>
    <w:rsid w:val="00E14A9F"/>
    <w:rsid w:val="00E17024"/>
    <w:rsid w:val="00E20B8D"/>
    <w:rsid w:val="00E20F9C"/>
    <w:rsid w:val="00E223D6"/>
    <w:rsid w:val="00E234F7"/>
    <w:rsid w:val="00E2383A"/>
    <w:rsid w:val="00E23941"/>
    <w:rsid w:val="00E23F55"/>
    <w:rsid w:val="00E26259"/>
    <w:rsid w:val="00E27287"/>
    <w:rsid w:val="00E27657"/>
    <w:rsid w:val="00E27F8C"/>
    <w:rsid w:val="00E301A3"/>
    <w:rsid w:val="00E3057F"/>
    <w:rsid w:val="00E30AD9"/>
    <w:rsid w:val="00E32712"/>
    <w:rsid w:val="00E32725"/>
    <w:rsid w:val="00E3280D"/>
    <w:rsid w:val="00E3416A"/>
    <w:rsid w:val="00E35C0C"/>
    <w:rsid w:val="00E36F2E"/>
    <w:rsid w:val="00E418B9"/>
    <w:rsid w:val="00E4307F"/>
    <w:rsid w:val="00E43309"/>
    <w:rsid w:val="00E43537"/>
    <w:rsid w:val="00E4529A"/>
    <w:rsid w:val="00E45F11"/>
    <w:rsid w:val="00E46358"/>
    <w:rsid w:val="00E4713B"/>
    <w:rsid w:val="00E504A3"/>
    <w:rsid w:val="00E5132E"/>
    <w:rsid w:val="00E5496A"/>
    <w:rsid w:val="00E550A1"/>
    <w:rsid w:val="00E56B99"/>
    <w:rsid w:val="00E56DD2"/>
    <w:rsid w:val="00E57DBF"/>
    <w:rsid w:val="00E57DF8"/>
    <w:rsid w:val="00E605E2"/>
    <w:rsid w:val="00E61756"/>
    <w:rsid w:val="00E61CAE"/>
    <w:rsid w:val="00E636CF"/>
    <w:rsid w:val="00E63C5C"/>
    <w:rsid w:val="00E6461C"/>
    <w:rsid w:val="00E6547C"/>
    <w:rsid w:val="00E65AF2"/>
    <w:rsid w:val="00E65CDF"/>
    <w:rsid w:val="00E70039"/>
    <w:rsid w:val="00E7333B"/>
    <w:rsid w:val="00E73AD2"/>
    <w:rsid w:val="00E73DD9"/>
    <w:rsid w:val="00E73F6D"/>
    <w:rsid w:val="00E74B93"/>
    <w:rsid w:val="00E76C36"/>
    <w:rsid w:val="00E77E0C"/>
    <w:rsid w:val="00E81741"/>
    <w:rsid w:val="00E81BD5"/>
    <w:rsid w:val="00E85A2D"/>
    <w:rsid w:val="00E9024F"/>
    <w:rsid w:val="00E919BF"/>
    <w:rsid w:val="00E91CCE"/>
    <w:rsid w:val="00E91F49"/>
    <w:rsid w:val="00E92D29"/>
    <w:rsid w:val="00E92E3B"/>
    <w:rsid w:val="00E9325C"/>
    <w:rsid w:val="00E93B8D"/>
    <w:rsid w:val="00E94251"/>
    <w:rsid w:val="00E9447B"/>
    <w:rsid w:val="00E94922"/>
    <w:rsid w:val="00E97043"/>
    <w:rsid w:val="00EA1C12"/>
    <w:rsid w:val="00EA236D"/>
    <w:rsid w:val="00EA597F"/>
    <w:rsid w:val="00EA5AE0"/>
    <w:rsid w:val="00EA7043"/>
    <w:rsid w:val="00EA7462"/>
    <w:rsid w:val="00EB0356"/>
    <w:rsid w:val="00EB131A"/>
    <w:rsid w:val="00EB1A05"/>
    <w:rsid w:val="00EB246C"/>
    <w:rsid w:val="00EB3702"/>
    <w:rsid w:val="00EB4E6A"/>
    <w:rsid w:val="00EB518C"/>
    <w:rsid w:val="00EC0962"/>
    <w:rsid w:val="00EC1902"/>
    <w:rsid w:val="00EC48B9"/>
    <w:rsid w:val="00EC4AE5"/>
    <w:rsid w:val="00EC50F2"/>
    <w:rsid w:val="00EC5A79"/>
    <w:rsid w:val="00EC5F33"/>
    <w:rsid w:val="00EC6234"/>
    <w:rsid w:val="00EC6496"/>
    <w:rsid w:val="00EC67A0"/>
    <w:rsid w:val="00EC6D95"/>
    <w:rsid w:val="00EC772B"/>
    <w:rsid w:val="00EC7C71"/>
    <w:rsid w:val="00EC7DC0"/>
    <w:rsid w:val="00EC7DF7"/>
    <w:rsid w:val="00ED049D"/>
    <w:rsid w:val="00ED0561"/>
    <w:rsid w:val="00ED06DB"/>
    <w:rsid w:val="00ED0AE5"/>
    <w:rsid w:val="00ED11D5"/>
    <w:rsid w:val="00ED3776"/>
    <w:rsid w:val="00ED4619"/>
    <w:rsid w:val="00ED5AC7"/>
    <w:rsid w:val="00ED68F8"/>
    <w:rsid w:val="00EE0529"/>
    <w:rsid w:val="00EE0D81"/>
    <w:rsid w:val="00EE1826"/>
    <w:rsid w:val="00EE184F"/>
    <w:rsid w:val="00EE3100"/>
    <w:rsid w:val="00EE7960"/>
    <w:rsid w:val="00EE7A39"/>
    <w:rsid w:val="00EF006E"/>
    <w:rsid w:val="00EF1CB4"/>
    <w:rsid w:val="00EF24D1"/>
    <w:rsid w:val="00EF4084"/>
    <w:rsid w:val="00EF5D1B"/>
    <w:rsid w:val="00EF5E8D"/>
    <w:rsid w:val="00F02C54"/>
    <w:rsid w:val="00F02EEC"/>
    <w:rsid w:val="00F03B4D"/>
    <w:rsid w:val="00F03F2A"/>
    <w:rsid w:val="00F04790"/>
    <w:rsid w:val="00F04DDC"/>
    <w:rsid w:val="00F0638B"/>
    <w:rsid w:val="00F0665C"/>
    <w:rsid w:val="00F0769F"/>
    <w:rsid w:val="00F10D03"/>
    <w:rsid w:val="00F115AE"/>
    <w:rsid w:val="00F16031"/>
    <w:rsid w:val="00F16997"/>
    <w:rsid w:val="00F16AD0"/>
    <w:rsid w:val="00F179C7"/>
    <w:rsid w:val="00F21417"/>
    <w:rsid w:val="00F21735"/>
    <w:rsid w:val="00F22348"/>
    <w:rsid w:val="00F234BC"/>
    <w:rsid w:val="00F238B5"/>
    <w:rsid w:val="00F23B35"/>
    <w:rsid w:val="00F24456"/>
    <w:rsid w:val="00F247B8"/>
    <w:rsid w:val="00F24C0A"/>
    <w:rsid w:val="00F24C99"/>
    <w:rsid w:val="00F254CB"/>
    <w:rsid w:val="00F2553D"/>
    <w:rsid w:val="00F256E3"/>
    <w:rsid w:val="00F2577A"/>
    <w:rsid w:val="00F269A2"/>
    <w:rsid w:val="00F30092"/>
    <w:rsid w:val="00F30E39"/>
    <w:rsid w:val="00F32AF6"/>
    <w:rsid w:val="00F330F1"/>
    <w:rsid w:val="00F3380E"/>
    <w:rsid w:val="00F3398D"/>
    <w:rsid w:val="00F34135"/>
    <w:rsid w:val="00F34D80"/>
    <w:rsid w:val="00F35154"/>
    <w:rsid w:val="00F3598A"/>
    <w:rsid w:val="00F361A0"/>
    <w:rsid w:val="00F3786E"/>
    <w:rsid w:val="00F37C4A"/>
    <w:rsid w:val="00F40483"/>
    <w:rsid w:val="00F40BDD"/>
    <w:rsid w:val="00F410F2"/>
    <w:rsid w:val="00F418DA"/>
    <w:rsid w:val="00F41AFA"/>
    <w:rsid w:val="00F42606"/>
    <w:rsid w:val="00F44994"/>
    <w:rsid w:val="00F457E4"/>
    <w:rsid w:val="00F46D98"/>
    <w:rsid w:val="00F502C1"/>
    <w:rsid w:val="00F52422"/>
    <w:rsid w:val="00F52942"/>
    <w:rsid w:val="00F53583"/>
    <w:rsid w:val="00F538CA"/>
    <w:rsid w:val="00F53A45"/>
    <w:rsid w:val="00F54D74"/>
    <w:rsid w:val="00F572EF"/>
    <w:rsid w:val="00F57613"/>
    <w:rsid w:val="00F62F3C"/>
    <w:rsid w:val="00F637F0"/>
    <w:rsid w:val="00F646D6"/>
    <w:rsid w:val="00F65567"/>
    <w:rsid w:val="00F70F15"/>
    <w:rsid w:val="00F728CD"/>
    <w:rsid w:val="00F72C8F"/>
    <w:rsid w:val="00F73B60"/>
    <w:rsid w:val="00F745CD"/>
    <w:rsid w:val="00F76140"/>
    <w:rsid w:val="00F76E81"/>
    <w:rsid w:val="00F8015E"/>
    <w:rsid w:val="00F8028C"/>
    <w:rsid w:val="00F807C9"/>
    <w:rsid w:val="00F814F7"/>
    <w:rsid w:val="00F820F2"/>
    <w:rsid w:val="00F8212F"/>
    <w:rsid w:val="00F828AD"/>
    <w:rsid w:val="00F82DE0"/>
    <w:rsid w:val="00F83037"/>
    <w:rsid w:val="00F831B5"/>
    <w:rsid w:val="00F838C1"/>
    <w:rsid w:val="00F84CCC"/>
    <w:rsid w:val="00F85001"/>
    <w:rsid w:val="00F861D6"/>
    <w:rsid w:val="00F86279"/>
    <w:rsid w:val="00F86880"/>
    <w:rsid w:val="00F91890"/>
    <w:rsid w:val="00F92861"/>
    <w:rsid w:val="00F92938"/>
    <w:rsid w:val="00F94253"/>
    <w:rsid w:val="00F9441F"/>
    <w:rsid w:val="00F9765B"/>
    <w:rsid w:val="00FA0A63"/>
    <w:rsid w:val="00FA11D3"/>
    <w:rsid w:val="00FA2134"/>
    <w:rsid w:val="00FA22D5"/>
    <w:rsid w:val="00FA2433"/>
    <w:rsid w:val="00FA2518"/>
    <w:rsid w:val="00FA3D73"/>
    <w:rsid w:val="00FA4381"/>
    <w:rsid w:val="00FA7209"/>
    <w:rsid w:val="00FB020B"/>
    <w:rsid w:val="00FB25D8"/>
    <w:rsid w:val="00FB299A"/>
    <w:rsid w:val="00FB39B0"/>
    <w:rsid w:val="00FB4B9C"/>
    <w:rsid w:val="00FB58E7"/>
    <w:rsid w:val="00FB6AF2"/>
    <w:rsid w:val="00FB724B"/>
    <w:rsid w:val="00FC1AAE"/>
    <w:rsid w:val="00FC3F6E"/>
    <w:rsid w:val="00FC514A"/>
    <w:rsid w:val="00FC76DC"/>
    <w:rsid w:val="00FC7C61"/>
    <w:rsid w:val="00FD1A06"/>
    <w:rsid w:val="00FD3B44"/>
    <w:rsid w:val="00FD3ECA"/>
    <w:rsid w:val="00FD6FAD"/>
    <w:rsid w:val="00FE1CC0"/>
    <w:rsid w:val="00FE47FD"/>
    <w:rsid w:val="00FE69DE"/>
    <w:rsid w:val="00FE6CEC"/>
    <w:rsid w:val="00FE74B8"/>
    <w:rsid w:val="00FF08AD"/>
    <w:rsid w:val="00FF20BB"/>
    <w:rsid w:val="00FF24E3"/>
    <w:rsid w:val="00FF25FD"/>
    <w:rsid w:val="00FF323D"/>
    <w:rsid w:val="00FF378C"/>
    <w:rsid w:val="00FF4637"/>
    <w:rsid w:val="00FF5102"/>
    <w:rsid w:val="00FF62CA"/>
    <w:rsid w:val="00FF7230"/>
    <w:rsid w:val="00FF7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0ACE366"/>
  <w15:docId w15:val="{1C0BABD4-CE0A-4432-AD60-6DF80358C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pPr>
        <w:spacing w:line="264" w:lineRule="auto"/>
      </w:pPr>
    </w:pPrDefault>
  </w:docDefaults>
  <w:latentStyles w:defLockedState="0" w:defUIPriority="8" w:defSemiHidden="0" w:defUnhideWhenUsed="0" w:defQFormat="0" w:count="372">
    <w:lsdException w:name="Normal" w:uiPriority="0" w:qFormat="1"/>
    <w:lsdException w:name="heading 1" w:uiPriority="1" w:qFormat="1"/>
    <w:lsdException w:name="heading 2" w:uiPriority="1" w:qFormat="1"/>
    <w:lsdException w:name="heading 3" w:uiPriority="4" w:qFormat="1"/>
    <w:lsdException w:name="heading 4" w:uiPriority="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semiHidden="1" w:unhideWhenUsed="1"/>
    <w:lsdException w:name="Table Grid" w:uiPriority="0"/>
    <w:lsdException w:name="Table Theme" w:uiPriority="0"/>
    <w:lsdException w:name="Placeholder Text" w:semiHidden="1" w:uiPriority="99"/>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7" w:qFormat="1"/>
    <w:lsdException w:name="Intense Quote" w:uiPriority="3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7"/>
    <w:lsdException w:name="Intense Emphasis" w:uiPriority="21" w:qFormat="1"/>
    <w:lsdException w:name="Subtle Reference" w:uiPriority="39"/>
    <w:lsdException w:name="Intense Reference" w:uiPriority="40"/>
    <w:lsdException w:name="Book Title" w:uiPriority="41" w:qFormat="1"/>
    <w:lsdException w:name="Bibliography" w:semiHidden="1" w:uiPriority="45" w:unhideWhenUsed="1"/>
    <w:lsdException w:name="TOC Heading"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2C4A68"/>
    <w:rPr>
      <w:rFonts w:eastAsia="SimSun"/>
      <w:sz w:val="24"/>
      <w:szCs w:val="24"/>
    </w:rPr>
  </w:style>
  <w:style w:type="paragraph" w:styleId="Heading1">
    <w:name w:val="heading 1"/>
    <w:basedOn w:val="Normal"/>
    <w:next w:val="Normal"/>
    <w:link w:val="Heading1Char"/>
    <w:uiPriority w:val="1"/>
    <w:qFormat/>
    <w:rsid w:val="00327493"/>
    <w:pPr>
      <w:keepNext/>
      <w:numPr>
        <w:numId w:val="3"/>
      </w:numPr>
      <w:spacing w:after="240"/>
      <w:jc w:val="center"/>
      <w:outlineLvl w:val="0"/>
    </w:pPr>
    <w:rPr>
      <w:rFonts w:cs="Arial"/>
      <w:b/>
      <w:bCs/>
      <w:smallCaps/>
      <w:kern w:val="28"/>
      <w:szCs w:val="32"/>
    </w:rPr>
  </w:style>
  <w:style w:type="paragraph" w:styleId="Heading2">
    <w:name w:val="heading 2"/>
    <w:basedOn w:val="Normal"/>
    <w:next w:val="Normal"/>
    <w:link w:val="Heading2Char"/>
    <w:uiPriority w:val="1"/>
    <w:qFormat/>
    <w:rsid w:val="00327493"/>
    <w:pPr>
      <w:keepNext/>
      <w:numPr>
        <w:ilvl w:val="1"/>
        <w:numId w:val="3"/>
      </w:numPr>
      <w:spacing w:after="240"/>
      <w:jc w:val="center"/>
      <w:outlineLvl w:val="1"/>
    </w:pPr>
    <w:rPr>
      <w:rFonts w:cs="Arial"/>
      <w:b/>
      <w:bCs/>
      <w:iCs/>
      <w:szCs w:val="28"/>
    </w:rPr>
  </w:style>
  <w:style w:type="paragraph" w:styleId="Heading3">
    <w:name w:val="heading 3"/>
    <w:basedOn w:val="Normal"/>
    <w:next w:val="Normal"/>
    <w:link w:val="Heading3Char"/>
    <w:uiPriority w:val="4"/>
    <w:qFormat/>
    <w:rsid w:val="00327493"/>
    <w:pPr>
      <w:keepNext/>
      <w:spacing w:after="240"/>
      <w:outlineLvl w:val="2"/>
    </w:pPr>
    <w:rPr>
      <w:rFonts w:cs="Arial"/>
      <w:b/>
      <w:bCs/>
      <w:szCs w:val="26"/>
    </w:rPr>
  </w:style>
  <w:style w:type="paragraph" w:styleId="Heading4">
    <w:name w:val="heading 4"/>
    <w:basedOn w:val="Normal"/>
    <w:next w:val="Normal"/>
    <w:uiPriority w:val="4"/>
    <w:qFormat/>
    <w:rsid w:val="00327493"/>
    <w:pPr>
      <w:keepNext/>
      <w:spacing w:after="240"/>
      <w:outlineLvl w:val="3"/>
    </w:pPr>
    <w:rPr>
      <w:b/>
      <w:bCs/>
      <w:i/>
      <w:szCs w:val="28"/>
    </w:rPr>
  </w:style>
  <w:style w:type="paragraph" w:styleId="Heading5">
    <w:name w:val="heading 5"/>
    <w:basedOn w:val="Normal"/>
    <w:next w:val="Normal"/>
    <w:uiPriority w:val="8"/>
    <w:qFormat/>
    <w:rsid w:val="00327493"/>
    <w:pPr>
      <w:keepNext/>
      <w:spacing w:after="240"/>
      <w:outlineLvl w:val="4"/>
    </w:pPr>
    <w:rPr>
      <w:bCs/>
      <w:i/>
      <w:iCs/>
      <w:szCs w:val="26"/>
    </w:rPr>
  </w:style>
  <w:style w:type="paragraph" w:styleId="Heading6">
    <w:name w:val="heading 6"/>
    <w:basedOn w:val="Normal"/>
    <w:next w:val="Normal"/>
    <w:uiPriority w:val="8"/>
    <w:rsid w:val="00327493"/>
    <w:pPr>
      <w:outlineLvl w:val="5"/>
    </w:pPr>
    <w:rPr>
      <w:bCs/>
      <w:szCs w:val="22"/>
    </w:rPr>
  </w:style>
  <w:style w:type="paragraph" w:styleId="Heading7">
    <w:name w:val="heading 7"/>
    <w:basedOn w:val="Normal"/>
    <w:next w:val="Normal"/>
    <w:uiPriority w:val="8"/>
    <w:rsid w:val="00327493"/>
    <w:pPr>
      <w:outlineLvl w:val="6"/>
    </w:pPr>
  </w:style>
  <w:style w:type="paragraph" w:styleId="Heading8">
    <w:name w:val="heading 8"/>
    <w:basedOn w:val="Normal"/>
    <w:next w:val="Normal"/>
    <w:uiPriority w:val="8"/>
    <w:rsid w:val="00327493"/>
    <w:pPr>
      <w:outlineLvl w:val="7"/>
    </w:pPr>
    <w:rPr>
      <w:iCs/>
    </w:rPr>
  </w:style>
  <w:style w:type="paragraph" w:styleId="Heading9">
    <w:name w:val="heading 9"/>
    <w:basedOn w:val="Normal"/>
    <w:next w:val="Normal"/>
    <w:uiPriority w:val="8"/>
    <w:rsid w:val="00327493"/>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7493"/>
    <w:pPr>
      <w:tabs>
        <w:tab w:val="center" w:pos="4320"/>
        <w:tab w:val="right" w:pos="8640"/>
      </w:tabs>
    </w:pPr>
  </w:style>
  <w:style w:type="paragraph" w:styleId="FootnoteText">
    <w:name w:val="footnote text"/>
    <w:aliases w:val="fn,single space,FOOTNOTES,Footnote Text Char Char Char Char Char Char,Footnote Text Char,Footnote Text Char1,Footnote Text Char Char,Footnote,Fußnote,Testo_note,Testo_note1,Testo_note2,Footnote Text Char3 Char,stile 1,footnote text,12pt,f"/>
    <w:basedOn w:val="Normal"/>
    <w:link w:val="FootnoteTextChar2"/>
    <w:uiPriority w:val="8"/>
    <w:qFormat/>
    <w:rsid w:val="00327493"/>
    <w:pPr>
      <w:spacing w:after="200"/>
    </w:pPr>
    <w:rPr>
      <w:sz w:val="20"/>
      <w:szCs w:val="20"/>
    </w:rPr>
  </w:style>
  <w:style w:type="paragraph" w:customStyle="1" w:styleId="ParagraphNumbering">
    <w:name w:val="Paragraph Numbering"/>
    <w:basedOn w:val="Normal"/>
    <w:link w:val="ParagraphNumberingChar"/>
    <w:uiPriority w:val="1"/>
    <w:qFormat/>
    <w:rsid w:val="00952688"/>
    <w:pPr>
      <w:numPr>
        <w:numId w:val="9"/>
      </w:numPr>
      <w:spacing w:after="240"/>
    </w:pPr>
  </w:style>
  <w:style w:type="paragraph" w:styleId="Footer">
    <w:name w:val="footer"/>
    <w:basedOn w:val="Normal"/>
    <w:link w:val="FooterChar"/>
    <w:uiPriority w:val="99"/>
    <w:rsid w:val="00327493"/>
    <w:pPr>
      <w:tabs>
        <w:tab w:val="center" w:pos="4320"/>
        <w:tab w:val="right" w:pos="8640"/>
      </w:tabs>
    </w:pPr>
  </w:style>
  <w:style w:type="character" w:styleId="FootnoteReference">
    <w:name w:val="footnote reference"/>
    <w:aliases w:val="Footnote Reference Number,Footnote Reference_LVL6,Footnote Reference_LVL61,Footnote Reference_LVL62,Footnote Reference_LVL63,Footnote Reference_LVL64,fr,Rabbani Footnote,Ref,de nota al pie,ftref,SUPERS,EN Footnote Reference,number"/>
    <w:basedOn w:val="DefaultParagraphFont"/>
    <w:uiPriority w:val="8"/>
    <w:qFormat/>
    <w:rsid w:val="00327493"/>
    <w:rPr>
      <w:sz w:val="20"/>
      <w:vertAlign w:val="superscript"/>
    </w:rPr>
  </w:style>
  <w:style w:type="paragraph" w:customStyle="1" w:styleId="Appendix">
    <w:name w:val="Appendix"/>
    <w:basedOn w:val="Normal"/>
    <w:uiPriority w:val="8"/>
    <w:qFormat/>
    <w:rsid w:val="00327493"/>
    <w:pPr>
      <w:jc w:val="center"/>
    </w:pPr>
    <w:rPr>
      <w:b/>
    </w:rPr>
  </w:style>
  <w:style w:type="paragraph" w:styleId="ListBullet">
    <w:name w:val="List Bullet"/>
    <w:aliases w:val="List Bullet Char,List Bullet-Richard's,List Bullet Char1 Char Char,List Bullet Char Char Char Char,List Bullet Char Char1,List Bullet Char1 Char,List Bullet Char Char Char,List Bullet Char Char Char Char Char Char Char Char,List Bullet "/>
    <w:basedOn w:val="Normal"/>
    <w:link w:val="ListBulletChar1"/>
    <w:uiPriority w:val="1"/>
    <w:qFormat/>
    <w:rsid w:val="00327493"/>
    <w:pPr>
      <w:numPr>
        <w:numId w:val="4"/>
      </w:numPr>
      <w:spacing w:after="240"/>
    </w:pPr>
  </w:style>
  <w:style w:type="paragraph" w:styleId="TOC1">
    <w:name w:val="toc 1"/>
    <w:basedOn w:val="Normal"/>
    <w:next w:val="Normal"/>
    <w:autoRedefine/>
    <w:uiPriority w:val="39"/>
    <w:rsid w:val="00997EF0"/>
    <w:pPr>
      <w:tabs>
        <w:tab w:val="right" w:leader="dot" w:pos="9000"/>
      </w:tabs>
      <w:spacing w:before="240" w:line="240" w:lineRule="auto"/>
    </w:pPr>
    <w:rPr>
      <w:b/>
      <w:noProof/>
    </w:rPr>
  </w:style>
  <w:style w:type="paragraph" w:styleId="TOC2">
    <w:name w:val="toc 2"/>
    <w:basedOn w:val="Normal"/>
    <w:next w:val="Normal"/>
    <w:autoRedefine/>
    <w:uiPriority w:val="39"/>
    <w:rsid w:val="00327493"/>
    <w:pPr>
      <w:tabs>
        <w:tab w:val="right" w:leader="dot" w:pos="9000"/>
      </w:tabs>
      <w:spacing w:line="240" w:lineRule="auto"/>
      <w:ind w:left="720"/>
    </w:pPr>
  </w:style>
  <w:style w:type="paragraph" w:styleId="TOC3">
    <w:name w:val="toc 3"/>
    <w:basedOn w:val="Normal"/>
    <w:next w:val="Normal"/>
    <w:autoRedefine/>
    <w:uiPriority w:val="8"/>
    <w:rsid w:val="00327493"/>
    <w:pPr>
      <w:tabs>
        <w:tab w:val="right" w:leader="dot" w:pos="9000"/>
      </w:tabs>
      <w:spacing w:line="240" w:lineRule="auto"/>
      <w:ind w:left="1440"/>
    </w:pPr>
  </w:style>
  <w:style w:type="paragraph" w:styleId="TOC4">
    <w:name w:val="toc 4"/>
    <w:basedOn w:val="Normal"/>
    <w:next w:val="Normal"/>
    <w:uiPriority w:val="8"/>
    <w:rsid w:val="00327493"/>
    <w:pPr>
      <w:ind w:left="720"/>
    </w:pPr>
  </w:style>
  <w:style w:type="paragraph" w:styleId="TOC5">
    <w:name w:val="toc 5"/>
    <w:basedOn w:val="Normal"/>
    <w:next w:val="Normal"/>
    <w:uiPriority w:val="8"/>
    <w:rsid w:val="00327493"/>
    <w:pPr>
      <w:ind w:left="960"/>
    </w:pPr>
  </w:style>
  <w:style w:type="paragraph" w:styleId="TOC6">
    <w:name w:val="toc 6"/>
    <w:basedOn w:val="Normal"/>
    <w:next w:val="Normal"/>
    <w:uiPriority w:val="8"/>
    <w:rsid w:val="00327493"/>
    <w:pPr>
      <w:ind w:left="1200"/>
    </w:pPr>
  </w:style>
  <w:style w:type="paragraph" w:styleId="TOC7">
    <w:name w:val="toc 7"/>
    <w:basedOn w:val="Normal"/>
    <w:next w:val="Normal"/>
    <w:uiPriority w:val="8"/>
    <w:rsid w:val="00327493"/>
    <w:pPr>
      <w:ind w:left="1440"/>
    </w:pPr>
  </w:style>
  <w:style w:type="paragraph" w:styleId="TOC8">
    <w:name w:val="toc 8"/>
    <w:basedOn w:val="Normal"/>
    <w:next w:val="Normal"/>
    <w:uiPriority w:val="8"/>
    <w:rsid w:val="00327493"/>
    <w:pPr>
      <w:ind w:left="1680"/>
    </w:pPr>
  </w:style>
  <w:style w:type="paragraph" w:styleId="TOC9">
    <w:name w:val="toc 9"/>
    <w:basedOn w:val="Normal"/>
    <w:next w:val="Normal"/>
    <w:uiPriority w:val="8"/>
    <w:rsid w:val="00327493"/>
    <w:pPr>
      <w:ind w:left="1920"/>
    </w:pPr>
  </w:style>
  <w:style w:type="paragraph" w:styleId="Index1">
    <w:name w:val="index 1"/>
    <w:basedOn w:val="Normal"/>
    <w:next w:val="Normal"/>
    <w:uiPriority w:val="8"/>
    <w:rsid w:val="00327493"/>
    <w:pPr>
      <w:ind w:left="240" w:hanging="240"/>
    </w:pPr>
  </w:style>
  <w:style w:type="paragraph" w:styleId="Index2">
    <w:name w:val="index 2"/>
    <w:basedOn w:val="Normal"/>
    <w:next w:val="Normal"/>
    <w:uiPriority w:val="8"/>
    <w:rsid w:val="00327493"/>
    <w:pPr>
      <w:ind w:left="480" w:hanging="240"/>
    </w:pPr>
  </w:style>
  <w:style w:type="paragraph" w:styleId="Index3">
    <w:name w:val="index 3"/>
    <w:basedOn w:val="Normal"/>
    <w:next w:val="Normal"/>
    <w:uiPriority w:val="8"/>
    <w:rsid w:val="00327493"/>
    <w:pPr>
      <w:ind w:left="720" w:hanging="240"/>
    </w:pPr>
  </w:style>
  <w:style w:type="paragraph" w:styleId="Index4">
    <w:name w:val="index 4"/>
    <w:basedOn w:val="Normal"/>
    <w:next w:val="Normal"/>
    <w:uiPriority w:val="8"/>
    <w:rsid w:val="00327493"/>
    <w:pPr>
      <w:ind w:left="960" w:hanging="240"/>
    </w:pPr>
  </w:style>
  <w:style w:type="paragraph" w:styleId="Index5">
    <w:name w:val="index 5"/>
    <w:basedOn w:val="Normal"/>
    <w:next w:val="Normal"/>
    <w:uiPriority w:val="8"/>
    <w:rsid w:val="00327493"/>
    <w:pPr>
      <w:ind w:left="1200" w:hanging="240"/>
    </w:pPr>
  </w:style>
  <w:style w:type="paragraph" w:styleId="Index6">
    <w:name w:val="index 6"/>
    <w:basedOn w:val="Normal"/>
    <w:next w:val="Normal"/>
    <w:uiPriority w:val="8"/>
    <w:rsid w:val="00327493"/>
    <w:pPr>
      <w:ind w:left="1440" w:hanging="240"/>
    </w:pPr>
  </w:style>
  <w:style w:type="paragraph" w:styleId="Index7">
    <w:name w:val="index 7"/>
    <w:basedOn w:val="Normal"/>
    <w:next w:val="Normal"/>
    <w:uiPriority w:val="8"/>
    <w:rsid w:val="00327493"/>
    <w:pPr>
      <w:ind w:left="1680" w:hanging="240"/>
    </w:pPr>
  </w:style>
  <w:style w:type="paragraph" w:styleId="Index8">
    <w:name w:val="index 8"/>
    <w:basedOn w:val="Normal"/>
    <w:next w:val="Normal"/>
    <w:uiPriority w:val="8"/>
    <w:rsid w:val="00327493"/>
    <w:pPr>
      <w:ind w:left="1920" w:hanging="240"/>
    </w:pPr>
  </w:style>
  <w:style w:type="paragraph" w:styleId="Index9">
    <w:name w:val="index 9"/>
    <w:basedOn w:val="Normal"/>
    <w:next w:val="Normal"/>
    <w:uiPriority w:val="8"/>
    <w:rsid w:val="00327493"/>
    <w:pPr>
      <w:ind w:left="2160" w:hanging="240"/>
    </w:pPr>
  </w:style>
  <w:style w:type="paragraph" w:styleId="ListBullet2">
    <w:name w:val="List Bullet 2"/>
    <w:basedOn w:val="Normal"/>
    <w:uiPriority w:val="8"/>
    <w:rsid w:val="00327493"/>
    <w:pPr>
      <w:numPr>
        <w:numId w:val="5"/>
      </w:numPr>
    </w:pPr>
  </w:style>
  <w:style w:type="paragraph" w:styleId="ListBullet3">
    <w:name w:val="List Bullet 3"/>
    <w:basedOn w:val="Normal"/>
    <w:uiPriority w:val="8"/>
    <w:rsid w:val="00327493"/>
    <w:pPr>
      <w:numPr>
        <w:numId w:val="6"/>
      </w:numPr>
    </w:pPr>
  </w:style>
  <w:style w:type="paragraph" w:styleId="ListBullet4">
    <w:name w:val="List Bullet 4"/>
    <w:basedOn w:val="Normal"/>
    <w:uiPriority w:val="8"/>
    <w:rsid w:val="00327493"/>
    <w:pPr>
      <w:numPr>
        <w:numId w:val="7"/>
      </w:numPr>
    </w:pPr>
  </w:style>
  <w:style w:type="paragraph" w:styleId="ListBullet5">
    <w:name w:val="List Bullet 5"/>
    <w:basedOn w:val="Normal"/>
    <w:uiPriority w:val="8"/>
    <w:rsid w:val="00327493"/>
    <w:pPr>
      <w:numPr>
        <w:numId w:val="8"/>
      </w:numPr>
    </w:pPr>
  </w:style>
  <w:style w:type="paragraph" w:styleId="Title">
    <w:name w:val="Title"/>
    <w:basedOn w:val="Normal"/>
    <w:rsid w:val="00327493"/>
    <w:pPr>
      <w:spacing w:before="240" w:after="60"/>
      <w:jc w:val="center"/>
      <w:outlineLvl w:val="0"/>
    </w:pPr>
    <w:rPr>
      <w:rFonts w:ascii="Arial" w:hAnsi="Arial" w:cs="Arial"/>
      <w:b/>
      <w:bCs/>
      <w:kern w:val="28"/>
      <w:sz w:val="32"/>
      <w:szCs w:val="32"/>
    </w:rPr>
  </w:style>
  <w:style w:type="paragraph" w:customStyle="1" w:styleId="Indent">
    <w:name w:val="Indent"/>
    <w:basedOn w:val="Normal"/>
    <w:uiPriority w:val="8"/>
    <w:qFormat/>
    <w:rsid w:val="00327493"/>
    <w:pPr>
      <w:ind w:left="720" w:hanging="720"/>
    </w:pPr>
  </w:style>
  <w:style w:type="paragraph" w:customStyle="1" w:styleId="UnNumberedHeading1">
    <w:name w:val="UnNumbered Heading 1"/>
    <w:basedOn w:val="Normal"/>
    <w:next w:val="Normal"/>
    <w:uiPriority w:val="8"/>
    <w:rsid w:val="00327493"/>
    <w:pPr>
      <w:jc w:val="center"/>
    </w:pPr>
    <w:rPr>
      <w:b/>
      <w:smallCaps/>
    </w:rPr>
  </w:style>
  <w:style w:type="character" w:customStyle="1" w:styleId="HeaderChar">
    <w:name w:val="Header Char"/>
    <w:basedOn w:val="DefaultParagraphFont"/>
    <w:link w:val="Header"/>
    <w:uiPriority w:val="99"/>
    <w:rsid w:val="00492BC3"/>
    <w:rPr>
      <w:sz w:val="24"/>
      <w:szCs w:val="24"/>
    </w:rPr>
  </w:style>
  <w:style w:type="paragraph" w:styleId="ListParagraph">
    <w:name w:val="List Paragraph"/>
    <w:basedOn w:val="Normal"/>
    <w:link w:val="ListParagraphChar"/>
    <w:uiPriority w:val="34"/>
    <w:qFormat/>
    <w:rsid w:val="00043CB7"/>
    <w:pPr>
      <w:numPr>
        <w:numId w:val="10"/>
      </w:numPr>
      <w:spacing w:after="240"/>
      <w:contextualSpacing/>
    </w:pPr>
  </w:style>
  <w:style w:type="paragraph" w:styleId="BodyText">
    <w:name w:val="Body Text"/>
    <w:basedOn w:val="Normal"/>
    <w:link w:val="BodyTextChar"/>
    <w:uiPriority w:val="1"/>
    <w:qFormat/>
    <w:rsid w:val="00A9049F"/>
    <w:pPr>
      <w:spacing w:after="120"/>
    </w:pPr>
  </w:style>
  <w:style w:type="character" w:customStyle="1" w:styleId="BodyTextChar">
    <w:name w:val="Body Text Char"/>
    <w:basedOn w:val="DefaultParagraphFont"/>
    <w:link w:val="BodyText"/>
    <w:uiPriority w:val="8"/>
    <w:rsid w:val="00A9049F"/>
    <w:rPr>
      <w:sz w:val="24"/>
      <w:szCs w:val="24"/>
    </w:rPr>
  </w:style>
  <w:style w:type="paragraph" w:styleId="ListNumber">
    <w:name w:val="List Number"/>
    <w:basedOn w:val="Normal"/>
    <w:uiPriority w:val="8"/>
    <w:rsid w:val="00C410E7"/>
    <w:pPr>
      <w:numPr>
        <w:numId w:val="2"/>
      </w:numPr>
      <w:contextualSpacing/>
    </w:pPr>
  </w:style>
  <w:style w:type="character" w:customStyle="1" w:styleId="Heading1Char">
    <w:name w:val="Heading 1 Char"/>
    <w:basedOn w:val="DefaultParagraphFont"/>
    <w:link w:val="Heading1"/>
    <w:uiPriority w:val="1"/>
    <w:rsid w:val="002C4A68"/>
    <w:rPr>
      <w:rFonts w:eastAsia="SimSun" w:cs="Arial"/>
      <w:b/>
      <w:bCs/>
      <w:smallCaps/>
      <w:kern w:val="28"/>
      <w:sz w:val="24"/>
      <w:szCs w:val="32"/>
    </w:rPr>
  </w:style>
  <w:style w:type="character" w:customStyle="1" w:styleId="FooterChar">
    <w:name w:val="Footer Char"/>
    <w:basedOn w:val="DefaultParagraphFont"/>
    <w:link w:val="Footer"/>
    <w:uiPriority w:val="99"/>
    <w:rsid w:val="002C4A68"/>
    <w:rPr>
      <w:sz w:val="24"/>
      <w:szCs w:val="24"/>
    </w:rPr>
  </w:style>
  <w:style w:type="paragraph" w:customStyle="1" w:styleId="Outline">
    <w:name w:val="Outline"/>
    <w:basedOn w:val="Normal"/>
    <w:rsid w:val="002C4A68"/>
    <w:pPr>
      <w:spacing w:before="240" w:line="240" w:lineRule="auto"/>
    </w:pPr>
    <w:rPr>
      <w:kern w:val="28"/>
      <w:szCs w:val="20"/>
    </w:rPr>
  </w:style>
  <w:style w:type="paragraph" w:styleId="TableofFigures">
    <w:name w:val="table of figures"/>
    <w:basedOn w:val="Normal"/>
    <w:next w:val="Normal"/>
    <w:uiPriority w:val="99"/>
    <w:rsid w:val="002C4A68"/>
    <w:pPr>
      <w:tabs>
        <w:tab w:val="right" w:leader="dot" w:pos="9000"/>
      </w:tabs>
    </w:pPr>
  </w:style>
  <w:style w:type="character" w:styleId="PageNumber">
    <w:name w:val="page number"/>
    <w:basedOn w:val="DefaultParagraphFont"/>
    <w:uiPriority w:val="8"/>
    <w:rsid w:val="002C4A68"/>
  </w:style>
  <w:style w:type="paragraph" w:styleId="BalloonText">
    <w:name w:val="Balloon Text"/>
    <w:basedOn w:val="Normal"/>
    <w:link w:val="BalloonTextChar"/>
    <w:uiPriority w:val="8"/>
    <w:rsid w:val="002C4A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8"/>
    <w:rsid w:val="002C4A68"/>
    <w:rPr>
      <w:rFonts w:ascii="Tahoma" w:eastAsia="SimSun" w:hAnsi="Tahoma" w:cs="Tahoma"/>
      <w:sz w:val="16"/>
      <w:szCs w:val="16"/>
    </w:rPr>
  </w:style>
  <w:style w:type="character" w:customStyle="1" w:styleId="FootnoteTextChar2">
    <w:name w:val="Footnote Text Char2"/>
    <w:aliases w:val="fn Char,single space Char,FOOTNOTES Char,Footnote Text Char Char Char Char Char Char Char,Footnote Text Char Char1,Footnote Text Char1 Char,Footnote Text Char Char Char,Footnote Char,Fußnote Char,Testo_note Char,Testo_note1 Char"/>
    <w:basedOn w:val="DefaultParagraphFont"/>
    <w:link w:val="FootnoteText"/>
    <w:uiPriority w:val="8"/>
    <w:locked/>
    <w:rsid w:val="002C4A68"/>
    <w:rPr>
      <w:rFonts w:eastAsia="SimSun"/>
    </w:rPr>
  </w:style>
  <w:style w:type="paragraph" w:styleId="Caption">
    <w:name w:val="caption"/>
    <w:basedOn w:val="Normal"/>
    <w:next w:val="Normal"/>
    <w:uiPriority w:val="35"/>
    <w:qFormat/>
    <w:rsid w:val="002C4A68"/>
    <w:rPr>
      <w:b/>
      <w:bCs/>
      <w:sz w:val="20"/>
      <w:szCs w:val="20"/>
    </w:rPr>
  </w:style>
  <w:style w:type="character" w:customStyle="1" w:styleId="ParagraphNumberingChar">
    <w:name w:val="Paragraph Numbering Char"/>
    <w:basedOn w:val="DefaultParagraphFont"/>
    <w:link w:val="ParagraphNumbering"/>
    <w:uiPriority w:val="1"/>
    <w:locked/>
    <w:rsid w:val="00522C15"/>
    <w:rPr>
      <w:rFonts w:eastAsia="SimSun"/>
      <w:sz w:val="24"/>
      <w:szCs w:val="24"/>
    </w:rPr>
  </w:style>
  <w:style w:type="table" w:customStyle="1" w:styleId="LightShading1">
    <w:name w:val="Light Shading1"/>
    <w:basedOn w:val="TableNormal"/>
    <w:uiPriority w:val="60"/>
    <w:rsid w:val="00903C6F"/>
    <w:pPr>
      <w:spacing w:line="240" w:lineRule="auto"/>
    </w:pPr>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8"/>
    <w:unhideWhenUsed/>
    <w:rsid w:val="007271DA"/>
    <w:rPr>
      <w:sz w:val="16"/>
      <w:szCs w:val="16"/>
    </w:rPr>
  </w:style>
  <w:style w:type="paragraph" w:styleId="CommentText">
    <w:name w:val="annotation text"/>
    <w:basedOn w:val="Normal"/>
    <w:link w:val="CommentTextChar"/>
    <w:uiPriority w:val="99"/>
    <w:unhideWhenUsed/>
    <w:rsid w:val="007271DA"/>
    <w:pPr>
      <w:spacing w:after="200" w:line="240" w:lineRule="auto"/>
    </w:pPr>
    <w:rPr>
      <w:rFonts w:asciiTheme="minorHAnsi" w:eastAsiaTheme="minorHAnsi" w:hAnsiTheme="minorHAnsi" w:cstheme="minorBidi"/>
      <w:noProof/>
      <w:sz w:val="20"/>
      <w:szCs w:val="20"/>
    </w:rPr>
  </w:style>
  <w:style w:type="character" w:customStyle="1" w:styleId="CommentTextChar">
    <w:name w:val="Comment Text Char"/>
    <w:basedOn w:val="DefaultParagraphFont"/>
    <w:link w:val="CommentText"/>
    <w:uiPriority w:val="99"/>
    <w:rsid w:val="007271DA"/>
    <w:rPr>
      <w:rFonts w:asciiTheme="minorHAnsi" w:hAnsiTheme="minorHAnsi" w:cstheme="minorBidi"/>
      <w:noProof/>
    </w:rPr>
  </w:style>
  <w:style w:type="table" w:styleId="TableGrid">
    <w:name w:val="Table Grid"/>
    <w:basedOn w:val="TableNormal"/>
    <w:rsid w:val="00BE56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237AE3"/>
    <w:rPr>
      <w:b/>
      <w:bCs/>
      <w:i/>
      <w:iCs/>
      <w:color w:val="4F81BD" w:themeColor="accent1"/>
    </w:rPr>
  </w:style>
  <w:style w:type="paragraph" w:styleId="CommentSubject">
    <w:name w:val="annotation subject"/>
    <w:basedOn w:val="CommentText"/>
    <w:next w:val="CommentText"/>
    <w:link w:val="CommentSubjectChar"/>
    <w:uiPriority w:val="8"/>
    <w:rsid w:val="00FE69DE"/>
    <w:pPr>
      <w:spacing w:after="0"/>
    </w:pPr>
    <w:rPr>
      <w:rFonts w:ascii="Times New Roman" w:eastAsia="SimSun" w:hAnsi="Times New Roman" w:cs="Times New Roman"/>
      <w:b/>
      <w:bCs/>
      <w:noProof w:val="0"/>
    </w:rPr>
  </w:style>
  <w:style w:type="character" w:customStyle="1" w:styleId="CommentSubjectChar">
    <w:name w:val="Comment Subject Char"/>
    <w:basedOn w:val="CommentTextChar"/>
    <w:link w:val="CommentSubject"/>
    <w:uiPriority w:val="8"/>
    <w:rsid w:val="00FE69DE"/>
    <w:rPr>
      <w:rFonts w:asciiTheme="minorHAnsi" w:eastAsia="SimSun" w:hAnsiTheme="minorHAnsi" w:cstheme="minorBidi"/>
      <w:b/>
      <w:bCs/>
      <w:noProof/>
    </w:rPr>
  </w:style>
  <w:style w:type="paragraph" w:customStyle="1" w:styleId="NoSpacing1">
    <w:name w:val="No Spacing1"/>
    <w:uiPriority w:val="1"/>
    <w:qFormat/>
    <w:rsid w:val="00BC76A3"/>
    <w:pPr>
      <w:spacing w:line="240" w:lineRule="auto"/>
    </w:pPr>
    <w:rPr>
      <w:rFonts w:ascii="Calibri" w:eastAsia="Calibri" w:hAnsi="Calibri"/>
      <w:sz w:val="22"/>
      <w:szCs w:val="22"/>
      <w:lang w:val="en-CA"/>
    </w:rPr>
  </w:style>
  <w:style w:type="paragraph" w:customStyle="1" w:styleId="BasicParagraph">
    <w:name w:val="[Basic Paragraph]"/>
    <w:basedOn w:val="Normal"/>
    <w:link w:val="BasicParagraphChar"/>
    <w:uiPriority w:val="99"/>
    <w:rsid w:val="003D0EF9"/>
    <w:pPr>
      <w:widowControl w:val="0"/>
      <w:autoSpaceDE w:val="0"/>
      <w:autoSpaceDN w:val="0"/>
      <w:adjustRightInd w:val="0"/>
      <w:spacing w:line="288" w:lineRule="auto"/>
      <w:jc w:val="both"/>
      <w:textAlignment w:val="center"/>
    </w:pPr>
    <w:rPr>
      <w:rFonts w:ascii="AGaramond-Regular" w:eastAsia="Calibri" w:hAnsi="AGaramond-Regular" w:cs="AGaramond-Regular"/>
      <w:color w:val="000000"/>
    </w:rPr>
  </w:style>
  <w:style w:type="character" w:customStyle="1" w:styleId="BasicParagraphChar">
    <w:name w:val="[Basic Paragraph] Char"/>
    <w:basedOn w:val="DefaultParagraphFont"/>
    <w:link w:val="BasicParagraph"/>
    <w:uiPriority w:val="99"/>
    <w:rsid w:val="003D0EF9"/>
    <w:rPr>
      <w:rFonts w:ascii="AGaramond-Regular" w:eastAsia="Calibri" w:hAnsi="AGaramond-Regular" w:cs="AGaramond-Regular"/>
      <w:color w:val="000000"/>
      <w:sz w:val="24"/>
      <w:szCs w:val="24"/>
    </w:rPr>
  </w:style>
  <w:style w:type="table" w:customStyle="1" w:styleId="TableGrid1">
    <w:name w:val="Table Grid1"/>
    <w:basedOn w:val="TableNormal"/>
    <w:next w:val="TableGrid"/>
    <w:uiPriority w:val="59"/>
    <w:rsid w:val="000610EC"/>
    <w:pPr>
      <w:spacing w:line="240" w:lineRule="auto"/>
    </w:pPr>
    <w:rPr>
      <w:rFonts w:ascii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043CB7"/>
    <w:rPr>
      <w:rFonts w:eastAsia="SimSun"/>
      <w:sz w:val="24"/>
      <w:szCs w:val="24"/>
    </w:rPr>
  </w:style>
  <w:style w:type="paragraph" w:customStyle="1" w:styleId="Default">
    <w:name w:val="Default"/>
    <w:rsid w:val="004351F6"/>
    <w:pPr>
      <w:autoSpaceDE w:val="0"/>
      <w:autoSpaceDN w:val="0"/>
      <w:adjustRightInd w:val="0"/>
      <w:spacing w:line="240" w:lineRule="auto"/>
    </w:pPr>
    <w:rPr>
      <w:rFonts w:ascii="New Baskerville" w:hAnsi="New Baskerville" w:cs="New Baskerville"/>
      <w:color w:val="000000"/>
      <w:sz w:val="24"/>
      <w:szCs w:val="24"/>
    </w:rPr>
  </w:style>
  <w:style w:type="character" w:customStyle="1" w:styleId="A0">
    <w:name w:val="A0"/>
    <w:uiPriority w:val="99"/>
    <w:rsid w:val="004351F6"/>
    <w:rPr>
      <w:rFonts w:cs="New Baskerville"/>
      <w:color w:val="000000"/>
      <w:sz w:val="16"/>
      <w:szCs w:val="16"/>
    </w:rPr>
  </w:style>
  <w:style w:type="character" w:customStyle="1" w:styleId="fronthighlights-text-h1">
    <w:name w:val="fronthighlights-text-h1"/>
    <w:basedOn w:val="DefaultParagraphFont"/>
    <w:rsid w:val="00267B28"/>
    <w:rPr>
      <w:rFonts w:ascii="Arial" w:hAnsi="Arial" w:cs="Arial" w:hint="default"/>
    </w:rPr>
  </w:style>
  <w:style w:type="table" w:customStyle="1" w:styleId="LightList-Accent12">
    <w:name w:val="Light List - Accent 12"/>
    <w:basedOn w:val="TableNormal"/>
    <w:uiPriority w:val="61"/>
    <w:rsid w:val="00D93A88"/>
    <w:pPr>
      <w:spacing w:line="240" w:lineRule="auto"/>
    </w:pPr>
    <w:rPr>
      <w:rFonts w:ascii="Calibri" w:eastAsia="Times New Roman" w:hAnsi="Calibr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CB007B"/>
    <w:pPr>
      <w:spacing w:before="100" w:beforeAutospacing="1" w:after="100" w:afterAutospacing="1" w:line="240" w:lineRule="auto"/>
    </w:pPr>
    <w:rPr>
      <w:rFonts w:eastAsiaTheme="minorEastAsia"/>
      <w:lang w:eastAsia="zh-CN"/>
    </w:rPr>
  </w:style>
  <w:style w:type="character" w:customStyle="1" w:styleId="Heading2Char">
    <w:name w:val="Heading 2 Char"/>
    <w:basedOn w:val="DefaultParagraphFont"/>
    <w:link w:val="Heading2"/>
    <w:uiPriority w:val="1"/>
    <w:locked/>
    <w:rsid w:val="008459DF"/>
    <w:rPr>
      <w:rFonts w:eastAsia="SimSun" w:cs="Arial"/>
      <w:b/>
      <w:bCs/>
      <w:iCs/>
      <w:sz w:val="24"/>
      <w:szCs w:val="28"/>
    </w:rPr>
  </w:style>
  <w:style w:type="character" w:customStyle="1" w:styleId="Heading3Char">
    <w:name w:val="Heading 3 Char"/>
    <w:basedOn w:val="DefaultParagraphFont"/>
    <w:link w:val="Heading3"/>
    <w:uiPriority w:val="5"/>
    <w:locked/>
    <w:rsid w:val="003F46E9"/>
    <w:rPr>
      <w:rFonts w:eastAsia="SimSun" w:cs="Arial"/>
      <w:b/>
      <w:bCs/>
      <w:sz w:val="24"/>
      <w:szCs w:val="26"/>
    </w:rPr>
  </w:style>
  <w:style w:type="paragraph" w:styleId="Revision">
    <w:name w:val="Revision"/>
    <w:hidden/>
    <w:uiPriority w:val="99"/>
    <w:semiHidden/>
    <w:rsid w:val="005D02B8"/>
    <w:pPr>
      <w:spacing w:line="240" w:lineRule="auto"/>
    </w:pPr>
    <w:rPr>
      <w:rFonts w:eastAsia="SimSun"/>
      <w:sz w:val="24"/>
      <w:szCs w:val="24"/>
    </w:rPr>
  </w:style>
  <w:style w:type="table" w:customStyle="1" w:styleId="TableGrid2">
    <w:name w:val="Table Grid2"/>
    <w:basedOn w:val="TableNormal"/>
    <w:next w:val="TableGrid"/>
    <w:uiPriority w:val="59"/>
    <w:rsid w:val="00350A5C"/>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qFormat/>
    <w:rsid w:val="006B74B8"/>
    <w:pPr>
      <w:spacing w:line="240" w:lineRule="auto"/>
      <w:jc w:val="both"/>
    </w:pPr>
    <w:rPr>
      <w:rFonts w:ascii="Times New Roman Bold" w:eastAsia="Times New Roman" w:hAnsi="Times New Roman Bold"/>
      <w:b/>
    </w:rPr>
  </w:style>
  <w:style w:type="character" w:styleId="Emphasis">
    <w:name w:val="Emphasis"/>
    <w:basedOn w:val="DefaultParagraphFont"/>
    <w:uiPriority w:val="20"/>
    <w:qFormat/>
    <w:rsid w:val="00ED049D"/>
    <w:rPr>
      <w:b/>
      <w:bCs/>
      <w:i w:val="0"/>
      <w:iCs w:val="0"/>
    </w:rPr>
  </w:style>
  <w:style w:type="character" w:customStyle="1" w:styleId="st">
    <w:name w:val="st"/>
    <w:basedOn w:val="DefaultParagraphFont"/>
    <w:rsid w:val="00ED049D"/>
  </w:style>
  <w:style w:type="character" w:styleId="Hyperlink">
    <w:name w:val="Hyperlink"/>
    <w:basedOn w:val="DefaultParagraphFont"/>
    <w:uiPriority w:val="99"/>
    <w:unhideWhenUsed/>
    <w:rsid w:val="003C3FBF"/>
    <w:rPr>
      <w:color w:val="0000FF" w:themeColor="hyperlink"/>
      <w:u w:val="single"/>
    </w:rPr>
  </w:style>
  <w:style w:type="paragraph" w:customStyle="1" w:styleId="BoxText">
    <w:name w:val="Box Text"/>
    <w:basedOn w:val="Normal"/>
    <w:uiPriority w:val="2"/>
    <w:qFormat/>
    <w:rsid w:val="00EA1C12"/>
    <w:pPr>
      <w:spacing w:after="240" w:line="240" w:lineRule="auto"/>
    </w:pPr>
    <w:rPr>
      <w:rFonts w:ascii="Segoe UI" w:eastAsia="MS Mincho" w:hAnsi="Segoe UI" w:cs="Segoe UI"/>
      <w:sz w:val="19"/>
    </w:rPr>
  </w:style>
  <w:style w:type="paragraph" w:customStyle="1" w:styleId="AnnexAppendixTitle">
    <w:name w:val="Annex/Appendix Title"/>
    <w:next w:val="Normal"/>
    <w:uiPriority w:val="5"/>
    <w:qFormat/>
    <w:rsid w:val="00161320"/>
    <w:pPr>
      <w:spacing w:after="240" w:line="400" w:lineRule="exact"/>
      <w:jc w:val="center"/>
    </w:pPr>
    <w:rPr>
      <w:rFonts w:ascii="Segoe UI" w:eastAsia="MS Mincho" w:hAnsi="Segoe UI"/>
      <w:b/>
      <w:color w:val="4B82AD"/>
      <w:sz w:val="32"/>
      <w:szCs w:val="24"/>
    </w:rPr>
  </w:style>
  <w:style w:type="paragraph" w:customStyle="1" w:styleId="SectionSummary">
    <w:name w:val="Section Summary"/>
    <w:basedOn w:val="Normal"/>
    <w:qFormat/>
    <w:rsid w:val="00161320"/>
    <w:pPr>
      <w:spacing w:after="240" w:line="300" w:lineRule="exact"/>
      <w:ind w:left="720" w:right="475"/>
    </w:pPr>
    <w:rPr>
      <w:rFonts w:ascii="Segoe UI" w:eastAsia="MS Mincho" w:hAnsi="Segoe UI"/>
      <w:i/>
      <w:sz w:val="21"/>
      <w:szCs w:val="20"/>
    </w:rPr>
  </w:style>
  <w:style w:type="paragraph" w:customStyle="1" w:styleId="BoxBullet">
    <w:name w:val="Box Bullet"/>
    <w:basedOn w:val="Normal"/>
    <w:uiPriority w:val="3"/>
    <w:qFormat/>
    <w:rsid w:val="00161320"/>
    <w:pPr>
      <w:numPr>
        <w:numId w:val="11"/>
      </w:numPr>
      <w:spacing w:after="240" w:line="240" w:lineRule="auto"/>
      <w:ind w:left="360" w:firstLine="0"/>
    </w:pPr>
    <w:rPr>
      <w:rFonts w:ascii="Segoe UI" w:eastAsia="MS Mincho" w:hAnsi="Segoe UI" w:cs="Segoe UI"/>
      <w:sz w:val="19"/>
      <w:szCs w:val="20"/>
    </w:rPr>
  </w:style>
  <w:style w:type="paragraph" w:styleId="EndnoteText">
    <w:name w:val="endnote text"/>
    <w:basedOn w:val="Normal"/>
    <w:link w:val="EndnoteTextChar"/>
    <w:uiPriority w:val="8"/>
    <w:rsid w:val="00161320"/>
    <w:pPr>
      <w:spacing w:after="120" w:line="300" w:lineRule="exact"/>
    </w:pPr>
    <w:rPr>
      <w:rFonts w:ascii="Segoe UI" w:eastAsia="MS Mincho" w:hAnsi="Segoe UI"/>
      <w:sz w:val="21"/>
      <w:szCs w:val="20"/>
    </w:rPr>
  </w:style>
  <w:style w:type="character" w:customStyle="1" w:styleId="EndnoteTextChar">
    <w:name w:val="Endnote Text Char"/>
    <w:basedOn w:val="DefaultParagraphFont"/>
    <w:link w:val="EndnoteText"/>
    <w:uiPriority w:val="8"/>
    <w:rsid w:val="00161320"/>
    <w:rPr>
      <w:rFonts w:ascii="Segoe UI" w:eastAsia="MS Mincho" w:hAnsi="Segoe UI"/>
      <w:sz w:val="21"/>
    </w:rPr>
  </w:style>
  <w:style w:type="paragraph" w:customStyle="1" w:styleId="SubTitle">
    <w:name w:val="Sub Title"/>
    <w:uiPriority w:val="8"/>
    <w:rsid w:val="00161320"/>
    <w:pPr>
      <w:spacing w:line="240" w:lineRule="auto"/>
      <w:ind w:left="720"/>
    </w:pPr>
    <w:rPr>
      <w:rFonts w:ascii="Segoe UI" w:eastAsia="MS Mincho" w:hAnsi="Segoe UI" w:cs="Segoe UI"/>
      <w:b/>
      <w:bCs/>
      <w:color w:val="808080" w:themeColor="background1" w:themeShade="80"/>
      <w:sz w:val="29"/>
      <w:szCs w:val="29"/>
      <w:lang w:eastAsia="ja-JP" w:bidi="ml-IN"/>
    </w:rPr>
  </w:style>
  <w:style w:type="paragraph" w:customStyle="1" w:styleId="KeyIssues">
    <w:name w:val="Key Issues"/>
    <w:uiPriority w:val="8"/>
    <w:rsid w:val="00161320"/>
    <w:pPr>
      <w:tabs>
        <w:tab w:val="left" w:pos="-1080"/>
        <w:tab w:val="left" w:pos="-360"/>
        <w:tab w:val="left" w:pos="270"/>
        <w:tab w:val="left" w:pos="450"/>
        <w:tab w:val="left" w:pos="9000"/>
      </w:tabs>
      <w:spacing w:before="120" w:after="120" w:line="240" w:lineRule="auto"/>
      <w:ind w:left="720"/>
    </w:pPr>
    <w:rPr>
      <w:rFonts w:ascii="Segoe UI" w:eastAsia="MS Mincho" w:hAnsi="Segoe UI" w:cs="Segoe UI"/>
      <w:b/>
      <w:color w:val="000000" w:themeColor="text1"/>
      <w:sz w:val="36"/>
      <w:szCs w:val="36"/>
    </w:rPr>
  </w:style>
  <w:style w:type="paragraph" w:customStyle="1" w:styleId="AnnAppParagraphNumbering">
    <w:name w:val="Ann/App Paragraph Numbering"/>
    <w:uiPriority w:val="6"/>
    <w:qFormat/>
    <w:rsid w:val="00161320"/>
    <w:pPr>
      <w:numPr>
        <w:numId w:val="12"/>
      </w:numPr>
      <w:spacing w:after="240"/>
      <w:ind w:left="0" w:firstLine="0"/>
    </w:pPr>
    <w:rPr>
      <w:rFonts w:ascii="Segoe UI" w:eastAsia="MS Mincho" w:hAnsi="Segoe UI" w:cs="Segoe UI"/>
      <w:sz w:val="21"/>
      <w:szCs w:val="24"/>
    </w:rPr>
  </w:style>
  <w:style w:type="paragraph" w:customStyle="1" w:styleId="AnnAppHeading1">
    <w:name w:val="Ann/App Heading 1"/>
    <w:uiPriority w:val="6"/>
    <w:qFormat/>
    <w:rsid w:val="00161320"/>
    <w:pPr>
      <w:spacing w:after="240" w:line="400" w:lineRule="exact"/>
    </w:pPr>
    <w:rPr>
      <w:rFonts w:ascii="Segoe UI" w:eastAsia="MS Mincho" w:hAnsi="Segoe UI"/>
      <w:b/>
      <w:sz w:val="28"/>
      <w:szCs w:val="24"/>
    </w:rPr>
  </w:style>
  <w:style w:type="paragraph" w:customStyle="1" w:styleId="AnnAppHeading2">
    <w:name w:val="Ann/App Heading 2"/>
    <w:next w:val="Normal"/>
    <w:uiPriority w:val="6"/>
    <w:qFormat/>
    <w:rsid w:val="00161320"/>
    <w:pPr>
      <w:numPr>
        <w:numId w:val="13"/>
      </w:numPr>
      <w:spacing w:after="240" w:line="400" w:lineRule="exact"/>
      <w:ind w:left="0" w:firstLine="0"/>
    </w:pPr>
    <w:rPr>
      <w:rFonts w:ascii="Segoe UI" w:eastAsia="MS Mincho" w:hAnsi="Segoe UI"/>
      <w:b/>
      <w:color w:val="4B82AD"/>
      <w:sz w:val="26"/>
      <w:szCs w:val="24"/>
    </w:rPr>
  </w:style>
  <w:style w:type="paragraph" w:customStyle="1" w:styleId="AnnAppListBullets">
    <w:name w:val="Ann/App List Bullets"/>
    <w:uiPriority w:val="7"/>
    <w:qFormat/>
    <w:rsid w:val="00161320"/>
    <w:pPr>
      <w:numPr>
        <w:numId w:val="14"/>
      </w:numPr>
      <w:ind w:left="360"/>
    </w:pPr>
    <w:rPr>
      <w:rFonts w:ascii="Segoe UI" w:eastAsia="MS Mincho" w:hAnsi="Segoe UI"/>
      <w:sz w:val="21"/>
      <w:szCs w:val="24"/>
    </w:rPr>
  </w:style>
  <w:style w:type="character" w:styleId="PlaceholderText">
    <w:name w:val="Placeholder Text"/>
    <w:basedOn w:val="DefaultParagraphFont"/>
    <w:uiPriority w:val="99"/>
    <w:semiHidden/>
    <w:rsid w:val="00161320"/>
    <w:rPr>
      <w:color w:val="808080"/>
    </w:rPr>
  </w:style>
  <w:style w:type="character" w:customStyle="1" w:styleId="ListBulletChar1">
    <w:name w:val="List Bullet Char1"/>
    <w:aliases w:val="List Bullet Char Char,List Bullet-Richard's Char,List Bullet Char1 Char Char Char,List Bullet Char Char Char Char Char,List Bullet Char Char1 Char,List Bullet Char1 Char Char1,List Bullet Char Char Char Char1,List Bullet  Char"/>
    <w:basedOn w:val="DefaultParagraphFont"/>
    <w:link w:val="ListBullet"/>
    <w:uiPriority w:val="1"/>
    <w:rsid w:val="00161320"/>
    <w:rPr>
      <w:rFonts w:eastAsia="SimSun"/>
      <w:sz w:val="24"/>
      <w:szCs w:val="24"/>
    </w:rPr>
  </w:style>
  <w:style w:type="paragraph" w:customStyle="1" w:styleId="TableParagraph">
    <w:name w:val="Table Paragraph"/>
    <w:basedOn w:val="Normal"/>
    <w:uiPriority w:val="1"/>
    <w:qFormat/>
    <w:rsid w:val="00161320"/>
    <w:pPr>
      <w:widowControl w:val="0"/>
      <w:spacing w:line="240" w:lineRule="auto"/>
    </w:pPr>
    <w:rPr>
      <w:rFonts w:asciiTheme="minorHAnsi" w:eastAsiaTheme="minorHAnsi" w:hAnsiTheme="minorHAnsi" w:cstheme="minorBidi"/>
      <w:sz w:val="22"/>
      <w:szCs w:val="22"/>
    </w:rPr>
  </w:style>
  <w:style w:type="paragraph" w:customStyle="1" w:styleId="TableText">
    <w:name w:val="TableText"/>
    <w:basedOn w:val="Normal"/>
    <w:rsid w:val="00161320"/>
    <w:pPr>
      <w:tabs>
        <w:tab w:val="num" w:pos="720"/>
      </w:tabs>
      <w:spacing w:before="60" w:after="60" w:line="240" w:lineRule="auto"/>
    </w:pPr>
    <w:rPr>
      <w:rFonts w:eastAsia="Calibri"/>
      <w:sz w:val="20"/>
      <w:szCs w:val="22"/>
    </w:rPr>
  </w:style>
  <w:style w:type="paragraph" w:customStyle="1" w:styleId="TableColumnHeading">
    <w:name w:val="TableColumnHeading"/>
    <w:basedOn w:val="Normal"/>
    <w:rsid w:val="00161320"/>
    <w:pPr>
      <w:keepNext/>
      <w:tabs>
        <w:tab w:val="num" w:pos="720"/>
      </w:tabs>
      <w:spacing w:before="120" w:after="120" w:line="240" w:lineRule="auto"/>
      <w:jc w:val="center"/>
    </w:pPr>
    <w:rPr>
      <w:rFonts w:eastAsia="Calibri"/>
      <w:b/>
      <w:sz w:val="20"/>
      <w:szCs w:val="22"/>
    </w:rPr>
  </w:style>
  <w:style w:type="character" w:customStyle="1" w:styleId="fnChar2">
    <w:name w:val="fn Char2"/>
    <w:aliases w:val="fn Char Char1,single space Char1,Footnote Text Char Char Char Char Char Char Char1,footnote text Char1,FOOTNOTES Char1,stile 1 Char1,Testo_note Char1,Testo_note1 Char1,Testo_note2 Char1,Footnote Text Char3 Char Char"/>
    <w:basedOn w:val="DefaultParagraphFont"/>
    <w:uiPriority w:val="8"/>
    <w:rsid w:val="00161320"/>
    <w:rPr>
      <w:rFonts w:ascii="Times New Roman" w:hAnsi="Times New Roman" w:cs="Times New Roman"/>
      <w:sz w:val="20"/>
      <w:szCs w:val="20"/>
    </w:rPr>
  </w:style>
  <w:style w:type="table" w:styleId="TableGrid8">
    <w:name w:val="Table Grid 8"/>
    <w:basedOn w:val="TableNormal"/>
    <w:rsid w:val="001613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3">
    <w:name w:val="Table Grid3"/>
    <w:basedOn w:val="TableNormal"/>
    <w:next w:val="TableGrid"/>
    <w:rsid w:val="00497AE8"/>
    <w:pPr>
      <w:spacing w:line="240" w:lineRule="auto"/>
    </w:pPr>
    <w:rPr>
      <w:rFonts w:eastAsia="MS Minch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207185">
      <w:bodyDiv w:val="1"/>
      <w:marLeft w:val="0"/>
      <w:marRight w:val="0"/>
      <w:marTop w:val="0"/>
      <w:marBottom w:val="0"/>
      <w:divBdr>
        <w:top w:val="none" w:sz="0" w:space="0" w:color="auto"/>
        <w:left w:val="none" w:sz="0" w:space="0" w:color="auto"/>
        <w:bottom w:val="none" w:sz="0" w:space="0" w:color="auto"/>
        <w:right w:val="none" w:sz="0" w:space="0" w:color="auto"/>
      </w:divBdr>
      <w:divsChild>
        <w:div w:id="938174198">
          <w:marLeft w:val="0"/>
          <w:marRight w:val="0"/>
          <w:marTop w:val="0"/>
          <w:marBottom w:val="0"/>
          <w:divBdr>
            <w:top w:val="none" w:sz="0" w:space="0" w:color="auto"/>
            <w:left w:val="none" w:sz="0" w:space="0" w:color="auto"/>
            <w:bottom w:val="none" w:sz="0" w:space="0" w:color="auto"/>
            <w:right w:val="none" w:sz="0" w:space="0" w:color="auto"/>
          </w:divBdr>
          <w:divsChild>
            <w:div w:id="311832080">
              <w:marLeft w:val="0"/>
              <w:marRight w:val="0"/>
              <w:marTop w:val="0"/>
              <w:marBottom w:val="0"/>
              <w:divBdr>
                <w:top w:val="none" w:sz="0" w:space="0" w:color="auto"/>
                <w:left w:val="none" w:sz="0" w:space="0" w:color="auto"/>
                <w:bottom w:val="none" w:sz="0" w:space="0" w:color="auto"/>
                <w:right w:val="none" w:sz="0" w:space="0" w:color="auto"/>
              </w:divBdr>
              <w:divsChild>
                <w:div w:id="171839152">
                  <w:marLeft w:val="0"/>
                  <w:marRight w:val="0"/>
                  <w:marTop w:val="0"/>
                  <w:marBottom w:val="0"/>
                  <w:divBdr>
                    <w:top w:val="none" w:sz="0" w:space="0" w:color="auto"/>
                    <w:left w:val="none" w:sz="0" w:space="0" w:color="auto"/>
                    <w:bottom w:val="none" w:sz="0" w:space="0" w:color="auto"/>
                    <w:right w:val="none" w:sz="0" w:space="0" w:color="auto"/>
                  </w:divBdr>
                  <w:divsChild>
                    <w:div w:id="2115319135">
                      <w:marLeft w:val="0"/>
                      <w:marRight w:val="0"/>
                      <w:marTop w:val="0"/>
                      <w:marBottom w:val="0"/>
                      <w:divBdr>
                        <w:top w:val="none" w:sz="0" w:space="0" w:color="auto"/>
                        <w:left w:val="none" w:sz="0" w:space="0" w:color="auto"/>
                        <w:bottom w:val="none" w:sz="0" w:space="0" w:color="auto"/>
                        <w:right w:val="none" w:sz="0" w:space="0" w:color="auto"/>
                      </w:divBdr>
                      <w:divsChild>
                        <w:div w:id="1233588285">
                          <w:marLeft w:val="0"/>
                          <w:marRight w:val="0"/>
                          <w:marTop w:val="0"/>
                          <w:marBottom w:val="0"/>
                          <w:divBdr>
                            <w:top w:val="none" w:sz="0" w:space="0" w:color="auto"/>
                            <w:left w:val="none" w:sz="0" w:space="0" w:color="auto"/>
                            <w:bottom w:val="none" w:sz="0" w:space="0" w:color="auto"/>
                            <w:right w:val="none" w:sz="0" w:space="0" w:color="auto"/>
                          </w:divBdr>
                          <w:divsChild>
                            <w:div w:id="1726903543">
                              <w:marLeft w:val="0"/>
                              <w:marRight w:val="0"/>
                              <w:marTop w:val="0"/>
                              <w:marBottom w:val="0"/>
                              <w:divBdr>
                                <w:top w:val="none" w:sz="0" w:space="0" w:color="auto"/>
                                <w:left w:val="none" w:sz="0" w:space="0" w:color="auto"/>
                                <w:bottom w:val="none" w:sz="0" w:space="0" w:color="auto"/>
                                <w:right w:val="none" w:sz="0" w:space="0" w:color="auto"/>
                              </w:divBdr>
                              <w:divsChild>
                                <w:div w:id="1254050767">
                                  <w:marLeft w:val="0"/>
                                  <w:marRight w:val="0"/>
                                  <w:marTop w:val="0"/>
                                  <w:marBottom w:val="0"/>
                                  <w:divBdr>
                                    <w:top w:val="none" w:sz="0" w:space="0" w:color="auto"/>
                                    <w:left w:val="none" w:sz="0" w:space="0" w:color="auto"/>
                                    <w:bottom w:val="none" w:sz="0" w:space="0" w:color="auto"/>
                                    <w:right w:val="none" w:sz="0" w:space="0" w:color="auto"/>
                                  </w:divBdr>
                                  <w:divsChild>
                                    <w:div w:id="1190528656">
                                      <w:marLeft w:val="0"/>
                                      <w:marRight w:val="0"/>
                                      <w:marTop w:val="0"/>
                                      <w:marBottom w:val="0"/>
                                      <w:divBdr>
                                        <w:top w:val="none" w:sz="0" w:space="0" w:color="auto"/>
                                        <w:left w:val="none" w:sz="0" w:space="0" w:color="auto"/>
                                        <w:bottom w:val="none" w:sz="0" w:space="0" w:color="auto"/>
                                        <w:right w:val="none" w:sz="0" w:space="0" w:color="auto"/>
                                      </w:divBdr>
                                      <w:divsChild>
                                        <w:div w:id="440951029">
                                          <w:marLeft w:val="0"/>
                                          <w:marRight w:val="0"/>
                                          <w:marTop w:val="0"/>
                                          <w:marBottom w:val="0"/>
                                          <w:divBdr>
                                            <w:top w:val="none" w:sz="0" w:space="0" w:color="auto"/>
                                            <w:left w:val="none" w:sz="0" w:space="0" w:color="auto"/>
                                            <w:bottom w:val="none" w:sz="0" w:space="0" w:color="auto"/>
                                            <w:right w:val="none" w:sz="0" w:space="0" w:color="auto"/>
                                          </w:divBdr>
                                          <w:divsChild>
                                            <w:div w:id="1100370253">
                                              <w:marLeft w:val="0"/>
                                              <w:marRight w:val="0"/>
                                              <w:marTop w:val="0"/>
                                              <w:marBottom w:val="0"/>
                                              <w:divBdr>
                                                <w:top w:val="none" w:sz="0" w:space="0" w:color="auto"/>
                                                <w:left w:val="none" w:sz="0" w:space="0" w:color="auto"/>
                                                <w:bottom w:val="none" w:sz="0" w:space="0" w:color="auto"/>
                                                <w:right w:val="none" w:sz="0" w:space="0" w:color="auto"/>
                                              </w:divBdr>
                                              <w:divsChild>
                                                <w:div w:id="1200586125">
                                                  <w:marLeft w:val="0"/>
                                                  <w:marRight w:val="0"/>
                                                  <w:marTop w:val="0"/>
                                                  <w:marBottom w:val="0"/>
                                                  <w:divBdr>
                                                    <w:top w:val="none" w:sz="0" w:space="0" w:color="auto"/>
                                                    <w:left w:val="none" w:sz="0" w:space="0" w:color="auto"/>
                                                    <w:bottom w:val="none" w:sz="0" w:space="0" w:color="auto"/>
                                                    <w:right w:val="none" w:sz="0" w:space="0" w:color="auto"/>
                                                  </w:divBdr>
                                                  <w:divsChild>
                                                    <w:div w:id="550578017">
                                                      <w:marLeft w:val="0"/>
                                                      <w:marRight w:val="0"/>
                                                      <w:marTop w:val="0"/>
                                                      <w:marBottom w:val="0"/>
                                                      <w:divBdr>
                                                        <w:top w:val="none" w:sz="0" w:space="0" w:color="auto"/>
                                                        <w:left w:val="none" w:sz="0" w:space="0" w:color="auto"/>
                                                        <w:bottom w:val="none" w:sz="0" w:space="0" w:color="auto"/>
                                                        <w:right w:val="none" w:sz="0" w:space="0" w:color="auto"/>
                                                      </w:divBdr>
                                                      <w:divsChild>
                                                        <w:div w:id="1301106971">
                                                          <w:marLeft w:val="0"/>
                                                          <w:marRight w:val="0"/>
                                                          <w:marTop w:val="0"/>
                                                          <w:marBottom w:val="0"/>
                                                          <w:divBdr>
                                                            <w:top w:val="none" w:sz="0" w:space="0" w:color="auto"/>
                                                            <w:left w:val="none" w:sz="0" w:space="0" w:color="auto"/>
                                                            <w:bottom w:val="none" w:sz="0" w:space="0" w:color="auto"/>
                                                            <w:right w:val="none" w:sz="0" w:space="0" w:color="auto"/>
                                                          </w:divBdr>
                                                          <w:divsChild>
                                                            <w:div w:id="1752119692">
                                                              <w:marLeft w:val="0"/>
                                                              <w:marRight w:val="0"/>
                                                              <w:marTop w:val="0"/>
                                                              <w:marBottom w:val="0"/>
                                                              <w:divBdr>
                                                                <w:top w:val="none" w:sz="0" w:space="0" w:color="auto"/>
                                                                <w:left w:val="none" w:sz="0" w:space="0" w:color="auto"/>
                                                                <w:bottom w:val="none" w:sz="0" w:space="0" w:color="auto"/>
                                                                <w:right w:val="none" w:sz="0" w:space="0" w:color="auto"/>
                                                              </w:divBdr>
                                                              <w:divsChild>
                                                                <w:div w:id="1856454366">
                                                                  <w:marLeft w:val="0"/>
                                                                  <w:marRight w:val="0"/>
                                                                  <w:marTop w:val="0"/>
                                                                  <w:marBottom w:val="0"/>
                                                                  <w:divBdr>
                                                                    <w:top w:val="none" w:sz="0" w:space="0" w:color="auto"/>
                                                                    <w:left w:val="none" w:sz="0" w:space="0" w:color="auto"/>
                                                                    <w:bottom w:val="none" w:sz="0" w:space="0" w:color="auto"/>
                                                                    <w:right w:val="none" w:sz="0" w:space="0" w:color="auto"/>
                                                                  </w:divBdr>
                                                                  <w:divsChild>
                                                                    <w:div w:id="81264793">
                                                                      <w:marLeft w:val="0"/>
                                                                      <w:marRight w:val="0"/>
                                                                      <w:marTop w:val="0"/>
                                                                      <w:marBottom w:val="0"/>
                                                                      <w:divBdr>
                                                                        <w:top w:val="none" w:sz="0" w:space="0" w:color="auto"/>
                                                                        <w:left w:val="none" w:sz="0" w:space="0" w:color="auto"/>
                                                                        <w:bottom w:val="none" w:sz="0" w:space="0" w:color="auto"/>
                                                                        <w:right w:val="none" w:sz="0" w:space="0" w:color="auto"/>
                                                                      </w:divBdr>
                                                                      <w:divsChild>
                                                                        <w:div w:id="738794311">
                                                                          <w:marLeft w:val="0"/>
                                                                          <w:marRight w:val="0"/>
                                                                          <w:marTop w:val="0"/>
                                                                          <w:marBottom w:val="0"/>
                                                                          <w:divBdr>
                                                                            <w:top w:val="none" w:sz="0" w:space="0" w:color="auto"/>
                                                                            <w:left w:val="none" w:sz="0" w:space="0" w:color="auto"/>
                                                                            <w:bottom w:val="none" w:sz="0" w:space="0" w:color="auto"/>
                                                                            <w:right w:val="none" w:sz="0" w:space="0" w:color="auto"/>
                                                                          </w:divBdr>
                                                                          <w:divsChild>
                                                                            <w:div w:id="670572260">
                                                                              <w:marLeft w:val="0"/>
                                                                              <w:marRight w:val="0"/>
                                                                              <w:marTop w:val="0"/>
                                                                              <w:marBottom w:val="0"/>
                                                                              <w:divBdr>
                                                                                <w:top w:val="none" w:sz="0" w:space="0" w:color="auto"/>
                                                                                <w:left w:val="none" w:sz="0" w:space="0" w:color="auto"/>
                                                                                <w:bottom w:val="none" w:sz="0" w:space="0" w:color="auto"/>
                                                                                <w:right w:val="none" w:sz="0" w:space="0" w:color="auto"/>
                                                                              </w:divBdr>
                                                                              <w:divsChild>
                                                                                <w:div w:id="675377988">
                                                                                  <w:marLeft w:val="0"/>
                                                                                  <w:marRight w:val="0"/>
                                                                                  <w:marTop w:val="0"/>
                                                                                  <w:marBottom w:val="0"/>
                                                                                  <w:divBdr>
                                                                                    <w:top w:val="none" w:sz="0" w:space="0" w:color="auto"/>
                                                                                    <w:left w:val="none" w:sz="0" w:space="0" w:color="auto"/>
                                                                                    <w:bottom w:val="none" w:sz="0" w:space="0" w:color="auto"/>
                                                                                    <w:right w:val="none" w:sz="0" w:space="0" w:color="auto"/>
                                                                                  </w:divBdr>
                                                                                  <w:divsChild>
                                                                                    <w:div w:id="425224404">
                                                                                      <w:marLeft w:val="0"/>
                                                                                      <w:marRight w:val="0"/>
                                                                                      <w:marTop w:val="0"/>
                                                                                      <w:marBottom w:val="0"/>
                                                                                      <w:divBdr>
                                                                                        <w:top w:val="single" w:sz="8"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057146">
      <w:bodyDiv w:val="1"/>
      <w:marLeft w:val="0"/>
      <w:marRight w:val="0"/>
      <w:marTop w:val="0"/>
      <w:marBottom w:val="0"/>
      <w:divBdr>
        <w:top w:val="none" w:sz="0" w:space="0" w:color="auto"/>
        <w:left w:val="none" w:sz="0" w:space="0" w:color="auto"/>
        <w:bottom w:val="none" w:sz="0" w:space="0" w:color="auto"/>
        <w:right w:val="none" w:sz="0" w:space="0" w:color="auto"/>
      </w:divBdr>
    </w:div>
    <w:div w:id="739257812">
      <w:bodyDiv w:val="1"/>
      <w:marLeft w:val="0"/>
      <w:marRight w:val="0"/>
      <w:marTop w:val="0"/>
      <w:marBottom w:val="0"/>
      <w:divBdr>
        <w:top w:val="none" w:sz="0" w:space="0" w:color="auto"/>
        <w:left w:val="none" w:sz="0" w:space="0" w:color="auto"/>
        <w:bottom w:val="none" w:sz="0" w:space="0" w:color="auto"/>
        <w:right w:val="none" w:sz="0" w:space="0" w:color="auto"/>
      </w:divBdr>
    </w:div>
    <w:div w:id="1110129096">
      <w:bodyDiv w:val="1"/>
      <w:marLeft w:val="0"/>
      <w:marRight w:val="0"/>
      <w:marTop w:val="0"/>
      <w:marBottom w:val="0"/>
      <w:divBdr>
        <w:top w:val="none" w:sz="0" w:space="0" w:color="auto"/>
        <w:left w:val="none" w:sz="0" w:space="0" w:color="auto"/>
        <w:bottom w:val="none" w:sz="0" w:space="0" w:color="auto"/>
        <w:right w:val="none" w:sz="0" w:space="0" w:color="auto"/>
      </w:divBdr>
    </w:div>
    <w:div w:id="1177623117">
      <w:bodyDiv w:val="1"/>
      <w:marLeft w:val="0"/>
      <w:marRight w:val="0"/>
      <w:marTop w:val="0"/>
      <w:marBottom w:val="0"/>
      <w:divBdr>
        <w:top w:val="none" w:sz="0" w:space="0" w:color="auto"/>
        <w:left w:val="none" w:sz="0" w:space="0" w:color="auto"/>
        <w:bottom w:val="none" w:sz="0" w:space="0" w:color="auto"/>
        <w:right w:val="none" w:sz="0" w:space="0" w:color="auto"/>
      </w:divBdr>
    </w:div>
    <w:div w:id="1184320959">
      <w:bodyDiv w:val="1"/>
      <w:marLeft w:val="0"/>
      <w:marRight w:val="0"/>
      <w:marTop w:val="0"/>
      <w:marBottom w:val="0"/>
      <w:divBdr>
        <w:top w:val="none" w:sz="0" w:space="0" w:color="auto"/>
        <w:left w:val="none" w:sz="0" w:space="0" w:color="auto"/>
        <w:bottom w:val="none" w:sz="0" w:space="0" w:color="auto"/>
        <w:right w:val="none" w:sz="0" w:space="0" w:color="auto"/>
      </w:divBdr>
    </w:div>
    <w:div w:id="1205169818">
      <w:marLeft w:val="0"/>
      <w:marRight w:val="0"/>
      <w:marTop w:val="0"/>
      <w:marBottom w:val="0"/>
      <w:divBdr>
        <w:top w:val="none" w:sz="0" w:space="0" w:color="auto"/>
        <w:left w:val="none" w:sz="0" w:space="0" w:color="auto"/>
        <w:bottom w:val="none" w:sz="0" w:space="0" w:color="auto"/>
        <w:right w:val="none" w:sz="0" w:space="0" w:color="auto"/>
      </w:divBdr>
      <w:divsChild>
        <w:div w:id="1105274598">
          <w:marLeft w:val="0"/>
          <w:marRight w:val="0"/>
          <w:marTop w:val="0"/>
          <w:marBottom w:val="0"/>
          <w:divBdr>
            <w:top w:val="single" w:sz="2" w:space="7" w:color="808080"/>
            <w:left w:val="single" w:sz="2" w:space="7" w:color="808080"/>
            <w:bottom w:val="single" w:sz="2" w:space="7" w:color="808080"/>
            <w:right w:val="single" w:sz="2" w:space="7" w:color="808080"/>
          </w:divBdr>
          <w:divsChild>
            <w:div w:id="1697459856">
              <w:marLeft w:val="0"/>
              <w:marRight w:val="0"/>
              <w:marTop w:val="0"/>
              <w:marBottom w:val="0"/>
              <w:divBdr>
                <w:top w:val="none" w:sz="0" w:space="0" w:color="auto"/>
                <w:left w:val="none" w:sz="0" w:space="0" w:color="auto"/>
                <w:bottom w:val="none" w:sz="0" w:space="0" w:color="auto"/>
                <w:right w:val="none" w:sz="0" w:space="0" w:color="auto"/>
              </w:divBdr>
            </w:div>
            <w:div w:id="1583677932">
              <w:marLeft w:val="0"/>
              <w:marRight w:val="0"/>
              <w:marTop w:val="0"/>
              <w:marBottom w:val="0"/>
              <w:divBdr>
                <w:top w:val="none" w:sz="0" w:space="0" w:color="auto"/>
                <w:left w:val="none" w:sz="0" w:space="0" w:color="auto"/>
                <w:bottom w:val="none" w:sz="0" w:space="0" w:color="auto"/>
                <w:right w:val="none" w:sz="0" w:space="0" w:color="auto"/>
              </w:divBdr>
            </w:div>
            <w:div w:id="1233735205">
              <w:marLeft w:val="0"/>
              <w:marRight w:val="0"/>
              <w:marTop w:val="0"/>
              <w:marBottom w:val="0"/>
              <w:divBdr>
                <w:top w:val="none" w:sz="0" w:space="0" w:color="auto"/>
                <w:left w:val="none" w:sz="0" w:space="0" w:color="auto"/>
                <w:bottom w:val="none" w:sz="0" w:space="0" w:color="auto"/>
                <w:right w:val="none" w:sz="0" w:space="0" w:color="auto"/>
              </w:divBdr>
            </w:div>
            <w:div w:id="333650699">
              <w:marLeft w:val="0"/>
              <w:marRight w:val="0"/>
              <w:marTop w:val="0"/>
              <w:marBottom w:val="0"/>
              <w:divBdr>
                <w:top w:val="none" w:sz="0" w:space="0" w:color="auto"/>
                <w:left w:val="none" w:sz="0" w:space="0" w:color="auto"/>
                <w:bottom w:val="none" w:sz="0" w:space="0" w:color="auto"/>
                <w:right w:val="none" w:sz="0" w:space="0" w:color="auto"/>
              </w:divBdr>
            </w:div>
            <w:div w:id="319624764">
              <w:marLeft w:val="0"/>
              <w:marRight w:val="0"/>
              <w:marTop w:val="0"/>
              <w:marBottom w:val="0"/>
              <w:divBdr>
                <w:top w:val="none" w:sz="0" w:space="0" w:color="auto"/>
                <w:left w:val="none" w:sz="0" w:space="0" w:color="auto"/>
                <w:bottom w:val="none" w:sz="0" w:space="0" w:color="auto"/>
                <w:right w:val="none" w:sz="0" w:space="0" w:color="auto"/>
              </w:divBdr>
            </w:div>
            <w:div w:id="345988227">
              <w:marLeft w:val="0"/>
              <w:marRight w:val="0"/>
              <w:marTop w:val="0"/>
              <w:marBottom w:val="0"/>
              <w:divBdr>
                <w:top w:val="none" w:sz="0" w:space="0" w:color="auto"/>
                <w:left w:val="none" w:sz="0" w:space="0" w:color="auto"/>
                <w:bottom w:val="none" w:sz="0" w:space="0" w:color="auto"/>
                <w:right w:val="none" w:sz="0" w:space="0" w:color="auto"/>
              </w:divBdr>
            </w:div>
            <w:div w:id="957952153">
              <w:marLeft w:val="0"/>
              <w:marRight w:val="0"/>
              <w:marTop w:val="0"/>
              <w:marBottom w:val="0"/>
              <w:divBdr>
                <w:top w:val="none" w:sz="0" w:space="0" w:color="auto"/>
                <w:left w:val="none" w:sz="0" w:space="0" w:color="auto"/>
                <w:bottom w:val="none" w:sz="0" w:space="0" w:color="auto"/>
                <w:right w:val="none" w:sz="0" w:space="0" w:color="auto"/>
              </w:divBdr>
            </w:div>
            <w:div w:id="2097168400">
              <w:marLeft w:val="0"/>
              <w:marRight w:val="0"/>
              <w:marTop w:val="0"/>
              <w:marBottom w:val="0"/>
              <w:divBdr>
                <w:top w:val="none" w:sz="0" w:space="0" w:color="auto"/>
                <w:left w:val="none" w:sz="0" w:space="0" w:color="auto"/>
                <w:bottom w:val="none" w:sz="0" w:space="0" w:color="auto"/>
                <w:right w:val="none" w:sz="0" w:space="0" w:color="auto"/>
              </w:divBdr>
            </w:div>
            <w:div w:id="84694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71036">
      <w:bodyDiv w:val="1"/>
      <w:marLeft w:val="0"/>
      <w:marRight w:val="0"/>
      <w:marTop w:val="0"/>
      <w:marBottom w:val="0"/>
      <w:divBdr>
        <w:top w:val="none" w:sz="0" w:space="0" w:color="auto"/>
        <w:left w:val="none" w:sz="0" w:space="0" w:color="auto"/>
        <w:bottom w:val="none" w:sz="0" w:space="0" w:color="auto"/>
        <w:right w:val="none" w:sz="0" w:space="0" w:color="auto"/>
      </w:divBdr>
    </w:div>
    <w:div w:id="1342515023">
      <w:bodyDiv w:val="1"/>
      <w:marLeft w:val="0"/>
      <w:marRight w:val="0"/>
      <w:marTop w:val="0"/>
      <w:marBottom w:val="0"/>
      <w:divBdr>
        <w:top w:val="none" w:sz="0" w:space="0" w:color="auto"/>
        <w:left w:val="none" w:sz="0" w:space="0" w:color="auto"/>
        <w:bottom w:val="none" w:sz="0" w:space="0" w:color="auto"/>
        <w:right w:val="none" w:sz="0" w:space="0" w:color="auto"/>
      </w:divBdr>
    </w:div>
    <w:div w:id="1620145061">
      <w:bodyDiv w:val="1"/>
      <w:marLeft w:val="0"/>
      <w:marRight w:val="0"/>
      <w:marTop w:val="0"/>
      <w:marBottom w:val="0"/>
      <w:divBdr>
        <w:top w:val="none" w:sz="0" w:space="0" w:color="auto"/>
        <w:left w:val="none" w:sz="0" w:space="0" w:color="auto"/>
        <w:bottom w:val="none" w:sz="0" w:space="0" w:color="auto"/>
        <w:right w:val="none" w:sz="0" w:space="0" w:color="auto"/>
      </w:divBdr>
    </w:div>
    <w:div w:id="1855653334">
      <w:bodyDiv w:val="1"/>
      <w:marLeft w:val="0"/>
      <w:marRight w:val="0"/>
      <w:marTop w:val="0"/>
      <w:marBottom w:val="0"/>
      <w:divBdr>
        <w:top w:val="none" w:sz="0" w:space="0" w:color="auto"/>
        <w:left w:val="none" w:sz="0" w:space="0" w:color="auto"/>
        <w:bottom w:val="none" w:sz="0" w:space="0" w:color="auto"/>
        <w:right w:val="none" w:sz="0" w:space="0" w:color="auto"/>
      </w:divBdr>
    </w:div>
    <w:div w:id="1980843645">
      <w:bodyDiv w:val="1"/>
      <w:marLeft w:val="0"/>
      <w:marRight w:val="0"/>
      <w:marTop w:val="0"/>
      <w:marBottom w:val="0"/>
      <w:divBdr>
        <w:top w:val="none" w:sz="0" w:space="0" w:color="auto"/>
        <w:left w:val="none" w:sz="0" w:space="0" w:color="auto"/>
        <w:bottom w:val="none" w:sz="0" w:space="0" w:color="auto"/>
        <w:right w:val="none" w:sz="0" w:space="0" w:color="auto"/>
      </w:divBdr>
    </w:div>
    <w:div w:id="203614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4.emf"/><Relationship Id="rId1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header" Target="header6.xml"/><Relationship Id="rId8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1.emf"/><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7" Type="http://schemas.openxmlformats.org/officeDocument/2006/relationships/settings" Target="settings.xml"/><Relationship Id="rId71" Type="http://schemas.openxmlformats.org/officeDocument/2006/relationships/image" Target="media/image54.emf"/><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s>
</file>

<file path=word/_rels/footnotes.xml.rels><?xml version="1.0" encoding="UTF-8" standalone="yes"?>
<Relationships xmlns="http://schemas.openxmlformats.org/package/2006/relationships"><Relationship Id="rId1" Type="http://schemas.openxmlformats.org/officeDocument/2006/relationships/hyperlink" Target="http://www.tcmb.gov.tr/wps/wcm/connect/TCMB+EN/TCMB+EN/Main+Menu/Announcements/Press+Releases/2015/CBRTRoadMap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dlc_DocId xmlns="abd7fad0-8e9a-4f24-82a0-e4a690a7a66d">ECENTER-17-754</_dlc_DocId>
    <_dlc_DocIdUrl xmlns="abd7fad0-8e9a-4f24-82a0-e4a690a7a66d">
      <Url>https://ispan.worldbank.org/sites/BOS/_layouts/15/DocIdRedir.aspx?ID=ECENTER-17-754</Url>
      <Description>ECENTER-17-754</Description>
    </_dlc_DocIdUrl>
    <DocumentDate xmlns="1e565efc-c76f-4e3a-ad62-733aa42cc28d">2017-01-31T05:00:00+00:00</DocumentDate>
    <unid xmlns="1e565efc-c76f-4e3a-ad62-733aa42cc28d">090224b0848fc76b</unid>
    <Volume_x0020_Title xmlns="1e565efc-c76f-4e3a-ad62-733aa42cc28d">Turkey - Financial Sector Assessment</Volume_x0020_Title>
    <Disclosure_x0020_Type xmlns="1e565efc-c76f-4e3a-ad62-733aa42cc28d" xsi:nil="true"/>
    <Unit_x0020_Owning_x0020_or_x0020_Responsible xmlns="1e565efc-c76f-4e3a-ad62-733aa42cc28d">GFM1A</Unit_x0020_Owning_x0020_or_x0020_Responsible>
    <RObjectID xmlns="1e565efc-c76f-4e3a-ad62-733aa42cc28d">090224b0848fc76b</RObjectID>
    <Document_x0020_Type xmlns="1e565efc-c76f-4e3a-ad62-733aa42cc28d">Board Report</Document_x0020_Type>
    <Bank_x0020_Group_x0020_Institution xmlns="1e565efc-c76f-4e3a-ad62-733aa42cc28d">IBRD</Bank_x0020_Group_x0020_Institution>
    <Project_x0020_ID xmlns="1e565efc-c76f-4e3a-ad62-733aa42cc28d">P157656</Project_x0020_ID>
    <Report_x0020_Number xmlns="1e565efc-c76f-4e3a-ad62-733aa42cc28d" xsi:nil="true"/>
    <Other_x0020_Meeting_x0020_Date xmlns="1e565efc-c76f-4e3a-ad62-733aa42cc28d" xsi:nil="true"/>
    <Version_x0020_Type xmlns="1e565efc-c76f-4e3a-ad62-733aa42cc28d">Final</Version_x0020_Type>
    <Board_x0020_Document_x0020_Number xmlns="1e565efc-c76f-4e3a-ad62-733aa42cc28d">SecM2017-0034</Board_x0020_Document_x0020_Number>
    <Disclosure_x0020_Date xmlns="1e565efc-c76f-4e3a-ad62-733aa42cc28d">2017-02-05T05:00:00+00:00</Disclosure_x0020_Date>
    <Board_x0020_Meeting_x0020_Type xmlns="1e565efc-c76f-4e3a-ad62-733aa42cc28d">Board Meeting</Board_x0020_Meeting_x0020_Type>
    <UpdateEntityID xmlns="1e565efc-c76f-4e3a-ad62-733aa42cc28d">cd4bbf53-9ce4-e611-949d-005056953af8</UpdateEntityID>
    <ImageBankURL xmlns="1e565efc-c76f-4e3a-ad62-733aa42cc28d">https://hubs.worldbank.org/docs/imagebank/Pages/docProfile.aspx?nodeid=27160204</ImageBankURL>
    <RejectedDate xmlns="1e565efc-c76f-4e3a-ad62-733aa42cc28d" xsi:nil="true"/>
    <Sec_x0020_Organization xmlns="1e565efc-c76f-4e3a-ad62-733aa42cc28d" xsi:nil="true"/>
    <ReportDate xmlns="1e565efc-c76f-4e3a-ad62-733aa42cc28d" xsi:nil="true"/>
    <IsRepublished xmlns="1e565efc-c76f-4e3a-ad62-733aa42cc28d">Yes</IsRepublished>
    <Country_x0020_Region xmlns="1e565efc-c76f-4e3a-ad62-733aa42cc28d">Turkey</Country_x0020_Region>
    <IsImageBankURLUpdated xmlns="1e565efc-c76f-4e3a-ad62-733aa42cc28d">Yes</IsImageBankURLUpdated>
    <UpdateEntityName xmlns="1e565efc-c76f-4e3a-ad62-733aa42cc28d">wbg_documentprofile</UpdateEntityName>
    <Disclosure_x0020_Status xmlns="1e565efc-c76f-4e3a-ad62-733aa42cc28d">Disclosed</Disclosure_x0020_Status>
    <Language xmlns="1e565efc-c76f-4e3a-ad62-733aa42cc28d">English</Language>
    <Board_x0020_Meeting_x0020_Date xmlns="1e565efc-c76f-4e3a-ad62-733aa42cc28d" xsi:nil="true"/>
    <Archive xmlns="1e565efc-c76f-4e3a-ad62-733aa42cc28d">true</Archive>
    <ArchivedDate xmlns="1e565efc-c76f-4e3a-ad62-733aa42cc28d">2017-02-03T13:05:11+00:00</ArchivedDate>
    <PublicClassificationDecidedby xmlns="1e565efc-c76f-4e3a-ad62-733aa42cc28d">Elena P. Mekhova</PublicClassificationDecidedby>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http://wbdocsservices.worldbank.org/services?I4_SERVICE=VC&amp;I4_DOCID=090224b0848fc76b</ServiceContentURL>
    <Closing_x0020_Date xmlns="1e565efc-c76f-4e3a-ad62-733aa42cc28d" xsi:nil="true"/>
    <Volume_x0020_No xmlns="1e565efc-c76f-4e3a-ad62-733aa42cc28d">1</Volume_x0020_No>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1" ma:contentTypeDescription="Create a new document." ma:contentTypeScope="" ma:versionID="75b4cdd1f18822cafd7605444111725a">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49c729e895b4e939852acae82af35e65"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4B78A-6F47-48B5-8411-3EFE2022F02B}"/>
</file>

<file path=customXml/itemProps2.xml><?xml version="1.0" encoding="utf-8"?>
<ds:datastoreItem xmlns:ds="http://schemas.openxmlformats.org/officeDocument/2006/customXml" ds:itemID="{C10254B0-0ABD-4126-AAE3-DD45AB2EA5B2}"/>
</file>

<file path=customXml/itemProps3.xml><?xml version="1.0" encoding="utf-8"?>
<ds:datastoreItem xmlns:ds="http://schemas.openxmlformats.org/officeDocument/2006/customXml" ds:itemID="{34486E50-4BFE-4B05-B44F-CAC882C86AAA}"/>
</file>

<file path=customXml/itemProps4.xml><?xml version="1.0" encoding="utf-8"?>
<ds:datastoreItem xmlns:ds="http://schemas.openxmlformats.org/officeDocument/2006/customXml" ds:itemID="{512EBB22-C5B5-4D45-8D05-53DD15AD152D}"/>
</file>

<file path=customXml/itemProps5.xml><?xml version="1.0" encoding="utf-8"?>
<ds:datastoreItem xmlns:ds="http://schemas.openxmlformats.org/officeDocument/2006/customXml" ds:itemID="{848465F6-2759-4428-9085-87D066BE1FC7}"/>
</file>

<file path=docProps/app.xml><?xml version="1.0" encoding="utf-8"?>
<Properties xmlns="http://schemas.openxmlformats.org/officeDocument/2006/extended-properties" xmlns:vt="http://schemas.openxmlformats.org/officeDocument/2006/docPropsVTypes">
  <Template>Normal.dotm</Template>
  <TotalTime>1</TotalTime>
  <Pages>20</Pages>
  <Words>11123</Words>
  <Characters>63405</Characters>
  <Application>Microsoft Office Word</Application>
  <DocSecurity>4</DocSecurity>
  <Lines>528</Lines>
  <Paragraphs>148</Paragraphs>
  <ScaleCrop>false</ScaleCrop>
  <HeadingPairs>
    <vt:vector size="2" baseType="variant">
      <vt:variant>
        <vt:lpstr>Title</vt:lpstr>
      </vt:variant>
      <vt:variant>
        <vt:i4>1</vt:i4>
      </vt:variant>
    </vt:vector>
  </HeadingPairs>
  <TitlesOfParts>
    <vt:vector size="1" baseType="lpstr">
      <vt:lpstr>Normal</vt:lpstr>
    </vt:vector>
  </TitlesOfParts>
  <Company>International Monetary Fund</Company>
  <LinksUpToDate>false</LinksUpToDate>
  <CharactersWithSpaces>74380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Turkey - Financial Sector Assessment</dc:title>
  <dc:creator>Tanis MacLaren</dc:creator>
  <cp:keywords>IMF</cp:keywords>
  <cp:lastModifiedBy>Elena P. Mekhova</cp:lastModifiedBy>
  <cp:revision>2</cp:revision>
  <cp:lastPrinted>2013-01-30T18:23:00Z</cp:lastPrinted>
  <dcterms:created xsi:type="dcterms:W3CDTF">2017-01-26T14:00:00Z</dcterms:created>
  <dcterms:modified xsi:type="dcterms:W3CDTF">2017-01-26T14:00:00Z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0x0101008B7ED80168BFC54D8B2E9A470A96603D</vt:lpwstr>
  </property>
  <property fmtid="{D5CDD505-2E9C-101B-9397-08002B2CF9AE}" pid="4" name="_dlc_DocIdItemGuid">
    <vt:lpwstr>80639dbf-5416-4587-b465-a6791730560a</vt:lpwstr>
  </property>
</Properties>
</file>