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Pr="00DB48A5" w:rsidRDefault="00283684">
      <w:pPr>
        <w:jc w:val="center"/>
        <w:rPr>
          <w:b/>
          <w:bCs/>
        </w:rPr>
      </w:pPr>
      <w:bookmarkStart w:id="0" w:name="_GoBack"/>
      <w:bookmarkEnd w:id="0"/>
      <w:r w:rsidRPr="00DB48A5">
        <w:rPr>
          <w:b/>
          <w:bCs/>
        </w:rPr>
        <w:t xml:space="preserve">PROGRAM </w:t>
      </w:r>
      <w:r w:rsidR="00A126FA" w:rsidRPr="00DB48A5">
        <w:rPr>
          <w:b/>
          <w:bCs/>
        </w:rPr>
        <w:t>INFORMATION DOCUMENT (PID)</w:t>
      </w:r>
    </w:p>
    <w:p w:rsidR="00A126FA" w:rsidRPr="00DB48A5" w:rsidRDefault="00A126FA">
      <w:pPr>
        <w:jc w:val="center"/>
        <w:rPr>
          <w:b/>
          <w:bCs/>
        </w:rPr>
      </w:pPr>
      <w:r w:rsidRPr="00DB48A5">
        <w:rPr>
          <w:b/>
          <w:bCs/>
        </w:rPr>
        <w:t>CONCEPT STAGE</w:t>
      </w:r>
    </w:p>
    <w:p w:rsidR="00283684" w:rsidRPr="00DB48A5" w:rsidRDefault="009D77C8" w:rsidP="00C67E15">
      <w:pPr>
        <w:jc w:val="right"/>
      </w:pPr>
      <w:r w:rsidRPr="00DB48A5">
        <w:t>March 20, 2014</w:t>
      </w:r>
    </w:p>
    <w:p w:rsidR="001D607D" w:rsidRPr="00DB48A5" w:rsidRDefault="001D607D" w:rsidP="001D607D">
      <w:pPr>
        <w:ind w:right="720"/>
        <w:jc w:val="right"/>
      </w:pPr>
      <w:r w:rsidRPr="00DB48A5">
        <w:t xml:space="preserve">Report No.:  </w:t>
      </w:r>
      <w:bookmarkStart w:id="1" w:name="ReportNo"/>
      <w:r w:rsidR="00985005" w:rsidRPr="00DB48A5">
        <w:t>AB7525</w:t>
      </w:r>
      <w:bookmarkEnd w:id="1"/>
    </w:p>
    <w:p w:rsidR="00C67E15" w:rsidRPr="00DB48A5" w:rsidRDefault="001D607D" w:rsidP="001D607D">
      <w:pPr>
        <w:jc w:val="right"/>
      </w:pPr>
      <w:r w:rsidRPr="00DB48A5">
        <w:rPr>
          <w:sz w:val="16"/>
          <w:szCs w:val="16"/>
        </w:rPr>
        <w:t xml:space="preserve"> </w:t>
      </w:r>
      <w:r w:rsidR="00C67E15" w:rsidRPr="00DB48A5">
        <w:rPr>
          <w:sz w:val="16"/>
          <w:szCs w:val="16"/>
        </w:rPr>
        <w:t>(The report # is automatically generated by IDU and should not be changed)</w:t>
      </w:r>
    </w:p>
    <w:p w:rsidR="00C67E15" w:rsidRPr="00DB48A5"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985005" w:rsidP="00E65BCB">
            <w:bookmarkStart w:id="2" w:name="PROJECTNAME"/>
            <w:r w:rsidRPr="00DB48A5">
              <w:t xml:space="preserve">TZ: Open Government </w:t>
            </w:r>
            <w:r w:rsidR="00E65BCB" w:rsidRPr="00DB48A5">
              <w:t xml:space="preserve">and Value for Money </w:t>
            </w:r>
            <w:r w:rsidRPr="00DB48A5">
              <w:t>Credit</w:t>
            </w:r>
            <w:bookmarkEnd w:id="2"/>
          </w:p>
        </w:tc>
      </w:tr>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985005" w:rsidP="009835DC">
            <w:bookmarkStart w:id="3" w:name="REGION"/>
            <w:r w:rsidRPr="00DB48A5">
              <w:t>AFRICA</w:t>
            </w:r>
            <w:bookmarkEnd w:id="3"/>
          </w:p>
        </w:tc>
      </w:tr>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985005" w:rsidP="009835DC">
            <w:bookmarkStart w:id="4" w:name="COUNTRY"/>
            <w:r w:rsidRPr="00DB48A5">
              <w:t>Tanzania</w:t>
            </w:r>
            <w:bookmarkEnd w:id="4"/>
          </w:p>
        </w:tc>
      </w:tr>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985005" w:rsidP="00701157">
            <w:bookmarkStart w:id="5" w:name="SECTOR"/>
            <w:r w:rsidRPr="00DB48A5">
              <w:t>Public administration- Information and communications (50%)</w:t>
            </w:r>
            <w:bookmarkEnd w:id="5"/>
            <w:r w:rsidR="00701157" w:rsidRPr="00DB48A5">
              <w:t>; Public Financial Management (50%)</w:t>
            </w:r>
          </w:p>
        </w:tc>
      </w:tr>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985005" w:rsidP="009835DC">
            <w:bookmarkStart w:id="6" w:name="PROJECTCODE"/>
            <w:r w:rsidRPr="00DB48A5">
              <w:t>P133798</w:t>
            </w:r>
            <w:bookmarkEnd w:id="6"/>
          </w:p>
        </w:tc>
      </w:tr>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985005" w:rsidP="009835DC">
            <w:bookmarkStart w:id="7" w:name="INSTR_NAME"/>
            <w:r w:rsidRPr="00DB48A5">
              <w:t>Development Policy Lending</w:t>
            </w:r>
            <w:bookmarkEnd w:id="7"/>
          </w:p>
        </w:tc>
      </w:tr>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985005" w:rsidP="009835DC">
            <w:bookmarkStart w:id="8" w:name="BORROWERNAME"/>
            <w:r w:rsidRPr="00DB48A5">
              <w:t>TANZANIA</w:t>
            </w:r>
            <w:bookmarkEnd w:id="8"/>
          </w:p>
        </w:tc>
      </w:tr>
      <w:tr w:rsidR="001D607D" w:rsidRPr="00DB48A5" w:rsidTr="009835DC">
        <w:trPr>
          <w:trHeight w:val="140"/>
        </w:trPr>
        <w:tc>
          <w:tcPr>
            <w:tcW w:w="3420" w:type="dxa"/>
            <w:tcBorders>
              <w:top w:val="single" w:sz="4" w:space="0" w:color="auto"/>
              <w:left w:val="single" w:sz="4" w:space="0" w:color="auto"/>
              <w:bottom w:val="nil"/>
              <w:right w:val="single" w:sz="4" w:space="0" w:color="auto"/>
            </w:tcBorders>
          </w:tcPr>
          <w:p w:rsidR="001D607D" w:rsidRPr="00DB48A5" w:rsidRDefault="001D607D" w:rsidP="009835DC">
            <w:pPr>
              <w:rPr>
                <w:b/>
                <w:bCs/>
              </w:rPr>
            </w:pPr>
            <w:r w:rsidRPr="00DB48A5">
              <w:rPr>
                <w:b/>
                <w:bCs/>
              </w:rPr>
              <w:t>Implementing Agency</w:t>
            </w:r>
          </w:p>
        </w:tc>
        <w:tc>
          <w:tcPr>
            <w:tcW w:w="6120" w:type="dxa"/>
            <w:tcBorders>
              <w:top w:val="single" w:sz="4" w:space="0" w:color="auto"/>
              <w:left w:val="single" w:sz="4" w:space="0" w:color="auto"/>
              <w:bottom w:val="nil"/>
              <w:right w:val="single" w:sz="4" w:space="0" w:color="auto"/>
            </w:tcBorders>
          </w:tcPr>
          <w:p w:rsidR="001D607D" w:rsidRPr="00DB48A5" w:rsidRDefault="00EC7B11" w:rsidP="009835DC">
            <w:bookmarkStart w:id="9" w:name="IMPLEMENTINGAGENCY"/>
            <w:bookmarkEnd w:id="9"/>
            <w:r w:rsidRPr="00DB48A5">
              <w:t>Government of Tanzania</w:t>
            </w:r>
          </w:p>
        </w:tc>
      </w:tr>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985005" w:rsidP="00701157">
            <w:bookmarkStart w:id="10" w:name="DATEPREPARED"/>
            <w:r w:rsidRPr="00DB48A5">
              <w:t xml:space="preserve">February </w:t>
            </w:r>
            <w:r w:rsidR="00701157" w:rsidRPr="00DB48A5">
              <w:t>25</w:t>
            </w:r>
            <w:r w:rsidRPr="00DB48A5">
              <w:t>, 2014</w:t>
            </w:r>
            <w:bookmarkEnd w:id="10"/>
          </w:p>
        </w:tc>
      </w:tr>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985005" w:rsidP="009835DC">
            <w:bookmarkStart w:id="11" w:name="APPRAISALDATE"/>
            <w:r w:rsidRPr="00DB48A5">
              <w:t>September 15, 2014</w:t>
            </w:r>
            <w:bookmarkEnd w:id="11"/>
          </w:p>
        </w:tc>
      </w:tr>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985005" w:rsidP="009835DC">
            <w:bookmarkStart w:id="12" w:name="BOARDAPPROVALDATE"/>
            <w:r w:rsidRPr="00DB48A5">
              <w:t>November 4, 2014</w:t>
            </w:r>
            <w:bookmarkEnd w:id="12"/>
          </w:p>
        </w:tc>
      </w:tr>
      <w:tr w:rsidR="001D607D" w:rsidRPr="00DB48A5" w:rsidTr="009835DC">
        <w:tc>
          <w:tcPr>
            <w:tcW w:w="34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b/>
                <w:bCs/>
              </w:rPr>
            </w:pPr>
            <w:r w:rsidRPr="00DB48A5">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B48A5" w:rsidRDefault="001D607D" w:rsidP="009835DC">
            <w:pPr>
              <w:rPr>
                <w:i/>
                <w:u w:val="single"/>
              </w:rPr>
            </w:pPr>
            <w:r w:rsidRPr="00DB48A5">
              <w:t>Following the corporate review, the decision was taken to proceed with the preparation of the operation.</w:t>
            </w:r>
            <w:r w:rsidRPr="00DB48A5">
              <w:rPr>
                <w:i/>
                <w:u w:val="single"/>
              </w:rPr>
              <w:t xml:space="preserve"> </w:t>
            </w:r>
          </w:p>
        </w:tc>
      </w:tr>
    </w:tbl>
    <w:p w:rsidR="00671A99" w:rsidRPr="00DB48A5" w:rsidRDefault="00671A99" w:rsidP="00A126FA"/>
    <w:p w:rsidR="00671A99" w:rsidRPr="00DB48A5" w:rsidRDefault="00671A99" w:rsidP="00671A99">
      <w:pPr>
        <w:numPr>
          <w:ilvl w:val="0"/>
          <w:numId w:val="24"/>
        </w:numPr>
        <w:rPr>
          <w:b/>
          <w:i/>
        </w:rPr>
      </w:pPr>
      <w:r w:rsidRPr="00DB48A5">
        <w:rPr>
          <w:b/>
          <w:sz w:val="23"/>
          <w:szCs w:val="23"/>
        </w:rPr>
        <w:t xml:space="preserve">Key development issues and rationale for Bank involvement </w:t>
      </w:r>
    </w:p>
    <w:p w:rsidR="00FE0435" w:rsidRPr="00DB48A5" w:rsidRDefault="00FE0435" w:rsidP="00FE0435">
      <w:pPr>
        <w:ind w:left="720"/>
        <w:jc w:val="both"/>
      </w:pPr>
      <w:r w:rsidRPr="00DB48A5">
        <w:t>The OGVM series supports Tanzania’s implementation of the Open Government Partnership</w:t>
      </w:r>
      <w:r w:rsidR="009A2A7B">
        <w:t xml:space="preserve"> </w:t>
      </w:r>
      <w:r w:rsidR="009A2A7B" w:rsidRPr="00DB48A5">
        <w:t xml:space="preserve">(OGP) </w:t>
      </w:r>
      <w:r w:rsidRPr="00DB48A5">
        <w:t xml:space="preserve">initiative and the Public Financial Management Reform Program to improve budget credibility and execution, with a focus on Basic Education, Rural Water and Basic Health sectors. </w:t>
      </w:r>
      <w:r w:rsidRPr="00DB48A5">
        <w:rPr>
          <w:rFonts w:eastAsia="MS Mincho"/>
        </w:rPr>
        <w:t xml:space="preserve">In an effort to </w:t>
      </w:r>
      <w:r w:rsidRPr="00DB48A5">
        <w:t xml:space="preserve">be more responsive to </w:t>
      </w:r>
      <w:r w:rsidR="009D77C8" w:rsidRPr="00DB48A5">
        <w:t>citizens’</w:t>
      </w:r>
      <w:r w:rsidRPr="00DB48A5">
        <w:t xml:space="preserve"> </w:t>
      </w:r>
      <w:r w:rsidR="00F508CC" w:rsidRPr="00DB48A5">
        <w:t>growing demand</w:t>
      </w:r>
      <w:r w:rsidRPr="00DB48A5">
        <w:t xml:space="preserve"> for public information and accountability</w:t>
      </w:r>
      <w:r w:rsidRPr="00DB48A5">
        <w:rPr>
          <w:rFonts w:eastAsia="MS Mincho"/>
        </w:rPr>
        <w:t xml:space="preserve">, Tanzania signed the </w:t>
      </w:r>
      <w:r w:rsidR="009A2A7B">
        <w:rPr>
          <w:rFonts w:eastAsia="MS Mincho"/>
        </w:rPr>
        <w:t>OGP</w:t>
      </w:r>
      <w:r w:rsidR="009D77C8" w:rsidRPr="00DB48A5">
        <w:rPr>
          <w:rFonts w:eastAsia="MS Mincho"/>
        </w:rPr>
        <w:t xml:space="preserve"> in 2011</w:t>
      </w:r>
      <w:r w:rsidRPr="00DB48A5">
        <w:rPr>
          <w:rFonts w:eastAsia="MS Mincho"/>
        </w:rPr>
        <w:t>, and has produced an action plan based on the recognition</w:t>
      </w:r>
      <w:r w:rsidRPr="00DB48A5">
        <w:t xml:space="preserve"> that </w:t>
      </w:r>
      <w:r w:rsidRPr="00DB48A5">
        <w:rPr>
          <w:rFonts w:eastAsiaTheme="minorEastAsia"/>
        </w:rPr>
        <w:t>w</w:t>
      </w:r>
      <w:r w:rsidRPr="00DB48A5">
        <w:t xml:space="preserve">ithout good data senior managers face difficulty in assessing the performance of Government in service delivery and </w:t>
      </w:r>
      <w:r w:rsidR="009D77C8" w:rsidRPr="00DB48A5">
        <w:t>in informing</w:t>
      </w:r>
      <w:r w:rsidRPr="00DB48A5">
        <w:t xml:space="preserve"> citizens adequately on achievements in implementing policies and programs. The program aims to make </w:t>
      </w:r>
      <w:r w:rsidRPr="00DB48A5">
        <w:rPr>
          <w:rFonts w:eastAsiaTheme="minorEastAsia"/>
        </w:rPr>
        <w:t>information about delivery performance of basic education, rural water</w:t>
      </w:r>
      <w:r w:rsidR="009D77C8" w:rsidRPr="00DB48A5">
        <w:rPr>
          <w:rFonts w:eastAsiaTheme="minorEastAsia"/>
        </w:rPr>
        <w:t>,</w:t>
      </w:r>
      <w:r w:rsidRPr="00DB48A5">
        <w:rPr>
          <w:rFonts w:eastAsiaTheme="minorEastAsia"/>
        </w:rPr>
        <w:t xml:space="preserve"> and basic health services reliable and accessible in order to </w:t>
      </w:r>
      <w:r w:rsidR="009D77C8" w:rsidRPr="00DB48A5">
        <w:rPr>
          <w:rFonts w:eastAsiaTheme="minorEastAsia"/>
        </w:rPr>
        <w:t xml:space="preserve">evaluate </w:t>
      </w:r>
      <w:r w:rsidRPr="00DB48A5">
        <w:rPr>
          <w:rFonts w:eastAsiaTheme="minorEastAsia"/>
        </w:rPr>
        <w:t>progress evaluation and performance of those public servants working along the service delivery chain.</w:t>
      </w:r>
      <w:r w:rsidRPr="00DB48A5">
        <w:t xml:space="preserve"> </w:t>
      </w:r>
      <w:r w:rsidR="00CA1059" w:rsidRPr="00DB48A5">
        <w:t>In 2013, Tanzania has also launched the fourth phase of the Public Financial Management Reform Program (PFMRP</w:t>
      </w:r>
      <w:r w:rsidR="00543157" w:rsidRPr="00DB48A5">
        <w:t>-</w:t>
      </w:r>
      <w:r w:rsidR="00CA1059" w:rsidRPr="00DB48A5">
        <w:t xml:space="preserve">IV) that aims to address PFM bottlenecks at the central as well as local government level to enhance an efficient allocation and use of public resources to provide better services. </w:t>
      </w:r>
    </w:p>
    <w:p w:rsidR="00915DAE" w:rsidRPr="008E0141" w:rsidRDefault="00915DAE" w:rsidP="00915DAE">
      <w:pPr>
        <w:rPr>
          <w:b/>
        </w:rPr>
      </w:pPr>
    </w:p>
    <w:p w:rsidR="003103C4" w:rsidRPr="008E0141" w:rsidRDefault="003103C4" w:rsidP="003103C4">
      <w:pPr>
        <w:numPr>
          <w:ilvl w:val="0"/>
          <w:numId w:val="24"/>
        </w:numPr>
        <w:rPr>
          <w:b/>
        </w:rPr>
      </w:pPr>
      <w:r w:rsidRPr="008E0141">
        <w:rPr>
          <w:b/>
        </w:rPr>
        <w:t>Proposed Objective(s)</w:t>
      </w:r>
      <w:r w:rsidR="00B3148A">
        <w:rPr>
          <w:b/>
        </w:rPr>
        <w:t xml:space="preserve"> </w:t>
      </w:r>
    </w:p>
    <w:p w:rsidR="00FF23CF" w:rsidRPr="008E0141" w:rsidRDefault="00FE0435" w:rsidP="00FE0435">
      <w:pPr>
        <w:pStyle w:val="CM1"/>
        <w:ind w:left="720"/>
        <w:jc w:val="both"/>
        <w:rPr>
          <w:i/>
        </w:rPr>
      </w:pPr>
      <w:r w:rsidRPr="009A2A7B">
        <w:t>The objective of the proposed program is to</w:t>
      </w:r>
      <w:r w:rsidR="00F508CC" w:rsidRPr="009A2A7B">
        <w:rPr>
          <w:color w:val="000000"/>
        </w:rPr>
        <w:t xml:space="preserve"> establish open data to increase access and use of service delivery information and improve budget credibility and execution</w:t>
      </w:r>
      <w:r w:rsidRPr="009A2A7B">
        <w:t xml:space="preserve">. The pillars are: </w:t>
      </w:r>
      <w:r w:rsidR="009A2A7B" w:rsidRPr="009A2A7B">
        <w:t>(</w:t>
      </w:r>
      <w:proofErr w:type="spellStart"/>
      <w:r w:rsidR="009A2A7B" w:rsidRPr="009A2A7B">
        <w:t>i</w:t>
      </w:r>
      <w:proofErr w:type="spellEnd"/>
      <w:r w:rsidR="009A2A7B" w:rsidRPr="009A2A7B">
        <w:t>)</w:t>
      </w:r>
      <w:r w:rsidRPr="009A2A7B">
        <w:t xml:space="preserve"> Support for Tanzania’s participation in the Open Government Partnership; and </w:t>
      </w:r>
      <w:r w:rsidR="009A2A7B" w:rsidRPr="009A2A7B">
        <w:t>(ii) E</w:t>
      </w:r>
      <w:r w:rsidRPr="009A2A7B">
        <w:t xml:space="preserve">nhance value for money in service delivery through financial management policy reforms. The result indicators of the series are aligned with the two policy areas. </w:t>
      </w:r>
    </w:p>
    <w:p w:rsidR="00A126FA" w:rsidRPr="00DB48A5" w:rsidRDefault="00A126FA" w:rsidP="00A126FA">
      <w:pPr>
        <w:rPr>
          <w:sz w:val="22"/>
          <w:szCs w:val="22"/>
        </w:rPr>
      </w:pPr>
    </w:p>
    <w:p w:rsidR="00A126FA" w:rsidRPr="00DB48A5" w:rsidRDefault="00A126FA" w:rsidP="00A126FA">
      <w:pPr>
        <w:numPr>
          <w:ilvl w:val="0"/>
          <w:numId w:val="24"/>
        </w:numPr>
        <w:rPr>
          <w:b/>
        </w:rPr>
      </w:pPr>
      <w:r w:rsidRPr="00DB48A5">
        <w:rPr>
          <w:b/>
        </w:rPr>
        <w:lastRenderedPageBreak/>
        <w:t>Preliminary Description</w:t>
      </w:r>
    </w:p>
    <w:p w:rsidR="00F41703" w:rsidRPr="00DB48A5" w:rsidRDefault="00E65BCB" w:rsidP="00896D4F">
      <w:pPr>
        <w:pStyle w:val="CM1"/>
        <w:ind w:left="720"/>
        <w:jc w:val="both"/>
      </w:pPr>
      <w:r w:rsidRPr="00DB48A5">
        <w:t xml:space="preserve">This operation </w:t>
      </w:r>
      <w:r w:rsidR="00B06FF9" w:rsidRPr="00DB48A5">
        <w:t xml:space="preserve">seeks to address cross-cutting and upstream constraints to service delivery, which if successful will complement sector reform programs currently being supported by the Bank and other development partners at </w:t>
      </w:r>
      <w:r w:rsidR="009D77C8" w:rsidRPr="00DB48A5">
        <w:t xml:space="preserve">the </w:t>
      </w:r>
      <w:r w:rsidR="00B06FF9" w:rsidRPr="00DB48A5">
        <w:t xml:space="preserve">central and district level. Improvements in </w:t>
      </w:r>
      <w:r w:rsidR="00896D4F" w:rsidRPr="00DB48A5">
        <w:t xml:space="preserve">data quality and flow of funds </w:t>
      </w:r>
      <w:r w:rsidR="00B06FF9" w:rsidRPr="00DB48A5">
        <w:t>will place Tanzania in a better position to achieve service delivery results in human welfare that are critical for the achievement of its Vision 2025.  The program is therefore organized around two main policy areas essential to enable transparency and value for money in service delivery: (</w:t>
      </w:r>
      <w:proofErr w:type="spellStart"/>
      <w:r w:rsidR="00B06FF9" w:rsidRPr="00DB48A5">
        <w:t>i</w:t>
      </w:r>
      <w:proofErr w:type="spellEnd"/>
      <w:r w:rsidR="00B06FF9" w:rsidRPr="00DB48A5">
        <w:t>) support to implement the country commitments to the Open Government Partnership in selected sectors of Education, Water</w:t>
      </w:r>
      <w:r w:rsidR="009D77C8" w:rsidRPr="00DB48A5">
        <w:t>,</w:t>
      </w:r>
      <w:r w:rsidR="00B06FF9" w:rsidRPr="00DB48A5">
        <w:t xml:space="preserve"> and Health; (ii) strengthening budget credibility and execution, including public investment management, procurement</w:t>
      </w:r>
      <w:r w:rsidR="009A2A7B">
        <w:t>,</w:t>
      </w:r>
      <w:r w:rsidR="00B06FF9" w:rsidRPr="00DB48A5">
        <w:t xml:space="preserve"> and cash management. </w:t>
      </w:r>
      <w:r w:rsidR="00896D4F" w:rsidRPr="00DB48A5">
        <w:t xml:space="preserve">The </w:t>
      </w:r>
      <w:r w:rsidR="0072349A" w:rsidRPr="00DB48A5">
        <w:t>list of proposed prior actions of this operation and triggers for the next operations are summarized in the Table below.</w:t>
      </w:r>
    </w:p>
    <w:p w:rsidR="0072349A" w:rsidRPr="00DB48A5" w:rsidRDefault="0072349A" w:rsidP="0072349A">
      <w:pPr>
        <w:pStyle w:val="Caption"/>
        <w:keepNext/>
        <w:rPr>
          <w:sz w:val="24"/>
        </w:rPr>
      </w:pPr>
      <w:bookmarkStart w:id="13" w:name="_Ref313383100"/>
      <w:bookmarkStart w:id="14" w:name="_Toc349152986"/>
    </w:p>
    <w:bookmarkEnd w:id="13"/>
    <w:bookmarkEnd w:id="14"/>
    <w:p w:rsidR="0072349A" w:rsidRPr="00DB48A5" w:rsidRDefault="0072349A" w:rsidP="0072349A">
      <w:pPr>
        <w:pStyle w:val="Caption"/>
        <w:keepNext/>
        <w:rPr>
          <w:sz w:val="24"/>
        </w:rPr>
      </w:pPr>
      <w:r w:rsidRPr="00DB48A5">
        <w:rPr>
          <w:sz w:val="24"/>
        </w:rPr>
        <w:t xml:space="preserve">Proposed Prior Actions and Triggers </w:t>
      </w:r>
    </w:p>
    <w:p w:rsidR="0072349A" w:rsidRPr="00DB48A5" w:rsidRDefault="0072349A" w:rsidP="0072349A">
      <w:pPr>
        <w:keepNext/>
        <w:rPr>
          <w:sz w:val="16"/>
        </w:rPr>
      </w:pPr>
    </w:p>
    <w:p w:rsidR="0072349A" w:rsidRPr="00DB48A5" w:rsidRDefault="0072349A" w:rsidP="0072349A">
      <w:pPr>
        <w:pStyle w:val="tabfignotes"/>
        <w:keepNext/>
      </w:pPr>
      <w:r w:rsidRPr="00DB48A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751"/>
        <w:gridCol w:w="2058"/>
        <w:gridCol w:w="1946"/>
        <w:gridCol w:w="1821"/>
      </w:tblGrid>
      <w:tr w:rsidR="00F508CC" w:rsidRPr="008E0141" w:rsidTr="00A07273">
        <w:trPr>
          <w:trHeight w:val="7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08CC" w:rsidRPr="008E0141" w:rsidRDefault="00F508CC" w:rsidP="009A2A7B">
            <w:pPr>
              <w:jc w:val="center"/>
              <w:rPr>
                <w:b/>
              </w:rPr>
            </w:pPr>
            <w:r w:rsidRPr="008E0141">
              <w:rPr>
                <w:b/>
              </w:rPr>
              <w:br w:type="page"/>
              <w:t>Medium-</w:t>
            </w:r>
            <w:r w:rsidR="009A2A7B">
              <w:rPr>
                <w:b/>
              </w:rPr>
              <w:t>T</w:t>
            </w:r>
            <w:r w:rsidRPr="008E0141">
              <w:rPr>
                <w:b/>
              </w:rPr>
              <w:t>erm Objectives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08CC" w:rsidRPr="008E0141" w:rsidRDefault="00F508CC" w:rsidP="00F45710">
            <w:pPr>
              <w:jc w:val="center"/>
              <w:rPr>
                <w:b/>
              </w:rPr>
            </w:pPr>
            <w:r w:rsidRPr="008E0141">
              <w:rPr>
                <w:b/>
              </w:rPr>
              <w:t>OGVM 1</w:t>
            </w:r>
          </w:p>
          <w:p w:rsidR="00F508CC" w:rsidRPr="008E0141" w:rsidRDefault="00F508CC" w:rsidP="00F45710">
            <w:pPr>
              <w:jc w:val="center"/>
              <w:rPr>
                <w:b/>
              </w:rPr>
            </w:pPr>
            <w:r w:rsidRPr="008E0141">
              <w:rPr>
                <w:b/>
              </w:rPr>
              <w:t>Prior Actions</w:t>
            </w:r>
          </w:p>
          <w:p w:rsidR="00F508CC" w:rsidRPr="008E0141" w:rsidRDefault="00F508CC" w:rsidP="00F45710">
            <w:pPr>
              <w:jc w:val="center"/>
              <w:rPr>
                <w:b/>
              </w:rPr>
            </w:pPr>
            <w:r w:rsidRPr="008E0141">
              <w:rPr>
                <w:b/>
              </w:rPr>
              <w:t>(Sept 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08CC" w:rsidRPr="008E0141" w:rsidRDefault="00F508CC" w:rsidP="00F45710">
            <w:pPr>
              <w:jc w:val="center"/>
              <w:rPr>
                <w:b/>
              </w:rPr>
            </w:pPr>
            <w:r w:rsidRPr="008E0141">
              <w:rPr>
                <w:b/>
              </w:rPr>
              <w:t>OGVM 2</w:t>
            </w:r>
          </w:p>
          <w:p w:rsidR="00F508CC" w:rsidRPr="008E0141" w:rsidRDefault="00F508CC" w:rsidP="00F45710">
            <w:pPr>
              <w:jc w:val="center"/>
              <w:rPr>
                <w:b/>
              </w:rPr>
            </w:pPr>
            <w:r w:rsidRPr="008E0141">
              <w:rPr>
                <w:b/>
              </w:rPr>
              <w:t>Triggers</w:t>
            </w:r>
          </w:p>
          <w:p w:rsidR="00F508CC" w:rsidRPr="008E0141" w:rsidRDefault="00F508CC" w:rsidP="00F45710">
            <w:pPr>
              <w:jc w:val="center"/>
              <w:rPr>
                <w:b/>
              </w:rPr>
            </w:pPr>
            <w:r w:rsidRPr="008E0141">
              <w:rPr>
                <w:b/>
              </w:rPr>
              <w:t>(Sept 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08CC" w:rsidRPr="008E0141" w:rsidRDefault="00F508CC" w:rsidP="00F45710">
            <w:pPr>
              <w:jc w:val="center"/>
              <w:rPr>
                <w:b/>
              </w:rPr>
            </w:pPr>
            <w:r w:rsidRPr="008E0141">
              <w:rPr>
                <w:b/>
              </w:rPr>
              <w:t>OGVM 3</w:t>
            </w:r>
          </w:p>
          <w:p w:rsidR="00F508CC" w:rsidRPr="008E0141" w:rsidRDefault="00F508CC" w:rsidP="00F45710">
            <w:pPr>
              <w:jc w:val="center"/>
              <w:rPr>
                <w:b/>
              </w:rPr>
            </w:pPr>
            <w:r w:rsidRPr="008E0141">
              <w:rPr>
                <w:b/>
              </w:rPr>
              <w:t xml:space="preserve">Indicative Triggers </w:t>
            </w:r>
          </w:p>
          <w:p w:rsidR="00F508CC" w:rsidRPr="008E0141" w:rsidRDefault="00F508CC" w:rsidP="00F45710">
            <w:pPr>
              <w:jc w:val="center"/>
              <w:rPr>
                <w:b/>
              </w:rPr>
            </w:pPr>
            <w:r w:rsidRPr="008E0141">
              <w:rPr>
                <w:b/>
              </w:rPr>
              <w:t>(Sept 2016)</w:t>
            </w:r>
          </w:p>
        </w:tc>
      </w:tr>
      <w:tr w:rsidR="0072349A" w:rsidRPr="008E0141" w:rsidTr="00A07273">
        <w:trPr>
          <w:trHeight w:val="288"/>
          <w:jc w:val="center"/>
        </w:trPr>
        <w:tc>
          <w:tcPr>
            <w:tcW w:w="0" w:type="auto"/>
            <w:gridSpan w:val="4"/>
            <w:tcBorders>
              <w:top w:val="single" w:sz="4" w:space="0" w:color="auto"/>
              <w:left w:val="single" w:sz="4" w:space="0" w:color="auto"/>
            </w:tcBorders>
            <w:shd w:val="clear" w:color="auto" w:fill="FFFFFF" w:themeFill="background1"/>
            <w:vAlign w:val="center"/>
          </w:tcPr>
          <w:p w:rsidR="0072349A" w:rsidRPr="008E0141" w:rsidRDefault="0058687F" w:rsidP="0072349A">
            <w:pPr>
              <w:pStyle w:val="ListParagraph"/>
              <w:numPr>
                <w:ilvl w:val="0"/>
                <w:numId w:val="30"/>
              </w:numPr>
            </w:pPr>
            <w:r w:rsidRPr="008E0141">
              <w:rPr>
                <w:b/>
              </w:rPr>
              <w:t>Open Government Partnership – Strengthen transparency, citizen participation, government decision making</w:t>
            </w:r>
            <w:r w:rsidR="009A2A7B">
              <w:rPr>
                <w:b/>
              </w:rPr>
              <w:t>,</w:t>
            </w:r>
            <w:r w:rsidRPr="008E0141">
              <w:rPr>
                <w:b/>
              </w:rPr>
              <w:t xml:space="preserve"> and accountability in service delivery</w:t>
            </w:r>
          </w:p>
        </w:tc>
      </w:tr>
      <w:tr w:rsidR="0058687F" w:rsidRPr="008E0141" w:rsidTr="00A07273">
        <w:trPr>
          <w:trHeight w:val="288"/>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58687F" w:rsidRPr="008E0141" w:rsidRDefault="0058687F" w:rsidP="0058687F">
            <w:pPr>
              <w:pStyle w:val="ListParagraph"/>
              <w:numPr>
                <w:ilvl w:val="0"/>
                <w:numId w:val="31"/>
              </w:numPr>
              <w:rPr>
                <w:b/>
              </w:rPr>
            </w:pPr>
            <w:r w:rsidRPr="008E0141">
              <w:rPr>
                <w:b/>
              </w:rPr>
              <w:t>Freedom of Information</w:t>
            </w:r>
          </w:p>
        </w:tc>
        <w:tc>
          <w:tcPr>
            <w:tcW w:w="0" w:type="auto"/>
            <w:tcBorders>
              <w:left w:val="single" w:sz="4" w:space="0" w:color="auto"/>
            </w:tcBorders>
            <w:shd w:val="clear" w:color="auto" w:fill="FFFFFF" w:themeFill="background1"/>
          </w:tcPr>
          <w:p w:rsidR="0058687F" w:rsidRPr="008E0141" w:rsidRDefault="0058687F" w:rsidP="00F45710">
            <w:r w:rsidRPr="008E0141">
              <w:t>Government tables in Parliament a Freedom of Information bill in line with the OGP action plan, following broad consultations with stakeholders including CSOs and media</w:t>
            </w:r>
            <w:r w:rsidR="009A2A7B">
              <w:t>.</w:t>
            </w:r>
            <w:r w:rsidRPr="008E0141">
              <w:t xml:space="preserve"> </w:t>
            </w:r>
          </w:p>
        </w:tc>
        <w:tc>
          <w:tcPr>
            <w:tcW w:w="0" w:type="auto"/>
            <w:shd w:val="clear" w:color="auto" w:fill="FFFFFF" w:themeFill="background1"/>
          </w:tcPr>
          <w:p w:rsidR="0058687F" w:rsidRPr="008E0141" w:rsidRDefault="0058687F" w:rsidP="00F45710">
            <w:r w:rsidRPr="008E0141">
              <w:t>Government approves accompanying regulations for the Freedom of Information Act</w:t>
            </w:r>
            <w:r w:rsidR="009A2A7B">
              <w:t>.</w:t>
            </w:r>
            <w:r w:rsidRPr="008E0141">
              <w:t xml:space="preserve"> </w:t>
            </w:r>
          </w:p>
          <w:p w:rsidR="0058687F" w:rsidRPr="008E0141" w:rsidRDefault="0058687F" w:rsidP="00F45710"/>
        </w:tc>
        <w:tc>
          <w:tcPr>
            <w:tcW w:w="0" w:type="auto"/>
            <w:shd w:val="clear" w:color="auto" w:fill="FFFFFF" w:themeFill="background1"/>
          </w:tcPr>
          <w:p w:rsidR="0058687F" w:rsidRPr="008E0141" w:rsidRDefault="0058687F" w:rsidP="00F45710">
            <w:r w:rsidRPr="008E0141">
              <w:t>Government establishes and implements a mechanism for monitoring Freedom of Information requests</w:t>
            </w:r>
            <w:r w:rsidR="009A2A7B">
              <w:t>.</w:t>
            </w:r>
          </w:p>
        </w:tc>
      </w:tr>
      <w:tr w:rsidR="001E13F4" w:rsidRPr="008E0141" w:rsidTr="00DB48A5">
        <w:trPr>
          <w:trHeight w:val="586"/>
          <w:jc w:val="center"/>
        </w:trPr>
        <w:tc>
          <w:tcPr>
            <w:tcW w:w="3557" w:type="dxa"/>
            <w:tcBorders>
              <w:top w:val="nil"/>
              <w:left w:val="single" w:sz="4" w:space="0" w:color="auto"/>
              <w:bottom w:val="nil"/>
              <w:right w:val="single" w:sz="4" w:space="0" w:color="auto"/>
            </w:tcBorders>
            <w:shd w:val="clear" w:color="auto" w:fill="FFFFFF" w:themeFill="background1"/>
          </w:tcPr>
          <w:p w:rsidR="001E13F4" w:rsidRPr="008E0141" w:rsidRDefault="001E13F4" w:rsidP="001E13F4"/>
          <w:p w:rsidR="001E13F4" w:rsidRPr="008E0141" w:rsidRDefault="001E13F4" w:rsidP="001E13F4"/>
          <w:p w:rsidR="001E13F4" w:rsidRPr="008E0141" w:rsidRDefault="001E13F4" w:rsidP="001E13F4"/>
          <w:p w:rsidR="001E13F4" w:rsidRPr="008E0141" w:rsidRDefault="001E13F4" w:rsidP="001E13F4"/>
          <w:p w:rsidR="001E13F4" w:rsidRPr="008E0141" w:rsidRDefault="001E13F4" w:rsidP="001E13F4"/>
          <w:p w:rsidR="0058687F" w:rsidRPr="008E0141" w:rsidRDefault="0058687F" w:rsidP="0058687F">
            <w:pPr>
              <w:pStyle w:val="ListParagraph"/>
              <w:numPr>
                <w:ilvl w:val="0"/>
                <w:numId w:val="31"/>
              </w:numPr>
            </w:pPr>
            <w:r w:rsidRPr="008E0141">
              <w:rPr>
                <w:b/>
              </w:rPr>
              <w:t xml:space="preserve">Open Data on Government Budget and Sector Performance </w:t>
            </w:r>
          </w:p>
        </w:tc>
        <w:tc>
          <w:tcPr>
            <w:tcW w:w="2217" w:type="dxa"/>
            <w:tcBorders>
              <w:left w:val="single" w:sz="4" w:space="0" w:color="auto"/>
            </w:tcBorders>
            <w:shd w:val="clear" w:color="auto" w:fill="FFFFFF" w:themeFill="background1"/>
          </w:tcPr>
          <w:p w:rsidR="0058687F" w:rsidRPr="008E0141" w:rsidRDefault="0058687F" w:rsidP="00F45710">
            <w:r w:rsidRPr="008E0141">
              <w:t>Government issues instructions to establish an inter-agency working group to set policies, adv</w:t>
            </w:r>
            <w:r w:rsidR="001E13F4" w:rsidRPr="008E0141">
              <w:t>ise on standards</w:t>
            </w:r>
            <w:r w:rsidR="009A2A7B">
              <w:t>,</w:t>
            </w:r>
            <w:r w:rsidR="001E13F4" w:rsidRPr="008E0141">
              <w:t xml:space="preserve"> and coordinate </w:t>
            </w:r>
            <w:r w:rsidRPr="008E0141">
              <w:t>implemen</w:t>
            </w:r>
            <w:r w:rsidR="008E0141" w:rsidRPr="008E0141">
              <w:t xml:space="preserve">tation of open data across MDAs and </w:t>
            </w:r>
            <w:r w:rsidRPr="008E0141">
              <w:t>LGAs</w:t>
            </w:r>
            <w:r w:rsidR="009A2A7B">
              <w:t>.</w:t>
            </w:r>
          </w:p>
          <w:p w:rsidR="001E13F4" w:rsidRPr="008E0141" w:rsidRDefault="001E13F4" w:rsidP="00F45710"/>
          <w:p w:rsidR="0058687F" w:rsidRPr="008E0141" w:rsidRDefault="009A2A7B" w:rsidP="00F45710">
            <w:r w:rsidRPr="008E0141">
              <w:t>Government issues</w:t>
            </w:r>
            <w:r w:rsidR="0058687F" w:rsidRPr="008E0141">
              <w:t xml:space="preserve"> </w:t>
            </w:r>
            <w:proofErr w:type="gramStart"/>
            <w:r w:rsidR="0058687F" w:rsidRPr="008E0141">
              <w:lastRenderedPageBreak/>
              <w:t>a circular providing interim guidelines</w:t>
            </w:r>
            <w:proofErr w:type="gramEnd"/>
            <w:r w:rsidR="0058687F" w:rsidRPr="008E0141">
              <w:t xml:space="preserve"> on sharing of open data to enable ministries of Education, Water, Health, Finance and the National Bureau of Statistics to publish data sets that are of high value to </w:t>
            </w:r>
            <w:r w:rsidRPr="008E0141">
              <w:t>citizens.</w:t>
            </w:r>
          </w:p>
        </w:tc>
        <w:tc>
          <w:tcPr>
            <w:tcW w:w="1967" w:type="dxa"/>
            <w:shd w:val="clear" w:color="auto" w:fill="FFFFFF" w:themeFill="background1"/>
          </w:tcPr>
          <w:p w:rsidR="0058687F" w:rsidRPr="008E0141" w:rsidRDefault="009A2A7B" w:rsidP="00F45710">
            <w:r w:rsidRPr="008E0141">
              <w:lastRenderedPageBreak/>
              <w:t>Government issues</w:t>
            </w:r>
            <w:r w:rsidR="0058687F" w:rsidRPr="008E0141">
              <w:t xml:space="preserve"> a policy on open data applicable to all public institutions following wide stakeholder consultations</w:t>
            </w:r>
            <w:r>
              <w:t>.</w:t>
            </w:r>
          </w:p>
          <w:p w:rsidR="0058687F" w:rsidRPr="008E0141" w:rsidRDefault="0058687F" w:rsidP="00F45710"/>
        </w:tc>
        <w:tc>
          <w:tcPr>
            <w:tcW w:w="1835" w:type="dxa"/>
            <w:shd w:val="clear" w:color="auto" w:fill="FFFFFF" w:themeFill="background1"/>
          </w:tcPr>
          <w:p w:rsidR="0058687F" w:rsidRPr="008E0141" w:rsidRDefault="0058687F" w:rsidP="00F45710">
            <w:r w:rsidRPr="008E0141">
              <w:t>Open Data inter-agency working group issues best practice notes on use of dashboards for establishing feedback loops with CSOs and LGA service boards t</w:t>
            </w:r>
            <w:r w:rsidR="009A2A7B">
              <w:t xml:space="preserve">o obtain evidence-based </w:t>
            </w:r>
            <w:r w:rsidR="009A2A7B">
              <w:lastRenderedPageBreak/>
              <w:t>citizen</w:t>
            </w:r>
            <w:r w:rsidRPr="008E0141">
              <w:t xml:space="preserve"> feedback on education, water and health</w:t>
            </w:r>
            <w:r w:rsidR="009A2A7B">
              <w:t>.</w:t>
            </w:r>
            <w:r w:rsidRPr="008E0141">
              <w:t xml:space="preserve"> </w:t>
            </w:r>
          </w:p>
        </w:tc>
      </w:tr>
      <w:tr w:rsidR="0058687F" w:rsidRPr="008E0141" w:rsidTr="00A07273">
        <w:trPr>
          <w:trHeight w:val="586"/>
          <w:jc w:val="center"/>
        </w:trPr>
        <w:tc>
          <w:tcPr>
            <w:tcW w:w="9576" w:type="dxa"/>
            <w:gridSpan w:val="4"/>
            <w:tcBorders>
              <w:top w:val="single" w:sz="4" w:space="0" w:color="auto"/>
              <w:left w:val="single" w:sz="4" w:space="0" w:color="auto"/>
              <w:bottom w:val="single" w:sz="4" w:space="0" w:color="auto"/>
            </w:tcBorders>
            <w:shd w:val="clear" w:color="auto" w:fill="auto"/>
          </w:tcPr>
          <w:p w:rsidR="0058687F" w:rsidRPr="008E0141" w:rsidRDefault="0058687F" w:rsidP="009A2A7B">
            <w:pPr>
              <w:pStyle w:val="ListParagraph"/>
              <w:numPr>
                <w:ilvl w:val="0"/>
                <w:numId w:val="30"/>
              </w:numPr>
            </w:pPr>
            <w:r w:rsidRPr="008E0141">
              <w:rPr>
                <w:b/>
              </w:rPr>
              <w:lastRenderedPageBreak/>
              <w:t xml:space="preserve">Value for Money - </w:t>
            </w:r>
            <w:r w:rsidR="009A2A7B">
              <w:rPr>
                <w:b/>
              </w:rPr>
              <w:t>S</w:t>
            </w:r>
            <w:r w:rsidRPr="008E0141">
              <w:rPr>
                <w:b/>
              </w:rPr>
              <w:t>trengthen budget credibility and execution, including public investment management, procurement, and cash management</w:t>
            </w:r>
          </w:p>
        </w:tc>
      </w:tr>
      <w:tr w:rsidR="0058687F" w:rsidRPr="008E0141" w:rsidTr="00A07273">
        <w:trPr>
          <w:trHeight w:val="720"/>
          <w:jc w:val="center"/>
        </w:trPr>
        <w:tc>
          <w:tcPr>
            <w:tcW w:w="0" w:type="auto"/>
            <w:shd w:val="clear" w:color="auto" w:fill="auto"/>
          </w:tcPr>
          <w:p w:rsidR="001E13F4" w:rsidRPr="008E0141" w:rsidRDefault="001E13F4" w:rsidP="001E13F4">
            <w:pPr>
              <w:pStyle w:val="ListParagraph"/>
              <w:ind w:left="1440"/>
            </w:pPr>
          </w:p>
          <w:p w:rsidR="001E13F4" w:rsidRPr="008E0141" w:rsidRDefault="001E13F4" w:rsidP="001E13F4">
            <w:pPr>
              <w:pStyle w:val="ListParagraph"/>
              <w:ind w:left="1440"/>
            </w:pPr>
          </w:p>
          <w:p w:rsidR="001E13F4" w:rsidRPr="008E0141" w:rsidRDefault="001E13F4" w:rsidP="001E13F4">
            <w:pPr>
              <w:pStyle w:val="ListParagraph"/>
              <w:ind w:left="1440"/>
            </w:pPr>
          </w:p>
          <w:p w:rsidR="001E13F4" w:rsidRPr="008E0141" w:rsidRDefault="001E13F4" w:rsidP="001E13F4">
            <w:pPr>
              <w:pStyle w:val="ListParagraph"/>
              <w:ind w:left="1440"/>
            </w:pPr>
          </w:p>
          <w:p w:rsidR="001E13F4" w:rsidRPr="008E0141" w:rsidRDefault="001E13F4" w:rsidP="001E13F4">
            <w:pPr>
              <w:pStyle w:val="ListParagraph"/>
              <w:ind w:left="1440"/>
            </w:pPr>
          </w:p>
          <w:p w:rsidR="0058687F" w:rsidRPr="008E0141" w:rsidRDefault="0058687F" w:rsidP="009A2A7B">
            <w:pPr>
              <w:pStyle w:val="ListParagraph"/>
              <w:numPr>
                <w:ilvl w:val="0"/>
                <w:numId w:val="33"/>
              </w:numPr>
            </w:pPr>
            <w:r w:rsidRPr="008E0141">
              <w:rPr>
                <w:b/>
              </w:rPr>
              <w:t xml:space="preserve">Public </w:t>
            </w:r>
            <w:r w:rsidR="009A2A7B">
              <w:rPr>
                <w:b/>
              </w:rPr>
              <w:t>I</w:t>
            </w:r>
            <w:r w:rsidRPr="008E0141">
              <w:rPr>
                <w:b/>
              </w:rPr>
              <w:t xml:space="preserve">nvestment </w:t>
            </w:r>
            <w:r w:rsidR="009A2A7B">
              <w:rPr>
                <w:b/>
              </w:rPr>
              <w:t>M</w:t>
            </w:r>
            <w:r w:rsidRPr="008E0141">
              <w:rPr>
                <w:b/>
              </w:rPr>
              <w:t>anagement</w:t>
            </w:r>
          </w:p>
        </w:tc>
        <w:tc>
          <w:tcPr>
            <w:tcW w:w="0" w:type="auto"/>
            <w:shd w:val="clear" w:color="auto" w:fill="auto"/>
          </w:tcPr>
          <w:p w:rsidR="0058687F" w:rsidRPr="008E0141" w:rsidRDefault="0058687F" w:rsidP="00F45710">
            <w:r w:rsidRPr="008E0141">
              <w:t>The Government issues instructions on the use of the PIM manual in preparation and sc</w:t>
            </w:r>
            <w:r w:rsidR="009A2A7B">
              <w:t>reening of investment projects.</w:t>
            </w:r>
          </w:p>
          <w:p w:rsidR="0058687F" w:rsidRPr="008E0141" w:rsidRDefault="0058687F" w:rsidP="00F45710"/>
        </w:tc>
        <w:tc>
          <w:tcPr>
            <w:tcW w:w="0" w:type="auto"/>
            <w:shd w:val="clear" w:color="auto" w:fill="auto"/>
          </w:tcPr>
          <w:p w:rsidR="0058687F" w:rsidRPr="008E0141" w:rsidRDefault="0058687F" w:rsidP="00F45710">
            <w:r w:rsidRPr="008E0141">
              <w:t>Government approves a pipeline of strategic investment projects screened using the PIM manual and discloses it in the budget documentation presented to Parliament</w:t>
            </w:r>
            <w:r w:rsidR="009A2A7B">
              <w:t>.</w:t>
            </w:r>
          </w:p>
        </w:tc>
        <w:tc>
          <w:tcPr>
            <w:tcW w:w="0" w:type="auto"/>
            <w:shd w:val="clear" w:color="auto" w:fill="auto"/>
          </w:tcPr>
          <w:p w:rsidR="0058687F" w:rsidRPr="008E0141" w:rsidRDefault="0058687F" w:rsidP="00F45710">
            <w:r w:rsidRPr="008E0141">
              <w:br/>
            </w:r>
          </w:p>
          <w:p w:rsidR="0058687F" w:rsidRPr="008E0141" w:rsidRDefault="0058687F" w:rsidP="00F45710">
            <w:pPr>
              <w:rPr>
                <w:b/>
              </w:rPr>
            </w:pPr>
          </w:p>
        </w:tc>
      </w:tr>
      <w:tr w:rsidR="0058687F" w:rsidRPr="008E0141" w:rsidTr="00A07273">
        <w:trPr>
          <w:trHeight w:val="288"/>
          <w:jc w:val="center"/>
        </w:trPr>
        <w:tc>
          <w:tcPr>
            <w:tcW w:w="0" w:type="auto"/>
            <w:tcBorders>
              <w:top w:val="single" w:sz="4" w:space="0" w:color="auto"/>
              <w:left w:val="single" w:sz="4" w:space="0" w:color="auto"/>
              <w:bottom w:val="nil"/>
              <w:right w:val="single" w:sz="4" w:space="0" w:color="auto"/>
            </w:tcBorders>
            <w:shd w:val="clear" w:color="auto" w:fill="FFFFFF" w:themeFill="background1"/>
          </w:tcPr>
          <w:p w:rsidR="001E13F4" w:rsidRPr="008E0141" w:rsidRDefault="001E13F4" w:rsidP="001E13F4">
            <w:pPr>
              <w:pStyle w:val="ListParagraph"/>
              <w:ind w:left="1440"/>
              <w:rPr>
                <w:b/>
              </w:rPr>
            </w:pPr>
          </w:p>
          <w:p w:rsidR="001E13F4" w:rsidRPr="008E0141" w:rsidRDefault="001E13F4" w:rsidP="001E13F4">
            <w:pPr>
              <w:pStyle w:val="ListParagraph"/>
              <w:ind w:left="1440"/>
              <w:rPr>
                <w:b/>
              </w:rPr>
            </w:pPr>
          </w:p>
          <w:p w:rsidR="001E13F4" w:rsidRPr="008E0141" w:rsidRDefault="001E13F4" w:rsidP="001E13F4">
            <w:pPr>
              <w:pStyle w:val="ListParagraph"/>
              <w:ind w:left="1440"/>
              <w:rPr>
                <w:b/>
              </w:rPr>
            </w:pPr>
          </w:p>
          <w:p w:rsidR="001E13F4" w:rsidRPr="008E0141" w:rsidRDefault="001E13F4" w:rsidP="001E13F4">
            <w:pPr>
              <w:pStyle w:val="ListParagraph"/>
              <w:ind w:left="1440"/>
              <w:rPr>
                <w:b/>
              </w:rPr>
            </w:pPr>
          </w:p>
          <w:p w:rsidR="001E13F4" w:rsidRPr="008E0141" w:rsidRDefault="001E13F4" w:rsidP="001E13F4">
            <w:pPr>
              <w:pStyle w:val="ListParagraph"/>
              <w:ind w:left="1440"/>
              <w:rPr>
                <w:b/>
              </w:rPr>
            </w:pPr>
          </w:p>
          <w:p w:rsidR="0058687F" w:rsidRPr="008E0141" w:rsidRDefault="0058687F" w:rsidP="0058687F">
            <w:pPr>
              <w:pStyle w:val="ListParagraph"/>
              <w:numPr>
                <w:ilvl w:val="0"/>
                <w:numId w:val="33"/>
              </w:numPr>
              <w:rPr>
                <w:b/>
              </w:rPr>
            </w:pPr>
            <w:r w:rsidRPr="008E0141">
              <w:rPr>
                <w:b/>
              </w:rPr>
              <w:t>Procurement</w:t>
            </w:r>
          </w:p>
        </w:tc>
        <w:tc>
          <w:tcPr>
            <w:tcW w:w="0" w:type="auto"/>
            <w:tcBorders>
              <w:left w:val="single" w:sz="4" w:space="0" w:color="auto"/>
            </w:tcBorders>
            <w:shd w:val="clear" w:color="auto" w:fill="FFFFFF" w:themeFill="background1"/>
          </w:tcPr>
          <w:p w:rsidR="0058687F" w:rsidRPr="008E0141" w:rsidRDefault="0058687F" w:rsidP="00F45710">
            <w:proofErr w:type="spellStart"/>
            <w:r w:rsidRPr="008E0141">
              <w:t>MoF</w:t>
            </w:r>
            <w:proofErr w:type="spellEnd"/>
            <w:r w:rsidRPr="008E0141">
              <w:t xml:space="preserve"> adopts an action plan for implementation of PPA 2011 and regulations</w:t>
            </w:r>
            <w:r w:rsidR="009A2A7B">
              <w:t>.</w:t>
            </w:r>
          </w:p>
        </w:tc>
        <w:tc>
          <w:tcPr>
            <w:tcW w:w="0" w:type="auto"/>
            <w:shd w:val="clear" w:color="auto" w:fill="FFFFFF" w:themeFill="background1"/>
          </w:tcPr>
          <w:p w:rsidR="0058687F" w:rsidRPr="008E0141" w:rsidRDefault="0058687F" w:rsidP="00F45710">
            <w:proofErr w:type="spellStart"/>
            <w:r w:rsidRPr="008E0141">
              <w:t>MoF</w:t>
            </w:r>
            <w:proofErr w:type="spellEnd"/>
            <w:r w:rsidRPr="008E0141">
              <w:t xml:space="preserve"> adopts an action plan for implementation of e-procurement</w:t>
            </w:r>
            <w:r w:rsidR="009A2A7B">
              <w:t>.</w:t>
            </w:r>
          </w:p>
        </w:tc>
        <w:tc>
          <w:tcPr>
            <w:tcW w:w="0" w:type="auto"/>
            <w:shd w:val="clear" w:color="auto" w:fill="FFFFFF" w:themeFill="background1"/>
          </w:tcPr>
          <w:p w:rsidR="0058687F" w:rsidRPr="008E0141" w:rsidRDefault="0058687F" w:rsidP="00F45710">
            <w:proofErr w:type="spellStart"/>
            <w:r w:rsidRPr="008E0141">
              <w:t>MoF</w:t>
            </w:r>
            <w:proofErr w:type="spellEnd"/>
            <w:r w:rsidRPr="008E0141">
              <w:t xml:space="preserve"> approves mandatory use of e-procurement for key service delivery sectors</w:t>
            </w:r>
            <w:r w:rsidR="009A2A7B">
              <w:t>.</w:t>
            </w:r>
            <w:r w:rsidRPr="008E0141">
              <w:t xml:space="preserve"> </w:t>
            </w:r>
          </w:p>
          <w:p w:rsidR="0058687F" w:rsidRPr="008E0141" w:rsidRDefault="0058687F" w:rsidP="00F45710"/>
          <w:p w:rsidR="0058687F" w:rsidRPr="008E0141" w:rsidRDefault="0058687F" w:rsidP="009A2A7B">
            <w:r w:rsidRPr="008E0141">
              <w:t xml:space="preserve">For high value contracts in priority sectors, Government adopts independent </w:t>
            </w:r>
            <w:r w:rsidRPr="008E0141">
              <w:lastRenderedPageBreak/>
              <w:t>third party monitoring</w:t>
            </w:r>
            <w:r w:rsidR="009A2A7B">
              <w:t>.</w:t>
            </w:r>
          </w:p>
        </w:tc>
      </w:tr>
      <w:tr w:rsidR="0058687F" w:rsidRPr="008E0141" w:rsidTr="00A07273">
        <w:trPr>
          <w:trHeight w:val="288"/>
          <w:jc w:val="center"/>
        </w:trPr>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rsidR="0058687F" w:rsidRPr="008E0141" w:rsidRDefault="0058687F" w:rsidP="0058687F">
            <w:pPr>
              <w:pStyle w:val="ListParagraph"/>
              <w:numPr>
                <w:ilvl w:val="0"/>
                <w:numId w:val="33"/>
              </w:numPr>
              <w:rPr>
                <w:b/>
              </w:rPr>
            </w:pPr>
            <w:r w:rsidRPr="008E0141">
              <w:rPr>
                <w:b/>
              </w:rPr>
              <w:lastRenderedPageBreak/>
              <w:t>Cash Management</w:t>
            </w:r>
          </w:p>
        </w:tc>
        <w:tc>
          <w:tcPr>
            <w:tcW w:w="0" w:type="auto"/>
            <w:tcBorders>
              <w:left w:val="single" w:sz="4" w:space="0" w:color="auto"/>
            </w:tcBorders>
            <w:shd w:val="clear" w:color="auto" w:fill="FFFFFF" w:themeFill="background1"/>
          </w:tcPr>
          <w:p w:rsidR="0058687F" w:rsidRPr="008E0141" w:rsidRDefault="0058687F" w:rsidP="00F45710">
            <w:proofErr w:type="spellStart"/>
            <w:r w:rsidRPr="008E0141">
              <w:t>M</w:t>
            </w:r>
            <w:r w:rsidR="009A2A7B">
              <w:t>o</w:t>
            </w:r>
            <w:r w:rsidRPr="008E0141">
              <w:t>F</w:t>
            </w:r>
            <w:proofErr w:type="spellEnd"/>
            <w:r w:rsidRPr="008E0141">
              <w:t xml:space="preserve"> discloses underlying assumptions of the revenue projections in the budget documents</w:t>
            </w:r>
            <w:r w:rsidR="009A2A7B">
              <w:t>.</w:t>
            </w:r>
          </w:p>
          <w:p w:rsidR="0058687F" w:rsidRPr="008E0141" w:rsidRDefault="0058687F" w:rsidP="00F45710"/>
          <w:p w:rsidR="0058687F" w:rsidRPr="008E0141" w:rsidRDefault="0058687F" w:rsidP="00F45710"/>
          <w:p w:rsidR="0058687F" w:rsidRPr="008E0141" w:rsidRDefault="0058687F" w:rsidP="00F45710">
            <w:r w:rsidRPr="008E0141">
              <w:t xml:space="preserve">Government changes the Appropriation Act to authorize Minister of Finance to only increase debt by an amount equal to the financing deficit for the fiscal year, subject to any appropriation changes authorized by Parliament in an Adjustment Appropriation Act.  </w:t>
            </w:r>
          </w:p>
        </w:tc>
        <w:tc>
          <w:tcPr>
            <w:tcW w:w="0" w:type="auto"/>
            <w:shd w:val="clear" w:color="auto" w:fill="FFFFFF" w:themeFill="background1"/>
          </w:tcPr>
          <w:p w:rsidR="0058687F" w:rsidRPr="008E0141" w:rsidRDefault="0058687F" w:rsidP="00F45710">
            <w:r w:rsidRPr="008E0141">
              <w:t>Treasury Single Account (TSA) covers regional votes</w:t>
            </w:r>
            <w:r w:rsidR="009A2A7B">
              <w:t>.</w:t>
            </w:r>
          </w:p>
          <w:p w:rsidR="0058687F" w:rsidRPr="008E0141" w:rsidRDefault="0058687F" w:rsidP="00F45710"/>
          <w:p w:rsidR="0058687F" w:rsidRPr="008E0141" w:rsidRDefault="0058687F" w:rsidP="00F45710"/>
          <w:p w:rsidR="0058687F" w:rsidRPr="008E0141" w:rsidRDefault="0058687F" w:rsidP="00F45710">
            <w:proofErr w:type="spellStart"/>
            <w:r w:rsidRPr="008E0141">
              <w:t>M</w:t>
            </w:r>
            <w:r w:rsidR="009A2A7B">
              <w:t>o</w:t>
            </w:r>
            <w:r w:rsidRPr="008E0141">
              <w:t>F</w:t>
            </w:r>
            <w:proofErr w:type="spellEnd"/>
            <w:r w:rsidRPr="008E0141">
              <w:t xml:space="preserve"> takes a policy decision of bringing LGA commercial bank accounts into the TSA</w:t>
            </w:r>
            <w:r w:rsidR="009A2A7B">
              <w:t>.</w:t>
            </w:r>
          </w:p>
          <w:p w:rsidR="0058687F" w:rsidRPr="008E0141" w:rsidRDefault="0058687F" w:rsidP="00F45710"/>
          <w:p w:rsidR="001E13F4" w:rsidRPr="008E0141" w:rsidRDefault="001E13F4" w:rsidP="00F45710"/>
          <w:p w:rsidR="0058687F" w:rsidRPr="008E0141" w:rsidRDefault="0058687F" w:rsidP="00F45710">
            <w:proofErr w:type="spellStart"/>
            <w:r w:rsidRPr="008E0141">
              <w:t>MoF</w:t>
            </w:r>
            <w:proofErr w:type="spellEnd"/>
            <w:r w:rsidRPr="008E0141">
              <w:t xml:space="preserve"> fully funds (from existing balances, revenue</w:t>
            </w:r>
            <w:r w:rsidR="009A2A7B">
              <w:t>,</w:t>
            </w:r>
            <w:r w:rsidRPr="008E0141">
              <w:t xml:space="preserve"> or borrowing) quarterly expenditure estimates of MDAs/LGAs in line with the appropriated expenditure budget for a fiscal year.</w:t>
            </w:r>
          </w:p>
        </w:tc>
        <w:tc>
          <w:tcPr>
            <w:tcW w:w="0" w:type="auto"/>
            <w:shd w:val="clear" w:color="auto" w:fill="FFFFFF" w:themeFill="background1"/>
          </w:tcPr>
          <w:p w:rsidR="0058687F" w:rsidRPr="008E0141" w:rsidRDefault="0058687F" w:rsidP="00F45710">
            <w:r w:rsidRPr="008E0141">
              <w:t>IFMIS consolidation architecture for budget execution data (revenue and expenditure) and related financial asset and liability data of MDAs and LGAs implemented (milestone 5.1.2 in P4)</w:t>
            </w:r>
            <w:r w:rsidR="009A2A7B">
              <w:t>.</w:t>
            </w:r>
          </w:p>
        </w:tc>
      </w:tr>
      <w:tr w:rsidR="00DB48A5" w:rsidRPr="008E0141" w:rsidTr="00A57367">
        <w:trPr>
          <w:trHeight w:val="288"/>
          <w:jc w:val="center"/>
        </w:trPr>
        <w:tc>
          <w:tcPr>
            <w:tcW w:w="0" w:type="auto"/>
            <w:vMerge w:val="restart"/>
            <w:tcBorders>
              <w:top w:val="nil"/>
              <w:left w:val="single" w:sz="4" w:space="0" w:color="auto"/>
              <w:right w:val="single" w:sz="4" w:space="0" w:color="auto"/>
            </w:tcBorders>
            <w:shd w:val="clear" w:color="auto" w:fill="FFFFFF" w:themeFill="background1"/>
          </w:tcPr>
          <w:p w:rsidR="00DB48A5" w:rsidRPr="008E0141" w:rsidRDefault="00DB48A5" w:rsidP="00A07273">
            <w:pPr>
              <w:ind w:left="720"/>
              <w:rPr>
                <w:b/>
              </w:rPr>
            </w:pPr>
          </w:p>
        </w:tc>
        <w:tc>
          <w:tcPr>
            <w:tcW w:w="0" w:type="auto"/>
            <w:tcBorders>
              <w:left w:val="single" w:sz="4" w:space="0" w:color="auto"/>
            </w:tcBorders>
            <w:shd w:val="clear" w:color="auto" w:fill="FFFFFF" w:themeFill="background1"/>
          </w:tcPr>
          <w:p w:rsidR="00DB48A5" w:rsidRPr="008E0141" w:rsidRDefault="00DB48A5" w:rsidP="00F45710">
            <w:proofErr w:type="spellStart"/>
            <w:r w:rsidRPr="008E0141">
              <w:t>MoF</w:t>
            </w:r>
            <w:proofErr w:type="spellEnd"/>
            <w:r w:rsidRPr="008E0141">
              <w:t xml:space="preserve"> issues instructions to commitment </w:t>
            </w:r>
            <w:r w:rsidR="009A2A7B" w:rsidRPr="008E0141">
              <w:t>expenditures through</w:t>
            </w:r>
            <w:r w:rsidRPr="008E0141">
              <w:t xml:space="preserve"> IFMIS</w:t>
            </w:r>
            <w:r w:rsidR="009A2A7B">
              <w:t>.</w:t>
            </w:r>
          </w:p>
        </w:tc>
        <w:tc>
          <w:tcPr>
            <w:tcW w:w="0" w:type="auto"/>
            <w:shd w:val="clear" w:color="auto" w:fill="FFFFFF" w:themeFill="background1"/>
          </w:tcPr>
          <w:p w:rsidR="00DB48A5" w:rsidRPr="008E0141" w:rsidRDefault="00DB48A5" w:rsidP="00F45710">
            <w:proofErr w:type="spellStart"/>
            <w:r w:rsidRPr="008E0141">
              <w:t>MoF</w:t>
            </w:r>
            <w:proofErr w:type="spellEnd"/>
            <w:r w:rsidRPr="008E0141">
              <w:t xml:space="preserve"> implements a medium term plan to reduce stock of expenditure arrears</w:t>
            </w:r>
            <w:r w:rsidR="009A2A7B">
              <w:t>.</w:t>
            </w:r>
          </w:p>
        </w:tc>
        <w:tc>
          <w:tcPr>
            <w:tcW w:w="0" w:type="auto"/>
            <w:shd w:val="clear" w:color="auto" w:fill="FFFFFF" w:themeFill="background1"/>
          </w:tcPr>
          <w:p w:rsidR="00DB48A5" w:rsidRPr="008E0141" w:rsidRDefault="00DB48A5" w:rsidP="00F45710"/>
        </w:tc>
      </w:tr>
      <w:tr w:rsidR="00DB48A5" w:rsidRPr="008E0141" w:rsidTr="00A57367">
        <w:trPr>
          <w:trHeight w:val="288"/>
          <w:jc w:val="center"/>
        </w:trPr>
        <w:tc>
          <w:tcPr>
            <w:tcW w:w="0" w:type="auto"/>
            <w:vMerge/>
            <w:tcBorders>
              <w:left w:val="single" w:sz="4" w:space="0" w:color="auto"/>
              <w:right w:val="single" w:sz="4" w:space="0" w:color="auto"/>
            </w:tcBorders>
            <w:shd w:val="clear" w:color="auto" w:fill="FFFFFF" w:themeFill="background1"/>
          </w:tcPr>
          <w:p w:rsidR="00DB48A5" w:rsidRPr="008E0141" w:rsidRDefault="00DB48A5" w:rsidP="00A07273">
            <w:pPr>
              <w:ind w:left="720"/>
              <w:rPr>
                <w:b/>
              </w:rPr>
            </w:pPr>
          </w:p>
        </w:tc>
        <w:tc>
          <w:tcPr>
            <w:tcW w:w="0" w:type="auto"/>
            <w:tcBorders>
              <w:left w:val="single" w:sz="4" w:space="0" w:color="auto"/>
            </w:tcBorders>
            <w:shd w:val="clear" w:color="auto" w:fill="FFFFFF" w:themeFill="background1"/>
          </w:tcPr>
          <w:p w:rsidR="00DB48A5" w:rsidRPr="008E0141" w:rsidRDefault="00DB48A5" w:rsidP="00F45710">
            <w:r w:rsidRPr="008E0141">
              <w:t xml:space="preserve">Government pilots program based budgeting and expenditure control in Education and </w:t>
            </w:r>
            <w:r w:rsidRPr="008E0141">
              <w:lastRenderedPageBreak/>
              <w:t>Water ministries</w:t>
            </w:r>
            <w:r w:rsidR="009A2A7B">
              <w:t>.</w:t>
            </w:r>
          </w:p>
        </w:tc>
        <w:tc>
          <w:tcPr>
            <w:tcW w:w="0" w:type="auto"/>
            <w:shd w:val="clear" w:color="auto" w:fill="FFFFFF" w:themeFill="background1"/>
          </w:tcPr>
          <w:p w:rsidR="00DB48A5" w:rsidRPr="008E0141" w:rsidRDefault="00DB48A5" w:rsidP="00F45710"/>
        </w:tc>
        <w:tc>
          <w:tcPr>
            <w:tcW w:w="0" w:type="auto"/>
            <w:shd w:val="clear" w:color="auto" w:fill="FFFFFF" w:themeFill="background1"/>
          </w:tcPr>
          <w:p w:rsidR="00DB48A5" w:rsidRPr="008E0141" w:rsidRDefault="00DB48A5" w:rsidP="00F45710">
            <w:r w:rsidRPr="008E0141">
              <w:t xml:space="preserve">Government adopts a policy paper to roll-out a program based budgeting system in all </w:t>
            </w:r>
            <w:r w:rsidRPr="008E0141">
              <w:lastRenderedPageBreak/>
              <w:t>MDAs/LGAs</w:t>
            </w:r>
            <w:r w:rsidR="009A2A7B">
              <w:t>.</w:t>
            </w:r>
            <w:r w:rsidRPr="008E0141">
              <w:t xml:space="preserve"> </w:t>
            </w:r>
          </w:p>
        </w:tc>
      </w:tr>
      <w:tr w:rsidR="00DB48A5" w:rsidRPr="008E0141" w:rsidTr="00A57367">
        <w:trPr>
          <w:trHeight w:val="288"/>
          <w:jc w:val="center"/>
        </w:trPr>
        <w:tc>
          <w:tcPr>
            <w:tcW w:w="0" w:type="auto"/>
            <w:vMerge/>
            <w:tcBorders>
              <w:left w:val="single" w:sz="4" w:space="0" w:color="auto"/>
              <w:bottom w:val="single" w:sz="4" w:space="0" w:color="auto"/>
              <w:right w:val="single" w:sz="4" w:space="0" w:color="auto"/>
            </w:tcBorders>
            <w:shd w:val="clear" w:color="auto" w:fill="FFFFFF" w:themeFill="background1"/>
          </w:tcPr>
          <w:p w:rsidR="00DB48A5" w:rsidRPr="008E0141" w:rsidRDefault="00DB48A5" w:rsidP="00A07273">
            <w:pPr>
              <w:ind w:left="720"/>
              <w:rPr>
                <w:b/>
              </w:rPr>
            </w:pPr>
          </w:p>
        </w:tc>
        <w:tc>
          <w:tcPr>
            <w:tcW w:w="0" w:type="auto"/>
            <w:tcBorders>
              <w:left w:val="single" w:sz="4" w:space="0" w:color="auto"/>
            </w:tcBorders>
            <w:shd w:val="clear" w:color="auto" w:fill="FFFFFF" w:themeFill="background1"/>
          </w:tcPr>
          <w:p w:rsidR="00DB48A5" w:rsidRPr="008E0141" w:rsidRDefault="00DB48A5" w:rsidP="00F45710"/>
        </w:tc>
        <w:tc>
          <w:tcPr>
            <w:tcW w:w="0" w:type="auto"/>
            <w:shd w:val="clear" w:color="auto" w:fill="FFFFFF" w:themeFill="background1"/>
          </w:tcPr>
          <w:p w:rsidR="00DB48A5" w:rsidRPr="008E0141" w:rsidRDefault="00DB48A5" w:rsidP="00F45710"/>
        </w:tc>
        <w:tc>
          <w:tcPr>
            <w:tcW w:w="0" w:type="auto"/>
            <w:shd w:val="clear" w:color="auto" w:fill="FFFFFF" w:themeFill="background1"/>
          </w:tcPr>
          <w:p w:rsidR="00DB48A5" w:rsidRPr="008E0141" w:rsidRDefault="00DB48A5" w:rsidP="00F45710">
            <w:r w:rsidRPr="008E0141">
              <w:t>Government adopts and implements the principle to limit one adjustment budget to unforeseen and unavoidable expenditures</w:t>
            </w:r>
            <w:r w:rsidR="009A2A7B">
              <w:t>.</w:t>
            </w:r>
          </w:p>
        </w:tc>
      </w:tr>
    </w:tbl>
    <w:p w:rsidR="0072349A" w:rsidRPr="00DB48A5" w:rsidRDefault="0072349A" w:rsidP="0072349A">
      <w:pPr>
        <w:pStyle w:val="tabfignotes"/>
      </w:pPr>
    </w:p>
    <w:p w:rsidR="0072349A" w:rsidRPr="00DB48A5" w:rsidRDefault="0072349A" w:rsidP="009A2A7B">
      <w:pPr>
        <w:rPr>
          <w:b/>
        </w:rPr>
      </w:pPr>
    </w:p>
    <w:p w:rsidR="00AA5A30" w:rsidRPr="009A2A7B" w:rsidRDefault="00AA5A30" w:rsidP="009A2A7B">
      <w:pPr>
        <w:numPr>
          <w:ilvl w:val="0"/>
          <w:numId w:val="24"/>
        </w:numPr>
        <w:rPr>
          <w:b/>
        </w:rPr>
      </w:pPr>
      <w:r w:rsidRPr="00DB48A5">
        <w:rPr>
          <w:b/>
        </w:rPr>
        <w:t>Poverty and Social Impacts and Environment Aspects</w:t>
      </w:r>
      <w:r w:rsidR="009A2A7B">
        <w:rPr>
          <w:b/>
        </w:rPr>
        <w:br/>
      </w:r>
    </w:p>
    <w:p w:rsidR="00AA5A30" w:rsidRPr="00DB48A5" w:rsidRDefault="00AA5A30" w:rsidP="00AA5A30">
      <w:pPr>
        <w:pStyle w:val="CM4"/>
        <w:spacing w:after="252" w:line="253" w:lineRule="atLeast"/>
        <w:rPr>
          <w:b/>
          <w:i/>
          <w:iCs/>
          <w:sz w:val="22"/>
          <w:szCs w:val="22"/>
        </w:rPr>
      </w:pPr>
      <w:r w:rsidRPr="00DB48A5">
        <w:rPr>
          <w:b/>
          <w:i/>
          <w:iCs/>
          <w:sz w:val="22"/>
          <w:szCs w:val="22"/>
        </w:rPr>
        <w:t xml:space="preserve">Poverty and Social Impacts </w:t>
      </w:r>
    </w:p>
    <w:p w:rsidR="00C16A13" w:rsidRPr="00DB48A5" w:rsidRDefault="00C16A13" w:rsidP="00C16A13">
      <w:pPr>
        <w:pStyle w:val="CM1"/>
        <w:ind w:left="720"/>
        <w:jc w:val="both"/>
      </w:pPr>
      <w:r w:rsidRPr="00DB48A5">
        <w:t>This program is expected to contribute to the poverty reduction and inclusiveness agenda. Improvements in public service delivery in education, water</w:t>
      </w:r>
      <w:r w:rsidR="005D122E" w:rsidRPr="00DB48A5">
        <w:t>,</w:t>
      </w:r>
      <w:r w:rsidRPr="00DB48A5">
        <w:t xml:space="preserve"> and health are a major contributor to poverty alleviation and the long-term growth agenda through increasing access of the poor to these services and their impact on improvements in human capital</w:t>
      </w:r>
      <w:r w:rsidRPr="00DB48A5">
        <w:rPr>
          <w:vertAlign w:val="superscript"/>
        </w:rPr>
        <w:footnoteReference w:id="1"/>
      </w:r>
      <w:r w:rsidRPr="00DB48A5">
        <w:t>. Human capital refers to a broad range of knowledge, skills and capabilities, needed for life and work, including those related to capability in successful living</w:t>
      </w:r>
      <w:r w:rsidR="005D122E" w:rsidRPr="00DB48A5">
        <w:t xml:space="preserve">, </w:t>
      </w:r>
      <w:r w:rsidRPr="00DB48A5">
        <w:t>engendered through quality education and improved labor productivity. Government investment in human capital in terms of education, water</w:t>
      </w:r>
      <w:r w:rsidR="005D122E" w:rsidRPr="00DB48A5">
        <w:t>,</w:t>
      </w:r>
      <w:r w:rsidRPr="00DB48A5">
        <w:t xml:space="preserve"> and health are important to reduce inequality of access and welfare. </w:t>
      </w:r>
    </w:p>
    <w:p w:rsidR="00C16A13" w:rsidRPr="00DB48A5" w:rsidRDefault="00C16A13" w:rsidP="00C16A13">
      <w:pPr>
        <w:pStyle w:val="CM1"/>
        <w:ind w:left="720"/>
        <w:jc w:val="both"/>
      </w:pPr>
    </w:p>
    <w:p w:rsidR="00C16A13" w:rsidRPr="00DB48A5" w:rsidRDefault="00C16A13" w:rsidP="00EC640B">
      <w:pPr>
        <w:pStyle w:val="CM1"/>
        <w:ind w:left="720"/>
        <w:jc w:val="both"/>
      </w:pPr>
      <w:r w:rsidRPr="00DB48A5">
        <w:t>Increased investments in public service delivery in Tanzania have shown marginal impact on poverty due to the</w:t>
      </w:r>
      <w:r w:rsidR="00450A64">
        <w:t>ir</w:t>
      </w:r>
      <w:r w:rsidRPr="00DB48A5">
        <w:t xml:space="preserve"> poor quality.  Studies of private returns to education investments in Tanzania in the 2000s show “the benefits of primary schooling have been more limited in the Tanzanian case than might have been expected from the international research data” leading to a conclusion that “The quality of education has been so poor that many of the potential benefits of education have not been realized” (</w:t>
      </w:r>
      <w:proofErr w:type="spellStart"/>
      <w:r w:rsidRPr="00DB48A5">
        <w:t>HakiElimu</w:t>
      </w:r>
      <w:proofErr w:type="spellEnd"/>
      <w:r w:rsidRPr="00DB48A5">
        <w:t xml:space="preserve"> 2005). This is not surprising given that the focus has been on expansion of infrastructure and enrollment rather than on quality.  There is thus a significant relationship between improvement in quality public services delivery and reduction in poverty. </w:t>
      </w:r>
      <w:r w:rsidR="009A2A7B">
        <w:br/>
      </w:r>
    </w:p>
    <w:p w:rsidR="00AA5A30" w:rsidRPr="00DB48A5" w:rsidRDefault="00AA5A30" w:rsidP="00AA5A30">
      <w:pPr>
        <w:pStyle w:val="CM4"/>
        <w:spacing w:after="252" w:line="253" w:lineRule="atLeast"/>
        <w:rPr>
          <w:b/>
          <w:i/>
          <w:iCs/>
          <w:sz w:val="22"/>
          <w:szCs w:val="22"/>
        </w:rPr>
      </w:pPr>
      <w:r w:rsidRPr="00DB48A5">
        <w:rPr>
          <w:b/>
          <w:i/>
          <w:iCs/>
          <w:sz w:val="22"/>
          <w:szCs w:val="22"/>
        </w:rPr>
        <w:t xml:space="preserve">Environment Aspects </w:t>
      </w:r>
    </w:p>
    <w:p w:rsidR="00AA5A30" w:rsidRPr="00DB48A5" w:rsidRDefault="00255949" w:rsidP="00AA5A30">
      <w:pPr>
        <w:pStyle w:val="CM4"/>
        <w:spacing w:after="252" w:line="253" w:lineRule="atLeast"/>
        <w:ind w:left="720"/>
        <w:rPr>
          <w:i/>
          <w:iCs/>
          <w:color w:val="00007F"/>
          <w:sz w:val="22"/>
          <w:szCs w:val="22"/>
        </w:rPr>
      </w:pPr>
      <w:r w:rsidRPr="00DB48A5">
        <w:rPr>
          <w:bCs/>
          <w:color w:val="000000"/>
        </w:rPr>
        <w:t xml:space="preserve">The specific policies supported by this programmatic operation are not expected to have negative effects on Tanzania’s environment, forests, water resources, habitats or other </w:t>
      </w:r>
      <w:r w:rsidRPr="00DB48A5">
        <w:rPr>
          <w:bCs/>
          <w:color w:val="000000"/>
        </w:rPr>
        <w:lastRenderedPageBreak/>
        <w:t xml:space="preserve">natural resources.  </w:t>
      </w:r>
      <w:r w:rsidRPr="00DB48A5">
        <w:rPr>
          <w:color w:val="000000"/>
        </w:rPr>
        <w:t xml:space="preserve">The risk of unanticipated adverse effects to the environment and natural resources is </w:t>
      </w:r>
      <w:r w:rsidR="00F508CC" w:rsidRPr="00DB48A5">
        <w:rPr>
          <w:color w:val="000000"/>
        </w:rPr>
        <w:t>negligible</w:t>
      </w:r>
      <w:r w:rsidRPr="00DB48A5">
        <w:rPr>
          <w:color w:val="000000"/>
        </w:rPr>
        <w:t>.</w:t>
      </w:r>
    </w:p>
    <w:p w:rsidR="003723D9" w:rsidRPr="00DB48A5" w:rsidRDefault="003723D9" w:rsidP="003723D9">
      <w:pPr>
        <w:rPr>
          <w:b/>
        </w:rPr>
      </w:pPr>
    </w:p>
    <w:p w:rsidR="00A126FA" w:rsidRPr="00DB48A5" w:rsidRDefault="00A126FA" w:rsidP="00A126FA">
      <w:pPr>
        <w:numPr>
          <w:ilvl w:val="0"/>
          <w:numId w:val="24"/>
        </w:numPr>
        <w:rPr>
          <w:b/>
        </w:rPr>
      </w:pPr>
      <w:r w:rsidRPr="00DB48A5">
        <w:rPr>
          <w:b/>
        </w:rPr>
        <w:t>Tentative financing</w:t>
      </w:r>
    </w:p>
    <w:p w:rsidR="00F34B6F" w:rsidRPr="00DB48A5" w:rsidRDefault="00F34B6F" w:rsidP="0059349F">
      <w:pPr>
        <w:ind w:firstLine="720"/>
      </w:pPr>
    </w:p>
    <w:tbl>
      <w:tblPr>
        <w:tblW w:w="0" w:type="auto"/>
        <w:tblLook w:val="0000" w:firstRow="0" w:lastRow="0" w:firstColumn="0" w:lastColumn="0" w:noHBand="0" w:noVBand="0"/>
      </w:tblPr>
      <w:tblGrid>
        <w:gridCol w:w="7488"/>
        <w:gridCol w:w="1980"/>
      </w:tblGrid>
      <w:tr w:rsidR="00A126FA" w:rsidRPr="00DB48A5" w:rsidTr="00F34B6F">
        <w:tc>
          <w:tcPr>
            <w:tcW w:w="7488" w:type="dxa"/>
          </w:tcPr>
          <w:p w:rsidR="00A126FA" w:rsidRPr="00DB48A5" w:rsidRDefault="00A126FA" w:rsidP="00A126FA">
            <w:r w:rsidRPr="00DB48A5">
              <w:t>Source:</w:t>
            </w:r>
            <w:bookmarkStart w:id="15" w:name="FINANCINGTAB_PID"/>
            <w:bookmarkEnd w:id="15"/>
          </w:p>
        </w:tc>
        <w:tc>
          <w:tcPr>
            <w:tcW w:w="1980" w:type="dxa"/>
          </w:tcPr>
          <w:p w:rsidR="00A126FA" w:rsidRPr="00DB48A5" w:rsidRDefault="00A126FA" w:rsidP="00DF5C0B">
            <w:pPr>
              <w:tabs>
                <w:tab w:val="decimal" w:pos="252"/>
              </w:tabs>
              <w:jc w:val="center"/>
            </w:pPr>
            <w:r w:rsidRPr="00DB48A5">
              <w:t>($m.)</w:t>
            </w:r>
          </w:p>
        </w:tc>
      </w:tr>
      <w:tr w:rsidR="00985005" w:rsidRPr="00DB48A5" w:rsidTr="00F34B6F">
        <w:tc>
          <w:tcPr>
            <w:tcW w:w="7488" w:type="dxa"/>
          </w:tcPr>
          <w:p w:rsidR="00985005" w:rsidRPr="00DB48A5" w:rsidRDefault="00985005" w:rsidP="00A126FA">
            <w:pPr>
              <w:tabs>
                <w:tab w:val="right" w:pos="7200"/>
              </w:tabs>
            </w:pPr>
            <w:r w:rsidRPr="00DB48A5">
              <w:t>BORROWER/RECIPIENT</w:t>
            </w:r>
          </w:p>
        </w:tc>
        <w:tc>
          <w:tcPr>
            <w:tcW w:w="1980" w:type="dxa"/>
          </w:tcPr>
          <w:p w:rsidR="00985005" w:rsidRPr="00DB48A5" w:rsidRDefault="00985005" w:rsidP="00A126FA">
            <w:pPr>
              <w:tabs>
                <w:tab w:val="decimal" w:pos="252"/>
              </w:tabs>
              <w:jc w:val="center"/>
            </w:pPr>
            <w:r w:rsidRPr="00DB48A5">
              <w:t>0</w:t>
            </w:r>
          </w:p>
        </w:tc>
      </w:tr>
      <w:tr w:rsidR="00985005" w:rsidRPr="00DB48A5" w:rsidTr="00F34B6F">
        <w:tc>
          <w:tcPr>
            <w:tcW w:w="7488" w:type="dxa"/>
          </w:tcPr>
          <w:p w:rsidR="00985005" w:rsidRPr="00DB48A5" w:rsidRDefault="00985005" w:rsidP="00A126FA">
            <w:pPr>
              <w:tabs>
                <w:tab w:val="right" w:pos="7200"/>
              </w:tabs>
            </w:pPr>
            <w:r w:rsidRPr="00DB48A5">
              <w:t>International Development Association (IDA)</w:t>
            </w:r>
          </w:p>
        </w:tc>
        <w:tc>
          <w:tcPr>
            <w:tcW w:w="1980" w:type="dxa"/>
          </w:tcPr>
          <w:p w:rsidR="00985005" w:rsidRPr="00DB48A5" w:rsidRDefault="00985005" w:rsidP="00DF5C0B">
            <w:pPr>
              <w:tabs>
                <w:tab w:val="decimal" w:pos="252"/>
              </w:tabs>
              <w:jc w:val="center"/>
            </w:pPr>
            <w:r w:rsidRPr="00DB48A5">
              <w:t>50</w:t>
            </w:r>
            <w:r w:rsidR="00DF5C0B" w:rsidRPr="00DB48A5">
              <w:t>,000,000</w:t>
            </w:r>
          </w:p>
        </w:tc>
      </w:tr>
      <w:tr w:rsidR="00A126FA" w:rsidRPr="00DB48A5" w:rsidTr="00F34B6F">
        <w:tc>
          <w:tcPr>
            <w:tcW w:w="7488" w:type="dxa"/>
          </w:tcPr>
          <w:p w:rsidR="00A126FA" w:rsidRPr="00DB48A5" w:rsidRDefault="00A126FA" w:rsidP="00A126FA">
            <w:pPr>
              <w:tabs>
                <w:tab w:val="right" w:pos="7200"/>
              </w:tabs>
            </w:pPr>
            <w:r w:rsidRPr="00DB48A5">
              <w:t>Borrower/Recipient</w:t>
            </w:r>
          </w:p>
        </w:tc>
        <w:tc>
          <w:tcPr>
            <w:tcW w:w="1980" w:type="dxa"/>
          </w:tcPr>
          <w:p w:rsidR="00A126FA" w:rsidRPr="00DB48A5" w:rsidRDefault="00A126FA" w:rsidP="00A126FA">
            <w:pPr>
              <w:tabs>
                <w:tab w:val="decimal" w:pos="252"/>
              </w:tabs>
              <w:jc w:val="center"/>
            </w:pPr>
          </w:p>
        </w:tc>
      </w:tr>
      <w:tr w:rsidR="00A126FA" w:rsidRPr="00DB48A5" w:rsidTr="00F34B6F">
        <w:tc>
          <w:tcPr>
            <w:tcW w:w="7488" w:type="dxa"/>
          </w:tcPr>
          <w:p w:rsidR="00A126FA" w:rsidRPr="00DB48A5" w:rsidRDefault="00A126FA" w:rsidP="00A126FA">
            <w:pPr>
              <w:tabs>
                <w:tab w:val="right" w:pos="7200"/>
              </w:tabs>
            </w:pPr>
            <w:r w:rsidRPr="00DB48A5">
              <w:t>IBRD</w:t>
            </w:r>
          </w:p>
          <w:p w:rsidR="00071B65" w:rsidRPr="00DB48A5" w:rsidRDefault="00071B65" w:rsidP="00A126FA">
            <w:pPr>
              <w:tabs>
                <w:tab w:val="right" w:pos="7200"/>
              </w:tabs>
            </w:pPr>
            <w:r w:rsidRPr="00DB48A5">
              <w:t>Others (</w:t>
            </w:r>
            <w:proofErr w:type="spellStart"/>
            <w:r w:rsidRPr="00DB48A5">
              <w:t>specifiy</w:t>
            </w:r>
            <w:proofErr w:type="spellEnd"/>
            <w:r w:rsidRPr="00DB48A5">
              <w:t>)</w:t>
            </w:r>
          </w:p>
        </w:tc>
        <w:tc>
          <w:tcPr>
            <w:tcW w:w="1980" w:type="dxa"/>
          </w:tcPr>
          <w:p w:rsidR="00A126FA" w:rsidRPr="00DB48A5" w:rsidRDefault="00A126FA" w:rsidP="00A126FA">
            <w:pPr>
              <w:tabs>
                <w:tab w:val="decimal" w:pos="252"/>
              </w:tabs>
              <w:jc w:val="center"/>
            </w:pPr>
          </w:p>
        </w:tc>
      </w:tr>
      <w:tr w:rsidR="00A126FA" w:rsidRPr="00DB48A5" w:rsidTr="00F34B6F">
        <w:tc>
          <w:tcPr>
            <w:tcW w:w="7488" w:type="dxa"/>
          </w:tcPr>
          <w:p w:rsidR="00A126FA" w:rsidRPr="00DB48A5" w:rsidRDefault="00A126FA" w:rsidP="00A126FA">
            <w:pPr>
              <w:tabs>
                <w:tab w:val="right" w:pos="7200"/>
              </w:tabs>
            </w:pPr>
            <w:r w:rsidRPr="00DB48A5">
              <w:tab/>
              <w:t>Total</w:t>
            </w:r>
          </w:p>
        </w:tc>
        <w:tc>
          <w:tcPr>
            <w:tcW w:w="1980" w:type="dxa"/>
          </w:tcPr>
          <w:p w:rsidR="00A126FA" w:rsidRPr="00DB48A5" w:rsidRDefault="00DF5C0B" w:rsidP="00A126FA">
            <w:pPr>
              <w:tabs>
                <w:tab w:val="decimal" w:pos="252"/>
              </w:tabs>
              <w:jc w:val="center"/>
            </w:pPr>
            <w:r w:rsidRPr="00DB48A5">
              <w:t>50,000,000</w:t>
            </w:r>
          </w:p>
        </w:tc>
      </w:tr>
    </w:tbl>
    <w:p w:rsidR="00F34B6F" w:rsidRPr="00DB48A5" w:rsidRDefault="00F34B6F" w:rsidP="00F34B6F">
      <w:pPr>
        <w:ind w:left="720"/>
        <w:rPr>
          <w:b/>
        </w:rPr>
      </w:pPr>
    </w:p>
    <w:p w:rsidR="00A126FA" w:rsidRPr="00DB48A5" w:rsidRDefault="00A126FA" w:rsidP="00A126FA">
      <w:pPr>
        <w:numPr>
          <w:ilvl w:val="0"/>
          <w:numId w:val="24"/>
        </w:numPr>
        <w:rPr>
          <w:b/>
        </w:rPr>
      </w:pPr>
      <w:r w:rsidRPr="00DB48A5">
        <w:rPr>
          <w:b/>
        </w:rPr>
        <w:t>Contact point</w:t>
      </w:r>
    </w:p>
    <w:p w:rsidR="008F0B46" w:rsidRPr="00DB48A5" w:rsidRDefault="008F0B46" w:rsidP="008F0B46">
      <w:pPr>
        <w:pStyle w:val="ListParagraph"/>
        <w:ind w:left="0"/>
      </w:pPr>
      <w:r w:rsidRPr="00DB48A5">
        <w:rPr>
          <w:b/>
        </w:rPr>
        <w:t>World Bank</w:t>
      </w:r>
      <w:r w:rsidR="00F34B6F" w:rsidRPr="00DB48A5">
        <w:rPr>
          <w:b/>
        </w:rPr>
        <w:t xml:space="preserve"> </w:t>
      </w:r>
    </w:p>
    <w:p w:rsidR="00985005" w:rsidRPr="00DB48A5" w:rsidRDefault="00985005" w:rsidP="008F0B46">
      <w:bookmarkStart w:id="16" w:name="ContactInfo"/>
      <w:r w:rsidRPr="00DB48A5">
        <w:t>Contact: Chiara Bronchi</w:t>
      </w:r>
    </w:p>
    <w:p w:rsidR="00985005" w:rsidRPr="00DB48A5" w:rsidRDefault="00985005" w:rsidP="008F0B46">
      <w:r w:rsidRPr="00DB48A5">
        <w:t>Title: Lead Public Sector Specialist</w:t>
      </w:r>
    </w:p>
    <w:p w:rsidR="00985005" w:rsidRPr="00DB48A5" w:rsidRDefault="00985005" w:rsidP="008F0B46">
      <w:r w:rsidRPr="00DB48A5">
        <w:t>Tel: 5355+3252</w:t>
      </w:r>
    </w:p>
    <w:p w:rsidR="00985005" w:rsidRPr="00DB48A5" w:rsidRDefault="00985005" w:rsidP="008F0B46">
      <w:r w:rsidRPr="00DB48A5">
        <w:t xml:space="preserve">Fax: </w:t>
      </w:r>
    </w:p>
    <w:p w:rsidR="00985005" w:rsidRPr="00DB48A5" w:rsidRDefault="00985005" w:rsidP="008F0B46">
      <w:r w:rsidRPr="00DB48A5">
        <w:t>Email: cbronchi@worldbank.org</w:t>
      </w:r>
    </w:p>
    <w:p w:rsidR="008F0B46" w:rsidRPr="00DB48A5" w:rsidRDefault="00985005" w:rsidP="008F0B46">
      <w:r w:rsidRPr="00DB48A5">
        <w:t xml:space="preserve">Location: Dar </w:t>
      </w:r>
      <w:proofErr w:type="spellStart"/>
      <w:r w:rsidRPr="00DB48A5">
        <w:t>Es</w:t>
      </w:r>
      <w:proofErr w:type="spellEnd"/>
      <w:r w:rsidRPr="00DB48A5">
        <w:t xml:space="preserve"> Salaam, Tanzania (IBRD)</w:t>
      </w:r>
      <w:bookmarkEnd w:id="16"/>
    </w:p>
    <w:p w:rsidR="008F0B46" w:rsidRPr="00DB48A5" w:rsidRDefault="008F0B46" w:rsidP="008F0B46">
      <w:pPr>
        <w:rPr>
          <w:b/>
        </w:rPr>
      </w:pPr>
      <w:r w:rsidRPr="00DB48A5">
        <w:rPr>
          <w:b/>
        </w:rPr>
        <w:t>Borrower</w:t>
      </w:r>
    </w:p>
    <w:p w:rsidR="008F0B46" w:rsidRPr="00DB48A5" w:rsidRDefault="008F0B46" w:rsidP="008F0B46">
      <w:r w:rsidRPr="00DB48A5">
        <w:t>Contact:</w:t>
      </w:r>
      <w:r w:rsidRPr="00DB48A5">
        <w:tab/>
      </w:r>
    </w:p>
    <w:p w:rsidR="008F0B46" w:rsidRPr="00DB48A5" w:rsidRDefault="008F0B46" w:rsidP="008F0B46">
      <w:r w:rsidRPr="00DB48A5">
        <w:t>Title:</w:t>
      </w:r>
      <w:r w:rsidRPr="00DB48A5">
        <w:tab/>
      </w:r>
      <w:r w:rsidRPr="00DB48A5">
        <w:tab/>
      </w:r>
    </w:p>
    <w:p w:rsidR="008F0B46" w:rsidRPr="00DB48A5" w:rsidRDefault="008F0B46" w:rsidP="008F0B46">
      <w:r w:rsidRPr="00DB48A5">
        <w:t>Tel:</w:t>
      </w:r>
      <w:r w:rsidRPr="00DB48A5">
        <w:tab/>
      </w:r>
      <w:r w:rsidRPr="00DB48A5">
        <w:tab/>
      </w:r>
      <w:r w:rsidRPr="00DB48A5">
        <w:tab/>
      </w:r>
    </w:p>
    <w:p w:rsidR="008F0B46" w:rsidRPr="00DB48A5" w:rsidRDefault="008F0B46" w:rsidP="008F0B46">
      <w:r w:rsidRPr="00DB48A5">
        <w:t>Email:</w:t>
      </w:r>
      <w:r w:rsidRPr="00DB48A5">
        <w:tab/>
      </w:r>
      <w:r w:rsidRPr="00DB48A5">
        <w:tab/>
      </w:r>
    </w:p>
    <w:p w:rsidR="0059349F" w:rsidRPr="00DB48A5" w:rsidRDefault="0059349F" w:rsidP="00A126FA"/>
    <w:p w:rsidR="0059349F" w:rsidRPr="00DB48A5" w:rsidRDefault="0059349F" w:rsidP="0059349F">
      <w:pPr>
        <w:numPr>
          <w:ilvl w:val="0"/>
          <w:numId w:val="24"/>
        </w:numPr>
        <w:rPr>
          <w:b/>
        </w:rPr>
      </w:pPr>
      <w:r w:rsidRPr="00DB48A5">
        <w:rPr>
          <w:b/>
        </w:rPr>
        <w:t>For more information contact:</w:t>
      </w:r>
    </w:p>
    <w:p w:rsidR="0059349F" w:rsidRPr="00DB48A5" w:rsidRDefault="0059349F" w:rsidP="008F0B46">
      <w:r w:rsidRPr="00DB48A5">
        <w:t xml:space="preserve">The </w:t>
      </w:r>
      <w:proofErr w:type="spellStart"/>
      <w:r w:rsidRPr="00DB48A5">
        <w:t>InfoShop</w:t>
      </w:r>
      <w:proofErr w:type="spellEnd"/>
    </w:p>
    <w:p w:rsidR="0059349F" w:rsidRPr="00DB48A5" w:rsidRDefault="0059349F" w:rsidP="008F0B46">
      <w:r w:rsidRPr="00DB48A5">
        <w:t>The World Bank</w:t>
      </w:r>
    </w:p>
    <w:p w:rsidR="0059349F" w:rsidRPr="00DB48A5" w:rsidRDefault="0059349F" w:rsidP="008F0B46">
      <w:r w:rsidRPr="00DB48A5">
        <w:t>1818 H Street, NW</w:t>
      </w:r>
    </w:p>
    <w:p w:rsidR="0059349F" w:rsidRPr="00DB48A5" w:rsidRDefault="0059349F" w:rsidP="008F0B46">
      <w:r w:rsidRPr="00DB48A5">
        <w:t>Washington, D.C. 20433</w:t>
      </w:r>
    </w:p>
    <w:p w:rsidR="0059349F" w:rsidRPr="00DB48A5" w:rsidRDefault="0059349F" w:rsidP="008F0B46">
      <w:r w:rsidRPr="00DB48A5">
        <w:t>Telephone:  (202) 458-</w:t>
      </w:r>
      <w:r w:rsidR="00C070C8" w:rsidRPr="00DB48A5">
        <w:t>4500</w:t>
      </w:r>
    </w:p>
    <w:p w:rsidR="0059349F" w:rsidRPr="00DB48A5" w:rsidRDefault="0059349F" w:rsidP="008F0B46">
      <w:r w:rsidRPr="00DB48A5">
        <w:t>Fax:  (202) 522-1500</w:t>
      </w:r>
    </w:p>
    <w:p w:rsidR="0059349F" w:rsidRPr="00DB48A5" w:rsidRDefault="0059349F" w:rsidP="008F0B46">
      <w:r w:rsidRPr="00DB48A5">
        <w:t>Web: http://www.worldbank.org/infoshop</w:t>
      </w:r>
    </w:p>
    <w:p w:rsidR="0059349F" w:rsidRPr="00DB48A5" w:rsidRDefault="0059349F" w:rsidP="00A126FA"/>
    <w:sectPr w:rsidR="0059349F" w:rsidRPr="00DB48A5"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45" w:rsidRDefault="006D3745">
      <w:r>
        <w:separator/>
      </w:r>
    </w:p>
  </w:endnote>
  <w:endnote w:type="continuationSeparator" w:id="0">
    <w:p w:rsidR="006D3745" w:rsidRDefault="006D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45" w:rsidRDefault="006D3745">
      <w:r>
        <w:separator/>
      </w:r>
    </w:p>
  </w:footnote>
  <w:footnote w:type="continuationSeparator" w:id="0">
    <w:p w:rsidR="006D3745" w:rsidRDefault="006D3745">
      <w:r>
        <w:continuationSeparator/>
      </w:r>
    </w:p>
  </w:footnote>
  <w:footnote w:id="1">
    <w:p w:rsidR="00C16A13" w:rsidRPr="00BC2FB9" w:rsidRDefault="00C16A13" w:rsidP="00C16A13">
      <w:pPr>
        <w:pStyle w:val="FootnoteText"/>
      </w:pPr>
      <w:r>
        <w:rPr>
          <w:rStyle w:val="FootnoteReference"/>
        </w:rPr>
        <w:footnoteRef/>
      </w:r>
      <w:r>
        <w:t xml:space="preserve"> </w:t>
      </w:r>
      <w:proofErr w:type="gramStart"/>
      <w:r>
        <w:t xml:space="preserve">Hedgwood, R. </w:t>
      </w:r>
      <w:r w:rsidR="00450A64">
        <w:t>“</w:t>
      </w:r>
      <w:r>
        <w:t>Education and Poverty Reduction in Tanzania,</w:t>
      </w:r>
      <w:r w:rsidR="00450A64">
        <w:t>”</w:t>
      </w:r>
      <w:r>
        <w:t xml:space="preserve"> Haki Elimu working paper 9, 2005.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107F8"/>
    <w:multiLevelType w:val="hybridMultilevel"/>
    <w:tmpl w:val="EA381240"/>
    <w:lvl w:ilvl="0" w:tplc="3426E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339D5"/>
    <w:multiLevelType w:val="hybridMultilevel"/>
    <w:tmpl w:val="9542A91E"/>
    <w:lvl w:ilvl="0" w:tplc="8A9604FE">
      <w:start w:val="3"/>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896ACF"/>
    <w:multiLevelType w:val="hybridMultilevel"/>
    <w:tmpl w:val="714AB876"/>
    <w:lvl w:ilvl="0" w:tplc="F7287362">
      <w:start w:val="1"/>
      <w:numFmt w:val="lowerRoman"/>
      <w:lvlText w:val="%1."/>
      <w:lvlJc w:val="left"/>
      <w:pPr>
        <w:ind w:left="1410" w:hanging="720"/>
      </w:pPr>
      <w:rPr>
        <w:rFonts w:hint="default"/>
        <w:b/>
      </w:rPr>
    </w:lvl>
    <w:lvl w:ilvl="1" w:tplc="100C0019" w:tentative="1">
      <w:start w:val="1"/>
      <w:numFmt w:val="lowerLetter"/>
      <w:lvlText w:val="%2."/>
      <w:lvlJc w:val="left"/>
      <w:pPr>
        <w:ind w:left="1770" w:hanging="360"/>
      </w:pPr>
    </w:lvl>
    <w:lvl w:ilvl="2" w:tplc="100C001B" w:tentative="1">
      <w:start w:val="1"/>
      <w:numFmt w:val="lowerRoman"/>
      <w:lvlText w:val="%3."/>
      <w:lvlJc w:val="right"/>
      <w:pPr>
        <w:ind w:left="2490" w:hanging="180"/>
      </w:pPr>
    </w:lvl>
    <w:lvl w:ilvl="3" w:tplc="100C000F" w:tentative="1">
      <w:start w:val="1"/>
      <w:numFmt w:val="decimal"/>
      <w:lvlText w:val="%4."/>
      <w:lvlJc w:val="left"/>
      <w:pPr>
        <w:ind w:left="3210" w:hanging="360"/>
      </w:pPr>
    </w:lvl>
    <w:lvl w:ilvl="4" w:tplc="100C0019" w:tentative="1">
      <w:start w:val="1"/>
      <w:numFmt w:val="lowerLetter"/>
      <w:lvlText w:val="%5."/>
      <w:lvlJc w:val="left"/>
      <w:pPr>
        <w:ind w:left="3930" w:hanging="360"/>
      </w:pPr>
    </w:lvl>
    <w:lvl w:ilvl="5" w:tplc="100C001B" w:tentative="1">
      <w:start w:val="1"/>
      <w:numFmt w:val="lowerRoman"/>
      <w:lvlText w:val="%6."/>
      <w:lvlJc w:val="right"/>
      <w:pPr>
        <w:ind w:left="4650" w:hanging="180"/>
      </w:pPr>
    </w:lvl>
    <w:lvl w:ilvl="6" w:tplc="100C000F" w:tentative="1">
      <w:start w:val="1"/>
      <w:numFmt w:val="decimal"/>
      <w:lvlText w:val="%7."/>
      <w:lvlJc w:val="left"/>
      <w:pPr>
        <w:ind w:left="5370" w:hanging="360"/>
      </w:pPr>
    </w:lvl>
    <w:lvl w:ilvl="7" w:tplc="100C0019" w:tentative="1">
      <w:start w:val="1"/>
      <w:numFmt w:val="lowerLetter"/>
      <w:lvlText w:val="%8."/>
      <w:lvlJc w:val="left"/>
      <w:pPr>
        <w:ind w:left="6090" w:hanging="360"/>
      </w:pPr>
    </w:lvl>
    <w:lvl w:ilvl="8" w:tplc="100C001B" w:tentative="1">
      <w:start w:val="1"/>
      <w:numFmt w:val="lowerRoman"/>
      <w:lvlText w:val="%9."/>
      <w:lvlJc w:val="right"/>
      <w:pPr>
        <w:ind w:left="6810" w:hanging="180"/>
      </w:pPr>
    </w:lvl>
  </w:abstractNum>
  <w:abstractNum w:abstractNumId="12">
    <w:nsid w:val="2EA351E3"/>
    <w:multiLevelType w:val="multilevel"/>
    <w:tmpl w:val="20A0254E"/>
    <w:lvl w:ilvl="0">
      <w:start w:val="1"/>
      <w:numFmt w:val="decimal"/>
      <w:pStyle w:val="Para"/>
      <w:lvlText w:val="%1."/>
      <w:lvlJc w:val="left"/>
      <w:pPr>
        <w:ind w:left="360" w:hanging="360"/>
      </w:pPr>
      <w:rPr>
        <w:rFonts w:hint="default"/>
        <w:b w:val="0"/>
      </w:rPr>
    </w:lvl>
    <w:lvl w:ilvl="1">
      <w:start w:val="1"/>
      <w:numFmt w:val="decimal"/>
      <w:lvlText w:val="%2."/>
      <w:lvlJc w:val="left"/>
      <w:pPr>
        <w:tabs>
          <w:tab w:val="num" w:pos="1530"/>
        </w:tabs>
        <w:ind w:left="1530" w:hanging="720"/>
      </w:pPr>
      <w:rPr>
        <w:rFonts w:hint="default"/>
      </w:rPr>
    </w:lvl>
    <w:lvl w:ilvl="2">
      <w:start w:val="1"/>
      <w:numFmt w:val="decimal"/>
      <w:lvlText w:val="%3."/>
      <w:lvlJc w:val="left"/>
      <w:pPr>
        <w:tabs>
          <w:tab w:val="num" w:pos="2250"/>
        </w:tabs>
        <w:ind w:left="2250" w:hanging="720"/>
      </w:pPr>
      <w:rPr>
        <w:rFonts w:hint="default"/>
      </w:rPr>
    </w:lvl>
    <w:lvl w:ilvl="3">
      <w:start w:val="1"/>
      <w:numFmt w:val="decimal"/>
      <w:lvlText w:val="%4."/>
      <w:lvlJc w:val="left"/>
      <w:pPr>
        <w:tabs>
          <w:tab w:val="num" w:pos="2970"/>
        </w:tabs>
        <w:ind w:left="2970" w:hanging="720"/>
      </w:pPr>
      <w:rPr>
        <w:rFonts w:hint="default"/>
      </w:rPr>
    </w:lvl>
    <w:lvl w:ilvl="4">
      <w:start w:val="1"/>
      <w:numFmt w:val="decimal"/>
      <w:lvlText w:val="%5."/>
      <w:lvlJc w:val="left"/>
      <w:pPr>
        <w:tabs>
          <w:tab w:val="num" w:pos="3690"/>
        </w:tabs>
        <w:ind w:left="3690" w:hanging="720"/>
      </w:pPr>
      <w:rPr>
        <w:rFonts w:hint="default"/>
      </w:rPr>
    </w:lvl>
    <w:lvl w:ilvl="5">
      <w:start w:val="1"/>
      <w:numFmt w:val="decimal"/>
      <w:lvlText w:val="%6."/>
      <w:lvlJc w:val="left"/>
      <w:pPr>
        <w:tabs>
          <w:tab w:val="num" w:pos="4410"/>
        </w:tabs>
        <w:ind w:left="4410" w:hanging="720"/>
      </w:pPr>
      <w:rPr>
        <w:rFonts w:hint="default"/>
      </w:rPr>
    </w:lvl>
    <w:lvl w:ilvl="6">
      <w:start w:val="1"/>
      <w:numFmt w:val="decimal"/>
      <w:lvlText w:val="%7."/>
      <w:lvlJc w:val="left"/>
      <w:pPr>
        <w:tabs>
          <w:tab w:val="num" w:pos="5130"/>
        </w:tabs>
        <w:ind w:left="5130" w:hanging="720"/>
      </w:pPr>
      <w:rPr>
        <w:rFonts w:hint="default"/>
      </w:rPr>
    </w:lvl>
    <w:lvl w:ilvl="7">
      <w:start w:val="1"/>
      <w:numFmt w:val="decimal"/>
      <w:lvlText w:val="%8."/>
      <w:lvlJc w:val="left"/>
      <w:pPr>
        <w:tabs>
          <w:tab w:val="num" w:pos="5850"/>
        </w:tabs>
        <w:ind w:left="5850" w:hanging="720"/>
      </w:pPr>
      <w:rPr>
        <w:rFonts w:hint="default"/>
      </w:rPr>
    </w:lvl>
    <w:lvl w:ilvl="8">
      <w:start w:val="1"/>
      <w:numFmt w:val="decimal"/>
      <w:lvlText w:val="%9."/>
      <w:lvlJc w:val="left"/>
      <w:pPr>
        <w:tabs>
          <w:tab w:val="num" w:pos="6570"/>
        </w:tabs>
        <w:ind w:left="6570" w:hanging="720"/>
      </w:pPr>
      <w:rPr>
        <w:rFonts w:hint="default"/>
      </w:rPr>
    </w:lvl>
  </w:abstractNum>
  <w:abstractNum w:abstractNumId="13">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D30EC2"/>
    <w:multiLevelType w:val="hybridMultilevel"/>
    <w:tmpl w:val="C37A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DF0D68"/>
    <w:multiLevelType w:val="hybridMultilevel"/>
    <w:tmpl w:val="2E8E5B2E"/>
    <w:lvl w:ilvl="0" w:tplc="EE860C38">
      <w:start w:val="1"/>
      <w:numFmt w:val="lowerRoman"/>
      <w:lvlText w:val="%1."/>
      <w:lvlJc w:val="left"/>
      <w:pPr>
        <w:ind w:left="1440" w:hanging="720"/>
      </w:pPr>
      <w:rPr>
        <w:rFonts w:hint="default"/>
        <w:b/>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6">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8">
    <w:nsid w:val="751B5AC2"/>
    <w:multiLevelType w:val="hybridMultilevel"/>
    <w:tmpl w:val="E15E83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31"/>
  </w:num>
  <w:num w:numId="4">
    <w:abstractNumId w:val="1"/>
  </w:num>
  <w:num w:numId="5">
    <w:abstractNumId w:val="17"/>
  </w:num>
  <w:num w:numId="6">
    <w:abstractNumId w:val="0"/>
  </w:num>
  <w:num w:numId="7">
    <w:abstractNumId w:val="24"/>
  </w:num>
  <w:num w:numId="8">
    <w:abstractNumId w:val="9"/>
  </w:num>
  <w:num w:numId="9">
    <w:abstractNumId w:val="19"/>
  </w:num>
  <w:num w:numId="10">
    <w:abstractNumId w:val="3"/>
  </w:num>
  <w:num w:numId="11">
    <w:abstractNumId w:val="14"/>
  </w:num>
  <w:num w:numId="12">
    <w:abstractNumId w:val="18"/>
  </w:num>
  <w:num w:numId="13">
    <w:abstractNumId w:val="13"/>
  </w:num>
  <w:num w:numId="14">
    <w:abstractNumId w:val="27"/>
  </w:num>
  <w:num w:numId="15">
    <w:abstractNumId w:val="32"/>
  </w:num>
  <w:num w:numId="16">
    <w:abstractNumId w:val="10"/>
  </w:num>
  <w:num w:numId="17">
    <w:abstractNumId w:val="15"/>
  </w:num>
  <w:num w:numId="18">
    <w:abstractNumId w:val="30"/>
  </w:num>
  <w:num w:numId="19">
    <w:abstractNumId w:val="20"/>
  </w:num>
  <w:num w:numId="20">
    <w:abstractNumId w:val="4"/>
  </w:num>
  <w:num w:numId="21">
    <w:abstractNumId w:val="26"/>
  </w:num>
  <w:num w:numId="22">
    <w:abstractNumId w:val="22"/>
  </w:num>
  <w:num w:numId="23">
    <w:abstractNumId w:val="7"/>
  </w:num>
  <w:num w:numId="24">
    <w:abstractNumId w:val="29"/>
  </w:num>
  <w:num w:numId="25">
    <w:abstractNumId w:val="23"/>
  </w:num>
  <w:num w:numId="26">
    <w:abstractNumId w:val="6"/>
  </w:num>
  <w:num w:numId="27">
    <w:abstractNumId w:val="12"/>
  </w:num>
  <w:num w:numId="28">
    <w:abstractNumId w:val="21"/>
  </w:num>
  <w:num w:numId="29">
    <w:abstractNumId w:val="5"/>
  </w:num>
  <w:num w:numId="30">
    <w:abstractNumId w:val="2"/>
  </w:num>
  <w:num w:numId="31">
    <w:abstractNumId w:val="11"/>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5277E"/>
    <w:rsid w:val="00071B65"/>
    <w:rsid w:val="000736A2"/>
    <w:rsid w:val="00086692"/>
    <w:rsid w:val="000A0FBC"/>
    <w:rsid w:val="000C5924"/>
    <w:rsid w:val="000D2D1B"/>
    <w:rsid w:val="000D766F"/>
    <w:rsid w:val="00101C42"/>
    <w:rsid w:val="001225AC"/>
    <w:rsid w:val="001527BE"/>
    <w:rsid w:val="00171E5D"/>
    <w:rsid w:val="00182A0D"/>
    <w:rsid w:val="001936A8"/>
    <w:rsid w:val="001A4469"/>
    <w:rsid w:val="001C7453"/>
    <w:rsid w:val="001D607D"/>
    <w:rsid w:val="001E13F4"/>
    <w:rsid w:val="001E638A"/>
    <w:rsid w:val="002428DC"/>
    <w:rsid w:val="00255949"/>
    <w:rsid w:val="00283684"/>
    <w:rsid w:val="003103C4"/>
    <w:rsid w:val="00335C23"/>
    <w:rsid w:val="00337CE7"/>
    <w:rsid w:val="00364234"/>
    <w:rsid w:val="003723D9"/>
    <w:rsid w:val="00383CBB"/>
    <w:rsid w:val="003E3E86"/>
    <w:rsid w:val="003F02CA"/>
    <w:rsid w:val="00450A64"/>
    <w:rsid w:val="004C6525"/>
    <w:rsid w:val="004D2ADA"/>
    <w:rsid w:val="004D6196"/>
    <w:rsid w:val="004F0F64"/>
    <w:rsid w:val="00543157"/>
    <w:rsid w:val="00577870"/>
    <w:rsid w:val="0058687F"/>
    <w:rsid w:val="00586A53"/>
    <w:rsid w:val="0059349F"/>
    <w:rsid w:val="005A5D01"/>
    <w:rsid w:val="005D122E"/>
    <w:rsid w:val="00671A99"/>
    <w:rsid w:val="00674243"/>
    <w:rsid w:val="0067697E"/>
    <w:rsid w:val="00690F9A"/>
    <w:rsid w:val="006C5D18"/>
    <w:rsid w:val="006D3745"/>
    <w:rsid w:val="006F3FC6"/>
    <w:rsid w:val="00701157"/>
    <w:rsid w:val="00701460"/>
    <w:rsid w:val="007150F6"/>
    <w:rsid w:val="0072349A"/>
    <w:rsid w:val="00731BC4"/>
    <w:rsid w:val="007863D3"/>
    <w:rsid w:val="00787B7C"/>
    <w:rsid w:val="0079370B"/>
    <w:rsid w:val="00793D7D"/>
    <w:rsid w:val="00794631"/>
    <w:rsid w:val="007B7DB3"/>
    <w:rsid w:val="008451FE"/>
    <w:rsid w:val="00896D4F"/>
    <w:rsid w:val="008E0141"/>
    <w:rsid w:val="008F0B46"/>
    <w:rsid w:val="00914E33"/>
    <w:rsid w:val="00915DAE"/>
    <w:rsid w:val="00921E31"/>
    <w:rsid w:val="00923AC9"/>
    <w:rsid w:val="00963593"/>
    <w:rsid w:val="00985005"/>
    <w:rsid w:val="00996EEB"/>
    <w:rsid w:val="009A2A7B"/>
    <w:rsid w:val="009B1BF2"/>
    <w:rsid w:val="009B6060"/>
    <w:rsid w:val="009D77C8"/>
    <w:rsid w:val="009F5E4D"/>
    <w:rsid w:val="00A05BC0"/>
    <w:rsid w:val="00A126FA"/>
    <w:rsid w:val="00A25C56"/>
    <w:rsid w:val="00A31C2E"/>
    <w:rsid w:val="00AA5A30"/>
    <w:rsid w:val="00AB0F65"/>
    <w:rsid w:val="00B06FF9"/>
    <w:rsid w:val="00B17C5F"/>
    <w:rsid w:val="00B3148A"/>
    <w:rsid w:val="00B677C4"/>
    <w:rsid w:val="00C070C8"/>
    <w:rsid w:val="00C16A13"/>
    <w:rsid w:val="00C63E52"/>
    <w:rsid w:val="00C67E15"/>
    <w:rsid w:val="00C96CBF"/>
    <w:rsid w:val="00CA1059"/>
    <w:rsid w:val="00D2365D"/>
    <w:rsid w:val="00D45CC4"/>
    <w:rsid w:val="00D545E4"/>
    <w:rsid w:val="00D6566F"/>
    <w:rsid w:val="00DB48A5"/>
    <w:rsid w:val="00DE04D1"/>
    <w:rsid w:val="00DE739D"/>
    <w:rsid w:val="00DF5C0B"/>
    <w:rsid w:val="00E528E0"/>
    <w:rsid w:val="00E65BCB"/>
    <w:rsid w:val="00E74685"/>
    <w:rsid w:val="00EC042A"/>
    <w:rsid w:val="00EC640B"/>
    <w:rsid w:val="00EC7B11"/>
    <w:rsid w:val="00F0622C"/>
    <w:rsid w:val="00F34A55"/>
    <w:rsid w:val="00F34B6F"/>
    <w:rsid w:val="00F41703"/>
    <w:rsid w:val="00F508CC"/>
    <w:rsid w:val="00F7168A"/>
    <w:rsid w:val="00FE0435"/>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Ref,de nota al pie,16 Point,Superscript 6 Point,Appel note de bas de page,ftref,BVI fnr,Footnote Reference Number, BVI fnr,Footnote,Char Char Char Char Car Char, Car1,Car1,Знак сноски 1,Footnote Reference Char Char Char,fr,SUPERS,R"/>
    <w:basedOn w:val="DefaultParagraphFont"/>
    <w:link w:val="BVIfnrCarCarCarCarChar"/>
    <w:qFormat/>
    <w:rsid w:val="00731BC4"/>
    <w:rPr>
      <w:vertAlign w:val="superscript"/>
    </w:rPr>
  </w:style>
  <w:style w:type="paragraph" w:styleId="FootnoteText">
    <w:name w:val="footnote text"/>
    <w:aliases w:val="FOOTNOTES,fn,single space,footnote text,f,Geneva 9,Font: Geneva 9,Boston 10,Footnote Text Char1,Footnote Text Char2 Char,Footnote Text Char1 Char Char,Footnote Text Char2 Char Char Char,Footnote Text Char1 Char Char Char Char,Char,FN,ft,A"/>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 Char,Geneva 9 Char,Font: Geneva 9 Char,Boston 10 Char,Footnote Text Char1 Char,Footnote Text Char2 Char Char,Footnote Text Char1 Char Char Char,Char Char,FN Char,f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Liste 1,Bullets,List Paragraph nowy,List Paragraph (numbered (a)),List Bullet-OpsManual,References,Title Style 1,Colorful List - Accent 11,Figures"/>
    <w:basedOn w:val="Normal"/>
    <w:link w:val="ListParagraphChar"/>
    <w:uiPriority w:val="99"/>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Para">
    <w:name w:val="Para"/>
    <w:basedOn w:val="Normal"/>
    <w:link w:val="ParaChar"/>
    <w:qFormat/>
    <w:rsid w:val="00C16A13"/>
    <w:pPr>
      <w:numPr>
        <w:numId w:val="27"/>
      </w:numPr>
      <w:spacing w:after="240"/>
      <w:ind w:left="0" w:firstLine="0"/>
      <w:jc w:val="both"/>
      <w:outlineLvl w:val="1"/>
    </w:pPr>
    <w:rPr>
      <w:lang w:val="x-none" w:eastAsia="x-none"/>
    </w:rPr>
  </w:style>
  <w:style w:type="character" w:customStyle="1" w:styleId="ParaChar">
    <w:name w:val="Para Char"/>
    <w:link w:val="Para"/>
    <w:rsid w:val="00C16A13"/>
    <w:rPr>
      <w:sz w:val="24"/>
      <w:szCs w:val="24"/>
      <w:lang w:val="x-none" w:eastAsia="x-none"/>
    </w:rPr>
  </w:style>
  <w:style w:type="paragraph" w:customStyle="1" w:styleId="BVIfnrCarCarCarCarChar">
    <w:name w:val="BVI fnr Car Car Car Car Char"/>
    <w:basedOn w:val="Normal"/>
    <w:next w:val="FootnoteText"/>
    <w:link w:val="FootnoteReference"/>
    <w:rsid w:val="00C16A13"/>
    <w:pPr>
      <w:widowControl w:val="0"/>
      <w:adjustRightInd w:val="0"/>
      <w:spacing w:after="160" w:line="240" w:lineRule="exact"/>
      <w:jc w:val="both"/>
    </w:pPr>
    <w:rPr>
      <w:sz w:val="20"/>
      <w:szCs w:val="20"/>
      <w:vertAlign w:val="superscript"/>
    </w:rPr>
  </w:style>
  <w:style w:type="character" w:customStyle="1" w:styleId="CaptionChar">
    <w:name w:val="Caption Char"/>
    <w:aliases w:val="Caption Char2 Char,Caption Char1 Char Char,Caption Char Char Char1 Char,Caption Char Char1 Char,Caption Char Char Char Char Char"/>
    <w:basedOn w:val="DefaultParagraphFont"/>
    <w:link w:val="Caption"/>
    <w:locked/>
    <w:rsid w:val="0072349A"/>
    <w:rPr>
      <w:b/>
      <w:bCs/>
    </w:rPr>
  </w:style>
  <w:style w:type="paragraph" w:styleId="Caption">
    <w:name w:val="caption"/>
    <w:aliases w:val="Caption Char2,Caption Char1 Char,Caption Char Char Char1,Caption Char Char1,Caption Char Char Char Char"/>
    <w:basedOn w:val="Normal"/>
    <w:next w:val="Normal"/>
    <w:link w:val="CaptionChar"/>
    <w:unhideWhenUsed/>
    <w:qFormat/>
    <w:rsid w:val="0072349A"/>
    <w:pPr>
      <w:jc w:val="center"/>
    </w:pPr>
    <w:rPr>
      <w:b/>
      <w:bCs/>
      <w:sz w:val="20"/>
      <w:szCs w:val="20"/>
    </w:rPr>
  </w:style>
  <w:style w:type="character" w:customStyle="1" w:styleId="tabfignotesChar">
    <w:name w:val="tabfig notes Char"/>
    <w:basedOn w:val="DefaultParagraphFont"/>
    <w:link w:val="tabfignotes"/>
    <w:locked/>
    <w:rsid w:val="0072349A"/>
    <w:rPr>
      <w:sz w:val="16"/>
      <w:szCs w:val="16"/>
      <w:lang w:bidi="th-TH"/>
    </w:rPr>
  </w:style>
  <w:style w:type="paragraph" w:customStyle="1" w:styleId="tabfignotes">
    <w:name w:val="tabfig notes"/>
    <w:basedOn w:val="Normal"/>
    <w:link w:val="tabfignotesChar"/>
    <w:qFormat/>
    <w:rsid w:val="0072349A"/>
    <w:pPr>
      <w:jc w:val="both"/>
      <w:outlineLvl w:val="1"/>
    </w:pPr>
    <w:rPr>
      <w:sz w:val="16"/>
      <w:szCs w:val="16"/>
      <w:lang w:bidi="th-TH"/>
    </w:rPr>
  </w:style>
  <w:style w:type="character" w:customStyle="1" w:styleId="ListParagraphChar">
    <w:name w:val="List Paragraph Char"/>
    <w:aliases w:val="Liste 1 Char,Bullets Char,List Paragraph nowy Char,List Paragraph (numbered (a)) Char,List Bullet-OpsManual Char,References Char,Title Style 1 Char,Colorful List - Accent 11 Char,Figures Char"/>
    <w:link w:val="ListParagraph"/>
    <w:uiPriority w:val="34"/>
    <w:rsid w:val="0072349A"/>
    <w:rPr>
      <w:sz w:val="24"/>
      <w:szCs w:val="24"/>
    </w:rPr>
  </w:style>
  <w:style w:type="paragraph" w:styleId="CommentSubject">
    <w:name w:val="annotation subject"/>
    <w:basedOn w:val="CommentText"/>
    <w:next w:val="CommentText"/>
    <w:link w:val="CommentSubjectChar"/>
    <w:rsid w:val="0005277E"/>
    <w:rPr>
      <w:b/>
      <w:bCs/>
    </w:rPr>
  </w:style>
  <w:style w:type="character" w:customStyle="1" w:styleId="CommentTextChar">
    <w:name w:val="Comment Text Char"/>
    <w:basedOn w:val="DefaultParagraphFont"/>
    <w:link w:val="CommentText"/>
    <w:semiHidden/>
    <w:rsid w:val="0005277E"/>
  </w:style>
  <w:style w:type="character" w:customStyle="1" w:styleId="CommentSubjectChar">
    <w:name w:val="Comment Subject Char"/>
    <w:basedOn w:val="CommentTextChar"/>
    <w:link w:val="CommentSubject"/>
    <w:rsid w:val="0005277E"/>
    <w:rPr>
      <w:b/>
      <w:bCs/>
    </w:rPr>
  </w:style>
  <w:style w:type="paragraph" w:styleId="Header">
    <w:name w:val="header"/>
    <w:basedOn w:val="Normal"/>
    <w:link w:val="HeaderChar"/>
    <w:rsid w:val="00B3148A"/>
    <w:pPr>
      <w:tabs>
        <w:tab w:val="center" w:pos="4680"/>
        <w:tab w:val="right" w:pos="9360"/>
      </w:tabs>
    </w:pPr>
  </w:style>
  <w:style w:type="character" w:customStyle="1" w:styleId="HeaderChar">
    <w:name w:val="Header Char"/>
    <w:basedOn w:val="DefaultParagraphFont"/>
    <w:link w:val="Header"/>
    <w:rsid w:val="00B3148A"/>
    <w:rPr>
      <w:sz w:val="24"/>
      <w:szCs w:val="24"/>
    </w:rPr>
  </w:style>
  <w:style w:type="paragraph" w:styleId="Footer">
    <w:name w:val="footer"/>
    <w:basedOn w:val="Normal"/>
    <w:link w:val="FooterChar"/>
    <w:rsid w:val="00B3148A"/>
    <w:pPr>
      <w:tabs>
        <w:tab w:val="center" w:pos="4680"/>
        <w:tab w:val="right" w:pos="9360"/>
      </w:tabs>
    </w:pPr>
  </w:style>
  <w:style w:type="character" w:customStyle="1" w:styleId="FooterChar">
    <w:name w:val="Footer Char"/>
    <w:basedOn w:val="DefaultParagraphFont"/>
    <w:link w:val="Footer"/>
    <w:rsid w:val="00B314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Ref,de nota al pie,16 Point,Superscript 6 Point,Appel note de bas de page,ftref,BVI fnr,Footnote Reference Number, BVI fnr,Footnote,Char Char Char Char Car Char, Car1,Car1,Знак сноски 1,Footnote Reference Char Char Char,fr,SUPERS,R"/>
    <w:basedOn w:val="DefaultParagraphFont"/>
    <w:link w:val="BVIfnrCarCarCarCarChar"/>
    <w:qFormat/>
    <w:rsid w:val="00731BC4"/>
    <w:rPr>
      <w:vertAlign w:val="superscript"/>
    </w:rPr>
  </w:style>
  <w:style w:type="paragraph" w:styleId="FootnoteText">
    <w:name w:val="footnote text"/>
    <w:aliases w:val="FOOTNOTES,fn,single space,footnote text,f,Geneva 9,Font: Geneva 9,Boston 10,Footnote Text Char1,Footnote Text Char2 Char,Footnote Text Char1 Char Char,Footnote Text Char2 Char Char Char,Footnote Text Char1 Char Char Char Char,Char,FN,ft,A"/>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 Char,Geneva 9 Char,Font: Geneva 9 Char,Boston 10 Char,Footnote Text Char1 Char,Footnote Text Char2 Char Char,Footnote Text Char1 Char Char Char,Char Char,FN Char,ft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Liste 1,Bullets,List Paragraph nowy,List Paragraph (numbered (a)),List Bullet-OpsManual,References,Title Style 1,Colorful List - Accent 11,Figures"/>
    <w:basedOn w:val="Normal"/>
    <w:link w:val="ListParagraphChar"/>
    <w:uiPriority w:val="99"/>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Para">
    <w:name w:val="Para"/>
    <w:basedOn w:val="Normal"/>
    <w:link w:val="ParaChar"/>
    <w:qFormat/>
    <w:rsid w:val="00C16A13"/>
    <w:pPr>
      <w:numPr>
        <w:numId w:val="27"/>
      </w:numPr>
      <w:spacing w:after="240"/>
      <w:ind w:left="0" w:firstLine="0"/>
      <w:jc w:val="both"/>
      <w:outlineLvl w:val="1"/>
    </w:pPr>
    <w:rPr>
      <w:lang w:val="x-none" w:eastAsia="x-none"/>
    </w:rPr>
  </w:style>
  <w:style w:type="character" w:customStyle="1" w:styleId="ParaChar">
    <w:name w:val="Para Char"/>
    <w:link w:val="Para"/>
    <w:rsid w:val="00C16A13"/>
    <w:rPr>
      <w:sz w:val="24"/>
      <w:szCs w:val="24"/>
      <w:lang w:val="x-none" w:eastAsia="x-none"/>
    </w:rPr>
  </w:style>
  <w:style w:type="paragraph" w:customStyle="1" w:styleId="BVIfnrCarCarCarCarChar">
    <w:name w:val="BVI fnr Car Car Car Car Char"/>
    <w:basedOn w:val="Normal"/>
    <w:next w:val="FootnoteText"/>
    <w:link w:val="FootnoteReference"/>
    <w:rsid w:val="00C16A13"/>
    <w:pPr>
      <w:widowControl w:val="0"/>
      <w:adjustRightInd w:val="0"/>
      <w:spacing w:after="160" w:line="240" w:lineRule="exact"/>
      <w:jc w:val="both"/>
    </w:pPr>
    <w:rPr>
      <w:sz w:val="20"/>
      <w:szCs w:val="20"/>
      <w:vertAlign w:val="superscript"/>
    </w:rPr>
  </w:style>
  <w:style w:type="character" w:customStyle="1" w:styleId="CaptionChar">
    <w:name w:val="Caption Char"/>
    <w:aliases w:val="Caption Char2 Char,Caption Char1 Char Char,Caption Char Char Char1 Char,Caption Char Char1 Char,Caption Char Char Char Char Char"/>
    <w:basedOn w:val="DefaultParagraphFont"/>
    <w:link w:val="Caption"/>
    <w:locked/>
    <w:rsid w:val="0072349A"/>
    <w:rPr>
      <w:b/>
      <w:bCs/>
    </w:rPr>
  </w:style>
  <w:style w:type="paragraph" w:styleId="Caption">
    <w:name w:val="caption"/>
    <w:aliases w:val="Caption Char2,Caption Char1 Char,Caption Char Char Char1,Caption Char Char1,Caption Char Char Char Char"/>
    <w:basedOn w:val="Normal"/>
    <w:next w:val="Normal"/>
    <w:link w:val="CaptionChar"/>
    <w:unhideWhenUsed/>
    <w:qFormat/>
    <w:rsid w:val="0072349A"/>
    <w:pPr>
      <w:jc w:val="center"/>
    </w:pPr>
    <w:rPr>
      <w:b/>
      <w:bCs/>
      <w:sz w:val="20"/>
      <w:szCs w:val="20"/>
    </w:rPr>
  </w:style>
  <w:style w:type="character" w:customStyle="1" w:styleId="tabfignotesChar">
    <w:name w:val="tabfig notes Char"/>
    <w:basedOn w:val="DefaultParagraphFont"/>
    <w:link w:val="tabfignotes"/>
    <w:locked/>
    <w:rsid w:val="0072349A"/>
    <w:rPr>
      <w:sz w:val="16"/>
      <w:szCs w:val="16"/>
      <w:lang w:bidi="th-TH"/>
    </w:rPr>
  </w:style>
  <w:style w:type="paragraph" w:customStyle="1" w:styleId="tabfignotes">
    <w:name w:val="tabfig notes"/>
    <w:basedOn w:val="Normal"/>
    <w:link w:val="tabfignotesChar"/>
    <w:qFormat/>
    <w:rsid w:val="0072349A"/>
    <w:pPr>
      <w:jc w:val="both"/>
      <w:outlineLvl w:val="1"/>
    </w:pPr>
    <w:rPr>
      <w:sz w:val="16"/>
      <w:szCs w:val="16"/>
      <w:lang w:bidi="th-TH"/>
    </w:rPr>
  </w:style>
  <w:style w:type="character" w:customStyle="1" w:styleId="ListParagraphChar">
    <w:name w:val="List Paragraph Char"/>
    <w:aliases w:val="Liste 1 Char,Bullets Char,List Paragraph nowy Char,List Paragraph (numbered (a)) Char,List Bullet-OpsManual Char,References Char,Title Style 1 Char,Colorful List - Accent 11 Char,Figures Char"/>
    <w:link w:val="ListParagraph"/>
    <w:uiPriority w:val="34"/>
    <w:rsid w:val="0072349A"/>
    <w:rPr>
      <w:sz w:val="24"/>
      <w:szCs w:val="24"/>
    </w:rPr>
  </w:style>
  <w:style w:type="paragraph" w:styleId="CommentSubject">
    <w:name w:val="annotation subject"/>
    <w:basedOn w:val="CommentText"/>
    <w:next w:val="CommentText"/>
    <w:link w:val="CommentSubjectChar"/>
    <w:rsid w:val="0005277E"/>
    <w:rPr>
      <w:b/>
      <w:bCs/>
    </w:rPr>
  </w:style>
  <w:style w:type="character" w:customStyle="1" w:styleId="CommentTextChar">
    <w:name w:val="Comment Text Char"/>
    <w:basedOn w:val="DefaultParagraphFont"/>
    <w:link w:val="CommentText"/>
    <w:semiHidden/>
    <w:rsid w:val="0005277E"/>
  </w:style>
  <w:style w:type="character" w:customStyle="1" w:styleId="CommentSubjectChar">
    <w:name w:val="Comment Subject Char"/>
    <w:basedOn w:val="CommentTextChar"/>
    <w:link w:val="CommentSubject"/>
    <w:rsid w:val="0005277E"/>
    <w:rPr>
      <w:b/>
      <w:bCs/>
    </w:rPr>
  </w:style>
  <w:style w:type="paragraph" w:styleId="Header">
    <w:name w:val="header"/>
    <w:basedOn w:val="Normal"/>
    <w:link w:val="HeaderChar"/>
    <w:rsid w:val="00B3148A"/>
    <w:pPr>
      <w:tabs>
        <w:tab w:val="center" w:pos="4680"/>
        <w:tab w:val="right" w:pos="9360"/>
      </w:tabs>
    </w:pPr>
  </w:style>
  <w:style w:type="character" w:customStyle="1" w:styleId="HeaderChar">
    <w:name w:val="Header Char"/>
    <w:basedOn w:val="DefaultParagraphFont"/>
    <w:link w:val="Header"/>
    <w:rsid w:val="00B3148A"/>
    <w:rPr>
      <w:sz w:val="24"/>
      <w:szCs w:val="24"/>
    </w:rPr>
  </w:style>
  <w:style w:type="paragraph" w:styleId="Footer">
    <w:name w:val="footer"/>
    <w:basedOn w:val="Normal"/>
    <w:link w:val="FooterChar"/>
    <w:rsid w:val="00B3148A"/>
    <w:pPr>
      <w:tabs>
        <w:tab w:val="center" w:pos="4680"/>
        <w:tab w:val="right" w:pos="9360"/>
      </w:tabs>
    </w:pPr>
  </w:style>
  <w:style w:type="character" w:customStyle="1" w:styleId="FooterChar">
    <w:name w:val="Footer Char"/>
    <w:basedOn w:val="DefaultParagraphFont"/>
    <w:link w:val="Footer"/>
    <w:rsid w:val="00B314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6A73-9755-4E9A-B87C-C8953F88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1379</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9636</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Lydie Ahodehou</cp:lastModifiedBy>
  <cp:revision>2</cp:revision>
  <cp:lastPrinted>2014-05-16T18:41:00Z</cp:lastPrinted>
  <dcterms:created xsi:type="dcterms:W3CDTF">2014-05-16T18:43:00Z</dcterms:created>
  <dcterms:modified xsi:type="dcterms:W3CDTF">2014-05-16T18:43:00Z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AB7525</vt:lpwstr>
  </property>
  <property fmtid="{D5CDD505-2E9C-101B-9397-08002B2CF9AE}" pid="3" name="TEAMLEADER">
    <vt:lpwstr>Ms Chiara Bronchi</vt:lpwstr>
  </property>
</Properties>
</file>