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7F" w:rsidRPr="00582BC2" w:rsidRDefault="00EE167F" w:rsidP="00EE167F">
      <w:pPr>
        <w:jc w:val="center"/>
        <w:rPr>
          <w:b/>
          <w:bCs/>
          <w:spacing w:val="-2"/>
        </w:rPr>
      </w:pPr>
      <w:r w:rsidRPr="00582BC2">
        <w:rPr>
          <w:b/>
          <w:bCs/>
          <w:spacing w:val="-2"/>
        </w:rPr>
        <w:t>PROGRAM INFORMATION DOCUMENT (PID)</w:t>
      </w:r>
    </w:p>
    <w:p w:rsidR="00EE167F" w:rsidRPr="00582BC2" w:rsidRDefault="000431C8" w:rsidP="00EE167F">
      <w:pPr>
        <w:jc w:val="center"/>
        <w:rPr>
          <w:b/>
          <w:bCs/>
          <w:spacing w:val="-2"/>
        </w:rPr>
      </w:pPr>
      <w:r>
        <w:rPr>
          <w:b/>
          <w:bCs/>
          <w:spacing w:val="-2"/>
        </w:rPr>
        <w:t>APPRAISAL</w:t>
      </w:r>
      <w:r w:rsidR="00D940CE">
        <w:rPr>
          <w:b/>
          <w:bCs/>
          <w:spacing w:val="-2"/>
        </w:rPr>
        <w:t xml:space="preserve"> </w:t>
      </w:r>
      <w:r w:rsidR="002F24EF">
        <w:rPr>
          <w:b/>
          <w:bCs/>
          <w:spacing w:val="-2"/>
        </w:rPr>
        <w:t>STAGE</w:t>
      </w:r>
    </w:p>
    <w:p w:rsidR="009C0431" w:rsidRDefault="009C0431" w:rsidP="00432605">
      <w:pPr>
        <w:rPr>
          <w:spacing w:val="-2"/>
        </w:rPr>
      </w:pPr>
    </w:p>
    <w:p w:rsidR="00432605" w:rsidRDefault="00EE167F" w:rsidP="008F2066">
      <w:pPr>
        <w:ind w:left="7200"/>
        <w:rPr>
          <w:spacing w:val="-2"/>
        </w:rPr>
      </w:pPr>
      <w:r w:rsidRPr="00CD7CDB">
        <w:rPr>
          <w:spacing w:val="-2"/>
        </w:rPr>
        <w:t xml:space="preserve">Report No.:  </w:t>
      </w:r>
      <w:r w:rsidR="008F2066">
        <w:rPr>
          <w:spacing w:val="-2"/>
        </w:rPr>
        <w:t>84260</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048"/>
      </w:tblGrid>
      <w:tr w:rsidR="00EE167F" w:rsidRPr="00582BC2" w:rsidTr="002825F8">
        <w:trPr>
          <w:jc w:val="center"/>
        </w:trPr>
        <w:tc>
          <w:tcPr>
            <w:tcW w:w="1842" w:type="pct"/>
          </w:tcPr>
          <w:p w:rsidR="00EE167F" w:rsidRPr="00582BC2" w:rsidRDefault="00EE167F" w:rsidP="00EE167F">
            <w:pPr>
              <w:rPr>
                <w:b/>
                <w:bCs/>
                <w:spacing w:val="-2"/>
              </w:rPr>
            </w:pPr>
            <w:r w:rsidRPr="00582BC2">
              <w:rPr>
                <w:b/>
                <w:bCs/>
                <w:spacing w:val="-2"/>
              </w:rPr>
              <w:t>Operation Name</w:t>
            </w:r>
          </w:p>
        </w:tc>
        <w:tc>
          <w:tcPr>
            <w:tcW w:w="3158" w:type="pct"/>
          </w:tcPr>
          <w:p w:rsidR="00EE167F" w:rsidRPr="00582BC2" w:rsidRDefault="001E781F" w:rsidP="00D57BE8">
            <w:pPr>
              <w:rPr>
                <w:spacing w:val="-2"/>
              </w:rPr>
            </w:pPr>
            <w:r>
              <w:rPr>
                <w:spacing w:val="-2"/>
              </w:rPr>
              <w:t>Third</w:t>
            </w:r>
            <w:r w:rsidR="00D57BE8">
              <w:rPr>
                <w:spacing w:val="-2"/>
              </w:rPr>
              <w:t xml:space="preserve"> </w:t>
            </w:r>
            <w:r w:rsidR="00152B66">
              <w:rPr>
                <w:spacing w:val="-2"/>
              </w:rPr>
              <w:t xml:space="preserve">Governance and Competitiveness </w:t>
            </w:r>
            <w:r w:rsidR="00EE167F" w:rsidRPr="00582BC2">
              <w:rPr>
                <w:spacing w:val="-2"/>
              </w:rPr>
              <w:t xml:space="preserve">Development Policy </w:t>
            </w:r>
            <w:r w:rsidR="00152B66">
              <w:rPr>
                <w:spacing w:val="-2"/>
              </w:rPr>
              <w:t>Operation (DPO</w:t>
            </w:r>
            <w:r>
              <w:rPr>
                <w:spacing w:val="-2"/>
              </w:rPr>
              <w:t>3</w:t>
            </w:r>
            <w:r w:rsidR="00152B66">
              <w:rPr>
                <w:spacing w:val="-2"/>
              </w:rPr>
              <w:t>)</w:t>
            </w:r>
          </w:p>
        </w:tc>
      </w:tr>
      <w:tr w:rsidR="00EE167F" w:rsidRPr="00582BC2" w:rsidTr="002825F8">
        <w:trPr>
          <w:jc w:val="center"/>
        </w:trPr>
        <w:tc>
          <w:tcPr>
            <w:tcW w:w="1842" w:type="pct"/>
          </w:tcPr>
          <w:p w:rsidR="00EE167F" w:rsidRPr="00582BC2" w:rsidRDefault="00EE167F" w:rsidP="00EE167F">
            <w:pPr>
              <w:rPr>
                <w:b/>
                <w:bCs/>
                <w:spacing w:val="-2"/>
              </w:rPr>
            </w:pPr>
            <w:r w:rsidRPr="00582BC2">
              <w:rPr>
                <w:b/>
                <w:bCs/>
                <w:spacing w:val="-2"/>
              </w:rPr>
              <w:t>Region</w:t>
            </w:r>
          </w:p>
        </w:tc>
        <w:tc>
          <w:tcPr>
            <w:tcW w:w="3158" w:type="pct"/>
          </w:tcPr>
          <w:p w:rsidR="00EE167F" w:rsidRPr="00582BC2" w:rsidRDefault="00EE167F" w:rsidP="00EE167F">
            <w:pPr>
              <w:rPr>
                <w:spacing w:val="-2"/>
              </w:rPr>
            </w:pPr>
            <w:r w:rsidRPr="00582BC2">
              <w:rPr>
                <w:spacing w:val="-2"/>
              </w:rPr>
              <w:t>AFRICA</w:t>
            </w:r>
          </w:p>
        </w:tc>
      </w:tr>
      <w:tr w:rsidR="00EE167F" w:rsidRPr="00582BC2" w:rsidTr="002825F8">
        <w:trPr>
          <w:jc w:val="center"/>
        </w:trPr>
        <w:tc>
          <w:tcPr>
            <w:tcW w:w="1842" w:type="pct"/>
          </w:tcPr>
          <w:p w:rsidR="00EE167F" w:rsidRPr="00582BC2" w:rsidRDefault="00EE167F" w:rsidP="00EE167F">
            <w:pPr>
              <w:rPr>
                <w:b/>
                <w:bCs/>
                <w:spacing w:val="-2"/>
              </w:rPr>
            </w:pPr>
            <w:r w:rsidRPr="00582BC2">
              <w:rPr>
                <w:b/>
                <w:bCs/>
                <w:spacing w:val="-2"/>
              </w:rPr>
              <w:t>Sector</w:t>
            </w:r>
          </w:p>
        </w:tc>
        <w:tc>
          <w:tcPr>
            <w:tcW w:w="3158" w:type="pct"/>
          </w:tcPr>
          <w:p w:rsidR="00EE167F" w:rsidRPr="00582BC2" w:rsidRDefault="0022707C" w:rsidP="0022707C">
            <w:pPr>
              <w:rPr>
                <w:spacing w:val="-2"/>
              </w:rPr>
            </w:pPr>
            <w:r>
              <w:rPr>
                <w:spacing w:val="-2"/>
              </w:rPr>
              <w:t xml:space="preserve">Central government </w:t>
            </w:r>
            <w:r w:rsidR="00EE167F" w:rsidRPr="00582BC2">
              <w:rPr>
                <w:spacing w:val="-2"/>
              </w:rPr>
              <w:t xml:space="preserve">administration sector (100%). </w:t>
            </w:r>
          </w:p>
        </w:tc>
      </w:tr>
      <w:tr w:rsidR="00EE167F" w:rsidRPr="00582BC2" w:rsidTr="002825F8">
        <w:trPr>
          <w:jc w:val="center"/>
        </w:trPr>
        <w:tc>
          <w:tcPr>
            <w:tcW w:w="1842" w:type="pct"/>
          </w:tcPr>
          <w:p w:rsidR="00EE167F" w:rsidRPr="00582BC2" w:rsidRDefault="00EE167F" w:rsidP="00EE167F">
            <w:pPr>
              <w:rPr>
                <w:b/>
                <w:bCs/>
                <w:spacing w:val="-2"/>
              </w:rPr>
            </w:pPr>
            <w:r w:rsidRPr="00582BC2">
              <w:rPr>
                <w:b/>
                <w:bCs/>
                <w:spacing w:val="-2"/>
              </w:rPr>
              <w:t>Project ID</w:t>
            </w:r>
          </w:p>
        </w:tc>
        <w:tc>
          <w:tcPr>
            <w:tcW w:w="3158" w:type="pct"/>
          </w:tcPr>
          <w:p w:rsidR="00EE167F" w:rsidRPr="00582BC2" w:rsidRDefault="001E781F" w:rsidP="00D57BE8">
            <w:pPr>
              <w:rPr>
                <w:spacing w:val="-2"/>
              </w:rPr>
            </w:pPr>
            <w:r w:rsidRPr="001E781F">
              <w:rPr>
                <w:spacing w:val="-2"/>
              </w:rPr>
              <w:t>P146953</w:t>
            </w:r>
          </w:p>
        </w:tc>
      </w:tr>
      <w:tr w:rsidR="0022707C" w:rsidRPr="00582BC2" w:rsidTr="002825F8">
        <w:trPr>
          <w:jc w:val="center"/>
        </w:trPr>
        <w:tc>
          <w:tcPr>
            <w:tcW w:w="1842" w:type="pct"/>
            <w:tcBorders>
              <w:bottom w:val="single" w:sz="4" w:space="0" w:color="auto"/>
            </w:tcBorders>
          </w:tcPr>
          <w:p w:rsidR="0022707C" w:rsidRPr="00582BC2" w:rsidRDefault="0022707C" w:rsidP="00EE167F">
            <w:pPr>
              <w:rPr>
                <w:b/>
                <w:bCs/>
                <w:spacing w:val="-2"/>
              </w:rPr>
            </w:pPr>
            <w:r>
              <w:rPr>
                <w:b/>
                <w:bCs/>
                <w:spacing w:val="-2"/>
              </w:rPr>
              <w:t>Lending Instrument</w:t>
            </w:r>
          </w:p>
        </w:tc>
        <w:tc>
          <w:tcPr>
            <w:tcW w:w="3158" w:type="pct"/>
            <w:tcBorders>
              <w:bottom w:val="single" w:sz="4" w:space="0" w:color="auto"/>
            </w:tcBorders>
          </w:tcPr>
          <w:p w:rsidR="0022707C" w:rsidRPr="00582BC2" w:rsidRDefault="0022707C" w:rsidP="00152B66">
            <w:pPr>
              <w:rPr>
                <w:spacing w:val="-2"/>
              </w:rPr>
            </w:pPr>
            <w:r>
              <w:rPr>
                <w:spacing w:val="-2"/>
              </w:rPr>
              <w:t xml:space="preserve">Development Policy </w:t>
            </w:r>
            <w:r w:rsidR="00152B66">
              <w:rPr>
                <w:spacing w:val="-2"/>
              </w:rPr>
              <w:t>Operation</w:t>
            </w:r>
          </w:p>
        </w:tc>
      </w:tr>
      <w:tr w:rsidR="00EE167F" w:rsidRPr="00582BC2" w:rsidTr="002825F8">
        <w:trPr>
          <w:jc w:val="center"/>
        </w:trPr>
        <w:tc>
          <w:tcPr>
            <w:tcW w:w="1842" w:type="pct"/>
            <w:tcBorders>
              <w:bottom w:val="single" w:sz="4" w:space="0" w:color="auto"/>
            </w:tcBorders>
          </w:tcPr>
          <w:p w:rsidR="00EE167F" w:rsidRPr="00582BC2" w:rsidRDefault="00EE167F" w:rsidP="00EE167F">
            <w:pPr>
              <w:rPr>
                <w:b/>
                <w:bCs/>
                <w:spacing w:val="-2"/>
              </w:rPr>
            </w:pPr>
            <w:r w:rsidRPr="00582BC2">
              <w:rPr>
                <w:b/>
                <w:bCs/>
                <w:spacing w:val="-2"/>
              </w:rPr>
              <w:t>Borrower(s)</w:t>
            </w:r>
          </w:p>
        </w:tc>
        <w:tc>
          <w:tcPr>
            <w:tcW w:w="3158" w:type="pct"/>
            <w:tcBorders>
              <w:bottom w:val="single" w:sz="4" w:space="0" w:color="auto"/>
            </w:tcBorders>
          </w:tcPr>
          <w:p w:rsidR="00EE167F" w:rsidRPr="00582BC2" w:rsidRDefault="00EE167F" w:rsidP="00EE167F">
            <w:pPr>
              <w:rPr>
                <w:spacing w:val="-2"/>
              </w:rPr>
            </w:pPr>
            <w:r w:rsidRPr="00582BC2">
              <w:rPr>
                <w:spacing w:val="-2"/>
              </w:rPr>
              <w:t>DEMOCRATIC REPUBLIC OF SÃO TOMÉ AND PRÍNCIPE</w:t>
            </w:r>
          </w:p>
        </w:tc>
      </w:tr>
      <w:tr w:rsidR="00BE0B3B" w:rsidRPr="00582BC2" w:rsidTr="00D62189">
        <w:trPr>
          <w:trHeight w:val="593"/>
          <w:jc w:val="center"/>
        </w:trPr>
        <w:tc>
          <w:tcPr>
            <w:tcW w:w="1842" w:type="pct"/>
            <w:tcBorders>
              <w:right w:val="single" w:sz="4" w:space="0" w:color="auto"/>
            </w:tcBorders>
          </w:tcPr>
          <w:p w:rsidR="00BE0B3B" w:rsidRPr="00582BC2" w:rsidRDefault="00BE0B3B" w:rsidP="00EE167F">
            <w:pPr>
              <w:rPr>
                <w:b/>
                <w:bCs/>
                <w:spacing w:val="-2"/>
              </w:rPr>
            </w:pPr>
            <w:r w:rsidRPr="00582BC2">
              <w:rPr>
                <w:b/>
                <w:bCs/>
                <w:spacing w:val="-2"/>
              </w:rPr>
              <w:t>Implementing Agency</w:t>
            </w:r>
          </w:p>
        </w:tc>
        <w:tc>
          <w:tcPr>
            <w:tcW w:w="3158" w:type="pct"/>
            <w:tcBorders>
              <w:top w:val="single" w:sz="4" w:space="0" w:color="auto"/>
              <w:left w:val="single" w:sz="4" w:space="0" w:color="auto"/>
              <w:right w:val="single" w:sz="4" w:space="0" w:color="auto"/>
            </w:tcBorders>
          </w:tcPr>
          <w:p w:rsidR="00BE0B3B" w:rsidRPr="00582BC2" w:rsidRDefault="00BE0B3B" w:rsidP="000756C1">
            <w:pPr>
              <w:rPr>
                <w:spacing w:val="-2"/>
              </w:rPr>
            </w:pPr>
            <w:r w:rsidRPr="00582BC2">
              <w:rPr>
                <w:spacing w:val="-2"/>
              </w:rPr>
              <w:t>MINISTRY OF FINANCE AND INTERNATIONAL COOPERATION</w:t>
            </w:r>
          </w:p>
        </w:tc>
      </w:tr>
      <w:tr w:rsidR="00EE167F" w:rsidRPr="00582BC2" w:rsidTr="002825F8">
        <w:trPr>
          <w:jc w:val="center"/>
        </w:trPr>
        <w:tc>
          <w:tcPr>
            <w:tcW w:w="1842" w:type="pct"/>
          </w:tcPr>
          <w:p w:rsidR="00EE167F" w:rsidRPr="00582BC2" w:rsidRDefault="00EE167F" w:rsidP="00EE167F">
            <w:pPr>
              <w:rPr>
                <w:b/>
                <w:bCs/>
                <w:spacing w:val="-2"/>
              </w:rPr>
            </w:pPr>
            <w:r w:rsidRPr="00582BC2">
              <w:rPr>
                <w:b/>
                <w:bCs/>
                <w:spacing w:val="-2"/>
              </w:rPr>
              <w:t>Date PID Prepared</w:t>
            </w:r>
          </w:p>
        </w:tc>
        <w:tc>
          <w:tcPr>
            <w:tcW w:w="3158" w:type="pct"/>
          </w:tcPr>
          <w:p w:rsidR="00EE167F" w:rsidRPr="00582BC2" w:rsidRDefault="006B211C" w:rsidP="006B211C">
            <w:pPr>
              <w:rPr>
                <w:spacing w:val="-2"/>
              </w:rPr>
            </w:pPr>
            <w:r>
              <w:rPr>
                <w:spacing w:val="-2"/>
              </w:rPr>
              <w:t>January 24</w:t>
            </w:r>
            <w:r w:rsidR="00EE167F" w:rsidRPr="00582BC2">
              <w:rPr>
                <w:spacing w:val="-2"/>
              </w:rPr>
              <w:t>, 201</w:t>
            </w:r>
            <w:r>
              <w:rPr>
                <w:spacing w:val="-2"/>
              </w:rPr>
              <w:t>4</w:t>
            </w:r>
          </w:p>
        </w:tc>
      </w:tr>
      <w:tr w:rsidR="00EE167F" w:rsidRPr="00582BC2" w:rsidTr="002825F8">
        <w:trPr>
          <w:jc w:val="center"/>
        </w:trPr>
        <w:tc>
          <w:tcPr>
            <w:tcW w:w="1842" w:type="pct"/>
          </w:tcPr>
          <w:p w:rsidR="00EE167F" w:rsidRPr="00582BC2" w:rsidRDefault="003C6207" w:rsidP="008E251A">
            <w:pPr>
              <w:rPr>
                <w:b/>
                <w:bCs/>
                <w:spacing w:val="-2"/>
              </w:rPr>
            </w:pPr>
            <w:r>
              <w:rPr>
                <w:b/>
                <w:bCs/>
                <w:spacing w:val="-2"/>
              </w:rPr>
              <w:t xml:space="preserve">Estimated </w:t>
            </w:r>
            <w:r w:rsidR="00EE167F" w:rsidRPr="00582BC2">
              <w:rPr>
                <w:b/>
                <w:bCs/>
                <w:spacing w:val="-2"/>
              </w:rPr>
              <w:t xml:space="preserve">Date of Appraisal </w:t>
            </w:r>
          </w:p>
        </w:tc>
        <w:tc>
          <w:tcPr>
            <w:tcW w:w="3158" w:type="pct"/>
          </w:tcPr>
          <w:p w:rsidR="00EE167F" w:rsidRPr="00582BC2" w:rsidRDefault="00093BC4" w:rsidP="00093BC4">
            <w:pPr>
              <w:rPr>
                <w:spacing w:val="-2"/>
              </w:rPr>
            </w:pPr>
            <w:r>
              <w:rPr>
                <w:spacing w:val="-2"/>
              </w:rPr>
              <w:t>January</w:t>
            </w:r>
            <w:r w:rsidR="00EE167F" w:rsidRPr="009C2332">
              <w:rPr>
                <w:spacing w:val="-2"/>
              </w:rPr>
              <w:t>,</w:t>
            </w:r>
            <w:r w:rsidR="00313D95">
              <w:rPr>
                <w:spacing w:val="-2"/>
              </w:rPr>
              <w:t xml:space="preserve"> </w:t>
            </w:r>
            <w:r>
              <w:rPr>
                <w:spacing w:val="-2"/>
              </w:rPr>
              <w:t>27</w:t>
            </w:r>
            <w:r w:rsidR="00EE167F" w:rsidRPr="009C2332">
              <w:rPr>
                <w:spacing w:val="-2"/>
              </w:rPr>
              <w:t xml:space="preserve"> 20</w:t>
            </w:r>
            <w:r w:rsidR="001A07D2" w:rsidRPr="009C2332">
              <w:rPr>
                <w:spacing w:val="-2"/>
              </w:rPr>
              <w:t>1</w:t>
            </w:r>
            <w:r w:rsidR="00313D95">
              <w:rPr>
                <w:spacing w:val="-2"/>
              </w:rPr>
              <w:t>4</w:t>
            </w:r>
          </w:p>
        </w:tc>
      </w:tr>
      <w:tr w:rsidR="00EE167F" w:rsidRPr="00582BC2" w:rsidTr="002825F8">
        <w:trPr>
          <w:jc w:val="center"/>
        </w:trPr>
        <w:tc>
          <w:tcPr>
            <w:tcW w:w="1842" w:type="pct"/>
          </w:tcPr>
          <w:p w:rsidR="00EE167F" w:rsidRPr="00582BC2" w:rsidRDefault="003C6207" w:rsidP="00EE167F">
            <w:pPr>
              <w:rPr>
                <w:b/>
                <w:bCs/>
                <w:spacing w:val="-2"/>
              </w:rPr>
            </w:pPr>
            <w:r>
              <w:rPr>
                <w:b/>
                <w:bCs/>
                <w:spacing w:val="-2"/>
              </w:rPr>
              <w:t xml:space="preserve">Estimated </w:t>
            </w:r>
            <w:r w:rsidR="00EE167F" w:rsidRPr="00582BC2">
              <w:rPr>
                <w:b/>
                <w:bCs/>
                <w:spacing w:val="-2"/>
              </w:rPr>
              <w:t>Date of Board Approval</w:t>
            </w:r>
          </w:p>
        </w:tc>
        <w:tc>
          <w:tcPr>
            <w:tcW w:w="3158" w:type="pct"/>
          </w:tcPr>
          <w:p w:rsidR="00EE167F" w:rsidRPr="00582BC2" w:rsidRDefault="001E781F" w:rsidP="00D57BE8">
            <w:pPr>
              <w:rPr>
                <w:spacing w:val="-2"/>
              </w:rPr>
            </w:pPr>
            <w:r>
              <w:rPr>
                <w:spacing w:val="-2"/>
              </w:rPr>
              <w:t>April 15</w:t>
            </w:r>
            <w:r w:rsidR="00EE167F" w:rsidRPr="00582BC2">
              <w:rPr>
                <w:spacing w:val="-2"/>
              </w:rPr>
              <w:t>, 201</w:t>
            </w:r>
            <w:r w:rsidR="00D57BE8">
              <w:rPr>
                <w:spacing w:val="-2"/>
              </w:rPr>
              <w:t>3</w:t>
            </w:r>
          </w:p>
        </w:tc>
      </w:tr>
      <w:tr w:rsidR="009C2332" w:rsidRPr="00582BC2" w:rsidTr="002825F8">
        <w:trPr>
          <w:jc w:val="center"/>
        </w:trPr>
        <w:tc>
          <w:tcPr>
            <w:tcW w:w="1842" w:type="pct"/>
          </w:tcPr>
          <w:p w:rsidR="009C2332" w:rsidRDefault="009C2332" w:rsidP="00EE167F">
            <w:pPr>
              <w:rPr>
                <w:b/>
                <w:bCs/>
                <w:spacing w:val="-2"/>
              </w:rPr>
            </w:pPr>
            <w:r>
              <w:rPr>
                <w:b/>
                <w:bCs/>
                <w:spacing w:val="-2"/>
              </w:rPr>
              <w:t>Concept Review Decision</w:t>
            </w:r>
          </w:p>
        </w:tc>
        <w:tc>
          <w:tcPr>
            <w:tcW w:w="3158" w:type="pct"/>
          </w:tcPr>
          <w:p w:rsidR="009C2332" w:rsidRDefault="009C2332" w:rsidP="00D57BE8">
            <w:pPr>
              <w:rPr>
                <w:spacing w:val="-2"/>
              </w:rPr>
            </w:pPr>
          </w:p>
        </w:tc>
      </w:tr>
    </w:tbl>
    <w:p w:rsidR="008E251A" w:rsidRPr="008E251A" w:rsidRDefault="008E251A" w:rsidP="008E251A">
      <w:pPr>
        <w:autoSpaceDE w:val="0"/>
        <w:autoSpaceDN w:val="0"/>
        <w:adjustRightInd w:val="0"/>
        <w:rPr>
          <w:color w:val="000000"/>
        </w:rPr>
      </w:pPr>
    </w:p>
    <w:p w:rsidR="008E251A" w:rsidRPr="008E251A" w:rsidRDefault="008E251A" w:rsidP="008E251A">
      <w:pPr>
        <w:autoSpaceDE w:val="0"/>
        <w:autoSpaceDN w:val="0"/>
        <w:adjustRightInd w:val="0"/>
        <w:rPr>
          <w:color w:val="000000"/>
        </w:rPr>
      </w:pPr>
      <w:r w:rsidRPr="008E251A">
        <w:rPr>
          <w:color w:val="000000"/>
        </w:rPr>
        <w:t xml:space="preserve"> </w:t>
      </w:r>
    </w:p>
    <w:p w:rsidR="008E251A" w:rsidRPr="008E251A" w:rsidRDefault="008E251A" w:rsidP="008E251A">
      <w:pPr>
        <w:pStyle w:val="ListParagraph"/>
        <w:numPr>
          <w:ilvl w:val="0"/>
          <w:numId w:val="21"/>
        </w:numPr>
        <w:autoSpaceDE w:val="0"/>
        <w:autoSpaceDN w:val="0"/>
        <w:adjustRightInd w:val="0"/>
        <w:rPr>
          <w:color w:val="000000"/>
          <w:sz w:val="23"/>
          <w:szCs w:val="23"/>
        </w:rPr>
      </w:pPr>
      <w:r w:rsidRPr="008E251A">
        <w:rPr>
          <w:b/>
          <w:bCs/>
          <w:color w:val="000000"/>
          <w:sz w:val="23"/>
          <w:szCs w:val="23"/>
        </w:rPr>
        <w:t xml:space="preserve">Key development issues and rationale for Bank involvement </w:t>
      </w:r>
    </w:p>
    <w:p w:rsidR="00ED00AF" w:rsidRDefault="00ED00AF" w:rsidP="00ED00AF">
      <w:pPr>
        <w:spacing w:line="276" w:lineRule="auto"/>
        <w:jc w:val="both"/>
        <w:rPr>
          <w:spacing w:val="-2"/>
        </w:rPr>
      </w:pPr>
    </w:p>
    <w:p w:rsidR="00ED00AF" w:rsidRDefault="00ED00AF" w:rsidP="00ED00AF">
      <w:pPr>
        <w:spacing w:line="276" w:lineRule="auto"/>
        <w:jc w:val="both"/>
        <w:rPr>
          <w:rStyle w:val="Style11pt"/>
        </w:rPr>
      </w:pPr>
      <w:r w:rsidRPr="00D62189">
        <w:rPr>
          <w:rStyle w:val="Style11pt"/>
        </w:rPr>
        <w:t>São Tomé and Príncipe (STP) faces structural vulnerabilities due to its small size as well as external vulnerabilities due to a narrow export base, aid dependence, and limited institutional capacity.</w:t>
      </w:r>
      <w:r>
        <w:rPr>
          <w:rStyle w:val="Style11pt"/>
          <w:b/>
        </w:rPr>
        <w:t xml:space="preserve"> </w:t>
      </w:r>
      <w:r w:rsidRPr="00C52156">
        <w:rPr>
          <w:rStyle w:val="Style11pt"/>
        </w:rPr>
        <w:t>STP is</w:t>
      </w:r>
      <w:r w:rsidRPr="00D0059B">
        <w:rPr>
          <w:rStyle w:val="Style11pt"/>
          <w:b/>
        </w:rPr>
        <w:t xml:space="preserve"> </w:t>
      </w:r>
      <w:r>
        <w:rPr>
          <w:rStyle w:val="Style11pt"/>
        </w:rPr>
        <w:t>a</w:t>
      </w:r>
      <w:r w:rsidRPr="00D0059B">
        <w:rPr>
          <w:rStyle w:val="Style11pt"/>
        </w:rPr>
        <w:t>n archipelago of just over 1,000 square kilometers, with fewer than 200,000 inhabitants and a gross domestic product (GDP) per capita in PPP of about US$1, 852 (2012</w:t>
      </w:r>
      <w:r>
        <w:rPr>
          <w:rStyle w:val="Style11pt"/>
        </w:rPr>
        <w:t>)</w:t>
      </w:r>
      <w:r w:rsidRPr="00D0059B">
        <w:rPr>
          <w:rStyle w:val="Style11pt"/>
        </w:rPr>
        <w:t xml:space="preserve">. As for other small states, STP cannot take advantage of economies of scale in economic production, or in the provision of public goods, while its small domestic labor pool and limited consumer market seriously constrain </w:t>
      </w:r>
      <w:r>
        <w:rPr>
          <w:rStyle w:val="Style11pt"/>
        </w:rPr>
        <w:t>private sector growth and thus, trade competitiveness. Persistent risks steams</w:t>
      </w:r>
      <w:r w:rsidRPr="00D0059B">
        <w:rPr>
          <w:rStyle w:val="Style11pt"/>
        </w:rPr>
        <w:t xml:space="preserve"> from </w:t>
      </w:r>
      <w:r>
        <w:rPr>
          <w:rStyle w:val="Style11pt"/>
        </w:rPr>
        <w:t xml:space="preserve">its </w:t>
      </w:r>
      <w:r w:rsidRPr="00D0059B">
        <w:rPr>
          <w:rStyle w:val="Style11pt"/>
        </w:rPr>
        <w:t>extreme sensitivity to changes in global market conditions, particularly for strategic imports</w:t>
      </w:r>
      <w:r>
        <w:rPr>
          <w:rStyle w:val="Style11pt"/>
        </w:rPr>
        <w:t>,</w:t>
      </w:r>
      <w:r w:rsidRPr="00D0059B">
        <w:rPr>
          <w:rStyle w:val="Style11pt"/>
        </w:rPr>
        <w:t xml:space="preserve"> and</w:t>
      </w:r>
      <w:r>
        <w:rPr>
          <w:rStyle w:val="Style11pt"/>
        </w:rPr>
        <w:t xml:space="preserve"> </w:t>
      </w:r>
      <w:r w:rsidRPr="00D0059B">
        <w:rPr>
          <w:rStyle w:val="Style11pt"/>
        </w:rPr>
        <w:t>high aid dependence</w:t>
      </w:r>
      <w:r w:rsidRPr="00D0059B">
        <w:t>.</w:t>
      </w:r>
      <w:r w:rsidRPr="00D0059B">
        <w:rPr>
          <w:b/>
        </w:rPr>
        <w:t xml:space="preserve"> </w:t>
      </w:r>
      <w:r w:rsidRPr="00D0059B">
        <w:rPr>
          <w:rStyle w:val="Style11pt"/>
        </w:rPr>
        <w:t xml:space="preserve"> </w:t>
      </w:r>
      <w:r>
        <w:rPr>
          <w:rStyle w:val="Style11pt"/>
        </w:rPr>
        <w:t>T</w:t>
      </w:r>
      <w:r w:rsidRPr="00D0059B">
        <w:rPr>
          <w:rStyle w:val="Style11pt"/>
        </w:rPr>
        <w:t>he level of debt inherited from the past and the narrow export base</w:t>
      </w:r>
      <w:r>
        <w:rPr>
          <w:rStyle w:val="Style11pt"/>
        </w:rPr>
        <w:t xml:space="preserve"> further</w:t>
      </w:r>
      <w:r w:rsidRPr="00D0059B">
        <w:rPr>
          <w:rStyle w:val="Style11pt"/>
        </w:rPr>
        <w:t xml:space="preserve"> expose the country to high level of debt distress.  </w:t>
      </w:r>
    </w:p>
    <w:p w:rsidR="00D02D5E" w:rsidRDefault="00D02D5E" w:rsidP="00D02D5E">
      <w:pPr>
        <w:spacing w:line="276" w:lineRule="auto"/>
        <w:jc w:val="both"/>
        <w:rPr>
          <w:b/>
        </w:rPr>
      </w:pPr>
    </w:p>
    <w:p w:rsidR="00D02D5E" w:rsidRPr="00D0059B" w:rsidRDefault="00D02D5E" w:rsidP="00ED00AF">
      <w:pPr>
        <w:spacing w:line="276" w:lineRule="auto"/>
        <w:jc w:val="both"/>
        <w:rPr>
          <w:rStyle w:val="Style11pt"/>
        </w:rPr>
      </w:pPr>
      <w:r w:rsidRPr="00D02D5E">
        <w:t>P</w:t>
      </w:r>
      <w:r w:rsidRPr="00D02D5E">
        <w:rPr>
          <w:rStyle w:val="Style11pt"/>
        </w:rPr>
        <w:t>overty remains a serious and pressing concern. STP is among the countries with the most equal income distribution in Sub-Saharan Africa.</w:t>
      </w:r>
      <w:r w:rsidRPr="00D02D5E">
        <w:rPr>
          <w:rStyle w:val="Style11pt"/>
        </w:rPr>
        <w:footnoteReference w:id="1"/>
      </w:r>
      <w:r w:rsidRPr="00D02D5E">
        <w:rPr>
          <w:rStyle w:val="Style11pt"/>
        </w:rPr>
        <w:t xml:space="preserve"> Notable progress has been made in a range of education and health indicators. Yet more than half of the population lives in poverty. Between 2000 and 2010, poverty rate at declined from 66.8 to 61.7 percent and the decline was larger in rural area compared to urban area. </w:t>
      </w:r>
    </w:p>
    <w:p w:rsidR="00D62189" w:rsidRDefault="00D62189" w:rsidP="00D62189">
      <w:pPr>
        <w:spacing w:line="276" w:lineRule="auto"/>
        <w:jc w:val="both"/>
        <w:rPr>
          <w:spacing w:val="-2"/>
          <w:sz w:val="22"/>
          <w:szCs w:val="22"/>
        </w:rPr>
      </w:pPr>
    </w:p>
    <w:p w:rsidR="00D02D5E" w:rsidRDefault="00D62189" w:rsidP="00D02D5E">
      <w:pPr>
        <w:spacing w:line="276" w:lineRule="auto"/>
        <w:jc w:val="both"/>
        <w:rPr>
          <w:sz w:val="22"/>
          <w:szCs w:val="22"/>
        </w:rPr>
      </w:pPr>
      <w:r w:rsidRPr="00D02D5E">
        <w:rPr>
          <w:rStyle w:val="Style11pt"/>
          <w:szCs w:val="22"/>
        </w:rPr>
        <w:t>To help address these development challenges</w:t>
      </w:r>
      <w:r w:rsidR="00D02D5E">
        <w:rPr>
          <w:rStyle w:val="Style11pt"/>
          <w:szCs w:val="22"/>
        </w:rPr>
        <w:t xml:space="preserve"> and promoting broad based growth</w:t>
      </w:r>
      <w:r w:rsidRPr="00D02D5E">
        <w:rPr>
          <w:rStyle w:val="Style11pt"/>
          <w:szCs w:val="22"/>
        </w:rPr>
        <w:t>, th</w:t>
      </w:r>
      <w:r w:rsidR="00D02D5E" w:rsidRPr="00D02D5E">
        <w:rPr>
          <w:rStyle w:val="Style11pt"/>
          <w:szCs w:val="22"/>
        </w:rPr>
        <w:t xml:space="preserve">e government approved the </w:t>
      </w:r>
      <w:r w:rsidRPr="00D02D5E">
        <w:rPr>
          <w:rStyle w:val="Style11pt"/>
          <w:szCs w:val="22"/>
        </w:rPr>
        <w:t>Second Poverty Reduction Strategy (PRSP II)</w:t>
      </w:r>
      <w:r w:rsidR="00D02D5E" w:rsidRPr="00D02D5E">
        <w:rPr>
          <w:rStyle w:val="Style11pt"/>
          <w:szCs w:val="22"/>
        </w:rPr>
        <w:t xml:space="preserve">. The strategy </w:t>
      </w:r>
      <w:r w:rsidRPr="00D02D5E">
        <w:rPr>
          <w:sz w:val="22"/>
          <w:szCs w:val="22"/>
        </w:rPr>
        <w:t xml:space="preserve">is designed around four strategic axes: (i) supporting good governance and public-sector reform; (ii) promoting sustainable and inclusive economic growth, (iii) enhancing human capital and extending basic social services, and (iv) </w:t>
      </w:r>
      <w:r w:rsidRPr="00D02D5E">
        <w:rPr>
          <w:sz w:val="22"/>
          <w:szCs w:val="22"/>
        </w:rPr>
        <w:lastRenderedPageBreak/>
        <w:t>reinforcing social cohesion and social protections, particularly for vulnerable groups. Given the inherent uncertainties regarding potential oil production, the PRSP-II has emphasized the crucial importance of accelerating structural reforms to diversify the economy and support inclusive growth.</w:t>
      </w:r>
      <w:r w:rsidR="00D02D5E">
        <w:rPr>
          <w:sz w:val="22"/>
          <w:szCs w:val="22"/>
        </w:rPr>
        <w:t xml:space="preserve"> </w:t>
      </w:r>
    </w:p>
    <w:p w:rsidR="007E0EC6" w:rsidRDefault="007E0EC6" w:rsidP="007E0EC6">
      <w:pPr>
        <w:pStyle w:val="Bulleto"/>
        <w:tabs>
          <w:tab w:val="clear" w:pos="360"/>
        </w:tabs>
        <w:spacing w:after="0"/>
        <w:rPr>
          <w:szCs w:val="22"/>
          <w:lang w:val="en-US"/>
        </w:rPr>
      </w:pPr>
    </w:p>
    <w:p w:rsidR="007E0EC6" w:rsidRPr="0080360E" w:rsidRDefault="007E0EC6" w:rsidP="007E0EC6">
      <w:pPr>
        <w:pStyle w:val="Bulleto"/>
        <w:tabs>
          <w:tab w:val="clear" w:pos="360"/>
        </w:tabs>
        <w:spacing w:after="0"/>
        <w:rPr>
          <w:spacing w:val="-4"/>
          <w:szCs w:val="22"/>
          <w:lang w:val="en-US"/>
        </w:rPr>
      </w:pPr>
      <w:r w:rsidRPr="00D57BE8">
        <w:rPr>
          <w:szCs w:val="22"/>
          <w:lang w:val="en-US"/>
        </w:rPr>
        <w:t xml:space="preserve">STP’s government has built a solid reputation for prudent macroeconomic policy and has managed to sustain the momentum of the structural reform process over multiple administrations, paving the way for HIPC/MDRI debt relief and facilitating the strong economic growth rates observed during the past decade. The government has pursued responsible fiscal and monetary policies, enhanced </w:t>
      </w:r>
      <w:r w:rsidRPr="0080360E">
        <w:rPr>
          <w:szCs w:val="22"/>
          <w:lang w:val="en-US"/>
        </w:rPr>
        <w:t xml:space="preserve">the quality of governance in general and the efficiency of public spending in particular, promoted greater trade openness by reducing import tariffs, and progressively developed the capacity of its natural-resource management agencies in anticipation of the growth of the oil sector. In 2007 STP reached the Completion Point of the Enhanced HIPC Initiative and received a debt relief package equivalent to US$314 million, significantly improving its structural fiscal stance and reinforcing the long-term sustainability of its debt burden. </w:t>
      </w:r>
    </w:p>
    <w:p w:rsidR="007E0EC6" w:rsidRPr="0080360E" w:rsidRDefault="007E0EC6" w:rsidP="007E0EC6">
      <w:pPr>
        <w:pStyle w:val="Bulleto"/>
        <w:tabs>
          <w:tab w:val="clear" w:pos="360"/>
        </w:tabs>
        <w:spacing w:after="0"/>
        <w:rPr>
          <w:spacing w:val="-4"/>
          <w:szCs w:val="22"/>
          <w:lang w:val="en-US"/>
        </w:rPr>
      </w:pPr>
    </w:p>
    <w:p w:rsidR="007E0EC6" w:rsidRPr="009E4650" w:rsidRDefault="007E0EC6" w:rsidP="007E0EC6">
      <w:pPr>
        <w:jc w:val="both"/>
        <w:rPr>
          <w:spacing w:val="-2"/>
          <w:sz w:val="22"/>
          <w:szCs w:val="22"/>
        </w:rPr>
      </w:pPr>
      <w:r w:rsidRPr="009E4650">
        <w:rPr>
          <w:spacing w:val="-2"/>
          <w:sz w:val="22"/>
          <w:szCs w:val="22"/>
        </w:rPr>
        <w:t xml:space="preserve">The Government is </w:t>
      </w:r>
      <w:r>
        <w:rPr>
          <w:spacing w:val="-2"/>
          <w:sz w:val="22"/>
          <w:szCs w:val="22"/>
        </w:rPr>
        <w:t xml:space="preserve">consolidating its </w:t>
      </w:r>
      <w:r w:rsidRPr="009E4650">
        <w:rPr>
          <w:spacing w:val="-2"/>
          <w:sz w:val="22"/>
          <w:szCs w:val="22"/>
        </w:rPr>
        <w:t xml:space="preserve">fiscal </w:t>
      </w:r>
      <w:r>
        <w:rPr>
          <w:spacing w:val="-2"/>
          <w:sz w:val="22"/>
          <w:szCs w:val="22"/>
        </w:rPr>
        <w:t>position to build resilience and support the currency peg to the Euro</w:t>
      </w:r>
      <w:r w:rsidRPr="009E4650">
        <w:rPr>
          <w:spacing w:val="-2"/>
          <w:sz w:val="22"/>
          <w:szCs w:val="22"/>
        </w:rPr>
        <w:t xml:space="preserve">. </w:t>
      </w:r>
      <w:r>
        <w:rPr>
          <w:spacing w:val="-2"/>
          <w:sz w:val="22"/>
          <w:szCs w:val="22"/>
        </w:rPr>
        <w:t>F</w:t>
      </w:r>
      <w:r w:rsidRPr="009E4650">
        <w:rPr>
          <w:spacing w:val="-2"/>
          <w:sz w:val="22"/>
          <w:szCs w:val="22"/>
        </w:rPr>
        <w:t xml:space="preserve">iscal performance </w:t>
      </w:r>
      <w:r>
        <w:rPr>
          <w:spacing w:val="-2"/>
          <w:sz w:val="22"/>
          <w:szCs w:val="22"/>
        </w:rPr>
        <w:t xml:space="preserve">has </w:t>
      </w:r>
      <w:r w:rsidR="00512B4F">
        <w:rPr>
          <w:spacing w:val="-2"/>
          <w:sz w:val="22"/>
          <w:szCs w:val="22"/>
        </w:rPr>
        <w:t xml:space="preserve">improved and the </w:t>
      </w:r>
      <w:r w:rsidRPr="009E4650">
        <w:rPr>
          <w:spacing w:val="-2"/>
          <w:sz w:val="22"/>
          <w:szCs w:val="22"/>
        </w:rPr>
        <w:t xml:space="preserve">domestic primary deficit fell </w:t>
      </w:r>
      <w:r>
        <w:rPr>
          <w:spacing w:val="-2"/>
          <w:sz w:val="22"/>
          <w:szCs w:val="22"/>
        </w:rPr>
        <w:t xml:space="preserve">from 8 percent in 2009 to a projected 3 percent of GDP in </w:t>
      </w:r>
      <w:r w:rsidRPr="009E4650">
        <w:rPr>
          <w:spacing w:val="-2"/>
          <w:sz w:val="22"/>
          <w:szCs w:val="22"/>
        </w:rPr>
        <w:t>201</w:t>
      </w:r>
      <w:r>
        <w:rPr>
          <w:spacing w:val="-2"/>
          <w:sz w:val="22"/>
          <w:szCs w:val="22"/>
        </w:rPr>
        <w:t>3.</w:t>
      </w:r>
      <w:r w:rsidRPr="009E4650">
        <w:rPr>
          <w:spacing w:val="-2"/>
          <w:sz w:val="22"/>
          <w:szCs w:val="22"/>
        </w:rPr>
        <w:t xml:space="preserve"> The authorities remain committed to improving revenue collection through better enforcement of tax laws (including collection of tax arrears), improved customs administration, and </w:t>
      </w:r>
      <w:r>
        <w:rPr>
          <w:spacing w:val="-2"/>
          <w:sz w:val="22"/>
          <w:szCs w:val="22"/>
        </w:rPr>
        <w:t>by widening the tax base; and to contain spending if necessary</w:t>
      </w:r>
      <w:r w:rsidRPr="009E4650">
        <w:rPr>
          <w:spacing w:val="-2"/>
          <w:sz w:val="22"/>
          <w:szCs w:val="22"/>
        </w:rPr>
        <w:t>.</w:t>
      </w:r>
      <w:r>
        <w:rPr>
          <w:spacing w:val="-2"/>
          <w:sz w:val="22"/>
          <w:szCs w:val="22"/>
        </w:rPr>
        <w:t xml:space="preserve"> Furthermore, a</w:t>
      </w:r>
      <w:r w:rsidRPr="001B6D48">
        <w:rPr>
          <w:spacing w:val="-2"/>
          <w:sz w:val="22"/>
          <w:szCs w:val="22"/>
        </w:rPr>
        <w:t xml:space="preserve">nnual inflation has declined from a peak of 37 percent in June 2008 to a projected </w:t>
      </w:r>
      <w:r w:rsidR="00856C6F">
        <w:rPr>
          <w:spacing w:val="-2"/>
          <w:sz w:val="22"/>
          <w:szCs w:val="22"/>
        </w:rPr>
        <w:t xml:space="preserve">8 </w:t>
      </w:r>
      <w:r>
        <w:rPr>
          <w:spacing w:val="-2"/>
          <w:sz w:val="22"/>
          <w:szCs w:val="22"/>
        </w:rPr>
        <w:t>percent by end-2013</w:t>
      </w:r>
      <w:r w:rsidRPr="001B6D48">
        <w:rPr>
          <w:spacing w:val="-2"/>
          <w:sz w:val="22"/>
          <w:szCs w:val="22"/>
        </w:rPr>
        <w:t>.</w:t>
      </w:r>
    </w:p>
    <w:p w:rsidR="007E0EC6" w:rsidRDefault="007E0EC6" w:rsidP="007E0EC6">
      <w:pPr>
        <w:jc w:val="both"/>
        <w:rPr>
          <w:spacing w:val="-2"/>
          <w:sz w:val="22"/>
          <w:szCs w:val="22"/>
        </w:rPr>
      </w:pPr>
    </w:p>
    <w:p w:rsidR="008F229B" w:rsidRPr="00A632D9" w:rsidRDefault="007E0EC6" w:rsidP="00154C0F">
      <w:pPr>
        <w:jc w:val="both"/>
        <w:rPr>
          <w:spacing w:val="-2"/>
          <w:sz w:val="22"/>
          <w:szCs w:val="22"/>
        </w:rPr>
      </w:pPr>
      <w:r w:rsidRPr="00D952CA">
        <w:rPr>
          <w:spacing w:val="-2"/>
          <w:sz w:val="22"/>
          <w:szCs w:val="22"/>
        </w:rPr>
        <w:t>All in all, despite suffering a succession of shocks, STP has avoided major macroeconomic imbalances</w:t>
      </w:r>
      <w:r>
        <w:rPr>
          <w:spacing w:val="-2"/>
          <w:sz w:val="22"/>
          <w:szCs w:val="22"/>
        </w:rPr>
        <w:t xml:space="preserve"> over recent years. </w:t>
      </w:r>
      <w:r w:rsidR="00856C6F">
        <w:rPr>
          <w:spacing w:val="-2"/>
          <w:sz w:val="22"/>
          <w:szCs w:val="22"/>
        </w:rPr>
        <w:t>G</w:t>
      </w:r>
      <w:r w:rsidRPr="009C34C5">
        <w:rPr>
          <w:spacing w:val="-2"/>
          <w:sz w:val="22"/>
          <w:szCs w:val="22"/>
        </w:rPr>
        <w:t xml:space="preserve">rowth </w:t>
      </w:r>
      <w:r>
        <w:rPr>
          <w:spacing w:val="-2"/>
          <w:sz w:val="22"/>
          <w:szCs w:val="22"/>
        </w:rPr>
        <w:t xml:space="preserve">is </w:t>
      </w:r>
      <w:r w:rsidRPr="009C34C5">
        <w:rPr>
          <w:spacing w:val="-2"/>
          <w:sz w:val="22"/>
          <w:szCs w:val="22"/>
        </w:rPr>
        <w:t>projected to</w:t>
      </w:r>
      <w:r w:rsidR="00154C0F">
        <w:rPr>
          <w:spacing w:val="-2"/>
          <w:sz w:val="22"/>
          <w:szCs w:val="22"/>
        </w:rPr>
        <w:t xml:space="preserve"> </w:t>
      </w:r>
      <w:r w:rsidR="00DF239F">
        <w:rPr>
          <w:spacing w:val="-2"/>
          <w:sz w:val="22"/>
          <w:szCs w:val="22"/>
        </w:rPr>
        <w:t xml:space="preserve">accelerate </w:t>
      </w:r>
      <w:r w:rsidR="00154C0F">
        <w:rPr>
          <w:spacing w:val="-2"/>
          <w:sz w:val="22"/>
          <w:szCs w:val="22"/>
        </w:rPr>
        <w:t>in 2014</w:t>
      </w:r>
      <w:r w:rsidR="00856C6F">
        <w:rPr>
          <w:spacing w:val="-2"/>
          <w:sz w:val="22"/>
          <w:szCs w:val="22"/>
        </w:rPr>
        <w:t xml:space="preserve"> and </w:t>
      </w:r>
      <w:r w:rsidRPr="009C34C5">
        <w:rPr>
          <w:spacing w:val="-2"/>
          <w:sz w:val="22"/>
          <w:szCs w:val="22"/>
        </w:rPr>
        <w:t xml:space="preserve">will rely on </w:t>
      </w:r>
      <w:r w:rsidR="00154C0F">
        <w:rPr>
          <w:spacing w:val="-2"/>
          <w:sz w:val="22"/>
          <w:szCs w:val="22"/>
        </w:rPr>
        <w:t>private sector investments in construction</w:t>
      </w:r>
      <w:r w:rsidRPr="009C34C5">
        <w:rPr>
          <w:spacing w:val="-2"/>
          <w:sz w:val="22"/>
          <w:szCs w:val="22"/>
        </w:rPr>
        <w:t xml:space="preserve">, </w:t>
      </w:r>
      <w:r w:rsidR="00154C0F">
        <w:rPr>
          <w:spacing w:val="-2"/>
          <w:sz w:val="22"/>
          <w:szCs w:val="22"/>
        </w:rPr>
        <w:t xml:space="preserve">agriculture, </w:t>
      </w:r>
      <w:r w:rsidRPr="009C34C5">
        <w:rPr>
          <w:spacing w:val="-2"/>
          <w:sz w:val="22"/>
          <w:szCs w:val="22"/>
        </w:rPr>
        <w:t xml:space="preserve">and tourism receipts. Donors will continue to </w:t>
      </w:r>
      <w:r>
        <w:rPr>
          <w:spacing w:val="-2"/>
          <w:sz w:val="22"/>
          <w:szCs w:val="22"/>
        </w:rPr>
        <w:t>finance capital investments</w:t>
      </w:r>
      <w:r w:rsidRPr="009C34C5">
        <w:rPr>
          <w:spacing w:val="-2"/>
          <w:sz w:val="22"/>
          <w:szCs w:val="22"/>
        </w:rPr>
        <w:t xml:space="preserve">. </w:t>
      </w:r>
      <w:r w:rsidR="00A632D9">
        <w:rPr>
          <w:spacing w:val="-2"/>
          <w:sz w:val="22"/>
          <w:szCs w:val="22"/>
        </w:rPr>
        <w:t xml:space="preserve"> </w:t>
      </w:r>
      <w:r w:rsidRPr="00D57BE8">
        <w:rPr>
          <w:spacing w:val="-4"/>
          <w:sz w:val="22"/>
          <w:szCs w:val="22"/>
        </w:rPr>
        <w:t xml:space="preserve">STP will remain structurally vulnerable to external shocks, which present serious downside risks to its macroeconomic outlook. </w:t>
      </w:r>
      <w:r>
        <w:rPr>
          <w:spacing w:val="-4"/>
          <w:sz w:val="22"/>
          <w:szCs w:val="22"/>
        </w:rPr>
        <w:t>T</w:t>
      </w:r>
      <w:r w:rsidRPr="00D57BE8">
        <w:rPr>
          <w:spacing w:val="-4"/>
          <w:sz w:val="22"/>
          <w:szCs w:val="22"/>
        </w:rPr>
        <w:t xml:space="preserve">he prospect of a </w:t>
      </w:r>
      <w:r w:rsidRPr="0080360E">
        <w:rPr>
          <w:spacing w:val="-4"/>
          <w:sz w:val="22"/>
          <w:szCs w:val="22"/>
        </w:rPr>
        <w:t xml:space="preserve">prolonged economic downturn </w:t>
      </w:r>
      <w:r w:rsidR="00A632D9">
        <w:rPr>
          <w:spacing w:val="-4"/>
          <w:sz w:val="22"/>
          <w:szCs w:val="22"/>
        </w:rPr>
        <w:t xml:space="preserve">in key partners </w:t>
      </w:r>
      <w:r w:rsidRPr="0080360E">
        <w:rPr>
          <w:spacing w:val="-4"/>
          <w:sz w:val="22"/>
          <w:szCs w:val="22"/>
        </w:rPr>
        <w:t xml:space="preserve">(particularly in Europe) could affect export growth in STP, including tourism receipts, and could also decrease private capital inflows and the availability of donor funds. </w:t>
      </w:r>
    </w:p>
    <w:p w:rsidR="001E781F" w:rsidRPr="001E781F" w:rsidRDefault="001E781F" w:rsidP="001E781F">
      <w:pPr>
        <w:autoSpaceDE w:val="0"/>
        <w:autoSpaceDN w:val="0"/>
        <w:adjustRightInd w:val="0"/>
        <w:rPr>
          <w:color w:val="000000"/>
        </w:rPr>
      </w:pPr>
    </w:p>
    <w:p w:rsidR="009D4507" w:rsidRDefault="00154C0F" w:rsidP="009D4507">
      <w:pPr>
        <w:jc w:val="both"/>
        <w:rPr>
          <w:b/>
          <w:bCs/>
          <w:color w:val="000000"/>
          <w:sz w:val="23"/>
          <w:szCs w:val="23"/>
        </w:rPr>
      </w:pPr>
      <w:r w:rsidRPr="001E781F">
        <w:rPr>
          <w:b/>
          <w:bCs/>
          <w:color w:val="000000"/>
          <w:sz w:val="23"/>
          <w:szCs w:val="23"/>
        </w:rPr>
        <w:t>II.</w:t>
      </w:r>
      <w:r>
        <w:rPr>
          <w:b/>
          <w:bCs/>
          <w:color w:val="000000"/>
          <w:sz w:val="23"/>
          <w:szCs w:val="23"/>
        </w:rPr>
        <w:t xml:space="preserve"> Proposed Objectives</w:t>
      </w:r>
    </w:p>
    <w:p w:rsidR="00154C0F" w:rsidRDefault="00154C0F" w:rsidP="009D4507">
      <w:pPr>
        <w:jc w:val="both"/>
        <w:rPr>
          <w:b/>
          <w:spacing w:val="-2"/>
        </w:rPr>
      </w:pPr>
    </w:p>
    <w:p w:rsidR="00D57BE8" w:rsidRPr="0080360E" w:rsidRDefault="00D57BE8" w:rsidP="00D57BE8">
      <w:pPr>
        <w:pStyle w:val="Default"/>
        <w:jc w:val="both"/>
        <w:rPr>
          <w:rFonts w:ascii="Times New Roman" w:hAnsi="Times New Roman"/>
          <w:spacing w:val="-2"/>
          <w:sz w:val="22"/>
          <w:szCs w:val="22"/>
        </w:rPr>
      </w:pPr>
      <w:r w:rsidRPr="0080360E">
        <w:rPr>
          <w:rFonts w:ascii="Times New Roman" w:hAnsi="Times New Roman"/>
          <w:spacing w:val="-2"/>
          <w:sz w:val="22"/>
          <w:szCs w:val="22"/>
        </w:rPr>
        <w:t xml:space="preserve">The objective of the DPO series is to assist the Democratic Republic of São Tomé and Príncipe to: (i) strengthen economic governance, with a focus on improving the transparency, monitoring and accountability of public and natural resources, improving the management and reporting of statistics, promoting fiscal stability, and strengthening public debt management; and (ii) support broad-based growth by improving the business climate, with a focus on simplifying business regulations and reducing the cost of trading across borders, and by promoting economic diversification. </w:t>
      </w:r>
    </w:p>
    <w:p w:rsidR="001C37C0" w:rsidRPr="00582BC2" w:rsidRDefault="00D57BE8" w:rsidP="001C37C0">
      <w:pPr>
        <w:jc w:val="both"/>
        <w:rPr>
          <w:spacing w:val="-2"/>
        </w:rPr>
      </w:pPr>
      <w:r>
        <w:rPr>
          <w:spacing w:val="-2"/>
          <w:sz w:val="22"/>
          <w:szCs w:val="22"/>
        </w:rPr>
        <w:t xml:space="preserve"> </w:t>
      </w:r>
    </w:p>
    <w:p w:rsidR="001C37C0" w:rsidRPr="00582BC2" w:rsidRDefault="001C37C0" w:rsidP="001C37C0">
      <w:pPr>
        <w:numPr>
          <w:ilvl w:val="0"/>
          <w:numId w:val="7"/>
        </w:numPr>
        <w:jc w:val="both"/>
        <w:rPr>
          <w:b/>
          <w:spacing w:val="-2"/>
        </w:rPr>
      </w:pPr>
      <w:r>
        <w:rPr>
          <w:b/>
          <w:spacing w:val="-2"/>
        </w:rPr>
        <w:t>Preliminary Description</w:t>
      </w:r>
    </w:p>
    <w:p w:rsidR="008E251A" w:rsidRDefault="008E251A" w:rsidP="00A632D9">
      <w:pPr>
        <w:autoSpaceDE w:val="0"/>
        <w:autoSpaceDN w:val="0"/>
        <w:adjustRightInd w:val="0"/>
        <w:rPr>
          <w:i/>
          <w:iCs/>
          <w:color w:val="000000"/>
          <w:sz w:val="22"/>
          <w:szCs w:val="22"/>
        </w:rPr>
      </w:pPr>
    </w:p>
    <w:p w:rsidR="00E24236" w:rsidRDefault="001C37C0" w:rsidP="00A632D9">
      <w:pPr>
        <w:jc w:val="both"/>
        <w:rPr>
          <w:spacing w:val="-2"/>
          <w:sz w:val="22"/>
          <w:szCs w:val="22"/>
        </w:rPr>
      </w:pPr>
      <w:r w:rsidRPr="001C37C0">
        <w:rPr>
          <w:spacing w:val="-2"/>
          <w:sz w:val="22"/>
          <w:szCs w:val="22"/>
        </w:rPr>
        <w:t xml:space="preserve">The proposed </w:t>
      </w:r>
      <w:r w:rsidR="00F71D68">
        <w:rPr>
          <w:spacing w:val="-2"/>
          <w:sz w:val="22"/>
          <w:szCs w:val="22"/>
        </w:rPr>
        <w:t xml:space="preserve">DPO </w:t>
      </w:r>
      <w:r w:rsidRPr="001C37C0">
        <w:rPr>
          <w:spacing w:val="-2"/>
          <w:sz w:val="22"/>
          <w:szCs w:val="22"/>
        </w:rPr>
        <w:t xml:space="preserve">is designed to support the implementation of STP's Government Program for 2010-14, whose objectives are aligned to the </w:t>
      </w:r>
      <w:r w:rsidR="00D57BE8">
        <w:rPr>
          <w:spacing w:val="-2"/>
          <w:sz w:val="22"/>
          <w:szCs w:val="22"/>
        </w:rPr>
        <w:t xml:space="preserve">recently-adopted Second </w:t>
      </w:r>
      <w:r w:rsidRPr="001C37C0">
        <w:rPr>
          <w:spacing w:val="-2"/>
          <w:sz w:val="22"/>
          <w:szCs w:val="22"/>
        </w:rPr>
        <w:t>Poverty Reduction Strategy (PRSP II) for 2012-201</w:t>
      </w:r>
      <w:r w:rsidR="00D57BE8">
        <w:rPr>
          <w:spacing w:val="-2"/>
          <w:sz w:val="22"/>
          <w:szCs w:val="22"/>
        </w:rPr>
        <w:t>6</w:t>
      </w:r>
      <w:r w:rsidRPr="001C37C0">
        <w:rPr>
          <w:spacing w:val="-2"/>
          <w:sz w:val="22"/>
          <w:szCs w:val="22"/>
        </w:rPr>
        <w:t xml:space="preserve">. Given the uncertainties surrounding the outlook for potential oil production, the Government Program for 2010-14 and the PRSP II underscore the importance of accelerating structural reforms to diversify the economy. In this regard, this DPO supports critical reforms aimed at strengthening the links between public expenditure, fiscal sustainability, and sector strategies. </w:t>
      </w:r>
    </w:p>
    <w:p w:rsidR="00E24236" w:rsidRDefault="00E24236" w:rsidP="00A632D9">
      <w:pPr>
        <w:jc w:val="both"/>
        <w:rPr>
          <w:spacing w:val="-2"/>
          <w:sz w:val="22"/>
          <w:szCs w:val="22"/>
        </w:rPr>
      </w:pPr>
    </w:p>
    <w:p w:rsidR="001C37C0" w:rsidRDefault="00E24236" w:rsidP="00A632D9">
      <w:pPr>
        <w:jc w:val="both"/>
        <w:rPr>
          <w:spacing w:val="-2"/>
          <w:sz w:val="22"/>
          <w:szCs w:val="22"/>
        </w:rPr>
      </w:pPr>
      <w:r>
        <w:rPr>
          <w:spacing w:val="-2"/>
          <w:sz w:val="22"/>
          <w:szCs w:val="22"/>
        </w:rPr>
        <w:t xml:space="preserve">The DPO </w:t>
      </w:r>
      <w:r w:rsidR="001C37C0" w:rsidRPr="001C37C0">
        <w:rPr>
          <w:spacing w:val="-2"/>
          <w:sz w:val="22"/>
          <w:szCs w:val="22"/>
        </w:rPr>
        <w:t xml:space="preserve">contributes to the </w:t>
      </w:r>
      <w:r>
        <w:rPr>
          <w:spacing w:val="-2"/>
          <w:sz w:val="22"/>
          <w:szCs w:val="22"/>
        </w:rPr>
        <w:t>Bank’s Interim Strategy Note (ISN) for STP appro</w:t>
      </w:r>
      <w:r w:rsidR="00F811D0">
        <w:rPr>
          <w:spacing w:val="-2"/>
          <w:sz w:val="22"/>
          <w:szCs w:val="22"/>
        </w:rPr>
        <w:t>ved in May 2011. Specifically, i</w:t>
      </w:r>
      <w:r>
        <w:rPr>
          <w:spacing w:val="-2"/>
          <w:sz w:val="22"/>
          <w:szCs w:val="22"/>
        </w:rPr>
        <w:t xml:space="preserve">t contributes to the </w:t>
      </w:r>
      <w:r w:rsidR="001C37C0" w:rsidRPr="001C37C0">
        <w:rPr>
          <w:spacing w:val="-2"/>
          <w:sz w:val="22"/>
          <w:szCs w:val="22"/>
        </w:rPr>
        <w:t xml:space="preserve">ISN's pillar one (accelerate sustainable and broad-based economic growth) </w:t>
      </w:r>
      <w:r w:rsidR="001C37C0" w:rsidRPr="001C37C0">
        <w:rPr>
          <w:spacing w:val="-2"/>
          <w:sz w:val="22"/>
          <w:szCs w:val="22"/>
        </w:rPr>
        <w:lastRenderedPageBreak/>
        <w:t xml:space="preserve">and pillar two (strengthen governance and public institutions). The proposed DPO is fully aligned with the Bank's Africa Region Strategy. </w:t>
      </w:r>
    </w:p>
    <w:p w:rsidR="00E24236" w:rsidRDefault="00E24236" w:rsidP="00A632D9">
      <w:pPr>
        <w:jc w:val="both"/>
        <w:rPr>
          <w:spacing w:val="-2"/>
          <w:sz w:val="22"/>
          <w:szCs w:val="22"/>
        </w:rPr>
      </w:pPr>
    </w:p>
    <w:p w:rsidR="00A632D9" w:rsidRPr="00A632D9" w:rsidRDefault="00A632D9" w:rsidP="00A632D9">
      <w:pPr>
        <w:jc w:val="both"/>
        <w:rPr>
          <w:spacing w:val="-2"/>
          <w:sz w:val="22"/>
          <w:szCs w:val="22"/>
        </w:rPr>
      </w:pPr>
      <w:r w:rsidRPr="00A632D9">
        <w:rPr>
          <w:spacing w:val="-2"/>
          <w:sz w:val="22"/>
          <w:szCs w:val="22"/>
        </w:rPr>
        <w:t>The reforms supported by the DPO series</w:t>
      </w:r>
      <w:r>
        <w:rPr>
          <w:spacing w:val="-2"/>
          <w:sz w:val="22"/>
          <w:szCs w:val="22"/>
        </w:rPr>
        <w:t xml:space="preserve"> </w:t>
      </w:r>
      <w:r w:rsidRPr="00A632D9">
        <w:rPr>
          <w:spacing w:val="-2"/>
          <w:sz w:val="22"/>
          <w:szCs w:val="22"/>
        </w:rPr>
        <w:t xml:space="preserve">will contribute to macroeconomic stability and to a private sector-driven and sustainable growth.  The reforms under the economic governance pillar will help the government’s efforts to tighten expenditure controls, broaden its revenue base, and increase the structural efficiency of public spending. Cross-cutting reforms to foster private sector growth will reduce transaction costs and promote business formalization. Finally, tourism sector reforms are crucial to the success of STP’s economic growth and diversification efforts. </w:t>
      </w:r>
    </w:p>
    <w:p w:rsidR="00154C0F" w:rsidRDefault="00154C0F" w:rsidP="00A632D9">
      <w:pPr>
        <w:jc w:val="both"/>
        <w:rPr>
          <w:spacing w:val="-2"/>
          <w:sz w:val="22"/>
          <w:szCs w:val="22"/>
        </w:rPr>
      </w:pPr>
    </w:p>
    <w:p w:rsidR="00E24236" w:rsidRDefault="00F71D68" w:rsidP="00A632D9">
      <w:pPr>
        <w:jc w:val="both"/>
        <w:rPr>
          <w:spacing w:val="-2"/>
          <w:sz w:val="22"/>
          <w:szCs w:val="22"/>
        </w:rPr>
      </w:pPr>
      <w:r w:rsidRPr="00093BC4">
        <w:rPr>
          <w:spacing w:val="-2"/>
          <w:sz w:val="22"/>
          <w:szCs w:val="22"/>
        </w:rPr>
        <w:t xml:space="preserve">The operation is the </w:t>
      </w:r>
      <w:r w:rsidR="00512B4F" w:rsidRPr="00093BC4">
        <w:rPr>
          <w:spacing w:val="-2"/>
          <w:sz w:val="22"/>
          <w:szCs w:val="22"/>
        </w:rPr>
        <w:t>third</w:t>
      </w:r>
      <w:r w:rsidR="00D57BE8" w:rsidRPr="00093BC4">
        <w:rPr>
          <w:spacing w:val="-2"/>
          <w:sz w:val="22"/>
          <w:szCs w:val="22"/>
        </w:rPr>
        <w:t xml:space="preserve"> </w:t>
      </w:r>
      <w:r w:rsidRPr="00093BC4">
        <w:rPr>
          <w:spacing w:val="-2"/>
          <w:sz w:val="22"/>
          <w:szCs w:val="22"/>
        </w:rPr>
        <w:t xml:space="preserve">in a series of three DPOs. </w:t>
      </w:r>
      <w:r w:rsidR="00E24236" w:rsidRPr="00093BC4">
        <w:rPr>
          <w:spacing w:val="-2"/>
          <w:sz w:val="22"/>
          <w:szCs w:val="22"/>
        </w:rPr>
        <w:t xml:space="preserve">The operation includes </w:t>
      </w:r>
      <w:r w:rsidR="00093BC4" w:rsidRPr="00093BC4">
        <w:rPr>
          <w:spacing w:val="-2"/>
          <w:sz w:val="22"/>
          <w:szCs w:val="22"/>
        </w:rPr>
        <w:t>9</w:t>
      </w:r>
      <w:r w:rsidR="00E24236" w:rsidRPr="00093BC4">
        <w:rPr>
          <w:spacing w:val="-2"/>
          <w:sz w:val="22"/>
          <w:szCs w:val="22"/>
        </w:rPr>
        <w:t xml:space="preserve"> prior actions, of which </w:t>
      </w:r>
      <w:r w:rsidR="00967B9A" w:rsidRPr="00093BC4">
        <w:rPr>
          <w:spacing w:val="-2"/>
          <w:sz w:val="22"/>
          <w:szCs w:val="22"/>
        </w:rPr>
        <w:t>one</w:t>
      </w:r>
      <w:r w:rsidR="00154C0F" w:rsidRPr="00093BC4">
        <w:rPr>
          <w:spacing w:val="-2"/>
          <w:sz w:val="22"/>
          <w:szCs w:val="22"/>
        </w:rPr>
        <w:t xml:space="preserve"> </w:t>
      </w:r>
      <w:r w:rsidR="00E24236" w:rsidRPr="00093BC4">
        <w:rPr>
          <w:spacing w:val="-2"/>
          <w:sz w:val="22"/>
          <w:szCs w:val="22"/>
        </w:rPr>
        <w:t>target</w:t>
      </w:r>
      <w:r w:rsidR="00093BC4" w:rsidRPr="00093BC4">
        <w:rPr>
          <w:spacing w:val="-2"/>
          <w:sz w:val="22"/>
          <w:szCs w:val="22"/>
        </w:rPr>
        <w:t>s</w:t>
      </w:r>
      <w:r w:rsidR="00E24236" w:rsidRPr="00093BC4">
        <w:rPr>
          <w:spacing w:val="-2"/>
          <w:sz w:val="22"/>
          <w:szCs w:val="22"/>
        </w:rPr>
        <w:t xml:space="preserve"> improvements in the transparency and monitoring of public expenditures; </w:t>
      </w:r>
      <w:r w:rsidR="00967B9A" w:rsidRPr="00093BC4">
        <w:rPr>
          <w:spacing w:val="-2"/>
          <w:sz w:val="22"/>
          <w:szCs w:val="22"/>
        </w:rPr>
        <w:t>two</w:t>
      </w:r>
      <w:r w:rsidR="00F811D0" w:rsidRPr="00093BC4">
        <w:rPr>
          <w:spacing w:val="-2"/>
          <w:sz w:val="22"/>
          <w:szCs w:val="22"/>
        </w:rPr>
        <w:t xml:space="preserve"> target</w:t>
      </w:r>
      <w:r w:rsidR="00E24236" w:rsidRPr="00093BC4">
        <w:rPr>
          <w:spacing w:val="-2"/>
          <w:sz w:val="22"/>
          <w:szCs w:val="22"/>
        </w:rPr>
        <w:t xml:space="preserve"> the improvement in the management and reporting of </w:t>
      </w:r>
      <w:r w:rsidR="00D57BE8" w:rsidRPr="00093BC4">
        <w:rPr>
          <w:spacing w:val="-2"/>
          <w:sz w:val="22"/>
          <w:szCs w:val="22"/>
        </w:rPr>
        <w:t>statistics</w:t>
      </w:r>
      <w:r w:rsidR="00E24236" w:rsidRPr="00093BC4">
        <w:rPr>
          <w:spacing w:val="-2"/>
          <w:sz w:val="22"/>
          <w:szCs w:val="22"/>
        </w:rPr>
        <w:t xml:space="preserve">; </w:t>
      </w:r>
      <w:r w:rsidR="00967B9A" w:rsidRPr="00093BC4">
        <w:rPr>
          <w:spacing w:val="-2"/>
          <w:sz w:val="22"/>
          <w:szCs w:val="22"/>
        </w:rPr>
        <w:t>one</w:t>
      </w:r>
      <w:r w:rsidR="00F811D0" w:rsidRPr="00093BC4">
        <w:rPr>
          <w:spacing w:val="-2"/>
          <w:sz w:val="22"/>
          <w:szCs w:val="22"/>
        </w:rPr>
        <w:t xml:space="preserve"> aim</w:t>
      </w:r>
      <w:r w:rsidR="00093BC4" w:rsidRPr="00093BC4">
        <w:rPr>
          <w:spacing w:val="-2"/>
          <w:sz w:val="22"/>
          <w:szCs w:val="22"/>
        </w:rPr>
        <w:t>s</w:t>
      </w:r>
      <w:r w:rsidR="00E24236" w:rsidRPr="00093BC4">
        <w:rPr>
          <w:spacing w:val="-2"/>
          <w:sz w:val="22"/>
          <w:szCs w:val="22"/>
        </w:rPr>
        <w:t xml:space="preserve"> at promoting </w:t>
      </w:r>
      <w:r w:rsidR="00154C0F" w:rsidRPr="00093BC4">
        <w:rPr>
          <w:spacing w:val="-2"/>
          <w:sz w:val="22"/>
          <w:szCs w:val="22"/>
        </w:rPr>
        <w:t>transparency in the management of natural resources (fisheries)</w:t>
      </w:r>
      <w:r w:rsidR="00E24236" w:rsidRPr="00093BC4">
        <w:rPr>
          <w:spacing w:val="-2"/>
          <w:sz w:val="22"/>
          <w:szCs w:val="22"/>
        </w:rPr>
        <w:t xml:space="preserve">; </w:t>
      </w:r>
      <w:r w:rsidR="00F811D0" w:rsidRPr="00093BC4">
        <w:rPr>
          <w:spacing w:val="-2"/>
          <w:sz w:val="22"/>
          <w:szCs w:val="22"/>
        </w:rPr>
        <w:t>two target</w:t>
      </w:r>
      <w:r w:rsidR="00E24236" w:rsidRPr="00093BC4">
        <w:rPr>
          <w:spacing w:val="-2"/>
          <w:sz w:val="22"/>
          <w:szCs w:val="22"/>
        </w:rPr>
        <w:t xml:space="preserve"> the strengthening of public debt management; </w:t>
      </w:r>
      <w:r w:rsidR="00093BC4" w:rsidRPr="00093BC4">
        <w:rPr>
          <w:spacing w:val="-2"/>
          <w:sz w:val="22"/>
          <w:szCs w:val="22"/>
        </w:rPr>
        <w:t>one</w:t>
      </w:r>
      <w:r w:rsidR="00D57BE8" w:rsidRPr="00093BC4">
        <w:rPr>
          <w:spacing w:val="-2"/>
          <w:sz w:val="22"/>
          <w:szCs w:val="22"/>
        </w:rPr>
        <w:t xml:space="preserve"> target</w:t>
      </w:r>
      <w:r w:rsidR="00093BC4" w:rsidRPr="00093BC4">
        <w:rPr>
          <w:spacing w:val="-2"/>
          <w:sz w:val="22"/>
          <w:szCs w:val="22"/>
        </w:rPr>
        <w:t>s</w:t>
      </w:r>
      <w:r w:rsidR="00E24236" w:rsidRPr="00093BC4">
        <w:rPr>
          <w:spacing w:val="-2"/>
          <w:sz w:val="22"/>
          <w:szCs w:val="22"/>
        </w:rPr>
        <w:t xml:space="preserve"> the simplification of the process of business regulation</w:t>
      </w:r>
      <w:r w:rsidR="00154C0F" w:rsidRPr="00093BC4">
        <w:rPr>
          <w:spacing w:val="-2"/>
          <w:sz w:val="22"/>
          <w:szCs w:val="22"/>
        </w:rPr>
        <w:t xml:space="preserve">; </w:t>
      </w:r>
      <w:r w:rsidR="00F811D0" w:rsidRPr="00093BC4">
        <w:rPr>
          <w:spacing w:val="-2"/>
          <w:sz w:val="22"/>
          <w:szCs w:val="22"/>
        </w:rPr>
        <w:t>one target</w:t>
      </w:r>
      <w:r w:rsidR="00093BC4" w:rsidRPr="00093BC4">
        <w:rPr>
          <w:spacing w:val="-2"/>
          <w:sz w:val="22"/>
          <w:szCs w:val="22"/>
        </w:rPr>
        <w:t>s</w:t>
      </w:r>
      <w:r w:rsidR="00F811D0" w:rsidRPr="00093BC4">
        <w:rPr>
          <w:spacing w:val="-2"/>
          <w:sz w:val="22"/>
          <w:szCs w:val="22"/>
        </w:rPr>
        <w:t xml:space="preserve"> </w:t>
      </w:r>
      <w:r w:rsidR="00512B4F" w:rsidRPr="00093BC4">
        <w:rPr>
          <w:spacing w:val="-2"/>
          <w:sz w:val="22"/>
          <w:szCs w:val="22"/>
        </w:rPr>
        <w:t xml:space="preserve">the reduction of costs of international trade, and </w:t>
      </w:r>
      <w:r w:rsidR="00F811D0" w:rsidRPr="00093BC4">
        <w:rPr>
          <w:spacing w:val="-2"/>
          <w:sz w:val="22"/>
          <w:szCs w:val="22"/>
        </w:rPr>
        <w:t>one targets</w:t>
      </w:r>
      <w:r w:rsidR="00154C0F" w:rsidRPr="00093BC4">
        <w:rPr>
          <w:spacing w:val="-2"/>
          <w:sz w:val="22"/>
          <w:szCs w:val="22"/>
        </w:rPr>
        <w:t xml:space="preserve"> the simplification </w:t>
      </w:r>
      <w:r w:rsidR="00F811D0" w:rsidRPr="00093BC4">
        <w:rPr>
          <w:spacing w:val="-2"/>
          <w:sz w:val="22"/>
          <w:szCs w:val="22"/>
        </w:rPr>
        <w:t>of the visa process</w:t>
      </w:r>
      <w:r w:rsidR="00E24236" w:rsidRPr="00093BC4">
        <w:rPr>
          <w:spacing w:val="-2"/>
          <w:sz w:val="22"/>
          <w:szCs w:val="22"/>
        </w:rPr>
        <w:t>.</w:t>
      </w:r>
      <w:r w:rsidR="00E24236">
        <w:rPr>
          <w:spacing w:val="-2"/>
          <w:sz w:val="22"/>
          <w:szCs w:val="22"/>
        </w:rPr>
        <w:t xml:space="preserve"> </w:t>
      </w:r>
    </w:p>
    <w:p w:rsidR="008E251A" w:rsidRPr="008E251A" w:rsidRDefault="008E251A" w:rsidP="008E251A">
      <w:pPr>
        <w:autoSpaceDE w:val="0"/>
        <w:autoSpaceDN w:val="0"/>
        <w:adjustRightInd w:val="0"/>
        <w:rPr>
          <w:color w:val="000000"/>
        </w:rPr>
      </w:pPr>
    </w:p>
    <w:p w:rsidR="008E251A" w:rsidRPr="008E251A" w:rsidRDefault="008E251A" w:rsidP="008E251A">
      <w:pPr>
        <w:autoSpaceDE w:val="0"/>
        <w:autoSpaceDN w:val="0"/>
        <w:adjustRightInd w:val="0"/>
        <w:rPr>
          <w:color w:val="000000"/>
          <w:sz w:val="23"/>
          <w:szCs w:val="23"/>
        </w:rPr>
      </w:pPr>
      <w:r w:rsidRPr="008E251A">
        <w:rPr>
          <w:color w:val="000000"/>
          <w:sz w:val="23"/>
          <w:szCs w:val="23"/>
        </w:rPr>
        <w:t xml:space="preserve">IV. </w:t>
      </w:r>
      <w:r w:rsidRPr="008E251A">
        <w:rPr>
          <w:b/>
          <w:bCs/>
          <w:color w:val="000000"/>
          <w:sz w:val="23"/>
          <w:szCs w:val="23"/>
        </w:rPr>
        <w:t xml:space="preserve">Poverty and Social Impacts and Environment Aspects </w:t>
      </w:r>
    </w:p>
    <w:p w:rsidR="00154C0F" w:rsidRDefault="00154C0F" w:rsidP="00154C0F">
      <w:pPr>
        <w:jc w:val="both"/>
        <w:rPr>
          <w:rStyle w:val="NormalLeft0Char"/>
          <w:spacing w:val="-4"/>
          <w:szCs w:val="22"/>
        </w:rPr>
      </w:pPr>
    </w:p>
    <w:p w:rsidR="00154C0F" w:rsidRDefault="00154C0F" w:rsidP="00154C0F">
      <w:pPr>
        <w:jc w:val="both"/>
        <w:rPr>
          <w:spacing w:val="-4"/>
          <w:sz w:val="22"/>
          <w:szCs w:val="22"/>
        </w:rPr>
      </w:pPr>
      <w:r w:rsidRPr="00006B91">
        <w:rPr>
          <w:rStyle w:val="NormalLeft0Char"/>
          <w:spacing w:val="-4"/>
          <w:szCs w:val="22"/>
        </w:rPr>
        <w:t xml:space="preserve">The DPO series is expected to generate positive poverty and social impacts. </w:t>
      </w:r>
      <w:r w:rsidRPr="00006B91">
        <w:rPr>
          <w:spacing w:val="-4"/>
          <w:sz w:val="22"/>
          <w:szCs w:val="22"/>
        </w:rPr>
        <w:t>The operation’s resources will provide</w:t>
      </w:r>
      <w:r w:rsidRPr="0080360E">
        <w:rPr>
          <w:spacing w:val="-4"/>
          <w:sz w:val="22"/>
          <w:szCs w:val="22"/>
        </w:rPr>
        <w:t xml:space="preserve"> the government with crucial fiscal space, allowing it to maintain expenditures on essential services while pursuing its longer-term poverty-reduction objectives. The government is committed to aligning its national budget</w:t>
      </w:r>
      <w:r>
        <w:rPr>
          <w:spacing w:val="-4"/>
          <w:sz w:val="22"/>
          <w:szCs w:val="22"/>
        </w:rPr>
        <w:t xml:space="preserve"> with the agenda of the PRSP-II</w:t>
      </w:r>
      <w:r w:rsidRPr="0080360E">
        <w:rPr>
          <w:spacing w:val="-4"/>
          <w:sz w:val="22"/>
          <w:szCs w:val="22"/>
        </w:rPr>
        <w:t xml:space="preserve">. </w:t>
      </w:r>
    </w:p>
    <w:p w:rsidR="00154C0F" w:rsidRDefault="00154C0F" w:rsidP="00154C0F">
      <w:pPr>
        <w:jc w:val="both"/>
        <w:rPr>
          <w:spacing w:val="-4"/>
          <w:sz w:val="22"/>
          <w:szCs w:val="22"/>
        </w:rPr>
      </w:pPr>
    </w:p>
    <w:p w:rsidR="00154C0F" w:rsidRPr="00E742E7" w:rsidRDefault="00154C0F" w:rsidP="00154C0F">
      <w:pPr>
        <w:jc w:val="both"/>
        <w:rPr>
          <w:color w:val="000000"/>
          <w:spacing w:val="-4"/>
          <w:sz w:val="22"/>
          <w:szCs w:val="22"/>
        </w:rPr>
      </w:pPr>
      <w:r>
        <w:rPr>
          <w:spacing w:val="-4"/>
          <w:sz w:val="22"/>
          <w:szCs w:val="22"/>
        </w:rPr>
        <w:t>T</w:t>
      </w:r>
      <w:r w:rsidRPr="0080360E">
        <w:rPr>
          <w:spacing w:val="-4"/>
          <w:sz w:val="22"/>
          <w:szCs w:val="22"/>
        </w:rPr>
        <w:t>he PFM reforms supported by this operation are expected to significantly enhance the efficiency and effectiveness of public resources, improving the delivery of essential public goods and services on which the poor often rely most heavily. Th</w:t>
      </w:r>
      <w:r>
        <w:rPr>
          <w:spacing w:val="-4"/>
          <w:sz w:val="22"/>
          <w:szCs w:val="22"/>
        </w:rPr>
        <w:t>e DPO3</w:t>
      </w:r>
      <w:r w:rsidRPr="0080360E">
        <w:rPr>
          <w:spacing w:val="-4"/>
          <w:sz w:val="22"/>
          <w:szCs w:val="22"/>
        </w:rPr>
        <w:t xml:space="preserve"> supports measures that promote transparency and efficiency in the budget process (including the management of natural resources), and increase accountability for the provision of public services.  DPO</w:t>
      </w:r>
      <w:r>
        <w:rPr>
          <w:spacing w:val="-4"/>
          <w:sz w:val="22"/>
          <w:szCs w:val="22"/>
        </w:rPr>
        <w:t>3</w:t>
      </w:r>
      <w:r w:rsidRPr="0080360E">
        <w:rPr>
          <w:spacing w:val="-4"/>
          <w:sz w:val="22"/>
          <w:szCs w:val="22"/>
        </w:rPr>
        <w:t>-supported reforms also strengthen internal and external expenditure controls, increasing the value-for-money of public spending. Improving the management of public resources will enhance the effectiveness of public spending, benefitting the entire population and especially the poor.</w:t>
      </w:r>
    </w:p>
    <w:p w:rsidR="00154C0F" w:rsidRDefault="00154C0F" w:rsidP="00154C0F">
      <w:pPr>
        <w:jc w:val="both"/>
        <w:rPr>
          <w:spacing w:val="-2"/>
          <w:sz w:val="22"/>
          <w:szCs w:val="22"/>
        </w:rPr>
      </w:pPr>
    </w:p>
    <w:p w:rsidR="00154C0F" w:rsidRPr="00FA00E0" w:rsidRDefault="00154C0F" w:rsidP="00154C0F">
      <w:pPr>
        <w:jc w:val="both"/>
        <w:rPr>
          <w:spacing w:val="-2"/>
          <w:sz w:val="22"/>
          <w:szCs w:val="22"/>
        </w:rPr>
      </w:pPr>
      <w:r>
        <w:rPr>
          <w:spacing w:val="-2"/>
          <w:sz w:val="22"/>
          <w:szCs w:val="22"/>
        </w:rPr>
        <w:t>Concerning environmental impacts, t</w:t>
      </w:r>
      <w:r w:rsidRPr="007600E6">
        <w:rPr>
          <w:spacing w:val="-2"/>
          <w:sz w:val="22"/>
          <w:szCs w:val="22"/>
        </w:rPr>
        <w:t xml:space="preserve">he conclusion of an environmental screening of the </w:t>
      </w:r>
      <w:r>
        <w:rPr>
          <w:spacing w:val="-2"/>
          <w:sz w:val="22"/>
          <w:szCs w:val="22"/>
        </w:rPr>
        <w:t>DPO program indicates that the supported p</w:t>
      </w:r>
      <w:r w:rsidRPr="007600E6">
        <w:rPr>
          <w:spacing w:val="-2"/>
          <w:sz w:val="22"/>
          <w:szCs w:val="22"/>
        </w:rPr>
        <w:t xml:space="preserve">olicy actions are not likely to have significant positive or negative effects on the environment, forests, or other natural resources. </w:t>
      </w:r>
      <w:r w:rsidRPr="002D01FB">
        <w:rPr>
          <w:spacing w:val="-2"/>
          <w:sz w:val="22"/>
          <w:szCs w:val="22"/>
        </w:rPr>
        <w:t xml:space="preserve">The policies supported under this </w:t>
      </w:r>
      <w:r>
        <w:rPr>
          <w:spacing w:val="-2"/>
          <w:sz w:val="22"/>
          <w:szCs w:val="22"/>
        </w:rPr>
        <w:t>g</w:t>
      </w:r>
      <w:r w:rsidRPr="002D01FB">
        <w:rPr>
          <w:spacing w:val="-2"/>
          <w:sz w:val="22"/>
          <w:szCs w:val="22"/>
        </w:rPr>
        <w:t xml:space="preserve">rant address primarily institutional reforms. The focus of the reforms is on transparency and accountability or public resources, on the efficiency of public expenditures, and on promoting good governance. If environmental impacts arise, they are expected to be beneficial for STP. </w:t>
      </w:r>
    </w:p>
    <w:p w:rsidR="00006B91" w:rsidRDefault="00006B91" w:rsidP="000B459F">
      <w:pPr>
        <w:jc w:val="both"/>
        <w:rPr>
          <w:spacing w:val="-2"/>
        </w:rPr>
      </w:pPr>
    </w:p>
    <w:p w:rsidR="00006B91" w:rsidRPr="00582BC2" w:rsidRDefault="00006B91" w:rsidP="000B459F">
      <w:pPr>
        <w:jc w:val="both"/>
        <w:rPr>
          <w:spacing w:val="-2"/>
        </w:rPr>
      </w:pPr>
    </w:p>
    <w:p w:rsidR="000B459F" w:rsidRPr="001E781F" w:rsidRDefault="000B459F" w:rsidP="001E781F">
      <w:pPr>
        <w:pStyle w:val="ListParagraph"/>
        <w:numPr>
          <w:ilvl w:val="0"/>
          <w:numId w:val="19"/>
        </w:numPr>
        <w:jc w:val="both"/>
        <w:rPr>
          <w:b/>
          <w:spacing w:val="-2"/>
        </w:rPr>
      </w:pPr>
      <w:r w:rsidRPr="001E781F">
        <w:rPr>
          <w:b/>
          <w:spacing w:val="-2"/>
        </w:rPr>
        <w:t>Tentative Financing</w:t>
      </w:r>
    </w:p>
    <w:p w:rsidR="000B459F" w:rsidRPr="00582BC2" w:rsidRDefault="000B459F" w:rsidP="000B459F">
      <w:pPr>
        <w:jc w:val="both"/>
        <w:rPr>
          <w:spacing w:val="-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980"/>
      </w:tblGrid>
      <w:tr w:rsidR="000B459F" w:rsidRPr="00582BC2" w:rsidTr="00287306">
        <w:tc>
          <w:tcPr>
            <w:tcW w:w="7488" w:type="dxa"/>
          </w:tcPr>
          <w:p w:rsidR="000B459F" w:rsidRPr="00582BC2" w:rsidRDefault="000B459F" w:rsidP="00287306">
            <w:pPr>
              <w:jc w:val="both"/>
              <w:rPr>
                <w:spacing w:val="-2"/>
              </w:rPr>
            </w:pPr>
            <w:r w:rsidRPr="00582BC2">
              <w:rPr>
                <w:spacing w:val="-2"/>
              </w:rPr>
              <w:t>Source:</w:t>
            </w:r>
          </w:p>
        </w:tc>
        <w:tc>
          <w:tcPr>
            <w:tcW w:w="1980" w:type="dxa"/>
          </w:tcPr>
          <w:p w:rsidR="000B459F" w:rsidRPr="00582BC2" w:rsidRDefault="000B459F" w:rsidP="00287306">
            <w:pPr>
              <w:jc w:val="both"/>
              <w:rPr>
                <w:spacing w:val="-2"/>
              </w:rPr>
            </w:pPr>
            <w:r w:rsidRPr="00582BC2">
              <w:rPr>
                <w:spacing w:val="-2"/>
              </w:rPr>
              <w:t>($m.)</w:t>
            </w:r>
          </w:p>
        </w:tc>
      </w:tr>
      <w:tr w:rsidR="000B459F" w:rsidRPr="00582BC2" w:rsidTr="00287306">
        <w:tc>
          <w:tcPr>
            <w:tcW w:w="7488" w:type="dxa"/>
          </w:tcPr>
          <w:p w:rsidR="000B459F" w:rsidRPr="00582BC2" w:rsidRDefault="000B459F" w:rsidP="00287306">
            <w:pPr>
              <w:jc w:val="both"/>
              <w:rPr>
                <w:spacing w:val="-2"/>
              </w:rPr>
            </w:pPr>
            <w:r w:rsidRPr="00582BC2">
              <w:rPr>
                <w:spacing w:val="-2"/>
              </w:rPr>
              <w:t>BORROWER/RECIPIENT</w:t>
            </w:r>
          </w:p>
        </w:tc>
        <w:tc>
          <w:tcPr>
            <w:tcW w:w="1980" w:type="dxa"/>
          </w:tcPr>
          <w:p w:rsidR="000B459F" w:rsidRPr="00582BC2" w:rsidRDefault="000B459F" w:rsidP="00287306">
            <w:pPr>
              <w:jc w:val="both"/>
              <w:rPr>
                <w:spacing w:val="-2"/>
              </w:rPr>
            </w:pPr>
            <w:r w:rsidRPr="00582BC2">
              <w:rPr>
                <w:spacing w:val="-2"/>
              </w:rPr>
              <w:t>0</w:t>
            </w:r>
          </w:p>
        </w:tc>
      </w:tr>
      <w:tr w:rsidR="000B459F" w:rsidRPr="00582BC2" w:rsidTr="00287306">
        <w:tc>
          <w:tcPr>
            <w:tcW w:w="7488" w:type="dxa"/>
          </w:tcPr>
          <w:p w:rsidR="000B459F" w:rsidRPr="00582BC2" w:rsidRDefault="000B459F" w:rsidP="00287306">
            <w:pPr>
              <w:jc w:val="both"/>
              <w:rPr>
                <w:spacing w:val="-2"/>
              </w:rPr>
            </w:pPr>
            <w:r w:rsidRPr="00582BC2">
              <w:rPr>
                <w:spacing w:val="-2"/>
              </w:rPr>
              <w:t>International Development Association (IDA)</w:t>
            </w:r>
          </w:p>
        </w:tc>
        <w:tc>
          <w:tcPr>
            <w:tcW w:w="1980" w:type="dxa"/>
          </w:tcPr>
          <w:p w:rsidR="000B459F" w:rsidRPr="00582BC2" w:rsidRDefault="00313D95" w:rsidP="00287306">
            <w:pPr>
              <w:jc w:val="both"/>
              <w:rPr>
                <w:spacing w:val="-2"/>
              </w:rPr>
            </w:pPr>
            <w:r>
              <w:rPr>
                <w:spacing w:val="-2"/>
              </w:rPr>
              <w:t>2</w:t>
            </w:r>
            <w:r w:rsidR="001E781F">
              <w:rPr>
                <w:spacing w:val="-2"/>
              </w:rPr>
              <w:t>.</w:t>
            </w:r>
            <w:r>
              <w:rPr>
                <w:spacing w:val="-2"/>
              </w:rPr>
              <w:t>2</w:t>
            </w:r>
          </w:p>
        </w:tc>
      </w:tr>
      <w:tr w:rsidR="000B459F" w:rsidRPr="00582BC2" w:rsidTr="00287306">
        <w:tc>
          <w:tcPr>
            <w:tcW w:w="7488" w:type="dxa"/>
          </w:tcPr>
          <w:p w:rsidR="000B459F" w:rsidRPr="00582BC2" w:rsidRDefault="000B459F" w:rsidP="00287306">
            <w:pPr>
              <w:jc w:val="both"/>
              <w:rPr>
                <w:spacing w:val="-2"/>
              </w:rPr>
            </w:pPr>
            <w:r w:rsidRPr="00582BC2">
              <w:rPr>
                <w:spacing w:val="-2"/>
              </w:rPr>
              <w:tab/>
              <w:t>Total</w:t>
            </w:r>
          </w:p>
        </w:tc>
        <w:tc>
          <w:tcPr>
            <w:tcW w:w="1980" w:type="dxa"/>
          </w:tcPr>
          <w:p w:rsidR="000B459F" w:rsidRPr="00582BC2" w:rsidRDefault="00313D95" w:rsidP="00287306">
            <w:pPr>
              <w:jc w:val="both"/>
              <w:rPr>
                <w:spacing w:val="-2"/>
              </w:rPr>
            </w:pPr>
            <w:r>
              <w:rPr>
                <w:spacing w:val="-2"/>
              </w:rPr>
              <w:t>2</w:t>
            </w:r>
            <w:r w:rsidR="001E781F">
              <w:rPr>
                <w:spacing w:val="-2"/>
              </w:rPr>
              <w:t>.</w:t>
            </w:r>
            <w:r>
              <w:rPr>
                <w:spacing w:val="-2"/>
              </w:rPr>
              <w:t>2</w:t>
            </w:r>
          </w:p>
        </w:tc>
      </w:tr>
    </w:tbl>
    <w:p w:rsidR="000B459F" w:rsidRDefault="000B459F" w:rsidP="000B459F">
      <w:pPr>
        <w:jc w:val="both"/>
        <w:rPr>
          <w:spacing w:val="-2"/>
        </w:rPr>
      </w:pPr>
    </w:p>
    <w:p w:rsidR="000B459F" w:rsidRDefault="000B459F" w:rsidP="00036951">
      <w:pPr>
        <w:rPr>
          <w:b/>
          <w:spacing w:val="-2"/>
        </w:rPr>
      </w:pPr>
    </w:p>
    <w:p w:rsidR="00335023" w:rsidRDefault="00335023" w:rsidP="00036951">
      <w:pPr>
        <w:rPr>
          <w:b/>
          <w:spacing w:val="-2"/>
        </w:rPr>
      </w:pPr>
    </w:p>
    <w:p w:rsidR="00EE167F" w:rsidRPr="00582BC2" w:rsidRDefault="00EE167F" w:rsidP="001C37C0">
      <w:pPr>
        <w:numPr>
          <w:ilvl w:val="0"/>
          <w:numId w:val="7"/>
        </w:numPr>
        <w:rPr>
          <w:b/>
          <w:spacing w:val="-2"/>
        </w:rPr>
      </w:pPr>
      <w:r w:rsidRPr="00582BC2">
        <w:rPr>
          <w:b/>
          <w:spacing w:val="-2"/>
        </w:rPr>
        <w:lastRenderedPageBreak/>
        <w:t xml:space="preserve">Contact </w:t>
      </w:r>
      <w:r w:rsidR="00257223" w:rsidRPr="00582BC2">
        <w:rPr>
          <w:b/>
          <w:spacing w:val="-2"/>
        </w:rPr>
        <w:t>P</w:t>
      </w:r>
      <w:r w:rsidRPr="00582BC2">
        <w:rPr>
          <w:b/>
          <w:spacing w:val="-2"/>
        </w:rPr>
        <w:t>oint</w:t>
      </w:r>
    </w:p>
    <w:p w:rsidR="00257223" w:rsidRPr="00582BC2" w:rsidRDefault="00257223" w:rsidP="00EE167F">
      <w:pPr>
        <w:rPr>
          <w:spacing w:val="-2"/>
        </w:rPr>
      </w:pPr>
    </w:p>
    <w:p w:rsidR="00D62189" w:rsidRPr="00D62189" w:rsidRDefault="00D62189" w:rsidP="00EE167F">
      <w:pPr>
        <w:rPr>
          <w:b/>
          <w:spacing w:val="-2"/>
          <w:sz w:val="22"/>
          <w:szCs w:val="22"/>
        </w:rPr>
      </w:pPr>
      <w:r w:rsidRPr="00D62189">
        <w:rPr>
          <w:b/>
          <w:spacing w:val="-2"/>
          <w:sz w:val="22"/>
          <w:szCs w:val="22"/>
        </w:rPr>
        <w:t>World Bank</w:t>
      </w:r>
    </w:p>
    <w:p w:rsidR="00EE167F" w:rsidRPr="00A94302" w:rsidRDefault="00EE167F" w:rsidP="00EE167F">
      <w:pPr>
        <w:rPr>
          <w:spacing w:val="-2"/>
          <w:sz w:val="22"/>
          <w:szCs w:val="22"/>
        </w:rPr>
      </w:pPr>
      <w:r w:rsidRPr="00A94302">
        <w:rPr>
          <w:spacing w:val="-2"/>
          <w:sz w:val="22"/>
          <w:szCs w:val="22"/>
        </w:rPr>
        <w:t xml:space="preserve">Contact: </w:t>
      </w:r>
      <w:r w:rsidR="001E781F">
        <w:rPr>
          <w:spacing w:val="-2"/>
          <w:sz w:val="22"/>
          <w:szCs w:val="22"/>
        </w:rPr>
        <w:t>Ms</w:t>
      </w:r>
      <w:r w:rsidR="00530EFF" w:rsidRPr="00A94302">
        <w:rPr>
          <w:spacing w:val="-2"/>
          <w:sz w:val="22"/>
          <w:szCs w:val="22"/>
        </w:rPr>
        <w:t xml:space="preserve">. </w:t>
      </w:r>
      <w:r w:rsidR="001E781F">
        <w:rPr>
          <w:spacing w:val="-2"/>
          <w:sz w:val="22"/>
          <w:szCs w:val="22"/>
        </w:rPr>
        <w:t xml:space="preserve">Elisa </w:t>
      </w:r>
      <w:proofErr w:type="spellStart"/>
      <w:r w:rsidR="001E781F">
        <w:rPr>
          <w:spacing w:val="-2"/>
          <w:sz w:val="22"/>
          <w:szCs w:val="22"/>
        </w:rPr>
        <w:t>Gamberoni</w:t>
      </w:r>
      <w:proofErr w:type="spellEnd"/>
    </w:p>
    <w:p w:rsidR="00EE167F" w:rsidRPr="00A94302" w:rsidRDefault="00EE167F" w:rsidP="00EE167F">
      <w:pPr>
        <w:rPr>
          <w:spacing w:val="-2"/>
          <w:sz w:val="22"/>
          <w:szCs w:val="22"/>
        </w:rPr>
      </w:pPr>
      <w:r w:rsidRPr="00A94302">
        <w:rPr>
          <w:spacing w:val="-2"/>
          <w:sz w:val="22"/>
          <w:szCs w:val="22"/>
        </w:rPr>
        <w:t>Title:  Economist</w:t>
      </w:r>
    </w:p>
    <w:p w:rsidR="00EE167F" w:rsidRPr="00A94302" w:rsidRDefault="00EE167F" w:rsidP="00EE167F">
      <w:pPr>
        <w:rPr>
          <w:spacing w:val="-2"/>
          <w:sz w:val="22"/>
          <w:szCs w:val="22"/>
        </w:rPr>
      </w:pPr>
      <w:r w:rsidRPr="00A94302">
        <w:rPr>
          <w:spacing w:val="-2"/>
          <w:sz w:val="22"/>
          <w:szCs w:val="22"/>
        </w:rPr>
        <w:t xml:space="preserve">Tel: </w:t>
      </w:r>
      <w:r w:rsidR="001E781F">
        <w:rPr>
          <w:rFonts w:ascii="Helv" w:hAnsi="Helv" w:cs="Helv"/>
          <w:color w:val="000000"/>
          <w:sz w:val="20"/>
          <w:szCs w:val="20"/>
        </w:rPr>
        <w:t>(</w:t>
      </w:r>
      <w:r w:rsidR="001E781F" w:rsidRPr="001E781F">
        <w:rPr>
          <w:spacing w:val="-2"/>
          <w:sz w:val="22"/>
          <w:szCs w:val="22"/>
        </w:rPr>
        <w:t>202) 458 5789</w:t>
      </w:r>
    </w:p>
    <w:p w:rsidR="00EE167F" w:rsidRPr="00A94302" w:rsidRDefault="00EE167F" w:rsidP="00EE167F">
      <w:pPr>
        <w:rPr>
          <w:spacing w:val="-2"/>
          <w:sz w:val="22"/>
          <w:szCs w:val="22"/>
        </w:rPr>
      </w:pPr>
      <w:r w:rsidRPr="00A94302">
        <w:rPr>
          <w:spacing w:val="-2"/>
          <w:sz w:val="22"/>
          <w:szCs w:val="22"/>
        </w:rPr>
        <w:t>Fax: (202) 473-8466</w:t>
      </w:r>
    </w:p>
    <w:p w:rsidR="00257223" w:rsidRPr="00A94302" w:rsidRDefault="00EE167F" w:rsidP="00EE167F">
      <w:pPr>
        <w:rPr>
          <w:spacing w:val="-2"/>
          <w:sz w:val="22"/>
          <w:szCs w:val="22"/>
        </w:rPr>
      </w:pPr>
      <w:r w:rsidRPr="00A94302">
        <w:rPr>
          <w:spacing w:val="-2"/>
          <w:sz w:val="22"/>
          <w:szCs w:val="22"/>
        </w:rPr>
        <w:t xml:space="preserve">Email: </w:t>
      </w:r>
      <w:r w:rsidR="001E781F">
        <w:rPr>
          <w:spacing w:val="-2"/>
          <w:sz w:val="22"/>
          <w:szCs w:val="22"/>
        </w:rPr>
        <w:t>egamberoni</w:t>
      </w:r>
      <w:r w:rsidRPr="00A94302">
        <w:rPr>
          <w:spacing w:val="-2"/>
          <w:sz w:val="22"/>
          <w:szCs w:val="22"/>
        </w:rPr>
        <w:t>@worldbank.org</w:t>
      </w:r>
    </w:p>
    <w:p w:rsidR="002825F8" w:rsidRPr="00A94302" w:rsidRDefault="002825F8" w:rsidP="00EE167F">
      <w:pPr>
        <w:rPr>
          <w:spacing w:val="-2"/>
          <w:sz w:val="22"/>
          <w:szCs w:val="22"/>
        </w:rPr>
      </w:pPr>
      <w:r w:rsidRPr="00A94302">
        <w:rPr>
          <w:spacing w:val="-2"/>
          <w:sz w:val="22"/>
          <w:szCs w:val="22"/>
        </w:rPr>
        <w:t xml:space="preserve">Location: Washington, D.C. </w:t>
      </w:r>
    </w:p>
    <w:p w:rsidR="00C02D11" w:rsidRDefault="00C02D11" w:rsidP="00EE167F">
      <w:pPr>
        <w:rPr>
          <w:spacing w:val="-2"/>
          <w:sz w:val="22"/>
          <w:szCs w:val="22"/>
        </w:rPr>
      </w:pPr>
    </w:p>
    <w:p w:rsidR="00D62189" w:rsidRPr="00D62189" w:rsidRDefault="008E251A" w:rsidP="00EE167F">
      <w:pPr>
        <w:rPr>
          <w:b/>
          <w:spacing w:val="-2"/>
          <w:sz w:val="22"/>
          <w:szCs w:val="22"/>
        </w:rPr>
      </w:pPr>
      <w:r>
        <w:rPr>
          <w:b/>
          <w:spacing w:val="-2"/>
          <w:sz w:val="22"/>
          <w:szCs w:val="22"/>
        </w:rPr>
        <w:t>Borrower</w:t>
      </w:r>
    </w:p>
    <w:p w:rsidR="00D62189" w:rsidRPr="00D62189" w:rsidRDefault="00D62189" w:rsidP="00D62189">
      <w:pPr>
        <w:rPr>
          <w:spacing w:val="-2"/>
          <w:sz w:val="22"/>
          <w:szCs w:val="22"/>
        </w:rPr>
      </w:pPr>
      <w:r>
        <w:rPr>
          <w:spacing w:val="-2"/>
          <w:sz w:val="22"/>
          <w:szCs w:val="22"/>
        </w:rPr>
        <w:t xml:space="preserve">Contact: </w:t>
      </w:r>
      <w:r w:rsidRPr="00D62189">
        <w:rPr>
          <w:spacing w:val="-2"/>
          <w:sz w:val="22"/>
          <w:szCs w:val="22"/>
        </w:rPr>
        <w:t>Ministry of Finance and International Cooperation</w:t>
      </w:r>
    </w:p>
    <w:p w:rsidR="00D62189" w:rsidRPr="00D62189" w:rsidRDefault="00D62189" w:rsidP="00D62189">
      <w:pPr>
        <w:rPr>
          <w:spacing w:val="-2"/>
          <w:sz w:val="22"/>
          <w:szCs w:val="22"/>
        </w:rPr>
      </w:pPr>
      <w:r>
        <w:rPr>
          <w:spacing w:val="-2"/>
          <w:sz w:val="22"/>
          <w:szCs w:val="22"/>
        </w:rPr>
        <w:t xml:space="preserve">Address: </w:t>
      </w:r>
      <w:r w:rsidRPr="00D62189">
        <w:rPr>
          <w:spacing w:val="-2"/>
          <w:sz w:val="22"/>
          <w:szCs w:val="22"/>
        </w:rPr>
        <w:t xml:space="preserve">Largo das </w:t>
      </w:r>
      <w:proofErr w:type="spellStart"/>
      <w:r w:rsidRPr="00D62189">
        <w:rPr>
          <w:spacing w:val="-2"/>
          <w:sz w:val="22"/>
          <w:szCs w:val="22"/>
        </w:rPr>
        <w:t>Alfandegas</w:t>
      </w:r>
      <w:proofErr w:type="spellEnd"/>
      <w:r>
        <w:rPr>
          <w:spacing w:val="-2"/>
          <w:sz w:val="22"/>
          <w:szCs w:val="22"/>
        </w:rPr>
        <w:t xml:space="preserve">, </w:t>
      </w:r>
      <w:r w:rsidRPr="00D62189">
        <w:rPr>
          <w:spacing w:val="-2"/>
          <w:sz w:val="22"/>
          <w:szCs w:val="22"/>
        </w:rPr>
        <w:t>Sao Tome</w:t>
      </w:r>
      <w:r>
        <w:rPr>
          <w:spacing w:val="-2"/>
          <w:sz w:val="22"/>
          <w:szCs w:val="22"/>
        </w:rPr>
        <w:t xml:space="preserve">, </w:t>
      </w:r>
      <w:r w:rsidRPr="00D62189">
        <w:rPr>
          <w:spacing w:val="-2"/>
          <w:sz w:val="22"/>
          <w:szCs w:val="22"/>
        </w:rPr>
        <w:t>Sao Tome and Principe</w:t>
      </w:r>
    </w:p>
    <w:p w:rsidR="00D62189" w:rsidRDefault="00D62189" w:rsidP="00D62189">
      <w:pPr>
        <w:rPr>
          <w:spacing w:val="-2"/>
          <w:sz w:val="22"/>
          <w:szCs w:val="22"/>
        </w:rPr>
      </w:pPr>
      <w:r w:rsidRPr="00D62189">
        <w:rPr>
          <w:spacing w:val="-2"/>
          <w:sz w:val="22"/>
          <w:szCs w:val="22"/>
        </w:rPr>
        <w:t>Tel: (239) 2226-748</w:t>
      </w:r>
      <w:r w:rsidRPr="00D62189">
        <w:rPr>
          <w:spacing w:val="-2"/>
          <w:sz w:val="22"/>
          <w:szCs w:val="22"/>
        </w:rPr>
        <w:tab/>
      </w:r>
    </w:p>
    <w:p w:rsidR="00D62189" w:rsidRPr="00D62189" w:rsidRDefault="00D62189" w:rsidP="00D62189">
      <w:pPr>
        <w:rPr>
          <w:spacing w:val="-2"/>
          <w:sz w:val="22"/>
          <w:szCs w:val="22"/>
        </w:rPr>
      </w:pPr>
      <w:r w:rsidRPr="00D62189">
        <w:rPr>
          <w:spacing w:val="-2"/>
          <w:sz w:val="22"/>
          <w:szCs w:val="22"/>
        </w:rPr>
        <w:t>Fax: (239) 2222-182</w:t>
      </w:r>
    </w:p>
    <w:p w:rsidR="00D62189" w:rsidRPr="00A94302" w:rsidRDefault="00D62189" w:rsidP="00D62189">
      <w:pPr>
        <w:rPr>
          <w:spacing w:val="-2"/>
          <w:sz w:val="22"/>
          <w:szCs w:val="22"/>
        </w:rPr>
      </w:pPr>
    </w:p>
    <w:p w:rsidR="00D62189" w:rsidRDefault="00D62189" w:rsidP="00EE167F">
      <w:pPr>
        <w:rPr>
          <w:spacing w:val="-2"/>
          <w:sz w:val="22"/>
          <w:szCs w:val="22"/>
        </w:rPr>
      </w:pPr>
    </w:p>
    <w:p w:rsidR="00D62189" w:rsidRDefault="00D62189" w:rsidP="00EE167F">
      <w:pPr>
        <w:rPr>
          <w:spacing w:val="-2"/>
          <w:sz w:val="22"/>
          <w:szCs w:val="22"/>
        </w:rPr>
      </w:pPr>
    </w:p>
    <w:p w:rsidR="002825F8" w:rsidRPr="00A94302" w:rsidRDefault="002825F8" w:rsidP="00EE167F">
      <w:pPr>
        <w:rPr>
          <w:spacing w:val="-2"/>
          <w:sz w:val="22"/>
          <w:szCs w:val="22"/>
        </w:rPr>
      </w:pPr>
      <w:r w:rsidRPr="00A94302">
        <w:rPr>
          <w:spacing w:val="-2"/>
          <w:sz w:val="22"/>
          <w:szCs w:val="22"/>
        </w:rPr>
        <w:t xml:space="preserve">For more information contact: </w:t>
      </w:r>
    </w:p>
    <w:p w:rsidR="002825F8" w:rsidRPr="00A94302" w:rsidRDefault="002825F8" w:rsidP="00EE167F">
      <w:pPr>
        <w:rPr>
          <w:spacing w:val="-2"/>
          <w:sz w:val="22"/>
          <w:szCs w:val="22"/>
        </w:rPr>
      </w:pPr>
      <w:r w:rsidRPr="00A94302">
        <w:rPr>
          <w:spacing w:val="-2"/>
          <w:sz w:val="22"/>
          <w:szCs w:val="22"/>
        </w:rPr>
        <w:tab/>
        <w:t xml:space="preserve">The </w:t>
      </w:r>
      <w:proofErr w:type="spellStart"/>
      <w:r w:rsidRPr="00A94302">
        <w:rPr>
          <w:spacing w:val="-2"/>
          <w:sz w:val="22"/>
          <w:szCs w:val="22"/>
        </w:rPr>
        <w:t>InfoShop</w:t>
      </w:r>
      <w:proofErr w:type="spellEnd"/>
    </w:p>
    <w:p w:rsidR="002825F8" w:rsidRPr="00A94302" w:rsidRDefault="002825F8" w:rsidP="00EE167F">
      <w:pPr>
        <w:rPr>
          <w:spacing w:val="-2"/>
          <w:sz w:val="22"/>
          <w:szCs w:val="22"/>
        </w:rPr>
      </w:pPr>
      <w:r w:rsidRPr="00A94302">
        <w:rPr>
          <w:spacing w:val="-2"/>
          <w:sz w:val="22"/>
          <w:szCs w:val="22"/>
        </w:rPr>
        <w:tab/>
        <w:t>The World Bank</w:t>
      </w:r>
    </w:p>
    <w:p w:rsidR="002825F8" w:rsidRPr="00A94302" w:rsidRDefault="002825F8" w:rsidP="00EE167F">
      <w:pPr>
        <w:rPr>
          <w:spacing w:val="-2"/>
          <w:sz w:val="22"/>
          <w:szCs w:val="22"/>
        </w:rPr>
      </w:pPr>
      <w:r w:rsidRPr="00A94302">
        <w:rPr>
          <w:spacing w:val="-2"/>
          <w:sz w:val="22"/>
          <w:szCs w:val="22"/>
        </w:rPr>
        <w:tab/>
        <w:t>1818 H Street, NW</w:t>
      </w:r>
    </w:p>
    <w:p w:rsidR="002825F8" w:rsidRPr="00A94302" w:rsidRDefault="002825F8" w:rsidP="00EE167F">
      <w:pPr>
        <w:rPr>
          <w:spacing w:val="-2"/>
          <w:sz w:val="22"/>
          <w:szCs w:val="22"/>
        </w:rPr>
      </w:pPr>
      <w:r w:rsidRPr="00A94302">
        <w:rPr>
          <w:spacing w:val="-2"/>
          <w:sz w:val="22"/>
          <w:szCs w:val="22"/>
        </w:rPr>
        <w:tab/>
        <w:t>Washington, D.C. 20433</w:t>
      </w:r>
    </w:p>
    <w:p w:rsidR="002825F8" w:rsidRPr="00A94302" w:rsidRDefault="002825F8" w:rsidP="00EE167F">
      <w:pPr>
        <w:rPr>
          <w:spacing w:val="-2"/>
          <w:sz w:val="22"/>
          <w:szCs w:val="22"/>
        </w:rPr>
      </w:pPr>
      <w:r w:rsidRPr="00A94302">
        <w:rPr>
          <w:spacing w:val="-2"/>
          <w:sz w:val="22"/>
          <w:szCs w:val="22"/>
        </w:rPr>
        <w:tab/>
        <w:t>Telephone: (202) 458-4500</w:t>
      </w:r>
    </w:p>
    <w:p w:rsidR="002825F8" w:rsidRPr="00A94302" w:rsidRDefault="002825F8" w:rsidP="00EE167F">
      <w:pPr>
        <w:rPr>
          <w:spacing w:val="-2"/>
          <w:sz w:val="22"/>
          <w:szCs w:val="22"/>
        </w:rPr>
      </w:pPr>
      <w:r w:rsidRPr="00A94302">
        <w:rPr>
          <w:spacing w:val="-2"/>
          <w:sz w:val="22"/>
          <w:szCs w:val="22"/>
        </w:rPr>
        <w:tab/>
        <w:t>Fax: (202) 522-1500</w:t>
      </w:r>
    </w:p>
    <w:p w:rsidR="002825F8" w:rsidRPr="00A94302" w:rsidRDefault="002825F8" w:rsidP="00EE167F">
      <w:pPr>
        <w:rPr>
          <w:spacing w:val="-2"/>
          <w:sz w:val="22"/>
          <w:szCs w:val="22"/>
        </w:rPr>
      </w:pPr>
      <w:r w:rsidRPr="00A94302">
        <w:rPr>
          <w:spacing w:val="-2"/>
          <w:sz w:val="22"/>
          <w:szCs w:val="22"/>
        </w:rPr>
        <w:tab/>
        <w:t>Email: pic@worldbank.org</w:t>
      </w:r>
    </w:p>
    <w:p w:rsidR="002825F8" w:rsidRPr="00A94302" w:rsidRDefault="002825F8" w:rsidP="00EE167F">
      <w:pPr>
        <w:rPr>
          <w:spacing w:val="-2"/>
          <w:sz w:val="22"/>
          <w:szCs w:val="22"/>
        </w:rPr>
      </w:pPr>
      <w:r w:rsidRPr="00A94302">
        <w:rPr>
          <w:spacing w:val="-2"/>
          <w:sz w:val="22"/>
          <w:szCs w:val="22"/>
        </w:rPr>
        <w:tab/>
        <w:t>Web: http://www.worldbank.org/infoshop</w:t>
      </w:r>
    </w:p>
    <w:p w:rsidR="002825F8" w:rsidRPr="00582BC2" w:rsidRDefault="002825F8" w:rsidP="00EE167F">
      <w:pPr>
        <w:rPr>
          <w:spacing w:val="-2"/>
        </w:rPr>
      </w:pPr>
    </w:p>
    <w:sectPr w:rsidR="002825F8" w:rsidRPr="00582BC2" w:rsidSect="00B047D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B" w:rsidRDefault="00D12E0B">
      <w:r>
        <w:separator/>
      </w:r>
    </w:p>
  </w:endnote>
  <w:endnote w:type="continuationSeparator" w:id="0">
    <w:p w:rsidR="00D12E0B" w:rsidRDefault="00D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PIJPK+TimesNewRoman,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C2" w:rsidRDefault="00055B22" w:rsidP="00502C30">
    <w:pPr>
      <w:pStyle w:val="Footer"/>
      <w:framePr w:wrap="around" w:vAnchor="text" w:hAnchor="margin" w:xAlign="center" w:y="1"/>
      <w:rPr>
        <w:rStyle w:val="PageNumber"/>
      </w:rPr>
    </w:pPr>
    <w:r>
      <w:rPr>
        <w:rStyle w:val="PageNumber"/>
      </w:rPr>
      <w:fldChar w:fldCharType="begin"/>
    </w:r>
    <w:r w:rsidR="00582BC2">
      <w:rPr>
        <w:rStyle w:val="PageNumber"/>
      </w:rPr>
      <w:instrText xml:space="preserve">PAGE  </w:instrText>
    </w:r>
    <w:r>
      <w:rPr>
        <w:rStyle w:val="PageNumber"/>
      </w:rPr>
      <w:fldChar w:fldCharType="end"/>
    </w:r>
  </w:p>
  <w:p w:rsidR="00582BC2" w:rsidRDefault="00582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C2" w:rsidRDefault="00055B22" w:rsidP="00502C30">
    <w:pPr>
      <w:pStyle w:val="Footer"/>
      <w:framePr w:wrap="around" w:vAnchor="text" w:hAnchor="margin" w:xAlign="center" w:y="1"/>
      <w:rPr>
        <w:rStyle w:val="PageNumber"/>
      </w:rPr>
    </w:pPr>
    <w:r>
      <w:rPr>
        <w:rStyle w:val="PageNumber"/>
      </w:rPr>
      <w:fldChar w:fldCharType="begin"/>
    </w:r>
    <w:r w:rsidR="00582BC2">
      <w:rPr>
        <w:rStyle w:val="PageNumber"/>
      </w:rPr>
      <w:instrText xml:space="preserve">PAGE  </w:instrText>
    </w:r>
    <w:r>
      <w:rPr>
        <w:rStyle w:val="PageNumber"/>
      </w:rPr>
      <w:fldChar w:fldCharType="separate"/>
    </w:r>
    <w:r w:rsidR="008F2066">
      <w:rPr>
        <w:rStyle w:val="PageNumber"/>
        <w:noProof/>
      </w:rPr>
      <w:t>4</w:t>
    </w:r>
    <w:r>
      <w:rPr>
        <w:rStyle w:val="PageNumber"/>
      </w:rPr>
      <w:fldChar w:fldCharType="end"/>
    </w:r>
  </w:p>
  <w:p w:rsidR="00582BC2" w:rsidRDefault="00582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B" w:rsidRDefault="00D12E0B">
      <w:r>
        <w:separator/>
      </w:r>
    </w:p>
  </w:footnote>
  <w:footnote w:type="continuationSeparator" w:id="0">
    <w:p w:rsidR="00D12E0B" w:rsidRDefault="00D12E0B">
      <w:r>
        <w:continuationSeparator/>
      </w:r>
    </w:p>
  </w:footnote>
  <w:footnote w:id="1">
    <w:p w:rsidR="00D02D5E" w:rsidRPr="007B253D" w:rsidRDefault="00D02D5E" w:rsidP="00D02D5E">
      <w:pPr>
        <w:pStyle w:val="FootnoteText"/>
      </w:pPr>
      <w:r w:rsidRPr="007B253D">
        <w:rPr>
          <w:rStyle w:val="FootnoteReference"/>
        </w:rPr>
        <w:footnoteRef/>
      </w:r>
      <w:r w:rsidRPr="007B253D">
        <w:t xml:space="preserve"> </w:t>
      </w:r>
      <w:proofErr w:type="gramStart"/>
      <w:r>
        <w:t>b</w:t>
      </w:r>
      <w:r w:rsidRPr="007B253D">
        <w:t>ased</w:t>
      </w:r>
      <w:proofErr w:type="gramEnd"/>
      <w:r w:rsidRPr="007B253D">
        <w:t xml:space="preserve"> on the latest available data in </w:t>
      </w:r>
      <w:proofErr w:type="spellStart"/>
      <w:r w:rsidRPr="007B253D">
        <w:t>Povcalnet</w:t>
      </w:r>
      <w:proofErr w:type="spellEnd"/>
      <w:r>
        <w:t xml:space="preserve">, </w:t>
      </w:r>
      <w:r w:rsidRPr="00453F8F">
        <w:t xml:space="preserve">The </w:t>
      </w:r>
      <w:proofErr w:type="spellStart"/>
      <w:r w:rsidRPr="00453F8F">
        <w:t>Gini</w:t>
      </w:r>
      <w:proofErr w:type="spellEnd"/>
      <w:r w:rsidRPr="00453F8F">
        <w:t xml:space="preserve"> index for STP in 2010 was 33.6, well below the median </w:t>
      </w:r>
      <w:proofErr w:type="spellStart"/>
      <w:r w:rsidRPr="00453F8F">
        <w:t>Gini</w:t>
      </w:r>
      <w:proofErr w:type="spellEnd"/>
      <w:r w:rsidRPr="00453F8F">
        <w:t xml:space="preserve"> index for Sub-Saharan Africa (42.7)</w:t>
      </w:r>
      <w:r w:rsidRPr="007B253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60F8B"/>
    <w:multiLevelType w:val="hybridMultilevel"/>
    <w:tmpl w:val="8550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A6A75"/>
    <w:multiLevelType w:val="hybridMultilevel"/>
    <w:tmpl w:val="965E1B88"/>
    <w:lvl w:ilvl="0" w:tplc="D2B0235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B27"/>
    <w:multiLevelType w:val="hybridMultilevel"/>
    <w:tmpl w:val="3FD8B32A"/>
    <w:lvl w:ilvl="0" w:tplc="D08ACB1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5">
      <w:start w:val="2"/>
      <w:numFmt w:val="upp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C891C10"/>
    <w:multiLevelType w:val="hybridMultilevel"/>
    <w:tmpl w:val="04269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C7FFE"/>
    <w:multiLevelType w:val="hybridMultilevel"/>
    <w:tmpl w:val="7C44D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85C9A"/>
    <w:multiLevelType w:val="hybridMultilevel"/>
    <w:tmpl w:val="01A44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35CD9"/>
    <w:multiLevelType w:val="hybridMultilevel"/>
    <w:tmpl w:val="7F9ABB56"/>
    <w:lvl w:ilvl="0" w:tplc="B2C6E290">
      <w:start w:val="1"/>
      <w:numFmt w:val="decimal"/>
      <w:lvlText w:val="%1."/>
      <w:lvlJc w:val="left"/>
      <w:pPr>
        <w:tabs>
          <w:tab w:val="num" w:pos="1080"/>
        </w:tabs>
        <w:ind w:left="1080" w:hanging="720"/>
      </w:pPr>
      <w:rPr>
        <w:rFonts w:ascii="Times New Roman" w:hAnsi="Times New Roman" w:cs="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340"/>
        </w:tabs>
        <w:ind w:left="2340" w:hanging="360"/>
      </w:pPr>
      <w:rPr>
        <w:rFonts w:ascii="Symbol" w:hAnsi="Symbol" w:hint="default"/>
        <w:sz w:val="24"/>
      </w:rPr>
    </w:lvl>
    <w:lvl w:ilvl="3" w:tplc="667E4FC0">
      <w:start w:val="1"/>
      <w:numFmt w:val="lowerRoman"/>
      <w:lvlText w:val="(%4)"/>
      <w:lvlJc w:val="left"/>
      <w:pPr>
        <w:tabs>
          <w:tab w:val="num" w:pos="3600"/>
        </w:tabs>
        <w:ind w:left="3600" w:hanging="10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CD4B26"/>
    <w:multiLevelType w:val="hybridMultilevel"/>
    <w:tmpl w:val="35986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B6146B"/>
    <w:multiLevelType w:val="hybridMultilevel"/>
    <w:tmpl w:val="6DC47FBE"/>
    <w:lvl w:ilvl="0" w:tplc="3CF28AFA">
      <w:start w:val="1"/>
      <w:numFmt w:val="decimal"/>
      <w:lvlText w:val="%1."/>
      <w:lvlJc w:val="left"/>
      <w:pPr>
        <w:tabs>
          <w:tab w:val="num" w:pos="720"/>
        </w:tabs>
        <w:ind w:left="720" w:hanging="360"/>
      </w:pPr>
      <w:rPr>
        <w:rFonts w:ascii="Times New Roman" w:hAnsi="Times New Roman" w:cs="Times New Roman" w:hint="default"/>
        <w:b w:val="0"/>
        <w:color w:val="auto"/>
        <w:sz w:val="22"/>
        <w:szCs w:val="22"/>
      </w:rPr>
    </w:lvl>
    <w:lvl w:ilvl="1" w:tplc="04090003">
      <w:start w:val="1"/>
      <w:numFmt w:val="lowerLetter"/>
      <w:lvlText w:val="%2."/>
      <w:lvlJc w:val="left"/>
      <w:pPr>
        <w:tabs>
          <w:tab w:val="num" w:pos="1440"/>
        </w:tabs>
        <w:ind w:left="1440" w:hanging="360"/>
      </w:pPr>
    </w:lvl>
    <w:lvl w:ilvl="2" w:tplc="04090005">
      <w:start w:val="2"/>
      <w:numFmt w:val="upp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00B425F"/>
    <w:multiLevelType w:val="hybridMultilevel"/>
    <w:tmpl w:val="58EE257A"/>
    <w:lvl w:ilvl="0" w:tplc="662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3598B"/>
    <w:multiLevelType w:val="hybridMultilevel"/>
    <w:tmpl w:val="E38C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AE09D6"/>
    <w:multiLevelType w:val="hybridMultilevel"/>
    <w:tmpl w:val="1DB07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257230"/>
    <w:multiLevelType w:val="hybridMultilevel"/>
    <w:tmpl w:val="D98446FE"/>
    <w:lvl w:ilvl="0" w:tplc="E8689B08">
      <w:start w:val="33"/>
      <w:numFmt w:val="decimal"/>
      <w:pStyle w:val="Style2"/>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B3D598F"/>
    <w:multiLevelType w:val="hybridMultilevel"/>
    <w:tmpl w:val="61E64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C9570B"/>
    <w:multiLevelType w:val="hybridMultilevel"/>
    <w:tmpl w:val="3B8A9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20"/>
  </w:num>
  <w:num w:numId="4">
    <w:abstractNumId w:val="5"/>
  </w:num>
  <w:num w:numId="5">
    <w:abstractNumId w:val="14"/>
  </w:num>
  <w:num w:numId="6">
    <w:abstractNumId w:val="0"/>
  </w:num>
  <w:num w:numId="7">
    <w:abstractNumId w:val="16"/>
  </w:num>
  <w:num w:numId="8">
    <w:abstractNumId w:val="8"/>
  </w:num>
  <w:num w:numId="9">
    <w:abstractNumId w:val="11"/>
  </w:num>
  <w:num w:numId="10">
    <w:abstractNumId w:val="3"/>
  </w:num>
  <w:num w:numId="11">
    <w:abstractNumId w:val="7"/>
  </w:num>
  <w:num w:numId="12">
    <w:abstractNumId w:val="1"/>
  </w:num>
  <w:num w:numId="13">
    <w:abstractNumId w:val="15"/>
  </w:num>
  <w:num w:numId="14">
    <w:abstractNumId w:val="4"/>
  </w:num>
  <w:num w:numId="15">
    <w:abstractNumId w:val="6"/>
  </w:num>
  <w:num w:numId="16">
    <w:abstractNumId w:val="10"/>
  </w:num>
  <w:num w:numId="17">
    <w:abstractNumId w:val="18"/>
  </w:num>
  <w:num w:numId="18">
    <w:abstractNumId w:val="19"/>
  </w:num>
  <w:num w:numId="19">
    <w:abstractNumId w:val="2"/>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C5"/>
    <w:rsid w:val="0000613C"/>
    <w:rsid w:val="00006B91"/>
    <w:rsid w:val="00022698"/>
    <w:rsid w:val="000320B3"/>
    <w:rsid w:val="00036951"/>
    <w:rsid w:val="00042D5A"/>
    <w:rsid w:val="000431C8"/>
    <w:rsid w:val="00043CF7"/>
    <w:rsid w:val="00055B22"/>
    <w:rsid w:val="00066A07"/>
    <w:rsid w:val="00067498"/>
    <w:rsid w:val="000756C1"/>
    <w:rsid w:val="0007743B"/>
    <w:rsid w:val="000866AB"/>
    <w:rsid w:val="00093BC4"/>
    <w:rsid w:val="000B459F"/>
    <w:rsid w:val="000D46E6"/>
    <w:rsid w:val="000E2685"/>
    <w:rsid w:val="000F43F8"/>
    <w:rsid w:val="000F56FF"/>
    <w:rsid w:val="000F5895"/>
    <w:rsid w:val="0010119D"/>
    <w:rsid w:val="00111860"/>
    <w:rsid w:val="00113506"/>
    <w:rsid w:val="001352D9"/>
    <w:rsid w:val="00145FBB"/>
    <w:rsid w:val="00152B66"/>
    <w:rsid w:val="00154C0F"/>
    <w:rsid w:val="00167087"/>
    <w:rsid w:val="00195429"/>
    <w:rsid w:val="00195CFC"/>
    <w:rsid w:val="001A0540"/>
    <w:rsid w:val="001A07D2"/>
    <w:rsid w:val="001A436F"/>
    <w:rsid w:val="001A51DF"/>
    <w:rsid w:val="001B6D48"/>
    <w:rsid w:val="001C37C0"/>
    <w:rsid w:val="001C3F77"/>
    <w:rsid w:val="001E1843"/>
    <w:rsid w:val="001E6BC2"/>
    <w:rsid w:val="001E781F"/>
    <w:rsid w:val="001F0A87"/>
    <w:rsid w:val="0022707C"/>
    <w:rsid w:val="002308F7"/>
    <w:rsid w:val="0023641A"/>
    <w:rsid w:val="00242502"/>
    <w:rsid w:val="00242F0B"/>
    <w:rsid w:val="00243DB2"/>
    <w:rsid w:val="00256176"/>
    <w:rsid w:val="00257223"/>
    <w:rsid w:val="00265E5E"/>
    <w:rsid w:val="00274786"/>
    <w:rsid w:val="002825F8"/>
    <w:rsid w:val="00287DA8"/>
    <w:rsid w:val="00293B84"/>
    <w:rsid w:val="002A3946"/>
    <w:rsid w:val="002B1062"/>
    <w:rsid w:val="002B2057"/>
    <w:rsid w:val="002B4839"/>
    <w:rsid w:val="002C1D11"/>
    <w:rsid w:val="002C4B28"/>
    <w:rsid w:val="002D01FB"/>
    <w:rsid w:val="002E18C5"/>
    <w:rsid w:val="002E6902"/>
    <w:rsid w:val="002F24EF"/>
    <w:rsid w:val="003113D2"/>
    <w:rsid w:val="00313D95"/>
    <w:rsid w:val="0031635B"/>
    <w:rsid w:val="003218A7"/>
    <w:rsid w:val="00330D45"/>
    <w:rsid w:val="00334F28"/>
    <w:rsid w:val="00335023"/>
    <w:rsid w:val="003619A7"/>
    <w:rsid w:val="00374B25"/>
    <w:rsid w:val="0038183D"/>
    <w:rsid w:val="003A0EA7"/>
    <w:rsid w:val="003C0209"/>
    <w:rsid w:val="003C6207"/>
    <w:rsid w:val="003E008A"/>
    <w:rsid w:val="003F1C12"/>
    <w:rsid w:val="00411940"/>
    <w:rsid w:val="00411A34"/>
    <w:rsid w:val="00425194"/>
    <w:rsid w:val="00432605"/>
    <w:rsid w:val="00434947"/>
    <w:rsid w:val="004512AB"/>
    <w:rsid w:val="00451733"/>
    <w:rsid w:val="00454D17"/>
    <w:rsid w:val="00471CA9"/>
    <w:rsid w:val="00476170"/>
    <w:rsid w:val="004878BE"/>
    <w:rsid w:val="004A0D82"/>
    <w:rsid w:val="004A6245"/>
    <w:rsid w:val="004B14F1"/>
    <w:rsid w:val="004B78C5"/>
    <w:rsid w:val="004D727A"/>
    <w:rsid w:val="00502C30"/>
    <w:rsid w:val="00507F57"/>
    <w:rsid w:val="00511333"/>
    <w:rsid w:val="00512B4F"/>
    <w:rsid w:val="0051592D"/>
    <w:rsid w:val="005216B4"/>
    <w:rsid w:val="005274E6"/>
    <w:rsid w:val="00530EFF"/>
    <w:rsid w:val="005438BC"/>
    <w:rsid w:val="005463B5"/>
    <w:rsid w:val="005572FF"/>
    <w:rsid w:val="00567819"/>
    <w:rsid w:val="00572ED4"/>
    <w:rsid w:val="00576783"/>
    <w:rsid w:val="00580F2C"/>
    <w:rsid w:val="00582BC2"/>
    <w:rsid w:val="00586EBC"/>
    <w:rsid w:val="00596C19"/>
    <w:rsid w:val="005F1B77"/>
    <w:rsid w:val="006214FE"/>
    <w:rsid w:val="00623183"/>
    <w:rsid w:val="00626E4E"/>
    <w:rsid w:val="006276AA"/>
    <w:rsid w:val="00630768"/>
    <w:rsid w:val="0063362E"/>
    <w:rsid w:val="00633AE9"/>
    <w:rsid w:val="006523CD"/>
    <w:rsid w:val="0067248D"/>
    <w:rsid w:val="00674BB9"/>
    <w:rsid w:val="00674DD3"/>
    <w:rsid w:val="00683ED6"/>
    <w:rsid w:val="006940F4"/>
    <w:rsid w:val="00694A80"/>
    <w:rsid w:val="00696A87"/>
    <w:rsid w:val="006A6E10"/>
    <w:rsid w:val="006B211C"/>
    <w:rsid w:val="006B3F7B"/>
    <w:rsid w:val="006D1AF3"/>
    <w:rsid w:val="006E038A"/>
    <w:rsid w:val="006E39CF"/>
    <w:rsid w:val="006F0D48"/>
    <w:rsid w:val="006F51AB"/>
    <w:rsid w:val="0070057B"/>
    <w:rsid w:val="00715106"/>
    <w:rsid w:val="00720609"/>
    <w:rsid w:val="00721379"/>
    <w:rsid w:val="007237B0"/>
    <w:rsid w:val="007323D6"/>
    <w:rsid w:val="00734955"/>
    <w:rsid w:val="00744167"/>
    <w:rsid w:val="00750F86"/>
    <w:rsid w:val="0075655E"/>
    <w:rsid w:val="007600E6"/>
    <w:rsid w:val="0076449C"/>
    <w:rsid w:val="00764909"/>
    <w:rsid w:val="00774B2C"/>
    <w:rsid w:val="0078121D"/>
    <w:rsid w:val="00782E44"/>
    <w:rsid w:val="007861A4"/>
    <w:rsid w:val="007A7E32"/>
    <w:rsid w:val="007B46A2"/>
    <w:rsid w:val="007C4F25"/>
    <w:rsid w:val="007E0A9C"/>
    <w:rsid w:val="007E0EC6"/>
    <w:rsid w:val="007E6C66"/>
    <w:rsid w:val="00826CC2"/>
    <w:rsid w:val="00831E3F"/>
    <w:rsid w:val="00856C6F"/>
    <w:rsid w:val="00857F76"/>
    <w:rsid w:val="00875349"/>
    <w:rsid w:val="00877AC4"/>
    <w:rsid w:val="0089689C"/>
    <w:rsid w:val="008A5855"/>
    <w:rsid w:val="008A622B"/>
    <w:rsid w:val="008C6F3F"/>
    <w:rsid w:val="008D7B94"/>
    <w:rsid w:val="008E0FEA"/>
    <w:rsid w:val="008E251A"/>
    <w:rsid w:val="008F2066"/>
    <w:rsid w:val="008F229B"/>
    <w:rsid w:val="008F2C00"/>
    <w:rsid w:val="0090691C"/>
    <w:rsid w:val="00913909"/>
    <w:rsid w:val="00941D57"/>
    <w:rsid w:val="00942355"/>
    <w:rsid w:val="00946FEF"/>
    <w:rsid w:val="00950929"/>
    <w:rsid w:val="00953A90"/>
    <w:rsid w:val="0096002A"/>
    <w:rsid w:val="00962BFB"/>
    <w:rsid w:val="00967B9A"/>
    <w:rsid w:val="00985FD7"/>
    <w:rsid w:val="00993156"/>
    <w:rsid w:val="009B7CC9"/>
    <w:rsid w:val="009C0431"/>
    <w:rsid w:val="009C2332"/>
    <w:rsid w:val="009C2FBA"/>
    <w:rsid w:val="009C34C5"/>
    <w:rsid w:val="009D4004"/>
    <w:rsid w:val="009D4507"/>
    <w:rsid w:val="009E4650"/>
    <w:rsid w:val="00A15AF3"/>
    <w:rsid w:val="00A16C05"/>
    <w:rsid w:val="00A460F7"/>
    <w:rsid w:val="00A54631"/>
    <w:rsid w:val="00A632D9"/>
    <w:rsid w:val="00A80CB8"/>
    <w:rsid w:val="00A82A8F"/>
    <w:rsid w:val="00A92972"/>
    <w:rsid w:val="00A94302"/>
    <w:rsid w:val="00A948DF"/>
    <w:rsid w:val="00AA0DF1"/>
    <w:rsid w:val="00AB08CD"/>
    <w:rsid w:val="00AB7222"/>
    <w:rsid w:val="00AB7E53"/>
    <w:rsid w:val="00AD3286"/>
    <w:rsid w:val="00AE1BF1"/>
    <w:rsid w:val="00AE68C9"/>
    <w:rsid w:val="00B01DF1"/>
    <w:rsid w:val="00B047D1"/>
    <w:rsid w:val="00B205EA"/>
    <w:rsid w:val="00B50389"/>
    <w:rsid w:val="00B515E0"/>
    <w:rsid w:val="00B54FC9"/>
    <w:rsid w:val="00B5569A"/>
    <w:rsid w:val="00B716A9"/>
    <w:rsid w:val="00B9690C"/>
    <w:rsid w:val="00BA565B"/>
    <w:rsid w:val="00BA6AFA"/>
    <w:rsid w:val="00BC25D7"/>
    <w:rsid w:val="00BC48E4"/>
    <w:rsid w:val="00BE0B3B"/>
    <w:rsid w:val="00BF40A2"/>
    <w:rsid w:val="00C02D11"/>
    <w:rsid w:val="00C067CB"/>
    <w:rsid w:val="00C15B1B"/>
    <w:rsid w:val="00C27784"/>
    <w:rsid w:val="00C3520A"/>
    <w:rsid w:val="00C369F9"/>
    <w:rsid w:val="00C50633"/>
    <w:rsid w:val="00C527C0"/>
    <w:rsid w:val="00C662E4"/>
    <w:rsid w:val="00C73469"/>
    <w:rsid w:val="00C7549D"/>
    <w:rsid w:val="00C75D0F"/>
    <w:rsid w:val="00C77A0B"/>
    <w:rsid w:val="00C837E1"/>
    <w:rsid w:val="00C90647"/>
    <w:rsid w:val="00CB740C"/>
    <w:rsid w:val="00CC1A55"/>
    <w:rsid w:val="00CC2D03"/>
    <w:rsid w:val="00CC6AEB"/>
    <w:rsid w:val="00CD7CDB"/>
    <w:rsid w:val="00CE7B49"/>
    <w:rsid w:val="00CF2999"/>
    <w:rsid w:val="00CF6C6D"/>
    <w:rsid w:val="00D02D5E"/>
    <w:rsid w:val="00D03A30"/>
    <w:rsid w:val="00D0598D"/>
    <w:rsid w:val="00D12E0B"/>
    <w:rsid w:val="00D226ED"/>
    <w:rsid w:val="00D23F30"/>
    <w:rsid w:val="00D57BE8"/>
    <w:rsid w:val="00D62189"/>
    <w:rsid w:val="00D639CA"/>
    <w:rsid w:val="00D75858"/>
    <w:rsid w:val="00D93EA7"/>
    <w:rsid w:val="00D940CE"/>
    <w:rsid w:val="00D952CA"/>
    <w:rsid w:val="00D96276"/>
    <w:rsid w:val="00DA2302"/>
    <w:rsid w:val="00DA620B"/>
    <w:rsid w:val="00DA6783"/>
    <w:rsid w:val="00DB242A"/>
    <w:rsid w:val="00DD0550"/>
    <w:rsid w:val="00DE59FC"/>
    <w:rsid w:val="00DF1CFA"/>
    <w:rsid w:val="00DF239F"/>
    <w:rsid w:val="00E15681"/>
    <w:rsid w:val="00E20BD0"/>
    <w:rsid w:val="00E22437"/>
    <w:rsid w:val="00E24236"/>
    <w:rsid w:val="00E372D8"/>
    <w:rsid w:val="00E41A3D"/>
    <w:rsid w:val="00E47653"/>
    <w:rsid w:val="00E64380"/>
    <w:rsid w:val="00E81C88"/>
    <w:rsid w:val="00E83BCC"/>
    <w:rsid w:val="00E90DD4"/>
    <w:rsid w:val="00ED00AF"/>
    <w:rsid w:val="00ED5E52"/>
    <w:rsid w:val="00EE167F"/>
    <w:rsid w:val="00F13C9F"/>
    <w:rsid w:val="00F15C0E"/>
    <w:rsid w:val="00F16586"/>
    <w:rsid w:val="00F1756F"/>
    <w:rsid w:val="00F23BCB"/>
    <w:rsid w:val="00F2782E"/>
    <w:rsid w:val="00F35A60"/>
    <w:rsid w:val="00F4117A"/>
    <w:rsid w:val="00F41C78"/>
    <w:rsid w:val="00F421DF"/>
    <w:rsid w:val="00F60E92"/>
    <w:rsid w:val="00F71D68"/>
    <w:rsid w:val="00F7289D"/>
    <w:rsid w:val="00F811D0"/>
    <w:rsid w:val="00F81305"/>
    <w:rsid w:val="00FA00E0"/>
    <w:rsid w:val="00FA1DA5"/>
    <w:rsid w:val="00FA68EB"/>
    <w:rsid w:val="00F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86"/>
    <w:rPr>
      <w:sz w:val="24"/>
      <w:szCs w:val="24"/>
    </w:rPr>
  </w:style>
  <w:style w:type="paragraph" w:styleId="Heading1">
    <w:name w:val="heading 1"/>
    <w:basedOn w:val="Normal"/>
    <w:next w:val="Normal"/>
    <w:qFormat/>
    <w:rsid w:val="00AD3286"/>
    <w:pPr>
      <w:keepNext/>
      <w:outlineLvl w:val="0"/>
    </w:pPr>
    <w:rPr>
      <w:b/>
      <w:bCs/>
    </w:rPr>
  </w:style>
  <w:style w:type="paragraph" w:styleId="Heading2">
    <w:name w:val="heading 2"/>
    <w:basedOn w:val="Normal"/>
    <w:next w:val="Normal"/>
    <w:qFormat/>
    <w:rsid w:val="00AD3286"/>
    <w:pPr>
      <w:keepNext/>
      <w:jc w:val="center"/>
      <w:outlineLvl w:val="1"/>
    </w:pPr>
    <w:rPr>
      <w:b/>
      <w:bCs/>
    </w:rPr>
  </w:style>
  <w:style w:type="paragraph" w:styleId="Heading3">
    <w:name w:val="heading 3"/>
    <w:basedOn w:val="Normal"/>
    <w:next w:val="Normal"/>
    <w:qFormat/>
    <w:rsid w:val="00AD32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3286"/>
    <w:pPr>
      <w:ind w:left="-108"/>
      <w:jc w:val="both"/>
    </w:pPr>
  </w:style>
  <w:style w:type="character" w:styleId="CommentReference">
    <w:name w:val="annotation reference"/>
    <w:basedOn w:val="DefaultParagraphFont"/>
    <w:semiHidden/>
    <w:rsid w:val="00AD3286"/>
    <w:rPr>
      <w:sz w:val="16"/>
      <w:szCs w:val="16"/>
    </w:rPr>
  </w:style>
  <w:style w:type="paragraph" w:styleId="CommentText">
    <w:name w:val="annotation text"/>
    <w:basedOn w:val="Normal"/>
    <w:semiHidden/>
    <w:rsid w:val="00AD3286"/>
    <w:rPr>
      <w:sz w:val="20"/>
      <w:szCs w:val="20"/>
    </w:rPr>
  </w:style>
  <w:style w:type="paragraph" w:styleId="BodyText">
    <w:name w:val="Body Text"/>
    <w:basedOn w:val="Normal"/>
    <w:rsid w:val="00AD3286"/>
    <w:rPr>
      <w:i/>
      <w:iCs/>
      <w:strike/>
    </w:rPr>
  </w:style>
  <w:style w:type="paragraph" w:styleId="HTMLPreformatted">
    <w:name w:val="HTML Preformatted"/>
    <w:basedOn w:val="Normal"/>
    <w:rsid w:val="00A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AD3286"/>
    <w:pPr>
      <w:spacing w:after="240"/>
    </w:pPr>
    <w:rPr>
      <w:szCs w:val="20"/>
    </w:rPr>
  </w:style>
  <w:style w:type="character" w:styleId="Hyperlink">
    <w:name w:val="Hyperlink"/>
    <w:basedOn w:val="DefaultParagraphFont"/>
    <w:rsid w:val="00AD3286"/>
    <w:rPr>
      <w:color w:val="0000FF"/>
      <w:u w:val="single"/>
    </w:rPr>
  </w:style>
  <w:style w:type="paragraph" w:styleId="BalloonText">
    <w:name w:val="Balloon Text"/>
    <w:basedOn w:val="Normal"/>
    <w:semiHidden/>
    <w:rsid w:val="004B78C5"/>
    <w:rPr>
      <w:rFonts w:ascii="Tahoma" w:hAnsi="Tahoma" w:cs="Tahoma"/>
      <w:sz w:val="16"/>
      <w:szCs w:val="16"/>
    </w:rPr>
  </w:style>
  <w:style w:type="paragraph" w:styleId="NormalWeb">
    <w:name w:val="Normal (Web)"/>
    <w:basedOn w:val="Normal"/>
    <w:rsid w:val="00BC48E4"/>
    <w:pPr>
      <w:spacing w:before="100" w:beforeAutospacing="1" w:after="100" w:afterAutospacing="1"/>
    </w:pPr>
  </w:style>
  <w:style w:type="paragraph" w:customStyle="1" w:styleId="Text---para2-x">
    <w:name w:val="Text --- para 2-x"/>
    <w:basedOn w:val="Normal"/>
    <w:rsid w:val="00A80CB8"/>
    <w:pPr>
      <w:spacing w:after="120"/>
      <w:ind w:firstLine="720"/>
    </w:pPr>
    <w:rPr>
      <w:szCs w:val="22"/>
    </w:rPr>
  </w:style>
  <w:style w:type="paragraph" w:styleId="Footer">
    <w:name w:val="footer"/>
    <w:basedOn w:val="Normal"/>
    <w:rsid w:val="008C6F3F"/>
    <w:pPr>
      <w:tabs>
        <w:tab w:val="center" w:pos="4320"/>
        <w:tab w:val="right" w:pos="8640"/>
      </w:tabs>
    </w:pPr>
  </w:style>
  <w:style w:type="character" w:styleId="PageNumber">
    <w:name w:val="page number"/>
    <w:basedOn w:val="DefaultParagraphFont"/>
    <w:rsid w:val="008C6F3F"/>
  </w:style>
  <w:style w:type="paragraph" w:customStyle="1" w:styleId="Default">
    <w:name w:val="Default"/>
    <w:rsid w:val="00195CFC"/>
    <w:pPr>
      <w:widowControl w:val="0"/>
      <w:autoSpaceDE w:val="0"/>
      <w:autoSpaceDN w:val="0"/>
      <w:adjustRightInd w:val="0"/>
    </w:pPr>
    <w:rPr>
      <w:rFonts w:ascii="GPIJPK+TimesNewRoman,Bold" w:hAnsi="GPIJPK+TimesNewRoman,Bold" w:cs="GPIJPK+TimesNewRoman,Bold"/>
      <w:color w:val="000000"/>
      <w:sz w:val="24"/>
      <w:szCs w:val="24"/>
    </w:rPr>
  </w:style>
  <w:style w:type="paragraph" w:customStyle="1" w:styleId="NormalLeft0">
    <w:name w:val="Normal + Left:  0&quot;"/>
    <w:aliases w:val="Hanging:  1&quot;,Before:  12 pt"/>
    <w:basedOn w:val="Normal"/>
    <w:link w:val="NormalLeft0Char"/>
    <w:rsid w:val="00195CFC"/>
    <w:pPr>
      <w:autoSpaceDE w:val="0"/>
      <w:autoSpaceDN w:val="0"/>
      <w:adjustRightInd w:val="0"/>
      <w:spacing w:before="240"/>
      <w:ind w:left="1440" w:hanging="1440"/>
      <w:jc w:val="both"/>
    </w:pPr>
    <w:rPr>
      <w:sz w:val="22"/>
    </w:rPr>
  </w:style>
  <w:style w:type="character" w:customStyle="1" w:styleId="NormalLeft0Char">
    <w:name w:val="Normal + Left:  0&quot; Char"/>
    <w:aliases w:val="Hanging:  1&quot; Char,Before:  12 pt Char"/>
    <w:basedOn w:val="DefaultParagraphFont"/>
    <w:link w:val="NormalLeft0"/>
    <w:rsid w:val="00195CFC"/>
    <w:rPr>
      <w:sz w:val="22"/>
      <w:szCs w:val="24"/>
      <w:lang w:val="en-US" w:eastAsia="en-US" w:bidi="ar-SA"/>
    </w:rPr>
  </w:style>
  <w:style w:type="paragraph" w:styleId="FootnoteText">
    <w:name w:val="footnote text"/>
    <w:aliases w:val="Note de bas de page Car,ALTS FOOTNOTE,fn,single space,footnote text,Footnote Text Char1,Footnote Text Char Char,ft,FOOTNOTES,Char,f,Footnote Text Char2 Char,Footnote Text Char1 Char Char,Footnote Text Char2 Char Char Char,Fodnotetekst Tegn"/>
    <w:basedOn w:val="Normal"/>
    <w:link w:val="FootnoteTextChar"/>
    <w:uiPriority w:val="99"/>
    <w:qFormat/>
    <w:rsid w:val="002B4839"/>
    <w:pPr>
      <w:jc w:val="both"/>
    </w:pPr>
    <w:rPr>
      <w:sz w:val="18"/>
      <w:szCs w:val="20"/>
    </w:rPr>
  </w:style>
  <w:style w:type="character" w:customStyle="1" w:styleId="FootnoteTextChar">
    <w:name w:val="Footnote Text Char"/>
    <w:aliases w:val="Note de bas de page Car Char,ALTS FOOTNOTE Char,fn Char,single space Char,footnote text Char,Footnote Text Char1 Char,Footnote Text Char Char Char,ft Char,FOOTNOTES Char,Char Char,f Char,Footnote Text Char2 Char Char"/>
    <w:basedOn w:val="DefaultParagraphFont"/>
    <w:link w:val="FootnoteText"/>
    <w:uiPriority w:val="99"/>
    <w:rsid w:val="002B4839"/>
    <w:rPr>
      <w:sz w:val="18"/>
    </w:rPr>
  </w:style>
  <w:style w:type="character" w:styleId="FootnoteReference">
    <w:name w:val="footnote reference"/>
    <w:aliases w:val="ftref,Footnote Reference Number,Footnote Reference_LVL6,Footnote Reference_LVL61,Footnote Reference_LVL62,Footnote Reference_LVL63,Footnote Reference_LVL64,fr,referencia nota al pie,Fußnotenzeichen DISS,Nota de pie,Texto nota al pie"/>
    <w:basedOn w:val="DefaultParagraphFont"/>
    <w:link w:val="BVIfnrCarCarCarCarChar"/>
    <w:uiPriority w:val="99"/>
    <w:rsid w:val="002B4839"/>
    <w:rPr>
      <w:vertAlign w:val="superscript"/>
    </w:rPr>
  </w:style>
  <w:style w:type="character" w:customStyle="1" w:styleId="Style11pt">
    <w:name w:val="Style 11 pt"/>
    <w:basedOn w:val="DefaultParagraphFont"/>
    <w:rsid w:val="002B4839"/>
    <w:rPr>
      <w:sz w:val="22"/>
    </w:rPr>
  </w:style>
  <w:style w:type="paragraph" w:customStyle="1" w:styleId="Bulleto">
    <w:name w:val="Bulleto"/>
    <w:basedOn w:val="Normal"/>
    <w:link w:val="BulletoChar"/>
    <w:rsid w:val="00D57BE8"/>
    <w:pPr>
      <w:tabs>
        <w:tab w:val="num" w:pos="360"/>
      </w:tabs>
      <w:spacing w:after="240"/>
      <w:jc w:val="both"/>
    </w:pPr>
    <w:rPr>
      <w:sz w:val="22"/>
      <w:szCs w:val="20"/>
      <w:lang w:val="fr-FR"/>
    </w:rPr>
  </w:style>
  <w:style w:type="character" w:customStyle="1" w:styleId="BulletoChar">
    <w:name w:val="Bulleto Char"/>
    <w:basedOn w:val="DefaultParagraphFont"/>
    <w:link w:val="Bulleto"/>
    <w:rsid w:val="00D57BE8"/>
    <w:rPr>
      <w:sz w:val="22"/>
      <w:lang w:val="fr-FR"/>
    </w:rPr>
  </w:style>
  <w:style w:type="paragraph" w:styleId="ListParagraph">
    <w:name w:val="List Paragraph"/>
    <w:aliases w:val="Bullets,References,Numbered List Paragraph"/>
    <w:basedOn w:val="Normal"/>
    <w:link w:val="ListParagraphChar"/>
    <w:uiPriority w:val="34"/>
    <w:qFormat/>
    <w:rsid w:val="00256176"/>
    <w:pPr>
      <w:ind w:left="720"/>
      <w:contextualSpacing/>
    </w:pPr>
  </w:style>
  <w:style w:type="character" w:customStyle="1" w:styleId="ListParagraphChar">
    <w:name w:val="List Paragraph Char"/>
    <w:aliases w:val="Bullets Char,References Char,Numbered List Paragraph Char"/>
    <w:basedOn w:val="DefaultParagraphFont"/>
    <w:link w:val="ListParagraph"/>
    <w:uiPriority w:val="34"/>
    <w:locked/>
    <w:rsid w:val="00256176"/>
    <w:rPr>
      <w:sz w:val="24"/>
      <w:szCs w:val="24"/>
    </w:rPr>
  </w:style>
  <w:style w:type="paragraph" w:customStyle="1" w:styleId="BVIfnrCarCarCarCarChar">
    <w:name w:val="BVI fnr Car Car Car Car Char"/>
    <w:basedOn w:val="Normal"/>
    <w:link w:val="FootnoteReference"/>
    <w:uiPriority w:val="99"/>
    <w:rsid w:val="00D02D5E"/>
    <w:pPr>
      <w:widowControl w:val="0"/>
      <w:adjustRightInd w:val="0"/>
      <w:spacing w:after="160" w:line="240" w:lineRule="exact"/>
      <w:jc w:val="both"/>
    </w:pPr>
    <w:rPr>
      <w:sz w:val="20"/>
      <w:szCs w:val="20"/>
      <w:vertAlign w:val="superscript"/>
    </w:rPr>
  </w:style>
  <w:style w:type="paragraph" w:customStyle="1" w:styleId="Style2">
    <w:name w:val="Style2"/>
    <w:basedOn w:val="Normal"/>
    <w:qFormat/>
    <w:rsid w:val="00D02D5E"/>
    <w:pPr>
      <w:numPr>
        <w:numId w:val="20"/>
      </w:numPr>
      <w:spacing w:before="240" w:line="276" w:lineRule="auto"/>
      <w:ind w:left="0" w:firstLine="0"/>
      <w:jc w:val="both"/>
    </w:pPr>
    <w:rPr>
      <w:rFonts w:eastAsiaTheme="minorEastAsi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86"/>
    <w:rPr>
      <w:sz w:val="24"/>
      <w:szCs w:val="24"/>
    </w:rPr>
  </w:style>
  <w:style w:type="paragraph" w:styleId="Heading1">
    <w:name w:val="heading 1"/>
    <w:basedOn w:val="Normal"/>
    <w:next w:val="Normal"/>
    <w:qFormat/>
    <w:rsid w:val="00AD3286"/>
    <w:pPr>
      <w:keepNext/>
      <w:outlineLvl w:val="0"/>
    </w:pPr>
    <w:rPr>
      <w:b/>
      <w:bCs/>
    </w:rPr>
  </w:style>
  <w:style w:type="paragraph" w:styleId="Heading2">
    <w:name w:val="heading 2"/>
    <w:basedOn w:val="Normal"/>
    <w:next w:val="Normal"/>
    <w:qFormat/>
    <w:rsid w:val="00AD3286"/>
    <w:pPr>
      <w:keepNext/>
      <w:jc w:val="center"/>
      <w:outlineLvl w:val="1"/>
    </w:pPr>
    <w:rPr>
      <w:b/>
      <w:bCs/>
    </w:rPr>
  </w:style>
  <w:style w:type="paragraph" w:styleId="Heading3">
    <w:name w:val="heading 3"/>
    <w:basedOn w:val="Normal"/>
    <w:next w:val="Normal"/>
    <w:qFormat/>
    <w:rsid w:val="00AD32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3286"/>
    <w:pPr>
      <w:ind w:left="-108"/>
      <w:jc w:val="both"/>
    </w:pPr>
  </w:style>
  <w:style w:type="character" w:styleId="CommentReference">
    <w:name w:val="annotation reference"/>
    <w:basedOn w:val="DefaultParagraphFont"/>
    <w:semiHidden/>
    <w:rsid w:val="00AD3286"/>
    <w:rPr>
      <w:sz w:val="16"/>
      <w:szCs w:val="16"/>
    </w:rPr>
  </w:style>
  <w:style w:type="paragraph" w:styleId="CommentText">
    <w:name w:val="annotation text"/>
    <w:basedOn w:val="Normal"/>
    <w:semiHidden/>
    <w:rsid w:val="00AD3286"/>
    <w:rPr>
      <w:sz w:val="20"/>
      <w:szCs w:val="20"/>
    </w:rPr>
  </w:style>
  <w:style w:type="paragraph" w:styleId="BodyText">
    <w:name w:val="Body Text"/>
    <w:basedOn w:val="Normal"/>
    <w:rsid w:val="00AD3286"/>
    <w:rPr>
      <w:i/>
      <w:iCs/>
      <w:strike/>
    </w:rPr>
  </w:style>
  <w:style w:type="paragraph" w:styleId="HTMLPreformatted">
    <w:name w:val="HTML Preformatted"/>
    <w:basedOn w:val="Normal"/>
    <w:rsid w:val="00AD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AD3286"/>
    <w:pPr>
      <w:spacing w:after="240"/>
    </w:pPr>
    <w:rPr>
      <w:szCs w:val="20"/>
    </w:rPr>
  </w:style>
  <w:style w:type="character" w:styleId="Hyperlink">
    <w:name w:val="Hyperlink"/>
    <w:basedOn w:val="DefaultParagraphFont"/>
    <w:rsid w:val="00AD3286"/>
    <w:rPr>
      <w:color w:val="0000FF"/>
      <w:u w:val="single"/>
    </w:rPr>
  </w:style>
  <w:style w:type="paragraph" w:styleId="BalloonText">
    <w:name w:val="Balloon Text"/>
    <w:basedOn w:val="Normal"/>
    <w:semiHidden/>
    <w:rsid w:val="004B78C5"/>
    <w:rPr>
      <w:rFonts w:ascii="Tahoma" w:hAnsi="Tahoma" w:cs="Tahoma"/>
      <w:sz w:val="16"/>
      <w:szCs w:val="16"/>
    </w:rPr>
  </w:style>
  <w:style w:type="paragraph" w:styleId="NormalWeb">
    <w:name w:val="Normal (Web)"/>
    <w:basedOn w:val="Normal"/>
    <w:rsid w:val="00BC48E4"/>
    <w:pPr>
      <w:spacing w:before="100" w:beforeAutospacing="1" w:after="100" w:afterAutospacing="1"/>
    </w:pPr>
  </w:style>
  <w:style w:type="paragraph" w:customStyle="1" w:styleId="Text---para2-x">
    <w:name w:val="Text --- para 2-x"/>
    <w:basedOn w:val="Normal"/>
    <w:rsid w:val="00A80CB8"/>
    <w:pPr>
      <w:spacing w:after="120"/>
      <w:ind w:firstLine="720"/>
    </w:pPr>
    <w:rPr>
      <w:szCs w:val="22"/>
    </w:rPr>
  </w:style>
  <w:style w:type="paragraph" w:styleId="Footer">
    <w:name w:val="footer"/>
    <w:basedOn w:val="Normal"/>
    <w:rsid w:val="008C6F3F"/>
    <w:pPr>
      <w:tabs>
        <w:tab w:val="center" w:pos="4320"/>
        <w:tab w:val="right" w:pos="8640"/>
      </w:tabs>
    </w:pPr>
  </w:style>
  <w:style w:type="character" w:styleId="PageNumber">
    <w:name w:val="page number"/>
    <w:basedOn w:val="DefaultParagraphFont"/>
    <w:rsid w:val="008C6F3F"/>
  </w:style>
  <w:style w:type="paragraph" w:customStyle="1" w:styleId="Default">
    <w:name w:val="Default"/>
    <w:rsid w:val="00195CFC"/>
    <w:pPr>
      <w:widowControl w:val="0"/>
      <w:autoSpaceDE w:val="0"/>
      <w:autoSpaceDN w:val="0"/>
      <w:adjustRightInd w:val="0"/>
    </w:pPr>
    <w:rPr>
      <w:rFonts w:ascii="GPIJPK+TimesNewRoman,Bold" w:hAnsi="GPIJPK+TimesNewRoman,Bold" w:cs="GPIJPK+TimesNewRoman,Bold"/>
      <w:color w:val="000000"/>
      <w:sz w:val="24"/>
      <w:szCs w:val="24"/>
    </w:rPr>
  </w:style>
  <w:style w:type="paragraph" w:customStyle="1" w:styleId="NormalLeft0">
    <w:name w:val="Normal + Left:  0&quot;"/>
    <w:aliases w:val="Hanging:  1&quot;,Before:  12 pt"/>
    <w:basedOn w:val="Normal"/>
    <w:link w:val="NormalLeft0Char"/>
    <w:rsid w:val="00195CFC"/>
    <w:pPr>
      <w:autoSpaceDE w:val="0"/>
      <w:autoSpaceDN w:val="0"/>
      <w:adjustRightInd w:val="0"/>
      <w:spacing w:before="240"/>
      <w:ind w:left="1440" w:hanging="1440"/>
      <w:jc w:val="both"/>
    </w:pPr>
    <w:rPr>
      <w:sz w:val="22"/>
    </w:rPr>
  </w:style>
  <w:style w:type="character" w:customStyle="1" w:styleId="NormalLeft0Char">
    <w:name w:val="Normal + Left:  0&quot; Char"/>
    <w:aliases w:val="Hanging:  1&quot; Char,Before:  12 pt Char"/>
    <w:basedOn w:val="DefaultParagraphFont"/>
    <w:link w:val="NormalLeft0"/>
    <w:rsid w:val="00195CFC"/>
    <w:rPr>
      <w:sz w:val="22"/>
      <w:szCs w:val="24"/>
      <w:lang w:val="en-US" w:eastAsia="en-US" w:bidi="ar-SA"/>
    </w:rPr>
  </w:style>
  <w:style w:type="paragraph" w:styleId="FootnoteText">
    <w:name w:val="footnote text"/>
    <w:aliases w:val="Note de bas de page Car,ALTS FOOTNOTE,fn,single space,footnote text,Footnote Text Char1,Footnote Text Char Char,ft,FOOTNOTES,Char,f,Footnote Text Char2 Char,Footnote Text Char1 Char Char,Footnote Text Char2 Char Char Char,Fodnotetekst Tegn"/>
    <w:basedOn w:val="Normal"/>
    <w:link w:val="FootnoteTextChar"/>
    <w:uiPriority w:val="99"/>
    <w:qFormat/>
    <w:rsid w:val="002B4839"/>
    <w:pPr>
      <w:jc w:val="both"/>
    </w:pPr>
    <w:rPr>
      <w:sz w:val="18"/>
      <w:szCs w:val="20"/>
    </w:rPr>
  </w:style>
  <w:style w:type="character" w:customStyle="1" w:styleId="FootnoteTextChar">
    <w:name w:val="Footnote Text Char"/>
    <w:aliases w:val="Note de bas de page Car Char,ALTS FOOTNOTE Char,fn Char,single space Char,footnote text Char,Footnote Text Char1 Char,Footnote Text Char Char Char,ft Char,FOOTNOTES Char,Char Char,f Char,Footnote Text Char2 Char Char"/>
    <w:basedOn w:val="DefaultParagraphFont"/>
    <w:link w:val="FootnoteText"/>
    <w:uiPriority w:val="99"/>
    <w:rsid w:val="002B4839"/>
    <w:rPr>
      <w:sz w:val="18"/>
    </w:rPr>
  </w:style>
  <w:style w:type="character" w:styleId="FootnoteReference">
    <w:name w:val="footnote reference"/>
    <w:aliases w:val="ftref,Footnote Reference Number,Footnote Reference_LVL6,Footnote Reference_LVL61,Footnote Reference_LVL62,Footnote Reference_LVL63,Footnote Reference_LVL64,fr,referencia nota al pie,Fußnotenzeichen DISS,Nota de pie,Texto nota al pie"/>
    <w:basedOn w:val="DefaultParagraphFont"/>
    <w:link w:val="BVIfnrCarCarCarCarChar"/>
    <w:uiPriority w:val="99"/>
    <w:rsid w:val="002B4839"/>
    <w:rPr>
      <w:vertAlign w:val="superscript"/>
    </w:rPr>
  </w:style>
  <w:style w:type="character" w:customStyle="1" w:styleId="Style11pt">
    <w:name w:val="Style 11 pt"/>
    <w:basedOn w:val="DefaultParagraphFont"/>
    <w:rsid w:val="002B4839"/>
    <w:rPr>
      <w:sz w:val="22"/>
    </w:rPr>
  </w:style>
  <w:style w:type="paragraph" w:customStyle="1" w:styleId="Bulleto">
    <w:name w:val="Bulleto"/>
    <w:basedOn w:val="Normal"/>
    <w:link w:val="BulletoChar"/>
    <w:rsid w:val="00D57BE8"/>
    <w:pPr>
      <w:tabs>
        <w:tab w:val="num" w:pos="360"/>
      </w:tabs>
      <w:spacing w:after="240"/>
      <w:jc w:val="both"/>
    </w:pPr>
    <w:rPr>
      <w:sz w:val="22"/>
      <w:szCs w:val="20"/>
      <w:lang w:val="fr-FR"/>
    </w:rPr>
  </w:style>
  <w:style w:type="character" w:customStyle="1" w:styleId="BulletoChar">
    <w:name w:val="Bulleto Char"/>
    <w:basedOn w:val="DefaultParagraphFont"/>
    <w:link w:val="Bulleto"/>
    <w:rsid w:val="00D57BE8"/>
    <w:rPr>
      <w:sz w:val="22"/>
      <w:lang w:val="fr-FR"/>
    </w:rPr>
  </w:style>
  <w:style w:type="paragraph" w:styleId="ListParagraph">
    <w:name w:val="List Paragraph"/>
    <w:aliases w:val="Bullets,References,Numbered List Paragraph"/>
    <w:basedOn w:val="Normal"/>
    <w:link w:val="ListParagraphChar"/>
    <w:uiPriority w:val="34"/>
    <w:qFormat/>
    <w:rsid w:val="00256176"/>
    <w:pPr>
      <w:ind w:left="720"/>
      <w:contextualSpacing/>
    </w:pPr>
  </w:style>
  <w:style w:type="character" w:customStyle="1" w:styleId="ListParagraphChar">
    <w:name w:val="List Paragraph Char"/>
    <w:aliases w:val="Bullets Char,References Char,Numbered List Paragraph Char"/>
    <w:basedOn w:val="DefaultParagraphFont"/>
    <w:link w:val="ListParagraph"/>
    <w:uiPriority w:val="34"/>
    <w:locked/>
    <w:rsid w:val="00256176"/>
    <w:rPr>
      <w:sz w:val="24"/>
      <w:szCs w:val="24"/>
    </w:rPr>
  </w:style>
  <w:style w:type="paragraph" w:customStyle="1" w:styleId="BVIfnrCarCarCarCarChar">
    <w:name w:val="BVI fnr Car Car Car Car Char"/>
    <w:basedOn w:val="Normal"/>
    <w:link w:val="FootnoteReference"/>
    <w:uiPriority w:val="99"/>
    <w:rsid w:val="00D02D5E"/>
    <w:pPr>
      <w:widowControl w:val="0"/>
      <w:adjustRightInd w:val="0"/>
      <w:spacing w:after="160" w:line="240" w:lineRule="exact"/>
      <w:jc w:val="both"/>
    </w:pPr>
    <w:rPr>
      <w:sz w:val="20"/>
      <w:szCs w:val="20"/>
      <w:vertAlign w:val="superscript"/>
    </w:rPr>
  </w:style>
  <w:style w:type="paragraph" w:customStyle="1" w:styleId="Style2">
    <w:name w:val="Style2"/>
    <w:basedOn w:val="Normal"/>
    <w:qFormat/>
    <w:rsid w:val="00D02D5E"/>
    <w:pPr>
      <w:numPr>
        <w:numId w:val="20"/>
      </w:numPr>
      <w:spacing w:before="240" w:line="276" w:lineRule="auto"/>
      <w:ind w:left="0" w:firstLine="0"/>
      <w:jc w:val="both"/>
    </w:pPr>
    <w:rPr>
      <w:rFonts w:eastAsia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1434</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Lina Janenaite</cp:lastModifiedBy>
  <cp:revision>3</cp:revision>
  <cp:lastPrinted>2014-01-27T21:35:00Z</cp:lastPrinted>
  <dcterms:created xsi:type="dcterms:W3CDTF">2014-01-27T16:30:00Z</dcterms:created>
  <dcterms:modified xsi:type="dcterms:W3CDTF">2014-01-27T21:35:00Z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AB3411</vt:lpwstr>
  </property>
  <property fmtid="{D5CDD505-2E9C-101B-9397-08002B2CF9AE}" pid="3" name="TEAMLEADER">
    <vt:lpwstr>Dorsati Madani</vt:lpwstr>
  </property>
</Properties>
</file>