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3C" w:rsidRDefault="00CE2970">
      <w:pPr>
        <w:pStyle w:val="Formletterhead"/>
        <w:tabs>
          <w:tab w:val="clear" w:pos="5130"/>
          <w:tab w:val="clear" w:pos="7290"/>
          <w:tab w:val="left" w:pos="4500"/>
          <w:tab w:val="left" w:pos="7200"/>
        </w:tabs>
        <w:ind w:left="-1080" w:right="-1051"/>
        <w:rPr>
          <w:sz w:val="16"/>
        </w:rPr>
      </w:pPr>
      <w:bookmarkStart w:id="0" w:name="NewBName"/>
      <w:r>
        <w:rPr>
          <w:b/>
          <w:sz w:val="22"/>
        </w:rPr>
        <w:t>The World Bank</w:t>
      </w:r>
      <w:bookmarkEnd w:id="0"/>
      <w:r>
        <w:rPr>
          <w:b/>
          <w:sz w:val="22"/>
        </w:rPr>
        <w:tab/>
      </w:r>
      <w:bookmarkStart w:id="1" w:name="NewAddress"/>
      <w:r>
        <w:rPr>
          <w:sz w:val="16"/>
        </w:rPr>
        <w:t>1818 H Street N.W.</w:t>
      </w:r>
      <w:bookmarkEnd w:id="1"/>
      <w:r>
        <w:rPr>
          <w:sz w:val="16"/>
        </w:rPr>
        <w:tab/>
      </w:r>
      <w:bookmarkStart w:id="2" w:name="NewPhone"/>
      <w:r w:rsidR="003F3496">
        <w:rPr>
          <w:sz w:val="16"/>
        </w:rPr>
        <w:t>(202) 473-6048</w:t>
      </w:r>
      <w:r w:rsidR="0050467E">
        <w:rPr>
          <w:sz w:val="16"/>
        </w:rPr>
        <w:t xml:space="preserve"> </w:t>
      </w:r>
      <w:bookmarkEnd w:id="2"/>
    </w:p>
    <w:p w:rsidR="00242C3C" w:rsidRDefault="00CE2970">
      <w:pPr>
        <w:pStyle w:val="Formletterhead"/>
        <w:tabs>
          <w:tab w:val="clear" w:pos="5130"/>
          <w:tab w:val="clear" w:pos="7290"/>
          <w:tab w:val="left" w:pos="4500"/>
          <w:tab w:val="left" w:pos="7200"/>
        </w:tabs>
        <w:ind w:left="-1080" w:right="-1051"/>
        <w:rPr>
          <w:sz w:val="16"/>
        </w:rPr>
      </w:pPr>
      <w:bookmarkStart w:id="3" w:name="NewLName"/>
      <w:proofErr w:type="gramStart"/>
      <w:r>
        <w:rPr>
          <w:sz w:val="14"/>
        </w:rPr>
        <w:t>INTERNATIONAL BANK FOR RECONSTRUCTION AND DEVELOPMENT</w:t>
      </w:r>
      <w:bookmarkEnd w:id="3"/>
      <w:r>
        <w:rPr>
          <w:sz w:val="16"/>
        </w:rPr>
        <w:tab/>
      </w:r>
      <w:bookmarkStart w:id="4" w:name="NewCity"/>
      <w:r>
        <w:rPr>
          <w:sz w:val="16"/>
        </w:rPr>
        <w:t>Washington, D.C.</w:t>
      </w:r>
      <w:proofErr w:type="gramEnd"/>
      <w:r>
        <w:rPr>
          <w:sz w:val="16"/>
        </w:rPr>
        <w:t xml:space="preserve">  20433</w:t>
      </w:r>
      <w:bookmarkEnd w:id="4"/>
      <w:r>
        <w:rPr>
          <w:sz w:val="16"/>
        </w:rPr>
        <w:tab/>
      </w:r>
      <w:bookmarkStart w:id="5" w:name="NewCable"/>
      <w:r>
        <w:rPr>
          <w:sz w:val="16"/>
        </w:rPr>
        <w:t>Cable Address:  INTBAFRAD</w:t>
      </w:r>
      <w:bookmarkEnd w:id="5"/>
    </w:p>
    <w:p w:rsidR="00242C3C" w:rsidRDefault="00CE2970">
      <w:pPr>
        <w:pStyle w:val="Formletterhead"/>
        <w:tabs>
          <w:tab w:val="clear" w:pos="5130"/>
          <w:tab w:val="clear" w:pos="7290"/>
          <w:tab w:val="left" w:pos="4500"/>
          <w:tab w:val="left" w:pos="7200"/>
        </w:tabs>
        <w:ind w:left="-1080" w:right="-1051"/>
        <w:rPr>
          <w:sz w:val="16"/>
        </w:rPr>
      </w:pPr>
      <w:bookmarkStart w:id="6" w:name="NewLName2"/>
      <w:r>
        <w:rPr>
          <w:sz w:val="14"/>
        </w:rPr>
        <w:t>INTERNATIONAL DEVELOPMENT ASSOCIATION</w:t>
      </w:r>
      <w:bookmarkEnd w:id="6"/>
      <w:r>
        <w:tab/>
      </w:r>
      <w:bookmarkStart w:id="7" w:name="NewCountry"/>
      <w:r>
        <w:rPr>
          <w:sz w:val="16"/>
        </w:rPr>
        <w:t>U.S.A.</w:t>
      </w:r>
      <w:bookmarkEnd w:id="7"/>
      <w:r>
        <w:rPr>
          <w:sz w:val="16"/>
        </w:rPr>
        <w:tab/>
      </w:r>
      <w:bookmarkStart w:id="8" w:name="NewCable2"/>
      <w:r>
        <w:rPr>
          <w:sz w:val="16"/>
        </w:rPr>
        <w:t>Cable Address:  INDEVAS</w:t>
      </w:r>
    </w:p>
    <w:bookmarkEnd w:id="8"/>
    <w:p w:rsidR="00242C3C" w:rsidRDefault="00242C3C">
      <w:pPr>
        <w:pStyle w:val="Referencestyle"/>
        <w:tabs>
          <w:tab w:val="left" w:pos="4320"/>
        </w:tabs>
        <w:ind w:left="180"/>
      </w:pPr>
    </w:p>
    <w:p w:rsidR="00242C3C" w:rsidRPr="0027703C" w:rsidRDefault="00242C3C" w:rsidP="0027703C">
      <w:pPr>
        <w:rPr>
          <w:sz w:val="24"/>
          <w:szCs w:val="24"/>
        </w:rPr>
      </w:pPr>
    </w:p>
    <w:p w:rsidR="00242C3C" w:rsidRPr="001C0B51" w:rsidRDefault="001C0B51" w:rsidP="001C0B51">
      <w:pPr>
        <w:jc w:val="right"/>
        <w:rPr>
          <w:b/>
          <w:sz w:val="24"/>
          <w:szCs w:val="24"/>
        </w:rPr>
      </w:pPr>
      <w:r w:rsidRPr="001C0B51">
        <w:rPr>
          <w:b/>
          <w:sz w:val="24"/>
          <w:szCs w:val="24"/>
        </w:rPr>
        <w:t>CONFORMED COPY</w:t>
      </w:r>
    </w:p>
    <w:p w:rsidR="003F3496" w:rsidRPr="0027703C" w:rsidRDefault="00CE2970" w:rsidP="005E1652">
      <w:pPr>
        <w:jc w:val="right"/>
        <w:rPr>
          <w:sz w:val="24"/>
          <w:szCs w:val="24"/>
        </w:rPr>
      </w:pPr>
      <w:r w:rsidRPr="0027703C">
        <w:rPr>
          <w:sz w:val="24"/>
          <w:szCs w:val="24"/>
        </w:rPr>
        <w:tab/>
      </w:r>
      <w:r w:rsidR="005E1652">
        <w:rPr>
          <w:sz w:val="24"/>
          <w:szCs w:val="24"/>
        </w:rPr>
        <w:tab/>
      </w:r>
      <w:r w:rsidR="005E1652">
        <w:rPr>
          <w:sz w:val="24"/>
          <w:szCs w:val="24"/>
        </w:rPr>
        <w:tab/>
      </w:r>
      <w:r w:rsidR="005E1652">
        <w:rPr>
          <w:sz w:val="24"/>
          <w:szCs w:val="24"/>
        </w:rPr>
        <w:tab/>
      </w:r>
      <w:r w:rsidR="005E1652">
        <w:rPr>
          <w:sz w:val="24"/>
          <w:szCs w:val="24"/>
        </w:rPr>
        <w:tab/>
      </w:r>
      <w:r w:rsidR="005E1652">
        <w:rPr>
          <w:sz w:val="24"/>
          <w:szCs w:val="24"/>
        </w:rPr>
        <w:tab/>
      </w:r>
      <w:r w:rsidR="003F3496" w:rsidRPr="0027703C">
        <w:rPr>
          <w:sz w:val="24"/>
          <w:szCs w:val="24"/>
        </w:rPr>
        <w:tab/>
      </w:r>
      <w:r w:rsidR="005E1652">
        <w:rPr>
          <w:sz w:val="24"/>
          <w:szCs w:val="24"/>
        </w:rPr>
        <w:t>November 9, 2011</w:t>
      </w:r>
    </w:p>
    <w:p w:rsidR="00242C3C" w:rsidRPr="0027703C" w:rsidRDefault="003F3496" w:rsidP="0027703C">
      <w:pPr>
        <w:rPr>
          <w:sz w:val="24"/>
          <w:szCs w:val="24"/>
        </w:rPr>
      </w:pPr>
      <w:r w:rsidRPr="0027703C">
        <w:rPr>
          <w:sz w:val="24"/>
          <w:szCs w:val="24"/>
        </w:rPr>
        <w:tab/>
      </w:r>
      <w:r w:rsidRPr="0027703C">
        <w:rPr>
          <w:sz w:val="24"/>
          <w:szCs w:val="24"/>
        </w:rPr>
        <w:tab/>
      </w:r>
      <w:r w:rsidRPr="0027703C">
        <w:rPr>
          <w:sz w:val="24"/>
          <w:szCs w:val="24"/>
        </w:rPr>
        <w:tab/>
      </w:r>
    </w:p>
    <w:p w:rsidR="005E1652" w:rsidRPr="005E1652" w:rsidRDefault="005E1652" w:rsidP="005E1652">
      <w:pPr>
        <w:pStyle w:val="Header"/>
        <w:rPr>
          <w:lang w:val="hr-HR"/>
        </w:rPr>
      </w:pPr>
      <w:r w:rsidRPr="005E1652">
        <w:rPr>
          <w:lang w:val="hr-HR"/>
        </w:rPr>
        <w:t>Her Excellency</w:t>
      </w:r>
    </w:p>
    <w:p w:rsidR="005E1652" w:rsidRPr="005E1652" w:rsidRDefault="005E1652" w:rsidP="005E1652">
      <w:pPr>
        <w:pStyle w:val="Header"/>
        <w:rPr>
          <w:lang w:val="hr-HR"/>
        </w:rPr>
      </w:pPr>
      <w:r w:rsidRPr="005E1652">
        <w:rPr>
          <w:lang w:val="hr-HR"/>
        </w:rPr>
        <w:t>Martina Dalic</w:t>
      </w:r>
    </w:p>
    <w:p w:rsidR="005E1652" w:rsidRPr="005E1652" w:rsidRDefault="005E1652" w:rsidP="005E1652">
      <w:pPr>
        <w:pStyle w:val="Header"/>
        <w:rPr>
          <w:lang w:val="hr-HR"/>
        </w:rPr>
      </w:pPr>
      <w:r w:rsidRPr="005E1652">
        <w:rPr>
          <w:lang w:val="hr-HR"/>
        </w:rPr>
        <w:t>Minister</w:t>
      </w:r>
    </w:p>
    <w:p w:rsidR="005E1652" w:rsidRPr="005E1652" w:rsidRDefault="005E1652" w:rsidP="005E1652">
      <w:pPr>
        <w:pStyle w:val="Header"/>
        <w:rPr>
          <w:lang w:val="hr-HR"/>
        </w:rPr>
      </w:pPr>
      <w:r w:rsidRPr="005E1652">
        <w:rPr>
          <w:lang w:val="hr-HR"/>
        </w:rPr>
        <w:t>Ministry of Finance</w:t>
      </w:r>
    </w:p>
    <w:p w:rsidR="005E1652" w:rsidRPr="005E1652" w:rsidRDefault="005E1652" w:rsidP="005E1652">
      <w:pPr>
        <w:pStyle w:val="Header"/>
        <w:rPr>
          <w:lang w:val="hr-HR"/>
        </w:rPr>
      </w:pPr>
      <w:r w:rsidRPr="005E1652">
        <w:rPr>
          <w:lang w:val="hr-HR"/>
        </w:rPr>
        <w:t>Katanciceva 5</w:t>
      </w:r>
    </w:p>
    <w:p w:rsidR="005E1652" w:rsidRPr="005E1652" w:rsidRDefault="005E1652" w:rsidP="005E1652">
      <w:pPr>
        <w:pStyle w:val="Header"/>
        <w:rPr>
          <w:lang w:val="hr-HR"/>
        </w:rPr>
      </w:pPr>
      <w:r w:rsidRPr="005E1652">
        <w:rPr>
          <w:lang w:val="hr-HR"/>
        </w:rPr>
        <w:t>10000 Zagreb</w:t>
      </w:r>
    </w:p>
    <w:p w:rsidR="005E1652" w:rsidRPr="005E1652" w:rsidRDefault="005E1652" w:rsidP="005E1652">
      <w:pPr>
        <w:pStyle w:val="Header"/>
        <w:tabs>
          <w:tab w:val="clear" w:pos="4320"/>
        </w:tabs>
        <w:rPr>
          <w:lang w:val="hr-HR"/>
        </w:rPr>
      </w:pPr>
      <w:r w:rsidRPr="005E1652">
        <w:rPr>
          <w:lang w:val="hr-HR"/>
        </w:rPr>
        <w:t>Republic of Croatia</w:t>
      </w:r>
    </w:p>
    <w:p w:rsidR="005E1652" w:rsidRPr="005E1652" w:rsidRDefault="005E1652" w:rsidP="005E1652">
      <w:pPr>
        <w:pStyle w:val="Header"/>
        <w:tabs>
          <w:tab w:val="clear" w:pos="4320"/>
        </w:tabs>
        <w:rPr>
          <w:lang w:val="hr-HR"/>
        </w:rPr>
      </w:pPr>
    </w:p>
    <w:p w:rsidR="005E1652" w:rsidRPr="005E1652" w:rsidRDefault="005E1652" w:rsidP="005E1652">
      <w:pPr>
        <w:pStyle w:val="Header"/>
        <w:tabs>
          <w:tab w:val="clear" w:pos="4320"/>
        </w:tabs>
      </w:pPr>
    </w:p>
    <w:p w:rsidR="005E1652" w:rsidRPr="005E1652" w:rsidRDefault="005E1652" w:rsidP="005E1652"/>
    <w:p w:rsidR="005E1652" w:rsidRPr="005E1652" w:rsidRDefault="005E1652" w:rsidP="005E1652">
      <w:pPr>
        <w:pStyle w:val="BodyText3"/>
        <w:rPr>
          <w:sz w:val="22"/>
          <w:szCs w:val="22"/>
        </w:rPr>
      </w:pPr>
      <w:r w:rsidRPr="005E1652">
        <w:rPr>
          <w:sz w:val="22"/>
          <w:szCs w:val="22"/>
        </w:rPr>
        <w:t>Re: IBRD Loan 7453-HR Inland Waters Project</w:t>
      </w:r>
    </w:p>
    <w:p w:rsidR="005E1652" w:rsidRPr="005E1652" w:rsidRDefault="005E1652" w:rsidP="005E1652">
      <w:pPr>
        <w:pStyle w:val="BodyText3"/>
        <w:rPr>
          <w:sz w:val="22"/>
          <w:szCs w:val="22"/>
        </w:rPr>
      </w:pPr>
      <w:r w:rsidRPr="005E1652">
        <w:rPr>
          <w:sz w:val="22"/>
          <w:szCs w:val="22"/>
        </w:rPr>
        <w:t>Additional Instructions:  Disbursement</w:t>
      </w:r>
    </w:p>
    <w:p w:rsidR="005E1652" w:rsidRPr="005E1652" w:rsidRDefault="005E1652" w:rsidP="005E1652">
      <w:pPr>
        <w:rPr>
          <w:sz w:val="22"/>
          <w:szCs w:val="22"/>
        </w:rPr>
      </w:pPr>
    </w:p>
    <w:p w:rsidR="005E1652" w:rsidRPr="005E1652" w:rsidRDefault="005E1652" w:rsidP="005E1652">
      <w:pPr>
        <w:rPr>
          <w:sz w:val="22"/>
          <w:szCs w:val="22"/>
        </w:rPr>
      </w:pPr>
      <w:r w:rsidRPr="005E1652">
        <w:rPr>
          <w:b/>
          <w:sz w:val="22"/>
          <w:szCs w:val="22"/>
        </w:rPr>
        <w:t>Excellency</w:t>
      </w:r>
      <w:r w:rsidRPr="005E1652">
        <w:rPr>
          <w:sz w:val="22"/>
          <w:szCs w:val="22"/>
        </w:rPr>
        <w:t>:</w:t>
      </w:r>
    </w:p>
    <w:p w:rsidR="005E1652" w:rsidRPr="005E1652" w:rsidRDefault="005E1652" w:rsidP="005E1652">
      <w:pPr>
        <w:rPr>
          <w:sz w:val="22"/>
          <w:szCs w:val="22"/>
        </w:rPr>
      </w:pPr>
    </w:p>
    <w:p w:rsidR="005E1652" w:rsidRPr="005E1652" w:rsidRDefault="00CE1562" w:rsidP="005E1652">
      <w:pPr>
        <w:ind w:firstLine="720"/>
        <w:rPr>
          <w:sz w:val="22"/>
          <w:szCs w:val="22"/>
        </w:rPr>
      </w:pPr>
      <w:r>
        <w:rPr>
          <w:sz w:val="22"/>
          <w:szCs w:val="22"/>
        </w:rPr>
        <w:t>We</w:t>
      </w:r>
      <w:r w:rsidR="005E1652" w:rsidRPr="005E1652">
        <w:rPr>
          <w:sz w:val="22"/>
          <w:szCs w:val="22"/>
        </w:rPr>
        <w:t xml:space="preserve"> refer to the Loan Agreement between the </w:t>
      </w:r>
      <w:r w:rsidR="005E1652" w:rsidRPr="00191265">
        <w:rPr>
          <w:sz w:val="22"/>
          <w:szCs w:val="22"/>
        </w:rPr>
        <w:t>International Bank for Reconstruction and Development (the “Bank”) and the Republic of Croatia (the “Addressee”) for the above-referenced project</w:t>
      </w:r>
      <w:r w:rsidRPr="00191265">
        <w:rPr>
          <w:sz w:val="22"/>
          <w:szCs w:val="22"/>
        </w:rPr>
        <w:t xml:space="preserve"> (the “Loan Agreement”)</w:t>
      </w:r>
      <w:r w:rsidR="005E1652" w:rsidRPr="00191265">
        <w:rPr>
          <w:sz w:val="22"/>
          <w:szCs w:val="22"/>
        </w:rPr>
        <w:t xml:space="preserve">, dated June 12, 2007. </w:t>
      </w:r>
      <w:r w:rsidR="00191265" w:rsidRPr="00191265">
        <w:rPr>
          <w:sz w:val="22"/>
          <w:szCs w:val="22"/>
        </w:rPr>
        <w:t xml:space="preserve">We also refer to your request on behalf of the Addressee contained in the Addressee’s letter dated May 13, 2011. </w:t>
      </w:r>
      <w:r w:rsidR="005E1652" w:rsidRPr="00191265">
        <w:rPr>
          <w:sz w:val="22"/>
          <w:szCs w:val="22"/>
        </w:rPr>
        <w:t>The</w:t>
      </w:r>
      <w:r w:rsidR="005E1652" w:rsidRPr="005E1652">
        <w:rPr>
          <w:sz w:val="22"/>
          <w:szCs w:val="22"/>
        </w:rPr>
        <w:t xml:space="preserve"> Agreement provides that the Bank may issue additional instructions regarding the withdrawal of the </w:t>
      </w:r>
      <w:r w:rsidR="00A83C8D">
        <w:rPr>
          <w:sz w:val="22"/>
          <w:szCs w:val="22"/>
        </w:rPr>
        <w:t xml:space="preserve">Loan </w:t>
      </w:r>
      <w:r w:rsidR="005E1652" w:rsidRPr="005E1652">
        <w:rPr>
          <w:sz w:val="22"/>
          <w:szCs w:val="22"/>
        </w:rPr>
        <w:t xml:space="preserve">proceeds </w:t>
      </w:r>
      <w:r w:rsidR="00A83C8D">
        <w:rPr>
          <w:sz w:val="22"/>
          <w:szCs w:val="22"/>
        </w:rPr>
        <w:t>under</w:t>
      </w:r>
      <w:r w:rsidR="005E1652" w:rsidRPr="005E1652">
        <w:rPr>
          <w:sz w:val="22"/>
          <w:szCs w:val="22"/>
        </w:rPr>
        <w:t xml:space="preserve"> Loan 7453-HR (“Loan”).  This letter (“Disbursement Letter”), as revised from time to time, constitutes the additional instructions.</w:t>
      </w:r>
    </w:p>
    <w:p w:rsidR="005E1652" w:rsidRPr="005E1652" w:rsidRDefault="005E1652" w:rsidP="005E1652">
      <w:pPr>
        <w:rPr>
          <w:sz w:val="22"/>
          <w:szCs w:val="22"/>
        </w:rPr>
      </w:pPr>
    </w:p>
    <w:p w:rsidR="005E1652" w:rsidRPr="005E1652" w:rsidRDefault="005E1652" w:rsidP="005E1652">
      <w:pPr>
        <w:rPr>
          <w:sz w:val="22"/>
          <w:szCs w:val="22"/>
        </w:rPr>
      </w:pPr>
      <w:r w:rsidRPr="005E1652">
        <w:rPr>
          <w:sz w:val="22"/>
          <w:szCs w:val="22"/>
        </w:rPr>
        <w:tab/>
        <w:t>This Disbursement Letter is a First Restatement of the Disbursement Letter dated June 12, 2007 for the above referenced project restating Section II (iii and iv) to change the minimum application size and the ceiling for Advance.  All other provisions of the Disbursement Letter dated June 12, 2007, except as amended, shall remain in force and effect.</w:t>
      </w:r>
    </w:p>
    <w:p w:rsidR="005E1652" w:rsidRPr="005E1652" w:rsidRDefault="005E1652" w:rsidP="005E1652">
      <w:pPr>
        <w:rPr>
          <w:sz w:val="22"/>
          <w:szCs w:val="22"/>
        </w:rPr>
      </w:pPr>
    </w:p>
    <w:p w:rsidR="005E1652" w:rsidRPr="005E1652" w:rsidRDefault="005E1652" w:rsidP="005E1652">
      <w:pPr>
        <w:ind w:firstLine="720"/>
        <w:rPr>
          <w:sz w:val="22"/>
          <w:szCs w:val="22"/>
        </w:rPr>
      </w:pPr>
      <w:r w:rsidRPr="005E1652">
        <w:rPr>
          <w:sz w:val="22"/>
          <w:szCs w:val="22"/>
        </w:rPr>
        <w:t xml:space="preserve">The attached World Bank Disbursement Guidelines for Projects, dated May 1, 2006 (“Disbursement Guidelines”) (Attachment 1), are an integral part of the Disbursement Letter.  The manner in which the provisions in the Disbursement Guidelines apply to the Loan is specified below.  Sections and subsections in parentheses below refer to the relevant sections and subsections in the Disbursement Guidelines and, unless otherwise defined in this letter, the capitalized terms used have the meanings ascribed to them in the Disbursement Guidelines. </w:t>
      </w:r>
    </w:p>
    <w:p w:rsidR="005E1652" w:rsidRPr="005E1652" w:rsidRDefault="005E1652" w:rsidP="005E1652">
      <w:pPr>
        <w:ind w:firstLine="720"/>
        <w:rPr>
          <w:sz w:val="22"/>
          <w:szCs w:val="22"/>
        </w:rPr>
      </w:pPr>
    </w:p>
    <w:p w:rsidR="005E1652" w:rsidRPr="005E1652" w:rsidRDefault="005E1652" w:rsidP="005E1652">
      <w:pPr>
        <w:pStyle w:val="BodyText"/>
        <w:rPr>
          <w:color w:val="auto"/>
          <w:sz w:val="22"/>
          <w:szCs w:val="22"/>
        </w:rPr>
      </w:pPr>
      <w:r w:rsidRPr="005E1652">
        <w:rPr>
          <w:bCs w:val="0"/>
          <w:color w:val="auto"/>
          <w:sz w:val="22"/>
          <w:szCs w:val="22"/>
        </w:rPr>
        <w:t>I.  Disbursement Arrangements</w:t>
      </w:r>
    </w:p>
    <w:p w:rsidR="005E1652" w:rsidRPr="005E1652" w:rsidRDefault="005E1652" w:rsidP="005E1652">
      <w:pPr>
        <w:pStyle w:val="Header"/>
        <w:tabs>
          <w:tab w:val="clear" w:pos="4320"/>
          <w:tab w:val="left" w:pos="540"/>
        </w:tabs>
        <w:rPr>
          <w:szCs w:val="22"/>
        </w:rPr>
      </w:pPr>
      <w:r w:rsidRPr="005E1652">
        <w:rPr>
          <w:b/>
          <w:i/>
          <w:szCs w:val="22"/>
        </w:rPr>
        <w:t>(</w:t>
      </w:r>
      <w:proofErr w:type="spellStart"/>
      <w:r w:rsidRPr="005E1652">
        <w:rPr>
          <w:b/>
          <w:i/>
          <w:szCs w:val="22"/>
        </w:rPr>
        <w:t>i</w:t>
      </w:r>
      <w:proofErr w:type="spellEnd"/>
      <w:r w:rsidRPr="005E1652">
        <w:rPr>
          <w:b/>
          <w:i/>
          <w:szCs w:val="22"/>
        </w:rPr>
        <w:t>)</w:t>
      </w:r>
      <w:r w:rsidRPr="005E1652">
        <w:rPr>
          <w:szCs w:val="22"/>
        </w:rPr>
        <w:t xml:space="preserve"> </w:t>
      </w:r>
      <w:r w:rsidRPr="005E1652">
        <w:rPr>
          <w:b/>
          <w:bCs/>
          <w:i/>
          <w:szCs w:val="22"/>
        </w:rPr>
        <w:t>Disbursement Methods (section 2)</w:t>
      </w:r>
      <w:r w:rsidRPr="005E1652">
        <w:rPr>
          <w:b/>
          <w:bCs/>
          <w:szCs w:val="22"/>
        </w:rPr>
        <w:t xml:space="preserve">.  </w:t>
      </w:r>
      <w:r w:rsidRPr="005E1652">
        <w:rPr>
          <w:bCs/>
          <w:szCs w:val="22"/>
        </w:rPr>
        <w:t>The following Disbursement Methods may be used under the Loan:</w:t>
      </w:r>
    </w:p>
    <w:p w:rsidR="005E1652" w:rsidRPr="005E1652" w:rsidRDefault="005E1652" w:rsidP="005E1652">
      <w:pPr>
        <w:pStyle w:val="Header"/>
        <w:numPr>
          <w:ilvl w:val="0"/>
          <w:numId w:val="1"/>
        </w:numPr>
        <w:tabs>
          <w:tab w:val="clear" w:pos="4320"/>
          <w:tab w:val="clear" w:pos="7200"/>
          <w:tab w:val="left" w:pos="540"/>
        </w:tabs>
        <w:spacing w:before="120"/>
        <w:ind w:left="907"/>
        <w:rPr>
          <w:iCs/>
          <w:szCs w:val="22"/>
        </w:rPr>
      </w:pPr>
      <w:r w:rsidRPr="005E1652">
        <w:rPr>
          <w:iCs/>
          <w:szCs w:val="22"/>
        </w:rPr>
        <w:t>Reimbursement</w:t>
      </w:r>
    </w:p>
    <w:p w:rsidR="005E1652" w:rsidRPr="005E1652" w:rsidRDefault="005E1652" w:rsidP="005E1652">
      <w:pPr>
        <w:pStyle w:val="Header"/>
        <w:numPr>
          <w:ilvl w:val="0"/>
          <w:numId w:val="1"/>
        </w:numPr>
        <w:tabs>
          <w:tab w:val="clear" w:pos="4320"/>
          <w:tab w:val="clear" w:pos="7200"/>
          <w:tab w:val="left" w:pos="540"/>
        </w:tabs>
        <w:rPr>
          <w:iCs/>
          <w:szCs w:val="22"/>
        </w:rPr>
      </w:pPr>
      <w:r w:rsidRPr="005E1652">
        <w:rPr>
          <w:iCs/>
          <w:szCs w:val="22"/>
        </w:rPr>
        <w:t>Advance</w:t>
      </w:r>
    </w:p>
    <w:p w:rsidR="005E1652" w:rsidRPr="005E1652" w:rsidRDefault="005E1652" w:rsidP="005E1652">
      <w:pPr>
        <w:pStyle w:val="Header"/>
        <w:numPr>
          <w:ilvl w:val="0"/>
          <w:numId w:val="1"/>
        </w:numPr>
        <w:tabs>
          <w:tab w:val="clear" w:pos="4320"/>
          <w:tab w:val="clear" w:pos="7200"/>
          <w:tab w:val="left" w:pos="540"/>
        </w:tabs>
        <w:rPr>
          <w:iCs/>
          <w:szCs w:val="22"/>
        </w:rPr>
      </w:pPr>
      <w:r w:rsidRPr="005E1652">
        <w:rPr>
          <w:iCs/>
          <w:szCs w:val="22"/>
        </w:rPr>
        <w:t>Direct Payment</w:t>
      </w:r>
    </w:p>
    <w:p w:rsidR="005E1652" w:rsidRPr="005E1652" w:rsidRDefault="005E1652" w:rsidP="005E1652">
      <w:pPr>
        <w:pStyle w:val="Header"/>
        <w:numPr>
          <w:ilvl w:val="0"/>
          <w:numId w:val="1"/>
        </w:numPr>
        <w:tabs>
          <w:tab w:val="clear" w:pos="4320"/>
          <w:tab w:val="clear" w:pos="7200"/>
          <w:tab w:val="left" w:pos="540"/>
        </w:tabs>
        <w:rPr>
          <w:iCs/>
          <w:szCs w:val="22"/>
        </w:rPr>
      </w:pPr>
      <w:r w:rsidRPr="005E1652">
        <w:rPr>
          <w:iCs/>
          <w:szCs w:val="22"/>
        </w:rPr>
        <w:t>Special Commitment</w:t>
      </w:r>
    </w:p>
    <w:p w:rsidR="005E1652" w:rsidRPr="005E1652" w:rsidRDefault="005E1652" w:rsidP="005E1652">
      <w:pPr>
        <w:pStyle w:val="Header"/>
        <w:tabs>
          <w:tab w:val="clear" w:pos="4320"/>
          <w:tab w:val="left" w:pos="540"/>
        </w:tabs>
        <w:ind w:left="180"/>
        <w:rPr>
          <w:szCs w:val="22"/>
        </w:rPr>
      </w:pPr>
    </w:p>
    <w:p w:rsidR="005E1652" w:rsidRPr="005E1652" w:rsidRDefault="005E1652" w:rsidP="005E1652">
      <w:pPr>
        <w:pStyle w:val="Header"/>
        <w:tabs>
          <w:tab w:val="clear" w:pos="4320"/>
        </w:tabs>
        <w:rPr>
          <w:szCs w:val="22"/>
        </w:rPr>
      </w:pPr>
      <w:r w:rsidRPr="005E1652">
        <w:rPr>
          <w:b/>
          <w:i/>
          <w:szCs w:val="22"/>
        </w:rPr>
        <w:lastRenderedPageBreak/>
        <w:t>(ii) Disbursement Deadline Date</w:t>
      </w:r>
      <w:r w:rsidRPr="005E1652">
        <w:rPr>
          <w:b/>
          <w:bCs/>
          <w:i/>
          <w:szCs w:val="22"/>
        </w:rPr>
        <w:t xml:space="preserve"> (subsection 3.6)</w:t>
      </w:r>
      <w:r w:rsidRPr="005E1652">
        <w:rPr>
          <w:b/>
          <w:bCs/>
          <w:szCs w:val="22"/>
        </w:rPr>
        <w:t xml:space="preserve">.  </w:t>
      </w:r>
      <w:r w:rsidRPr="005E1652">
        <w:rPr>
          <w:szCs w:val="22"/>
        </w:rPr>
        <w:t>The Disbursement Deadline Date is the Closing Date specified in the Loan Agreement. Any changes to this date will be notified by the Bank.</w:t>
      </w:r>
    </w:p>
    <w:p w:rsidR="005E1652" w:rsidRPr="005E1652" w:rsidRDefault="005E1652" w:rsidP="005E1652">
      <w:pPr>
        <w:pStyle w:val="Header"/>
        <w:tabs>
          <w:tab w:val="clear" w:pos="4320"/>
        </w:tabs>
        <w:rPr>
          <w:szCs w:val="22"/>
        </w:rPr>
      </w:pPr>
    </w:p>
    <w:p w:rsidR="005E1652" w:rsidRPr="005E1652" w:rsidRDefault="005E1652" w:rsidP="005E1652">
      <w:pPr>
        <w:pStyle w:val="Header"/>
        <w:tabs>
          <w:tab w:val="clear" w:pos="4320"/>
          <w:tab w:val="left" w:pos="900"/>
        </w:tabs>
        <w:rPr>
          <w:b/>
          <w:szCs w:val="22"/>
        </w:rPr>
      </w:pPr>
      <w:r w:rsidRPr="005E1652">
        <w:rPr>
          <w:b/>
          <w:szCs w:val="22"/>
        </w:rPr>
        <w:t>II. Withdrawal of Loan Proceeds</w:t>
      </w:r>
    </w:p>
    <w:p w:rsidR="005E1652" w:rsidRPr="005E1652" w:rsidRDefault="005E1652" w:rsidP="005E1652">
      <w:pPr>
        <w:pStyle w:val="Header"/>
        <w:tabs>
          <w:tab w:val="clear" w:pos="4320"/>
          <w:tab w:val="left" w:pos="900"/>
        </w:tabs>
        <w:rPr>
          <w:szCs w:val="22"/>
        </w:rPr>
      </w:pPr>
    </w:p>
    <w:p w:rsidR="005E1652" w:rsidRPr="005E1652" w:rsidRDefault="005E1652" w:rsidP="005E1652">
      <w:pPr>
        <w:tabs>
          <w:tab w:val="left" w:pos="547"/>
        </w:tabs>
        <w:rPr>
          <w:sz w:val="22"/>
          <w:szCs w:val="22"/>
        </w:rPr>
      </w:pPr>
      <w:r w:rsidRPr="005E1652">
        <w:rPr>
          <w:b/>
          <w:i/>
          <w:sz w:val="22"/>
          <w:szCs w:val="22"/>
        </w:rPr>
        <w:t>(</w:t>
      </w:r>
      <w:proofErr w:type="spellStart"/>
      <w:r w:rsidRPr="005E1652">
        <w:rPr>
          <w:b/>
          <w:i/>
          <w:sz w:val="22"/>
          <w:szCs w:val="22"/>
        </w:rPr>
        <w:t>i</w:t>
      </w:r>
      <w:proofErr w:type="spellEnd"/>
      <w:r w:rsidRPr="005E1652">
        <w:rPr>
          <w:b/>
          <w:i/>
          <w:sz w:val="22"/>
          <w:szCs w:val="22"/>
        </w:rPr>
        <w:t>)</w:t>
      </w:r>
      <w:r w:rsidRPr="005E1652">
        <w:rPr>
          <w:sz w:val="22"/>
          <w:szCs w:val="22"/>
        </w:rPr>
        <w:t xml:space="preserve"> </w:t>
      </w:r>
      <w:r w:rsidRPr="005E1652">
        <w:rPr>
          <w:b/>
          <w:bCs/>
          <w:i/>
          <w:iCs/>
          <w:sz w:val="22"/>
          <w:szCs w:val="22"/>
        </w:rPr>
        <w:t xml:space="preserve">Authorized Signatures (subsection 3.1).  </w:t>
      </w:r>
      <w:r w:rsidRPr="005E1652">
        <w:rPr>
          <w:bCs/>
          <w:iCs/>
          <w:sz w:val="22"/>
          <w:szCs w:val="22"/>
        </w:rPr>
        <w:t xml:space="preserve">A letter in the Form attached (Attachment 2) should be furnished to the Bank at the address indicated below providing </w:t>
      </w:r>
      <w:r w:rsidRPr="005E1652">
        <w:rPr>
          <w:sz w:val="22"/>
          <w:szCs w:val="22"/>
        </w:rPr>
        <w:t xml:space="preserve">the name(s) and specimen signature(s) of the official(s) authorized to sign Applications:  </w:t>
      </w:r>
    </w:p>
    <w:p w:rsidR="005E1652" w:rsidRPr="005E1652" w:rsidRDefault="005E1652" w:rsidP="005E1652">
      <w:pPr>
        <w:rPr>
          <w:sz w:val="22"/>
          <w:szCs w:val="22"/>
          <w:u w:val="single"/>
        </w:rPr>
      </w:pPr>
    </w:p>
    <w:p w:rsidR="005E1652" w:rsidRPr="005E1652" w:rsidRDefault="005E1652" w:rsidP="005E1652">
      <w:pPr>
        <w:ind w:left="2160"/>
        <w:jc w:val="both"/>
        <w:rPr>
          <w:sz w:val="22"/>
          <w:szCs w:val="22"/>
        </w:rPr>
      </w:pPr>
      <w:r w:rsidRPr="005E1652">
        <w:rPr>
          <w:sz w:val="22"/>
          <w:szCs w:val="22"/>
        </w:rPr>
        <w:t>The World Bank</w:t>
      </w:r>
    </w:p>
    <w:p w:rsidR="005E1652" w:rsidRPr="005E1652" w:rsidRDefault="005E1652" w:rsidP="005E1652">
      <w:pPr>
        <w:ind w:left="2160"/>
        <w:jc w:val="both"/>
        <w:rPr>
          <w:sz w:val="22"/>
          <w:szCs w:val="22"/>
        </w:rPr>
      </w:pPr>
      <w:r w:rsidRPr="005E1652">
        <w:rPr>
          <w:sz w:val="22"/>
          <w:szCs w:val="22"/>
        </w:rPr>
        <w:t>1818 H Street, N.W.</w:t>
      </w:r>
    </w:p>
    <w:p w:rsidR="005E1652" w:rsidRPr="005E1652" w:rsidRDefault="005E1652" w:rsidP="005E1652">
      <w:pPr>
        <w:ind w:left="2160"/>
        <w:jc w:val="both"/>
        <w:rPr>
          <w:sz w:val="22"/>
          <w:szCs w:val="22"/>
        </w:rPr>
      </w:pPr>
      <w:r w:rsidRPr="005E1652">
        <w:rPr>
          <w:sz w:val="22"/>
          <w:szCs w:val="22"/>
        </w:rPr>
        <w:t>Washington, DC  20433</w:t>
      </w:r>
    </w:p>
    <w:p w:rsidR="005E1652" w:rsidRPr="005E1652" w:rsidRDefault="005E1652" w:rsidP="005E1652">
      <w:pPr>
        <w:ind w:left="2160"/>
        <w:jc w:val="both"/>
        <w:rPr>
          <w:sz w:val="22"/>
          <w:szCs w:val="22"/>
        </w:rPr>
      </w:pPr>
      <w:r w:rsidRPr="005E1652">
        <w:rPr>
          <w:sz w:val="22"/>
          <w:szCs w:val="22"/>
        </w:rPr>
        <w:t>United States of America</w:t>
      </w:r>
    </w:p>
    <w:p w:rsidR="005E1652" w:rsidRPr="005E1652" w:rsidRDefault="005E1652" w:rsidP="005E1652">
      <w:pPr>
        <w:ind w:left="2160"/>
        <w:jc w:val="both"/>
        <w:rPr>
          <w:sz w:val="22"/>
          <w:szCs w:val="22"/>
        </w:rPr>
      </w:pPr>
      <w:r w:rsidRPr="005E1652">
        <w:rPr>
          <w:sz w:val="22"/>
          <w:szCs w:val="22"/>
        </w:rPr>
        <w:t xml:space="preserve">Attention:  Peter </w:t>
      </w:r>
      <w:proofErr w:type="spellStart"/>
      <w:r w:rsidRPr="005E1652">
        <w:rPr>
          <w:sz w:val="22"/>
          <w:szCs w:val="22"/>
        </w:rPr>
        <w:t>Harrold</w:t>
      </w:r>
      <w:proofErr w:type="spellEnd"/>
      <w:r w:rsidRPr="005E1652">
        <w:rPr>
          <w:sz w:val="22"/>
          <w:szCs w:val="22"/>
        </w:rPr>
        <w:t xml:space="preserve">, Country Director </w:t>
      </w:r>
    </w:p>
    <w:p w:rsidR="005E1652" w:rsidRPr="005E1652" w:rsidRDefault="005E1652" w:rsidP="005E1652">
      <w:pPr>
        <w:ind w:left="2160"/>
        <w:jc w:val="both"/>
        <w:rPr>
          <w:sz w:val="22"/>
          <w:szCs w:val="22"/>
        </w:rPr>
      </w:pPr>
    </w:p>
    <w:p w:rsidR="005E1652" w:rsidRPr="005E1652" w:rsidRDefault="005E1652" w:rsidP="005E1652">
      <w:pPr>
        <w:tabs>
          <w:tab w:val="left" w:pos="547"/>
        </w:tabs>
        <w:rPr>
          <w:sz w:val="22"/>
          <w:szCs w:val="22"/>
        </w:rPr>
      </w:pPr>
      <w:r w:rsidRPr="005E1652">
        <w:rPr>
          <w:b/>
          <w:i/>
          <w:sz w:val="22"/>
          <w:szCs w:val="22"/>
        </w:rPr>
        <w:t>(ii)</w:t>
      </w:r>
      <w:r w:rsidRPr="005E1652">
        <w:rPr>
          <w:sz w:val="22"/>
          <w:szCs w:val="22"/>
        </w:rPr>
        <w:t xml:space="preserve"> </w:t>
      </w:r>
      <w:r w:rsidRPr="005E1652">
        <w:rPr>
          <w:b/>
          <w:bCs/>
          <w:i/>
          <w:iCs/>
          <w:sz w:val="22"/>
          <w:szCs w:val="22"/>
        </w:rPr>
        <w:t xml:space="preserve">Applications (subsections 3.2 - 3.3).  </w:t>
      </w:r>
      <w:r w:rsidRPr="005E1652">
        <w:rPr>
          <w:bCs/>
          <w:iCs/>
          <w:sz w:val="22"/>
          <w:szCs w:val="22"/>
        </w:rPr>
        <w:t>P</w:t>
      </w:r>
      <w:r w:rsidRPr="005E1652">
        <w:rPr>
          <w:sz w:val="22"/>
          <w:szCs w:val="22"/>
        </w:rPr>
        <w:t>lease provide completed and signed (a) applications for withdrawal, together with supporting documents, and (b) applications for special commitments, together with a copy of the commercial bank letter of credit, to the address indicated below:</w:t>
      </w:r>
    </w:p>
    <w:p w:rsidR="005E1652" w:rsidRPr="005E1652" w:rsidRDefault="005E1652" w:rsidP="005E1652">
      <w:pPr>
        <w:ind w:left="2160"/>
        <w:jc w:val="both"/>
        <w:rPr>
          <w:sz w:val="22"/>
          <w:szCs w:val="22"/>
        </w:rPr>
      </w:pPr>
    </w:p>
    <w:p w:rsidR="005E1652" w:rsidRPr="005E1652" w:rsidRDefault="005E1652" w:rsidP="005E1652">
      <w:pPr>
        <w:ind w:left="2160"/>
        <w:jc w:val="both"/>
        <w:rPr>
          <w:sz w:val="22"/>
          <w:szCs w:val="22"/>
        </w:rPr>
      </w:pPr>
      <w:r w:rsidRPr="005E1652">
        <w:rPr>
          <w:sz w:val="22"/>
          <w:szCs w:val="22"/>
        </w:rPr>
        <w:t>The World Bank</w:t>
      </w:r>
    </w:p>
    <w:p w:rsidR="005E1652" w:rsidRPr="005E1652" w:rsidRDefault="005E1652" w:rsidP="005E1652">
      <w:pPr>
        <w:ind w:left="2160"/>
        <w:jc w:val="both"/>
        <w:rPr>
          <w:sz w:val="22"/>
          <w:szCs w:val="22"/>
        </w:rPr>
      </w:pPr>
      <w:proofErr w:type="spellStart"/>
      <w:r w:rsidRPr="005E1652">
        <w:rPr>
          <w:sz w:val="22"/>
          <w:szCs w:val="22"/>
        </w:rPr>
        <w:t>Radnicka</w:t>
      </w:r>
      <w:proofErr w:type="spellEnd"/>
      <w:r w:rsidRPr="005E1652">
        <w:rPr>
          <w:sz w:val="22"/>
          <w:szCs w:val="22"/>
        </w:rPr>
        <w:t xml:space="preserve"> </w:t>
      </w:r>
      <w:proofErr w:type="spellStart"/>
      <w:r w:rsidRPr="005E1652">
        <w:rPr>
          <w:sz w:val="22"/>
          <w:szCs w:val="22"/>
        </w:rPr>
        <w:t>cesta</w:t>
      </w:r>
      <w:proofErr w:type="spellEnd"/>
      <w:r w:rsidRPr="005E1652">
        <w:rPr>
          <w:sz w:val="22"/>
          <w:szCs w:val="22"/>
        </w:rPr>
        <w:t xml:space="preserve"> 80, 9th floor</w:t>
      </w:r>
    </w:p>
    <w:p w:rsidR="005E1652" w:rsidRPr="005E1652" w:rsidRDefault="005E1652" w:rsidP="005E1652">
      <w:pPr>
        <w:ind w:left="2160"/>
        <w:jc w:val="both"/>
        <w:rPr>
          <w:sz w:val="22"/>
          <w:szCs w:val="22"/>
        </w:rPr>
      </w:pPr>
      <w:r w:rsidRPr="005E1652">
        <w:rPr>
          <w:sz w:val="22"/>
          <w:szCs w:val="22"/>
        </w:rPr>
        <w:t>HR-10000 Zagreb, Croatia</w:t>
      </w:r>
    </w:p>
    <w:p w:rsidR="005E1652" w:rsidRPr="005E1652" w:rsidRDefault="005E1652" w:rsidP="005E1652">
      <w:pPr>
        <w:ind w:left="2160"/>
        <w:jc w:val="both"/>
        <w:rPr>
          <w:sz w:val="22"/>
          <w:szCs w:val="22"/>
        </w:rPr>
      </w:pPr>
      <w:r w:rsidRPr="005E1652">
        <w:rPr>
          <w:sz w:val="22"/>
          <w:szCs w:val="22"/>
        </w:rPr>
        <w:t>Attention:  Loan Department, Disbursement Management Group</w:t>
      </w:r>
    </w:p>
    <w:p w:rsidR="005E1652" w:rsidRPr="005E1652" w:rsidRDefault="005E1652" w:rsidP="005E1652">
      <w:pPr>
        <w:ind w:left="2160"/>
        <w:jc w:val="both"/>
        <w:rPr>
          <w:sz w:val="22"/>
          <w:szCs w:val="22"/>
        </w:rPr>
      </w:pPr>
    </w:p>
    <w:p w:rsidR="005E1652" w:rsidRPr="005E1652" w:rsidRDefault="005E1652" w:rsidP="005E1652">
      <w:pPr>
        <w:pStyle w:val="Header"/>
        <w:tabs>
          <w:tab w:val="clear" w:pos="4320"/>
        </w:tabs>
        <w:rPr>
          <w:szCs w:val="22"/>
        </w:rPr>
      </w:pPr>
      <w:r w:rsidRPr="005E1652">
        <w:rPr>
          <w:b/>
          <w:i/>
          <w:szCs w:val="22"/>
        </w:rPr>
        <w:t>(iii)</w:t>
      </w:r>
      <w:r w:rsidRPr="005E1652">
        <w:rPr>
          <w:szCs w:val="22"/>
        </w:rPr>
        <w:t xml:space="preserve"> </w:t>
      </w:r>
      <w:r w:rsidRPr="005E1652">
        <w:rPr>
          <w:b/>
          <w:bCs/>
          <w:i/>
          <w:szCs w:val="22"/>
        </w:rPr>
        <w:t>Minimum Value of Applications (subsection 3.4)</w:t>
      </w:r>
      <w:r w:rsidRPr="005E1652">
        <w:rPr>
          <w:b/>
          <w:bCs/>
          <w:szCs w:val="22"/>
        </w:rPr>
        <w:t xml:space="preserve">.  </w:t>
      </w:r>
      <w:r w:rsidRPr="005E1652">
        <w:rPr>
          <w:bCs/>
          <w:szCs w:val="22"/>
        </w:rPr>
        <w:t>The</w:t>
      </w:r>
      <w:r w:rsidRPr="005E1652">
        <w:rPr>
          <w:b/>
          <w:bCs/>
          <w:szCs w:val="22"/>
        </w:rPr>
        <w:t xml:space="preserve"> </w:t>
      </w:r>
      <w:r w:rsidRPr="005E1652">
        <w:rPr>
          <w:szCs w:val="22"/>
        </w:rPr>
        <w:t xml:space="preserve">Minimum Value of Applications for direct </w:t>
      </w:r>
      <w:proofErr w:type="gramStart"/>
      <w:r w:rsidRPr="005E1652">
        <w:rPr>
          <w:szCs w:val="22"/>
        </w:rPr>
        <w:t>payment,</w:t>
      </w:r>
      <w:proofErr w:type="gramEnd"/>
      <w:r w:rsidRPr="005E1652">
        <w:rPr>
          <w:szCs w:val="22"/>
        </w:rPr>
        <w:t xml:space="preserve"> and Special Commitment is € 400,000 equivalent. </w:t>
      </w:r>
    </w:p>
    <w:p w:rsidR="005E1652" w:rsidRPr="005E1652" w:rsidRDefault="005E1652" w:rsidP="005E1652">
      <w:pPr>
        <w:pStyle w:val="Header"/>
        <w:tabs>
          <w:tab w:val="clear" w:pos="4320"/>
          <w:tab w:val="left" w:pos="900"/>
        </w:tabs>
        <w:rPr>
          <w:szCs w:val="22"/>
        </w:rPr>
      </w:pPr>
    </w:p>
    <w:p w:rsidR="005E1652" w:rsidRPr="005E1652" w:rsidRDefault="005E1652" w:rsidP="005E1652">
      <w:pPr>
        <w:pStyle w:val="Header"/>
        <w:tabs>
          <w:tab w:val="clear" w:pos="4320"/>
        </w:tabs>
        <w:rPr>
          <w:b/>
          <w:bCs/>
          <w:szCs w:val="22"/>
        </w:rPr>
      </w:pPr>
      <w:r w:rsidRPr="005E1652">
        <w:rPr>
          <w:b/>
          <w:bCs/>
          <w:szCs w:val="22"/>
        </w:rPr>
        <w:t xml:space="preserve"> </w:t>
      </w:r>
      <w:proofErr w:type="gramStart"/>
      <w:r w:rsidRPr="005E1652">
        <w:rPr>
          <w:b/>
          <w:bCs/>
          <w:i/>
          <w:szCs w:val="22"/>
        </w:rPr>
        <w:t>(iv) Advances</w:t>
      </w:r>
      <w:proofErr w:type="gramEnd"/>
      <w:r w:rsidRPr="005E1652">
        <w:rPr>
          <w:b/>
          <w:bCs/>
          <w:i/>
          <w:szCs w:val="22"/>
        </w:rPr>
        <w:t xml:space="preserve"> (sections 5 and 6)</w:t>
      </w:r>
      <w:r w:rsidRPr="005E1652">
        <w:rPr>
          <w:b/>
          <w:bCs/>
          <w:szCs w:val="22"/>
        </w:rPr>
        <w:t xml:space="preserve">.  </w:t>
      </w:r>
      <w:r w:rsidRPr="005E1652">
        <w:rPr>
          <w:b/>
          <w:bCs/>
          <w:szCs w:val="22"/>
        </w:rPr>
        <w:br/>
      </w:r>
    </w:p>
    <w:p w:rsidR="005E1652" w:rsidRPr="005E1652" w:rsidRDefault="005E1652" w:rsidP="005E1652">
      <w:pPr>
        <w:pStyle w:val="Header"/>
        <w:numPr>
          <w:ilvl w:val="0"/>
          <w:numId w:val="2"/>
        </w:numPr>
        <w:tabs>
          <w:tab w:val="clear" w:pos="4320"/>
          <w:tab w:val="clear" w:pos="7200"/>
          <w:tab w:val="left" w:pos="540"/>
        </w:tabs>
        <w:rPr>
          <w:szCs w:val="22"/>
        </w:rPr>
      </w:pPr>
      <w:r w:rsidRPr="005E1652">
        <w:rPr>
          <w:b/>
          <w:bCs/>
          <w:i/>
          <w:szCs w:val="22"/>
        </w:rPr>
        <w:t>Type of Designated Account (subsection 5.3)</w:t>
      </w:r>
      <w:r w:rsidRPr="005E1652">
        <w:rPr>
          <w:bCs/>
          <w:i/>
          <w:szCs w:val="22"/>
        </w:rPr>
        <w:t>:</w:t>
      </w:r>
      <w:r w:rsidRPr="005E1652">
        <w:rPr>
          <w:bCs/>
          <w:szCs w:val="22"/>
        </w:rPr>
        <w:t xml:space="preserve">  Segregated</w:t>
      </w:r>
      <w:r w:rsidRPr="005E1652">
        <w:rPr>
          <w:bCs/>
          <w:szCs w:val="22"/>
        </w:rPr>
        <w:br/>
      </w:r>
    </w:p>
    <w:p w:rsidR="005E1652" w:rsidRPr="005E1652" w:rsidRDefault="005E1652" w:rsidP="005E1652">
      <w:pPr>
        <w:pStyle w:val="Header"/>
        <w:numPr>
          <w:ilvl w:val="0"/>
          <w:numId w:val="2"/>
        </w:numPr>
        <w:tabs>
          <w:tab w:val="clear" w:pos="4320"/>
          <w:tab w:val="clear" w:pos="7200"/>
          <w:tab w:val="left" w:pos="540"/>
        </w:tabs>
        <w:rPr>
          <w:szCs w:val="22"/>
        </w:rPr>
      </w:pPr>
      <w:r w:rsidRPr="005E1652">
        <w:rPr>
          <w:b/>
          <w:bCs/>
          <w:i/>
          <w:szCs w:val="22"/>
        </w:rPr>
        <w:t>Currency of Designated Account (subsection 5.4)</w:t>
      </w:r>
      <w:r w:rsidRPr="005E1652">
        <w:rPr>
          <w:bCs/>
          <w:i/>
          <w:szCs w:val="22"/>
        </w:rPr>
        <w:t>:</w:t>
      </w:r>
      <w:r w:rsidRPr="005E1652">
        <w:rPr>
          <w:bCs/>
          <w:szCs w:val="22"/>
        </w:rPr>
        <w:t xml:space="preserve">  € (Euro).  </w:t>
      </w:r>
      <w:r w:rsidRPr="005E1652">
        <w:rPr>
          <w:bCs/>
          <w:szCs w:val="22"/>
        </w:rPr>
        <w:br/>
      </w:r>
    </w:p>
    <w:p w:rsidR="005E1652" w:rsidRPr="005E1652" w:rsidRDefault="005E1652" w:rsidP="005E1652">
      <w:pPr>
        <w:pStyle w:val="Header"/>
        <w:numPr>
          <w:ilvl w:val="0"/>
          <w:numId w:val="2"/>
        </w:numPr>
        <w:tabs>
          <w:tab w:val="clear" w:pos="4320"/>
          <w:tab w:val="clear" w:pos="7200"/>
          <w:tab w:val="left" w:pos="540"/>
        </w:tabs>
        <w:rPr>
          <w:szCs w:val="22"/>
        </w:rPr>
      </w:pPr>
      <w:r w:rsidRPr="005E1652">
        <w:rPr>
          <w:b/>
          <w:bCs/>
          <w:i/>
          <w:szCs w:val="22"/>
        </w:rPr>
        <w:t xml:space="preserve">Financial Institution at which the Designated Account Will Be </w:t>
      </w:r>
      <w:proofErr w:type="gramStart"/>
      <w:r w:rsidRPr="005E1652">
        <w:rPr>
          <w:b/>
          <w:bCs/>
          <w:i/>
          <w:szCs w:val="22"/>
        </w:rPr>
        <w:t>Opened</w:t>
      </w:r>
      <w:proofErr w:type="gramEnd"/>
      <w:r w:rsidRPr="005E1652">
        <w:rPr>
          <w:b/>
          <w:bCs/>
          <w:i/>
          <w:szCs w:val="22"/>
        </w:rPr>
        <w:t xml:space="preserve"> (subsection 5.5)</w:t>
      </w:r>
      <w:r w:rsidRPr="005E1652">
        <w:rPr>
          <w:bCs/>
          <w:i/>
          <w:szCs w:val="22"/>
        </w:rPr>
        <w:t>:</w:t>
      </w:r>
      <w:r w:rsidRPr="005E1652">
        <w:rPr>
          <w:bCs/>
          <w:szCs w:val="22"/>
        </w:rPr>
        <w:t xml:space="preserve">  a commercial bank/financial institution acceptable to the Bank.</w:t>
      </w:r>
      <w:r w:rsidRPr="005E1652">
        <w:rPr>
          <w:bCs/>
          <w:szCs w:val="22"/>
        </w:rPr>
        <w:br/>
      </w:r>
    </w:p>
    <w:p w:rsidR="005E1652" w:rsidRPr="005E1652" w:rsidRDefault="005E1652" w:rsidP="005E1652">
      <w:pPr>
        <w:pStyle w:val="Header"/>
        <w:numPr>
          <w:ilvl w:val="0"/>
          <w:numId w:val="2"/>
        </w:numPr>
        <w:tabs>
          <w:tab w:val="clear" w:pos="4320"/>
          <w:tab w:val="clear" w:pos="7200"/>
          <w:tab w:val="left" w:pos="540"/>
        </w:tabs>
        <w:rPr>
          <w:szCs w:val="22"/>
        </w:rPr>
      </w:pPr>
      <w:r w:rsidRPr="005E1652">
        <w:rPr>
          <w:b/>
          <w:bCs/>
          <w:i/>
          <w:szCs w:val="22"/>
        </w:rPr>
        <w:t>Ceiling (subsection 6.1)</w:t>
      </w:r>
      <w:r w:rsidRPr="005E1652">
        <w:rPr>
          <w:bCs/>
          <w:i/>
          <w:szCs w:val="22"/>
        </w:rPr>
        <w:t>:</w:t>
      </w:r>
      <w:r w:rsidRPr="005E1652">
        <w:rPr>
          <w:bCs/>
          <w:szCs w:val="22"/>
        </w:rPr>
        <w:t xml:space="preserve">  € 2 million.</w:t>
      </w:r>
    </w:p>
    <w:p w:rsidR="005E1652" w:rsidRPr="005E1652" w:rsidRDefault="005E1652" w:rsidP="005E1652">
      <w:pPr>
        <w:pStyle w:val="Header"/>
        <w:tabs>
          <w:tab w:val="clear" w:pos="4320"/>
          <w:tab w:val="left" w:pos="540"/>
          <w:tab w:val="left" w:pos="900"/>
        </w:tabs>
        <w:rPr>
          <w:szCs w:val="22"/>
        </w:rPr>
      </w:pPr>
    </w:p>
    <w:p w:rsidR="005E1652" w:rsidRPr="005E1652" w:rsidRDefault="005E1652" w:rsidP="005E1652">
      <w:pPr>
        <w:pStyle w:val="Header"/>
        <w:tabs>
          <w:tab w:val="clear" w:pos="4320"/>
          <w:tab w:val="left" w:pos="540"/>
          <w:tab w:val="left" w:pos="900"/>
        </w:tabs>
        <w:rPr>
          <w:b/>
          <w:i/>
          <w:szCs w:val="22"/>
        </w:rPr>
      </w:pPr>
    </w:p>
    <w:p w:rsidR="005E1652" w:rsidRPr="005E1652" w:rsidRDefault="005E1652" w:rsidP="005E1652">
      <w:pPr>
        <w:pStyle w:val="Header"/>
        <w:tabs>
          <w:tab w:val="clear" w:pos="4320"/>
          <w:tab w:val="left" w:pos="900"/>
        </w:tabs>
        <w:rPr>
          <w:b/>
          <w:szCs w:val="22"/>
        </w:rPr>
      </w:pPr>
      <w:r w:rsidRPr="005E1652">
        <w:rPr>
          <w:b/>
          <w:szCs w:val="22"/>
        </w:rPr>
        <w:t>III. Reporting on Use of Loan Proceeds</w:t>
      </w:r>
    </w:p>
    <w:p w:rsidR="005E1652" w:rsidRPr="005E1652" w:rsidRDefault="005E1652" w:rsidP="005E1652">
      <w:pPr>
        <w:pStyle w:val="Header"/>
        <w:tabs>
          <w:tab w:val="clear" w:pos="4320"/>
          <w:tab w:val="left" w:pos="900"/>
        </w:tabs>
        <w:rPr>
          <w:szCs w:val="22"/>
        </w:rPr>
      </w:pPr>
    </w:p>
    <w:p w:rsidR="005E1652" w:rsidRPr="005E1652" w:rsidRDefault="005E1652" w:rsidP="005E1652">
      <w:pPr>
        <w:pStyle w:val="Header"/>
        <w:tabs>
          <w:tab w:val="clear" w:pos="4320"/>
          <w:tab w:val="left" w:pos="540"/>
        </w:tabs>
        <w:rPr>
          <w:bCs/>
          <w:szCs w:val="22"/>
        </w:rPr>
      </w:pPr>
      <w:r w:rsidRPr="005E1652">
        <w:rPr>
          <w:b/>
          <w:i/>
          <w:szCs w:val="22"/>
        </w:rPr>
        <w:t>(</w:t>
      </w:r>
      <w:proofErr w:type="spellStart"/>
      <w:r w:rsidRPr="005E1652">
        <w:rPr>
          <w:b/>
          <w:i/>
          <w:szCs w:val="22"/>
        </w:rPr>
        <w:t>i</w:t>
      </w:r>
      <w:proofErr w:type="spellEnd"/>
      <w:r w:rsidRPr="005E1652">
        <w:rPr>
          <w:b/>
          <w:i/>
          <w:szCs w:val="22"/>
        </w:rPr>
        <w:t>)</w:t>
      </w:r>
      <w:r w:rsidRPr="005E1652">
        <w:rPr>
          <w:szCs w:val="22"/>
        </w:rPr>
        <w:t xml:space="preserve"> </w:t>
      </w:r>
      <w:r w:rsidRPr="005E1652">
        <w:rPr>
          <w:b/>
          <w:i/>
          <w:szCs w:val="22"/>
        </w:rPr>
        <w:t>Supporting Documentation</w:t>
      </w:r>
      <w:r w:rsidRPr="005E1652">
        <w:rPr>
          <w:b/>
          <w:szCs w:val="22"/>
        </w:rPr>
        <w:t xml:space="preserve"> </w:t>
      </w:r>
      <w:r w:rsidRPr="005E1652">
        <w:rPr>
          <w:b/>
          <w:bCs/>
          <w:i/>
          <w:szCs w:val="22"/>
        </w:rPr>
        <w:t>(section 4)</w:t>
      </w:r>
      <w:r w:rsidRPr="005E1652">
        <w:rPr>
          <w:b/>
          <w:i/>
          <w:szCs w:val="22"/>
        </w:rPr>
        <w:t>.</w:t>
      </w:r>
      <w:r w:rsidRPr="005E1652">
        <w:rPr>
          <w:szCs w:val="22"/>
        </w:rPr>
        <w:t xml:space="preserve">  </w:t>
      </w:r>
      <w:r w:rsidRPr="005E1652">
        <w:rPr>
          <w:bCs/>
          <w:szCs w:val="22"/>
        </w:rPr>
        <w:t xml:space="preserve">Supporting documentation should be provided with each Application for Withdrawal as set out below: </w:t>
      </w:r>
    </w:p>
    <w:p w:rsidR="005E1652" w:rsidRPr="005E1652" w:rsidRDefault="005E1652" w:rsidP="005E1652">
      <w:pPr>
        <w:pStyle w:val="Header"/>
        <w:tabs>
          <w:tab w:val="clear" w:pos="4320"/>
          <w:tab w:val="left" w:pos="540"/>
          <w:tab w:val="left" w:pos="1980"/>
        </w:tabs>
        <w:ind w:left="1440"/>
        <w:rPr>
          <w:bCs/>
          <w:szCs w:val="22"/>
        </w:rPr>
      </w:pPr>
    </w:p>
    <w:p w:rsidR="005E1652" w:rsidRPr="005E1652" w:rsidRDefault="005E1652" w:rsidP="005E1652">
      <w:pPr>
        <w:pStyle w:val="Header"/>
        <w:numPr>
          <w:ilvl w:val="0"/>
          <w:numId w:val="3"/>
        </w:numPr>
        <w:tabs>
          <w:tab w:val="clear" w:pos="4320"/>
          <w:tab w:val="clear" w:pos="7200"/>
          <w:tab w:val="left" w:pos="540"/>
          <w:tab w:val="left" w:pos="1980"/>
        </w:tabs>
        <w:rPr>
          <w:i/>
          <w:szCs w:val="22"/>
        </w:rPr>
      </w:pPr>
      <w:r w:rsidRPr="005E1652">
        <w:rPr>
          <w:b/>
          <w:i/>
          <w:szCs w:val="22"/>
        </w:rPr>
        <w:t>For requests for reimbursement</w:t>
      </w:r>
      <w:r w:rsidRPr="005E1652">
        <w:rPr>
          <w:i/>
          <w:szCs w:val="22"/>
        </w:rPr>
        <w:t xml:space="preserve">: </w:t>
      </w: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 xml:space="preserve">Records evidencing eligible expenditures (e.g., copies of receipts, supplier invoices) for payments </w:t>
      </w:r>
      <w:r w:rsidRPr="005E1652">
        <w:rPr>
          <w:szCs w:val="22"/>
        </w:rPr>
        <w:t xml:space="preserve">against contracts valued at more than €4,200,000 equivalent for works and more than €800,000 equivalent for goods, more than </w:t>
      </w:r>
      <w:r w:rsidRPr="005E1652">
        <w:rPr>
          <w:szCs w:val="22"/>
        </w:rPr>
        <w:lastRenderedPageBreak/>
        <w:t>€80,000 equivalent for consulting firms, and more than €40,000 equivalent for individual consultants.</w:t>
      </w:r>
    </w:p>
    <w:p w:rsidR="005E1652" w:rsidRPr="005E1652" w:rsidRDefault="005E1652" w:rsidP="005E1652">
      <w:pPr>
        <w:pStyle w:val="Header"/>
        <w:tabs>
          <w:tab w:val="clear" w:pos="4320"/>
          <w:tab w:val="left" w:pos="540"/>
          <w:tab w:val="left" w:pos="1980"/>
        </w:tabs>
        <w:rPr>
          <w:szCs w:val="22"/>
        </w:rPr>
      </w:pP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 xml:space="preserve">Statement of Expenditure in the form attached (Attachment 3) for all other expenditures/contracts; and </w:t>
      </w:r>
    </w:p>
    <w:p w:rsidR="005E1652" w:rsidRPr="005E1652" w:rsidRDefault="005E1652" w:rsidP="005E1652">
      <w:pPr>
        <w:pStyle w:val="Header"/>
        <w:tabs>
          <w:tab w:val="clear" w:pos="4320"/>
          <w:tab w:val="left" w:pos="540"/>
          <w:tab w:val="left" w:pos="1980"/>
        </w:tabs>
        <w:rPr>
          <w:szCs w:val="22"/>
        </w:rPr>
      </w:pP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 xml:space="preserve"> List of payments against contracts that are subject to the Bank’s prior review, in the form attached (Attachment 4)</w:t>
      </w:r>
    </w:p>
    <w:p w:rsidR="005E1652" w:rsidRPr="005E1652" w:rsidRDefault="005E1652" w:rsidP="005E1652">
      <w:pPr>
        <w:pStyle w:val="Header"/>
        <w:tabs>
          <w:tab w:val="clear" w:pos="4320"/>
          <w:tab w:val="left" w:pos="540"/>
          <w:tab w:val="left" w:pos="1980"/>
        </w:tabs>
        <w:rPr>
          <w:szCs w:val="22"/>
        </w:rPr>
      </w:pPr>
    </w:p>
    <w:p w:rsidR="005E1652" w:rsidRPr="005E1652" w:rsidRDefault="005E1652" w:rsidP="005E1652">
      <w:pPr>
        <w:pStyle w:val="Header"/>
        <w:numPr>
          <w:ilvl w:val="0"/>
          <w:numId w:val="1"/>
        </w:numPr>
        <w:tabs>
          <w:tab w:val="clear" w:pos="4320"/>
          <w:tab w:val="clear" w:pos="7200"/>
          <w:tab w:val="left" w:pos="540"/>
          <w:tab w:val="left" w:pos="1980"/>
        </w:tabs>
        <w:rPr>
          <w:i/>
          <w:szCs w:val="22"/>
        </w:rPr>
      </w:pPr>
      <w:r w:rsidRPr="005E1652">
        <w:rPr>
          <w:b/>
          <w:i/>
          <w:szCs w:val="22"/>
        </w:rPr>
        <w:t>For reporting eligible expenditures paid from the Designated Account</w:t>
      </w:r>
      <w:r w:rsidRPr="005E1652">
        <w:rPr>
          <w:i/>
          <w:szCs w:val="22"/>
        </w:rPr>
        <w:t xml:space="preserve">: </w:t>
      </w:r>
    </w:p>
    <w:p w:rsidR="005E1652" w:rsidRPr="005E1652" w:rsidRDefault="005E1652" w:rsidP="005E1652">
      <w:pPr>
        <w:pStyle w:val="Header"/>
        <w:tabs>
          <w:tab w:val="clear" w:pos="4320"/>
          <w:tab w:val="left" w:pos="540"/>
          <w:tab w:val="left" w:pos="1980"/>
        </w:tabs>
        <w:ind w:left="900"/>
        <w:rPr>
          <w:szCs w:val="22"/>
        </w:rPr>
      </w:pP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 xml:space="preserve">Records evidencing eligible expenditures (e.g., copies of receipts, supplier invoices) for payments against contracts </w:t>
      </w:r>
      <w:r w:rsidRPr="005E1652">
        <w:rPr>
          <w:szCs w:val="22"/>
        </w:rPr>
        <w:t>valued at more than €4,200,000 equivalent for works and more than €800,000 equivalent for goods, more than €80,000 equivalent for c</w:t>
      </w:r>
      <w:r w:rsidR="00496295">
        <w:rPr>
          <w:szCs w:val="22"/>
        </w:rPr>
        <w:t xml:space="preserve">onsulting firms, and more than </w:t>
      </w:r>
      <w:r w:rsidRPr="005E1652">
        <w:rPr>
          <w:szCs w:val="22"/>
        </w:rPr>
        <w:t>€40,000 equivalent for individual consultants.</w:t>
      </w:r>
    </w:p>
    <w:p w:rsidR="005E1652" w:rsidRPr="005E1652" w:rsidRDefault="005E1652" w:rsidP="005E1652">
      <w:pPr>
        <w:pStyle w:val="Header"/>
        <w:tabs>
          <w:tab w:val="clear" w:pos="4320"/>
          <w:tab w:val="left" w:pos="540"/>
          <w:tab w:val="left" w:pos="1980"/>
        </w:tabs>
        <w:ind w:left="900"/>
        <w:rPr>
          <w:szCs w:val="22"/>
        </w:rPr>
      </w:pP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 xml:space="preserve">Statement of Expenditure in the form attached (Attachment 3) for all other expenditures/contracts; and  </w:t>
      </w:r>
    </w:p>
    <w:p w:rsidR="005E1652" w:rsidRPr="005E1652" w:rsidRDefault="005E1652" w:rsidP="005E1652">
      <w:pPr>
        <w:pStyle w:val="Header"/>
        <w:tabs>
          <w:tab w:val="clear" w:pos="4320"/>
          <w:tab w:val="left" w:pos="540"/>
          <w:tab w:val="left" w:pos="1980"/>
        </w:tabs>
        <w:ind w:left="900"/>
        <w:rPr>
          <w:szCs w:val="22"/>
        </w:rPr>
      </w:pPr>
      <w:r w:rsidRPr="005E1652">
        <w:rPr>
          <w:szCs w:val="22"/>
        </w:rPr>
        <w:tab/>
      </w: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List of payments against contracts that are subject to the Bank’s prior review, in the form attached (Attachment 4)</w:t>
      </w:r>
    </w:p>
    <w:p w:rsidR="005E1652" w:rsidRPr="005E1652" w:rsidRDefault="005E1652" w:rsidP="005E1652">
      <w:pPr>
        <w:pStyle w:val="Header"/>
        <w:tabs>
          <w:tab w:val="clear" w:pos="4320"/>
          <w:tab w:val="left" w:pos="540"/>
          <w:tab w:val="left" w:pos="1980"/>
        </w:tabs>
        <w:rPr>
          <w:szCs w:val="22"/>
        </w:rPr>
      </w:pPr>
    </w:p>
    <w:p w:rsidR="005E1652" w:rsidRPr="005E1652" w:rsidRDefault="005E1652" w:rsidP="005E1652">
      <w:pPr>
        <w:pStyle w:val="Header"/>
        <w:numPr>
          <w:ilvl w:val="1"/>
          <w:numId w:val="1"/>
        </w:numPr>
        <w:tabs>
          <w:tab w:val="clear" w:pos="4320"/>
          <w:tab w:val="clear" w:pos="7200"/>
          <w:tab w:val="left" w:pos="540"/>
          <w:tab w:val="left" w:pos="1980"/>
        </w:tabs>
        <w:rPr>
          <w:szCs w:val="22"/>
        </w:rPr>
      </w:pPr>
      <w:r w:rsidRPr="005E1652">
        <w:rPr>
          <w:iCs/>
          <w:szCs w:val="22"/>
        </w:rPr>
        <w:t>Bank Statement and reconciliation statement</w:t>
      </w:r>
    </w:p>
    <w:p w:rsidR="005E1652" w:rsidRPr="005E1652" w:rsidRDefault="005E1652" w:rsidP="005E1652">
      <w:pPr>
        <w:pStyle w:val="Header"/>
        <w:tabs>
          <w:tab w:val="clear" w:pos="4320"/>
          <w:tab w:val="left" w:pos="540"/>
          <w:tab w:val="left" w:pos="1980"/>
        </w:tabs>
        <w:ind w:left="900"/>
        <w:rPr>
          <w:szCs w:val="22"/>
        </w:rPr>
      </w:pPr>
    </w:p>
    <w:p w:rsidR="005E1652" w:rsidRPr="005E1652" w:rsidRDefault="005E1652" w:rsidP="005E1652">
      <w:pPr>
        <w:pStyle w:val="Header"/>
        <w:numPr>
          <w:ilvl w:val="0"/>
          <w:numId w:val="4"/>
        </w:numPr>
        <w:tabs>
          <w:tab w:val="clear" w:pos="1080"/>
          <w:tab w:val="clear" w:pos="4320"/>
          <w:tab w:val="clear" w:pos="7200"/>
          <w:tab w:val="left" w:pos="540"/>
          <w:tab w:val="num" w:pos="900"/>
        </w:tabs>
        <w:ind w:left="900"/>
        <w:rPr>
          <w:i/>
          <w:iCs/>
          <w:szCs w:val="22"/>
        </w:rPr>
      </w:pPr>
      <w:r w:rsidRPr="005E1652">
        <w:rPr>
          <w:b/>
          <w:i/>
          <w:szCs w:val="22"/>
        </w:rPr>
        <w:t>For requests for direct payment</w:t>
      </w:r>
      <w:r w:rsidRPr="005E1652">
        <w:rPr>
          <w:i/>
          <w:szCs w:val="22"/>
        </w:rPr>
        <w:t xml:space="preserve">: </w:t>
      </w:r>
      <w:r w:rsidRPr="005E1652">
        <w:rPr>
          <w:szCs w:val="22"/>
        </w:rPr>
        <w:t>r</w:t>
      </w:r>
      <w:r w:rsidRPr="005E1652">
        <w:rPr>
          <w:iCs/>
          <w:szCs w:val="22"/>
        </w:rPr>
        <w:t>ecords evidencing eligible expenditures, e.g., copies of receipts, supplier invoices</w:t>
      </w:r>
    </w:p>
    <w:p w:rsidR="005E1652" w:rsidRPr="005E1652" w:rsidRDefault="005E1652" w:rsidP="005E1652">
      <w:pPr>
        <w:jc w:val="both"/>
        <w:rPr>
          <w:b/>
          <w:bCs/>
          <w:sz w:val="22"/>
          <w:szCs w:val="22"/>
        </w:rPr>
      </w:pPr>
    </w:p>
    <w:p w:rsidR="005E1652" w:rsidRPr="005E1652" w:rsidRDefault="005E1652" w:rsidP="005E1652">
      <w:pPr>
        <w:jc w:val="both"/>
        <w:rPr>
          <w:sz w:val="22"/>
          <w:szCs w:val="22"/>
          <w:u w:val="single"/>
        </w:rPr>
      </w:pPr>
      <w:r w:rsidRPr="005E1652">
        <w:rPr>
          <w:b/>
          <w:bCs/>
          <w:sz w:val="22"/>
          <w:szCs w:val="22"/>
        </w:rPr>
        <w:t>IV. Other Important Information</w:t>
      </w:r>
    </w:p>
    <w:p w:rsidR="005E1652" w:rsidRPr="005E1652" w:rsidRDefault="005E1652" w:rsidP="005E1652">
      <w:pPr>
        <w:jc w:val="both"/>
        <w:rPr>
          <w:sz w:val="22"/>
          <w:szCs w:val="22"/>
        </w:rPr>
      </w:pPr>
    </w:p>
    <w:p w:rsidR="005E1652" w:rsidRPr="005E1652" w:rsidRDefault="005E1652" w:rsidP="005E1652">
      <w:pPr>
        <w:ind w:firstLine="720"/>
        <w:rPr>
          <w:sz w:val="22"/>
          <w:szCs w:val="22"/>
        </w:rPr>
      </w:pPr>
      <w:r w:rsidRPr="005E1652">
        <w:rPr>
          <w:sz w:val="22"/>
          <w:szCs w:val="22"/>
        </w:rPr>
        <w:t xml:space="preserve">For additional information on disbursement arrangements, please refer to the Disbursement Handbook available on the Bank’s public website at </w:t>
      </w:r>
      <w:hyperlink r:id="rId8" w:history="1">
        <w:r w:rsidRPr="005E1652">
          <w:rPr>
            <w:rStyle w:val="Hyperlink"/>
            <w:sz w:val="22"/>
            <w:szCs w:val="22"/>
          </w:rPr>
          <w:t>http://www.worldbank.org</w:t>
        </w:r>
      </w:hyperlink>
      <w:r w:rsidRPr="005E1652">
        <w:rPr>
          <w:sz w:val="22"/>
          <w:szCs w:val="22"/>
        </w:rPr>
        <w:t xml:space="preserve"> and its secure website “Client Connection” at </w:t>
      </w:r>
      <w:hyperlink r:id="rId9" w:history="1">
        <w:r w:rsidRPr="005E1652">
          <w:rPr>
            <w:rStyle w:val="Hyperlink"/>
            <w:sz w:val="22"/>
            <w:szCs w:val="22"/>
          </w:rPr>
          <w:t>http://clientconnection.worldbank.org</w:t>
        </w:r>
      </w:hyperlink>
      <w:r w:rsidRPr="005E1652">
        <w:rPr>
          <w:sz w:val="22"/>
          <w:szCs w:val="22"/>
        </w:rPr>
        <w:t xml:space="preserve">.  Print copies are available upon request.  </w:t>
      </w:r>
    </w:p>
    <w:p w:rsidR="005E1652" w:rsidRPr="005E1652" w:rsidRDefault="005E1652" w:rsidP="005E1652">
      <w:pPr>
        <w:jc w:val="both"/>
        <w:rPr>
          <w:sz w:val="22"/>
          <w:szCs w:val="22"/>
        </w:rPr>
      </w:pPr>
    </w:p>
    <w:p w:rsidR="005E1652" w:rsidRPr="005E1652" w:rsidRDefault="005E1652" w:rsidP="005E1652">
      <w:pPr>
        <w:ind w:firstLine="720"/>
        <w:rPr>
          <w:sz w:val="22"/>
          <w:szCs w:val="22"/>
        </w:rPr>
      </w:pPr>
      <w:r w:rsidRPr="005E1652">
        <w:rPr>
          <w:sz w:val="22"/>
          <w:szCs w:val="22"/>
        </w:rPr>
        <w:t>From the Client Connection website, you will be able to download Applications, monitor the near real-time status of the Loan, and retrieve related policy, financial, and procurement information.</w:t>
      </w:r>
    </w:p>
    <w:p w:rsidR="005E1652" w:rsidRPr="005E1652" w:rsidRDefault="005E1652" w:rsidP="005E1652">
      <w:pPr>
        <w:rPr>
          <w:sz w:val="22"/>
          <w:szCs w:val="22"/>
        </w:rPr>
      </w:pPr>
    </w:p>
    <w:p w:rsidR="005E1652" w:rsidRPr="005E1652" w:rsidRDefault="005E1652" w:rsidP="005E1652">
      <w:pPr>
        <w:pStyle w:val="BodyText2"/>
        <w:spacing w:line="240" w:lineRule="auto"/>
        <w:ind w:firstLine="720"/>
        <w:rPr>
          <w:sz w:val="22"/>
          <w:szCs w:val="22"/>
        </w:rPr>
      </w:pPr>
      <w:r w:rsidRPr="005E1652">
        <w:rPr>
          <w:sz w:val="22"/>
          <w:szCs w:val="22"/>
        </w:rPr>
        <w:t>If you have any queries in relation to the above, please contact me at (</w:t>
      </w:r>
      <w:hyperlink r:id="rId10" w:history="1">
        <w:r w:rsidRPr="005E1652">
          <w:rPr>
            <w:rStyle w:val="Hyperlink"/>
            <w:sz w:val="22"/>
            <w:szCs w:val="22"/>
          </w:rPr>
          <w:t>loa-eca@worldbank.org</w:t>
        </w:r>
      </w:hyperlink>
      <w:r w:rsidRPr="005E1652">
        <w:rPr>
          <w:sz w:val="22"/>
          <w:szCs w:val="22"/>
        </w:rPr>
        <w:t>) using the above reference.</w:t>
      </w:r>
    </w:p>
    <w:p w:rsidR="005E1652" w:rsidRPr="005E1652" w:rsidRDefault="005E1652" w:rsidP="005E1652">
      <w:pPr>
        <w:jc w:val="both"/>
        <w:rPr>
          <w:sz w:val="22"/>
          <w:szCs w:val="22"/>
        </w:rPr>
      </w:pPr>
    </w:p>
    <w:p w:rsidR="005E1652" w:rsidRPr="005E1652" w:rsidRDefault="005E1652" w:rsidP="005E1652">
      <w:pPr>
        <w:jc w:val="center"/>
        <w:rPr>
          <w:sz w:val="22"/>
          <w:szCs w:val="22"/>
        </w:rPr>
      </w:pPr>
      <w:r w:rsidRPr="005E1652">
        <w:rPr>
          <w:sz w:val="22"/>
          <w:szCs w:val="22"/>
        </w:rPr>
        <w:t>Regards,</w:t>
      </w:r>
    </w:p>
    <w:p w:rsidR="005E1652" w:rsidRPr="005E1652" w:rsidRDefault="005E1652" w:rsidP="005E1652">
      <w:pPr>
        <w:jc w:val="center"/>
        <w:rPr>
          <w:sz w:val="22"/>
          <w:szCs w:val="22"/>
        </w:rPr>
      </w:pPr>
      <w:r w:rsidRPr="005E1652">
        <w:rPr>
          <w:sz w:val="22"/>
          <w:szCs w:val="22"/>
        </w:rPr>
        <w:t>INTERNATIONAL BANK FOR RECONSTRUCTION</w:t>
      </w:r>
    </w:p>
    <w:p w:rsidR="005E1652" w:rsidRPr="005E1652" w:rsidRDefault="005E1652" w:rsidP="005E1652">
      <w:pPr>
        <w:jc w:val="both"/>
        <w:rPr>
          <w:sz w:val="22"/>
          <w:szCs w:val="22"/>
        </w:rPr>
      </w:pPr>
    </w:p>
    <w:p w:rsidR="005E1652" w:rsidRPr="005E1652" w:rsidRDefault="005E1652" w:rsidP="005E1652">
      <w:pPr>
        <w:jc w:val="both"/>
        <w:rPr>
          <w:sz w:val="22"/>
          <w:szCs w:val="22"/>
        </w:rPr>
      </w:pPr>
    </w:p>
    <w:p w:rsidR="005E1652" w:rsidRPr="005E1652" w:rsidRDefault="005E1652" w:rsidP="005E1652">
      <w:pPr>
        <w:jc w:val="both"/>
        <w:rPr>
          <w:sz w:val="22"/>
          <w:szCs w:val="22"/>
        </w:rPr>
      </w:pPr>
    </w:p>
    <w:p w:rsidR="005E1652" w:rsidRPr="005E1652" w:rsidRDefault="001C0B51" w:rsidP="005E1652">
      <w:pPr>
        <w:jc w:val="center"/>
        <w:rPr>
          <w:sz w:val="22"/>
          <w:szCs w:val="22"/>
        </w:rPr>
      </w:pPr>
      <w:r>
        <w:rPr>
          <w:sz w:val="22"/>
          <w:szCs w:val="22"/>
        </w:rPr>
        <w:t xml:space="preserve">By: /s/ </w:t>
      </w:r>
      <w:r w:rsidR="005E1652" w:rsidRPr="005E1652">
        <w:rPr>
          <w:sz w:val="22"/>
          <w:szCs w:val="22"/>
        </w:rPr>
        <w:t>Joseph P. Formoso</w:t>
      </w:r>
    </w:p>
    <w:p w:rsidR="005E1652" w:rsidRPr="005E1652" w:rsidRDefault="005E1652" w:rsidP="005E1652">
      <w:pPr>
        <w:jc w:val="center"/>
        <w:rPr>
          <w:sz w:val="22"/>
          <w:szCs w:val="22"/>
        </w:rPr>
      </w:pPr>
      <w:r w:rsidRPr="005E1652">
        <w:rPr>
          <w:sz w:val="22"/>
          <w:szCs w:val="22"/>
        </w:rPr>
        <w:t>Senior Finance Officer</w:t>
      </w:r>
    </w:p>
    <w:p w:rsidR="005E1652" w:rsidRPr="005E1652" w:rsidRDefault="005E1652" w:rsidP="005E1652">
      <w:pPr>
        <w:jc w:val="center"/>
        <w:rPr>
          <w:sz w:val="22"/>
          <w:szCs w:val="22"/>
        </w:rPr>
      </w:pPr>
      <w:r w:rsidRPr="005E1652">
        <w:rPr>
          <w:sz w:val="22"/>
          <w:szCs w:val="22"/>
        </w:rPr>
        <w:t>Loan Department</w:t>
      </w:r>
    </w:p>
    <w:p w:rsidR="005E1652" w:rsidRPr="005E1652" w:rsidRDefault="005E1652" w:rsidP="005E1652">
      <w:pPr>
        <w:jc w:val="center"/>
        <w:rPr>
          <w:sz w:val="22"/>
          <w:szCs w:val="22"/>
        </w:rPr>
      </w:pPr>
    </w:p>
    <w:p w:rsidR="005E1652" w:rsidRPr="005E1652" w:rsidRDefault="005E1652" w:rsidP="005E1652">
      <w:pPr>
        <w:jc w:val="both"/>
        <w:rPr>
          <w:sz w:val="22"/>
          <w:szCs w:val="22"/>
        </w:rPr>
      </w:pPr>
    </w:p>
    <w:p w:rsidR="005E1652" w:rsidRPr="003E19FA" w:rsidRDefault="005E1652" w:rsidP="005E1652">
      <w:pPr>
        <w:jc w:val="both"/>
        <w:rPr>
          <w:i/>
          <w:sz w:val="22"/>
          <w:szCs w:val="22"/>
        </w:rPr>
      </w:pPr>
      <w:r w:rsidRPr="003E19FA">
        <w:rPr>
          <w:i/>
          <w:sz w:val="22"/>
          <w:szCs w:val="22"/>
        </w:rPr>
        <w:t>Attachments are with the original disbursement letter.</w:t>
      </w:r>
    </w:p>
    <w:p w:rsidR="005E1652" w:rsidRDefault="005E1652" w:rsidP="005E1652">
      <w:pPr>
        <w:jc w:val="both"/>
        <w:rPr>
          <w:sz w:val="22"/>
          <w:szCs w:val="22"/>
        </w:rPr>
      </w:pPr>
    </w:p>
    <w:p w:rsidR="005E1652" w:rsidRDefault="005E1652" w:rsidP="005E1652">
      <w:pPr>
        <w:jc w:val="both"/>
        <w:rPr>
          <w:sz w:val="22"/>
          <w:szCs w:val="22"/>
        </w:rPr>
      </w:pPr>
      <w:r>
        <w:rPr>
          <w:sz w:val="22"/>
          <w:szCs w:val="22"/>
        </w:rPr>
        <w:t>Cc:</w:t>
      </w:r>
    </w:p>
    <w:p w:rsidR="005E1652" w:rsidRDefault="005E1652" w:rsidP="005E1652">
      <w:pPr>
        <w:jc w:val="both"/>
        <w:rPr>
          <w:sz w:val="22"/>
          <w:szCs w:val="22"/>
        </w:rPr>
      </w:pPr>
      <w:r>
        <w:rPr>
          <w:sz w:val="22"/>
          <w:szCs w:val="22"/>
        </w:rPr>
        <w:t xml:space="preserve">Mr. </w:t>
      </w:r>
      <w:proofErr w:type="spellStart"/>
      <w:r>
        <w:rPr>
          <w:sz w:val="22"/>
          <w:szCs w:val="22"/>
        </w:rPr>
        <w:t>Zdravko</w:t>
      </w:r>
      <w:proofErr w:type="spellEnd"/>
      <w:r>
        <w:rPr>
          <w:sz w:val="22"/>
          <w:szCs w:val="22"/>
        </w:rPr>
        <w:t xml:space="preserve"> </w:t>
      </w:r>
      <w:proofErr w:type="spellStart"/>
      <w:r>
        <w:rPr>
          <w:sz w:val="22"/>
          <w:szCs w:val="22"/>
        </w:rPr>
        <w:t>Krmek</w:t>
      </w:r>
      <w:proofErr w:type="spellEnd"/>
      <w:r>
        <w:rPr>
          <w:sz w:val="22"/>
          <w:szCs w:val="22"/>
        </w:rPr>
        <w:t>, State Secretary, Ministry of Regional Development</w:t>
      </w:r>
      <w:r w:rsidR="003E19FA">
        <w:rPr>
          <w:sz w:val="22"/>
          <w:szCs w:val="22"/>
        </w:rPr>
        <w:t xml:space="preserve">, Forestry and </w:t>
      </w:r>
      <w:proofErr w:type="spellStart"/>
      <w:r w:rsidR="003E19FA">
        <w:rPr>
          <w:sz w:val="22"/>
          <w:szCs w:val="22"/>
        </w:rPr>
        <w:t>Watser</w:t>
      </w:r>
      <w:proofErr w:type="spellEnd"/>
      <w:r w:rsidR="003E19FA">
        <w:rPr>
          <w:sz w:val="22"/>
          <w:szCs w:val="22"/>
        </w:rPr>
        <w:t xml:space="preserve"> Management</w:t>
      </w:r>
    </w:p>
    <w:p w:rsidR="003E19FA" w:rsidRDefault="003E19FA" w:rsidP="005E1652">
      <w:pPr>
        <w:jc w:val="both"/>
        <w:rPr>
          <w:sz w:val="22"/>
          <w:szCs w:val="22"/>
        </w:rPr>
      </w:pPr>
      <w:r>
        <w:rPr>
          <w:sz w:val="22"/>
          <w:szCs w:val="22"/>
        </w:rPr>
        <w:t xml:space="preserve">Mr. </w:t>
      </w:r>
      <w:proofErr w:type="spellStart"/>
      <w:r>
        <w:rPr>
          <w:sz w:val="22"/>
          <w:szCs w:val="22"/>
        </w:rPr>
        <w:t>Jadranko</w:t>
      </w:r>
      <w:proofErr w:type="spellEnd"/>
      <w:r>
        <w:rPr>
          <w:sz w:val="22"/>
          <w:szCs w:val="22"/>
        </w:rPr>
        <w:t xml:space="preserve"> </w:t>
      </w:r>
      <w:proofErr w:type="spellStart"/>
      <w:r>
        <w:rPr>
          <w:sz w:val="22"/>
          <w:szCs w:val="22"/>
        </w:rPr>
        <w:t>Husaric</w:t>
      </w:r>
      <w:proofErr w:type="spellEnd"/>
      <w:r>
        <w:rPr>
          <w:sz w:val="22"/>
          <w:szCs w:val="22"/>
        </w:rPr>
        <w:t>, General Director, Croatian Waters</w:t>
      </w:r>
    </w:p>
    <w:p w:rsidR="003E19FA" w:rsidRPr="005E1652" w:rsidRDefault="003E19FA" w:rsidP="005E1652">
      <w:pPr>
        <w:jc w:val="both"/>
        <w:rPr>
          <w:sz w:val="22"/>
          <w:szCs w:val="22"/>
        </w:rPr>
      </w:pPr>
      <w:r>
        <w:rPr>
          <w:sz w:val="22"/>
          <w:szCs w:val="22"/>
        </w:rPr>
        <w:t xml:space="preserve">Mr. </w:t>
      </w:r>
      <w:proofErr w:type="spellStart"/>
      <w:r>
        <w:rPr>
          <w:sz w:val="22"/>
          <w:szCs w:val="22"/>
        </w:rPr>
        <w:t>Dinko</w:t>
      </w:r>
      <w:proofErr w:type="spellEnd"/>
      <w:r>
        <w:rPr>
          <w:sz w:val="22"/>
          <w:szCs w:val="22"/>
        </w:rPr>
        <w:t xml:space="preserve"> </w:t>
      </w:r>
      <w:proofErr w:type="spellStart"/>
      <w:r>
        <w:rPr>
          <w:sz w:val="22"/>
          <w:szCs w:val="22"/>
        </w:rPr>
        <w:t>Polic</w:t>
      </w:r>
      <w:proofErr w:type="spellEnd"/>
      <w:r>
        <w:rPr>
          <w:sz w:val="22"/>
          <w:szCs w:val="22"/>
        </w:rPr>
        <w:t>, Project Director, Croatian Waters</w:t>
      </w:r>
    </w:p>
    <w:p w:rsidR="0050467E" w:rsidRPr="003E19FA" w:rsidRDefault="005E1652" w:rsidP="003E19FA">
      <w:pPr>
        <w:jc w:val="both"/>
        <w:rPr>
          <w:sz w:val="22"/>
          <w:szCs w:val="22"/>
        </w:rPr>
      </w:pPr>
      <w:r w:rsidRPr="005E1652">
        <w:rPr>
          <w:sz w:val="22"/>
          <w:szCs w:val="22"/>
        </w:rPr>
        <w:br w:type="page"/>
      </w:r>
    </w:p>
    <w:p w:rsidR="003E19FA" w:rsidRDefault="003E19FA" w:rsidP="003E19FA">
      <w:pPr>
        <w:jc w:val="both"/>
      </w:pPr>
      <w:r>
        <w:lastRenderedPageBreak/>
        <w:t>Prepared by:  Joseph P. Formoso, CTRLA</w:t>
      </w:r>
    </w:p>
    <w:p w:rsidR="003E19FA" w:rsidRDefault="003E19FA" w:rsidP="003E19FA">
      <w:pPr>
        <w:jc w:val="both"/>
      </w:pPr>
    </w:p>
    <w:p w:rsidR="003E19FA" w:rsidRPr="00F733F2" w:rsidRDefault="003E19FA" w:rsidP="003E19FA">
      <w:pPr>
        <w:jc w:val="both"/>
      </w:pPr>
      <w:r>
        <w:t>Cleared with and cc:</w:t>
      </w:r>
      <w:r>
        <w:tab/>
      </w:r>
      <w:proofErr w:type="spellStart"/>
      <w:r w:rsidR="006E16C0">
        <w:t>Ruxandra</w:t>
      </w:r>
      <w:proofErr w:type="spellEnd"/>
      <w:r w:rsidR="006E16C0">
        <w:t xml:space="preserve"> </w:t>
      </w:r>
      <w:proofErr w:type="spellStart"/>
      <w:r w:rsidR="006E16C0">
        <w:t>Costache</w:t>
      </w:r>
      <w:proofErr w:type="spellEnd"/>
      <w:r w:rsidRPr="00F733F2">
        <w:t xml:space="preserve">, Counsel, </w:t>
      </w:r>
      <w:proofErr w:type="gramStart"/>
      <w:r w:rsidRPr="00F733F2">
        <w:t>LEGEM</w:t>
      </w:r>
      <w:proofErr w:type="gramEnd"/>
    </w:p>
    <w:p w:rsidR="003E19FA" w:rsidRPr="00496295" w:rsidRDefault="003E19FA" w:rsidP="003E19FA">
      <w:pPr>
        <w:jc w:val="both"/>
      </w:pPr>
      <w:r>
        <w:tab/>
      </w:r>
      <w:r>
        <w:tab/>
      </w:r>
      <w:r>
        <w:tab/>
      </w:r>
      <w:proofErr w:type="spellStart"/>
      <w:r w:rsidRPr="00496295">
        <w:t>Elisabetta</w:t>
      </w:r>
      <w:proofErr w:type="spellEnd"/>
      <w:r w:rsidRPr="00496295">
        <w:t xml:space="preserve"> </w:t>
      </w:r>
      <w:proofErr w:type="spellStart"/>
      <w:r w:rsidRPr="00496295">
        <w:t>Capannelli</w:t>
      </w:r>
      <w:proofErr w:type="spellEnd"/>
      <w:r w:rsidRPr="00496295">
        <w:t>, ECSSD</w:t>
      </w:r>
    </w:p>
    <w:p w:rsidR="003E19FA" w:rsidRPr="00496295" w:rsidRDefault="003E19FA" w:rsidP="003E19FA">
      <w:pPr>
        <w:jc w:val="both"/>
      </w:pPr>
    </w:p>
    <w:p w:rsidR="006E16C0" w:rsidRPr="006E16C0" w:rsidRDefault="003E19FA" w:rsidP="006E16C0">
      <w:pPr>
        <w:ind w:left="2160" w:hanging="2160"/>
      </w:pPr>
      <w:r w:rsidRPr="00496295">
        <w:t xml:space="preserve">Bcc: </w:t>
      </w:r>
      <w:r w:rsidRPr="00496295">
        <w:tab/>
      </w:r>
      <w:proofErr w:type="spellStart"/>
      <w:r w:rsidRPr="00496295">
        <w:t>Ilic</w:t>
      </w:r>
      <w:proofErr w:type="spellEnd"/>
      <w:r w:rsidRPr="00496295">
        <w:t xml:space="preserve">, </w:t>
      </w:r>
      <w:proofErr w:type="spellStart"/>
      <w:r w:rsidRPr="00496295">
        <w:t>Vukic</w:t>
      </w:r>
      <w:proofErr w:type="spellEnd"/>
      <w:r w:rsidRPr="00496295">
        <w:t xml:space="preserve">, </w:t>
      </w:r>
      <w:proofErr w:type="spellStart"/>
      <w:r w:rsidRPr="00496295">
        <w:t>Lomatatidze</w:t>
      </w:r>
      <w:proofErr w:type="spellEnd"/>
      <w:r w:rsidRPr="00496295">
        <w:t xml:space="preserve"> (CTRLA); </w:t>
      </w:r>
      <w:proofErr w:type="spellStart"/>
      <w:r w:rsidRPr="00496295">
        <w:t>Hahm</w:t>
      </w:r>
      <w:proofErr w:type="spellEnd"/>
      <w:r w:rsidRPr="00496295">
        <w:t xml:space="preserve">, </w:t>
      </w:r>
      <w:proofErr w:type="spellStart"/>
      <w:r w:rsidRPr="00496295">
        <w:t>Tarade</w:t>
      </w:r>
      <w:proofErr w:type="spellEnd"/>
      <w:r w:rsidRPr="00496295">
        <w:t xml:space="preserve">, </w:t>
      </w:r>
      <w:proofErr w:type="spellStart"/>
      <w:r w:rsidRPr="00496295">
        <w:t>Babic</w:t>
      </w:r>
      <w:proofErr w:type="spellEnd"/>
      <w:r w:rsidRPr="00496295">
        <w:t xml:space="preserve">, </w:t>
      </w:r>
      <w:proofErr w:type="spellStart"/>
      <w:r w:rsidRPr="00496295">
        <w:t>Krtinic</w:t>
      </w:r>
      <w:proofErr w:type="spellEnd"/>
      <w:r w:rsidRPr="00496295">
        <w:t xml:space="preserve"> (ECCHR). </w:t>
      </w:r>
      <w:r w:rsidRPr="00496295">
        <w:rPr>
          <w:lang w:val="it-IT"/>
        </w:rPr>
        <w:t>Alemar, Gabric (ECSSD); Alam, Velasco, Nikolaeva (ECSO2);</w:t>
      </w:r>
      <w:r w:rsidR="00496295" w:rsidRPr="00496295">
        <w:rPr>
          <w:lang w:val="it-IT"/>
        </w:rPr>
        <w:t xml:space="preserve"> Juma, Harrold (ECCU5)</w:t>
      </w:r>
      <w:r w:rsidR="006E16C0">
        <w:rPr>
          <w:lang w:val="it-IT"/>
        </w:rPr>
        <w:t xml:space="preserve">; </w:t>
      </w:r>
      <w:proofErr w:type="spellStart"/>
      <w:r w:rsidR="006E16C0" w:rsidRPr="006E16C0">
        <w:t>Propst</w:t>
      </w:r>
      <w:proofErr w:type="spellEnd"/>
      <w:r w:rsidR="006E16C0">
        <w:t xml:space="preserve">, </w:t>
      </w:r>
      <w:r w:rsidR="006E16C0" w:rsidRPr="006E16C0">
        <w:t xml:space="preserve"> </w:t>
      </w:r>
      <w:r w:rsidR="006E16C0">
        <w:t>(</w:t>
      </w:r>
      <w:r w:rsidR="006E16C0" w:rsidRPr="006E16C0">
        <w:t>LEGEM</w:t>
      </w:r>
      <w:r w:rsidR="006E16C0">
        <w:t>)</w:t>
      </w:r>
    </w:p>
    <w:p w:rsidR="0050467E" w:rsidRPr="00496295" w:rsidRDefault="0050467E" w:rsidP="003E19FA">
      <w:pPr>
        <w:ind w:left="2160" w:hanging="2160"/>
        <w:rPr>
          <w:sz w:val="24"/>
          <w:szCs w:val="24"/>
          <w:lang w:val="it-IT"/>
        </w:rPr>
      </w:pPr>
    </w:p>
    <w:p w:rsidR="003F3496" w:rsidRPr="00496295" w:rsidRDefault="003F3496" w:rsidP="0027703C">
      <w:pPr>
        <w:rPr>
          <w:sz w:val="24"/>
          <w:szCs w:val="24"/>
          <w:lang w:val="it-IT"/>
        </w:rPr>
      </w:pPr>
    </w:p>
    <w:p w:rsidR="003454D0" w:rsidRDefault="003E19FA" w:rsidP="0027703C">
      <w:pPr>
        <w:rPr>
          <w:sz w:val="24"/>
          <w:szCs w:val="24"/>
        </w:rPr>
      </w:pPr>
      <w:proofErr w:type="spellStart"/>
      <w:r>
        <w:rPr>
          <w:sz w:val="24"/>
          <w:szCs w:val="24"/>
        </w:rPr>
        <w:t>WBdocs</w:t>
      </w:r>
      <w:proofErr w:type="spellEnd"/>
    </w:p>
    <w:p w:rsidR="003454D0" w:rsidRDefault="003454D0" w:rsidP="0027703C">
      <w:pPr>
        <w:rPr>
          <w:sz w:val="24"/>
          <w:szCs w:val="24"/>
        </w:rPr>
      </w:pPr>
    </w:p>
    <w:p w:rsidR="007248DA" w:rsidRPr="0027703C" w:rsidRDefault="007248DA" w:rsidP="0027703C">
      <w:pPr>
        <w:rPr>
          <w:sz w:val="24"/>
          <w:szCs w:val="24"/>
        </w:rPr>
      </w:pPr>
    </w:p>
    <w:p w:rsidR="0050467E" w:rsidRPr="0027703C" w:rsidRDefault="0050467E" w:rsidP="0027703C">
      <w:pPr>
        <w:rPr>
          <w:sz w:val="24"/>
          <w:szCs w:val="24"/>
        </w:rPr>
      </w:pPr>
    </w:p>
    <w:sectPr w:rsidR="0050467E" w:rsidRPr="0027703C" w:rsidSect="0050467E">
      <w:headerReference w:type="default" r:id="rId11"/>
      <w:footerReference w:type="default" r:id="rId12"/>
      <w:footerReference w:type="first" r:id="rId13"/>
      <w:type w:val="continuous"/>
      <w:pgSz w:w="12240" w:h="15840" w:code="1"/>
      <w:pgMar w:top="720" w:right="1800" w:bottom="1440" w:left="1800"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62" w:rsidRDefault="00CE1562">
      <w:r>
        <w:separator/>
      </w:r>
    </w:p>
  </w:endnote>
  <w:endnote w:type="continuationSeparator" w:id="0">
    <w:p w:rsidR="00CE1562" w:rsidRDefault="00CE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62" w:rsidRDefault="00CE1562">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62" w:rsidRDefault="00CE1562" w:rsidP="0050467E">
    <w:pPr>
      <w:pStyle w:val="Footer"/>
      <w:jc w:val="center"/>
      <w:rPr>
        <w:b/>
        <w:sz w:val="14"/>
      </w:rPr>
    </w:pPr>
    <w:r>
      <w:rPr>
        <w:b/>
        <w:sz w:val="14"/>
      </w:rPr>
      <w:t>Phone (202) 473-</w:t>
    </w:r>
    <w:proofErr w:type="gramStart"/>
    <w:r>
      <w:rPr>
        <w:b/>
        <w:sz w:val="14"/>
      </w:rPr>
      <w:t>6048  Fax</w:t>
    </w:r>
    <w:proofErr w:type="gramEnd"/>
    <w:r>
      <w:rPr>
        <w:b/>
        <w:sz w:val="14"/>
      </w:rPr>
      <w:t xml:space="preserve"> (202) 522-2566</w:t>
    </w:r>
  </w:p>
  <w:p w:rsidR="00CE1562" w:rsidRDefault="00CE1562" w:rsidP="0050467E">
    <w:pPr>
      <w:pStyle w:val="Footer"/>
    </w:pPr>
  </w:p>
  <w:p w:rsidR="00CE1562" w:rsidRDefault="00CE1562">
    <w:pPr>
      <w:pStyle w:val="Footer"/>
      <w:rPr>
        <w:lang w:val="fr-FR"/>
      </w:rPr>
    </w:pPr>
  </w:p>
  <w:p w:rsidR="00CE1562" w:rsidRDefault="00CE1562">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62" w:rsidRDefault="00CE1562">
      <w:r>
        <w:separator/>
      </w:r>
    </w:p>
  </w:footnote>
  <w:footnote w:type="continuationSeparator" w:id="0">
    <w:p w:rsidR="00CE1562" w:rsidRDefault="00CE1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62" w:rsidRPr="00496295" w:rsidRDefault="00CE1562">
    <w:pPr>
      <w:pStyle w:val="Header"/>
      <w:tabs>
        <w:tab w:val="clear" w:pos="7200"/>
        <w:tab w:val="right" w:pos="8640"/>
      </w:tabs>
      <w:rPr>
        <w:lang w:val="it-IT"/>
      </w:rPr>
    </w:pPr>
    <w:r w:rsidRPr="00496295">
      <w:rPr>
        <w:lang w:val="it-IT"/>
      </w:rPr>
      <w:t>H.E. Martina Dalic</w:t>
    </w:r>
    <w:r w:rsidRPr="00496295">
      <w:rPr>
        <w:lang w:val="it-IT"/>
      </w:rPr>
      <w:tab/>
      <w:t>-</w:t>
    </w:r>
    <w:r w:rsidR="0090267F">
      <w:fldChar w:fldCharType="begin"/>
    </w:r>
    <w:r w:rsidRPr="00496295">
      <w:rPr>
        <w:lang w:val="it-IT"/>
      </w:rPr>
      <w:instrText>PAGE</w:instrText>
    </w:r>
    <w:r w:rsidR="0090267F">
      <w:fldChar w:fldCharType="separate"/>
    </w:r>
    <w:r w:rsidR="004128EC">
      <w:rPr>
        <w:noProof/>
        <w:lang w:val="it-IT"/>
      </w:rPr>
      <w:t>5</w:t>
    </w:r>
    <w:r w:rsidR="0090267F">
      <w:fldChar w:fldCharType="end"/>
    </w:r>
    <w:r w:rsidRPr="00496295">
      <w:rPr>
        <w:lang w:val="it-IT"/>
      </w:rPr>
      <w:t>-</w:t>
    </w:r>
    <w:r w:rsidRPr="00496295">
      <w:rPr>
        <w:lang w:val="it-IT"/>
      </w:rPr>
      <w:tab/>
      <w:t>November 9, 2011</w:t>
    </w:r>
  </w:p>
  <w:p w:rsidR="00CE1562" w:rsidRPr="00496295" w:rsidRDefault="00CE1562">
    <w:pPr>
      <w:pStyle w:val="Header"/>
      <w:rPr>
        <w:lang w:val="it-IT"/>
      </w:rPr>
    </w:pPr>
  </w:p>
  <w:p w:rsidR="00CE1562" w:rsidRPr="00496295" w:rsidRDefault="00CE1562">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E4D"/>
    <w:multiLevelType w:val="hybridMultilevel"/>
    <w:tmpl w:val="6C4AE8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90A519E"/>
    <w:multiLevelType w:val="hybridMultilevel"/>
    <w:tmpl w:val="EFB6C0A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692F04B8"/>
    <w:multiLevelType w:val="hybridMultilevel"/>
    <w:tmpl w:val="65968A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A406329"/>
    <w:multiLevelType w:val="hybridMultilevel"/>
    <w:tmpl w:val="E46ED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2970"/>
    <w:rsid w:val="00081287"/>
    <w:rsid w:val="000F77B3"/>
    <w:rsid w:val="00191265"/>
    <w:rsid w:val="001B5EBA"/>
    <w:rsid w:val="001C0B51"/>
    <w:rsid w:val="00242C3C"/>
    <w:rsid w:val="0027703C"/>
    <w:rsid w:val="003454D0"/>
    <w:rsid w:val="003B211E"/>
    <w:rsid w:val="003E19FA"/>
    <w:rsid w:val="003F3496"/>
    <w:rsid w:val="004128EC"/>
    <w:rsid w:val="00496295"/>
    <w:rsid w:val="0050467E"/>
    <w:rsid w:val="005E1652"/>
    <w:rsid w:val="006E16C0"/>
    <w:rsid w:val="007248DA"/>
    <w:rsid w:val="0072671C"/>
    <w:rsid w:val="007635B4"/>
    <w:rsid w:val="007D3786"/>
    <w:rsid w:val="00827444"/>
    <w:rsid w:val="0090267F"/>
    <w:rsid w:val="009F22BE"/>
    <w:rsid w:val="009F37F5"/>
    <w:rsid w:val="00A2228A"/>
    <w:rsid w:val="00A50081"/>
    <w:rsid w:val="00A83C8D"/>
    <w:rsid w:val="00A91840"/>
    <w:rsid w:val="00B836A9"/>
    <w:rsid w:val="00BC3F07"/>
    <w:rsid w:val="00BE1C38"/>
    <w:rsid w:val="00C95377"/>
    <w:rsid w:val="00CE1562"/>
    <w:rsid w:val="00CE2970"/>
    <w:rsid w:val="00E0668E"/>
    <w:rsid w:val="00E52E79"/>
    <w:rsid w:val="00EB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C"/>
  </w:style>
  <w:style w:type="paragraph" w:styleId="Heading1">
    <w:name w:val="heading 1"/>
    <w:basedOn w:val="Normal"/>
    <w:next w:val="Normal"/>
    <w:qFormat/>
    <w:rsid w:val="00242C3C"/>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2C3C"/>
    <w:pPr>
      <w:spacing w:after="240"/>
    </w:pPr>
    <w:rPr>
      <w:sz w:val="24"/>
    </w:rPr>
  </w:style>
  <w:style w:type="paragraph" w:styleId="Footer">
    <w:name w:val="footer"/>
    <w:basedOn w:val="Normal"/>
    <w:link w:val="FooterChar"/>
    <w:rsid w:val="00242C3C"/>
    <w:pPr>
      <w:tabs>
        <w:tab w:val="center" w:pos="4320"/>
        <w:tab w:val="right" w:pos="8640"/>
      </w:tabs>
    </w:pPr>
    <w:rPr>
      <w:sz w:val="24"/>
    </w:rPr>
  </w:style>
  <w:style w:type="paragraph" w:styleId="Header">
    <w:name w:val="header"/>
    <w:basedOn w:val="Normal"/>
    <w:rsid w:val="00242C3C"/>
    <w:pPr>
      <w:tabs>
        <w:tab w:val="center" w:pos="4320"/>
        <w:tab w:val="left" w:pos="7200"/>
      </w:tabs>
    </w:pPr>
    <w:rPr>
      <w:sz w:val="22"/>
    </w:rPr>
  </w:style>
  <w:style w:type="paragraph" w:customStyle="1" w:styleId="Formletterhead">
    <w:name w:val="Form: letterhead"/>
    <w:basedOn w:val="Referencestyle"/>
    <w:rsid w:val="00242C3C"/>
    <w:pPr>
      <w:tabs>
        <w:tab w:val="left" w:pos="5130"/>
        <w:tab w:val="left" w:pos="7290"/>
      </w:tabs>
      <w:ind w:left="180"/>
    </w:pPr>
    <w:rPr>
      <w:rFonts w:ascii="Arial" w:hAnsi="Arial"/>
      <w:sz w:val="28"/>
    </w:rPr>
  </w:style>
  <w:style w:type="paragraph" w:customStyle="1" w:styleId="Referencestyle">
    <w:name w:val="Reference style"/>
    <w:basedOn w:val="Normal"/>
    <w:rsid w:val="00242C3C"/>
    <w:rPr>
      <w:sz w:val="24"/>
    </w:rPr>
  </w:style>
  <w:style w:type="paragraph" w:customStyle="1" w:styleId="Letdate">
    <w:name w:val="Let: date"/>
    <w:basedOn w:val="Referencestyle"/>
    <w:rsid w:val="00242C3C"/>
    <w:pPr>
      <w:tabs>
        <w:tab w:val="left" w:pos="5400"/>
        <w:tab w:val="left" w:pos="7200"/>
      </w:tabs>
    </w:pPr>
  </w:style>
  <w:style w:type="paragraph" w:customStyle="1" w:styleId="Letaddressee">
    <w:name w:val="Let: addressee"/>
    <w:basedOn w:val="Referencestyle"/>
    <w:rsid w:val="00242C3C"/>
    <w:pPr>
      <w:tabs>
        <w:tab w:val="left" w:pos="5400"/>
        <w:tab w:val="left" w:pos="7200"/>
      </w:tabs>
    </w:pPr>
  </w:style>
  <w:style w:type="paragraph" w:customStyle="1" w:styleId="Letdear">
    <w:name w:val="Let: dear"/>
    <w:basedOn w:val="Referencestyle"/>
    <w:rsid w:val="00242C3C"/>
    <w:pPr>
      <w:tabs>
        <w:tab w:val="left" w:pos="5400"/>
        <w:tab w:val="left" w:pos="7200"/>
      </w:tabs>
    </w:pPr>
  </w:style>
  <w:style w:type="paragraph" w:customStyle="1" w:styleId="Letsincerely">
    <w:name w:val="Let: sincerely"/>
    <w:basedOn w:val="Referencestyle"/>
    <w:rsid w:val="00242C3C"/>
    <w:pPr>
      <w:tabs>
        <w:tab w:val="left" w:pos="5400"/>
        <w:tab w:val="left" w:pos="7200"/>
      </w:tabs>
    </w:pPr>
  </w:style>
  <w:style w:type="paragraph" w:customStyle="1" w:styleId="Letsender">
    <w:name w:val="Let: sender"/>
    <w:basedOn w:val="Referencestyle"/>
    <w:rsid w:val="00242C3C"/>
    <w:pPr>
      <w:tabs>
        <w:tab w:val="left" w:pos="5400"/>
        <w:tab w:val="left" w:pos="7200"/>
      </w:tabs>
    </w:pPr>
  </w:style>
  <w:style w:type="character" w:customStyle="1" w:styleId="FooterChar">
    <w:name w:val="Footer Char"/>
    <w:basedOn w:val="DefaultParagraphFont"/>
    <w:link w:val="Footer"/>
    <w:rsid w:val="0050467E"/>
    <w:rPr>
      <w:sz w:val="24"/>
    </w:rPr>
  </w:style>
  <w:style w:type="paragraph" w:customStyle="1" w:styleId="Outline">
    <w:name w:val="Outline"/>
    <w:basedOn w:val="Normal"/>
    <w:rsid w:val="007248DA"/>
    <w:pPr>
      <w:spacing w:before="240"/>
    </w:pPr>
    <w:rPr>
      <w:kern w:val="28"/>
      <w:sz w:val="24"/>
    </w:rPr>
  </w:style>
  <w:style w:type="character" w:styleId="PageNumber">
    <w:name w:val="page number"/>
    <w:basedOn w:val="DefaultParagraphFont"/>
    <w:rsid w:val="007248DA"/>
  </w:style>
  <w:style w:type="paragraph" w:styleId="BodyText">
    <w:name w:val="Body Text"/>
    <w:basedOn w:val="Normal"/>
    <w:link w:val="BodyTextChar"/>
    <w:rsid w:val="005E1652"/>
    <w:pPr>
      <w:tabs>
        <w:tab w:val="left" w:pos="720"/>
      </w:tabs>
      <w:spacing w:line="360" w:lineRule="auto"/>
    </w:pPr>
    <w:rPr>
      <w:b/>
      <w:bCs/>
      <w:color w:val="FF0000"/>
      <w:sz w:val="24"/>
      <w:szCs w:val="24"/>
    </w:rPr>
  </w:style>
  <w:style w:type="character" w:customStyle="1" w:styleId="BodyTextChar">
    <w:name w:val="Body Text Char"/>
    <w:basedOn w:val="DefaultParagraphFont"/>
    <w:link w:val="BodyText"/>
    <w:rsid w:val="005E1652"/>
    <w:rPr>
      <w:b/>
      <w:bCs/>
      <w:color w:val="FF0000"/>
      <w:sz w:val="24"/>
      <w:szCs w:val="24"/>
    </w:rPr>
  </w:style>
  <w:style w:type="character" w:styleId="Hyperlink">
    <w:name w:val="Hyperlink"/>
    <w:basedOn w:val="DefaultParagraphFont"/>
    <w:rsid w:val="005E1652"/>
    <w:rPr>
      <w:color w:val="0000FF"/>
      <w:u w:val="single"/>
    </w:rPr>
  </w:style>
  <w:style w:type="paragraph" w:styleId="BodyText2">
    <w:name w:val="Body Text 2"/>
    <w:basedOn w:val="Normal"/>
    <w:link w:val="BodyText2Char"/>
    <w:rsid w:val="005E1652"/>
    <w:pPr>
      <w:spacing w:line="360" w:lineRule="auto"/>
    </w:pPr>
    <w:rPr>
      <w:szCs w:val="24"/>
    </w:rPr>
  </w:style>
  <w:style w:type="character" w:customStyle="1" w:styleId="BodyText2Char">
    <w:name w:val="Body Text 2 Char"/>
    <w:basedOn w:val="DefaultParagraphFont"/>
    <w:link w:val="BodyText2"/>
    <w:rsid w:val="005E1652"/>
    <w:rPr>
      <w:szCs w:val="24"/>
    </w:rPr>
  </w:style>
  <w:style w:type="paragraph" w:styleId="BodyText3">
    <w:name w:val="Body Text 3"/>
    <w:basedOn w:val="Normal"/>
    <w:link w:val="BodyText3Char"/>
    <w:rsid w:val="005E1652"/>
    <w:pPr>
      <w:jc w:val="center"/>
    </w:pPr>
    <w:rPr>
      <w:b/>
      <w:bCs/>
      <w:szCs w:val="24"/>
    </w:rPr>
  </w:style>
  <w:style w:type="character" w:customStyle="1" w:styleId="BodyText3Char">
    <w:name w:val="Body Text 3 Char"/>
    <w:basedOn w:val="DefaultParagraphFont"/>
    <w:link w:val="BodyText3"/>
    <w:rsid w:val="005E1652"/>
    <w:rPr>
      <w:b/>
      <w:bCs/>
      <w:szCs w:val="24"/>
    </w:rPr>
  </w:style>
  <w:style w:type="paragraph" w:styleId="BalloonText">
    <w:name w:val="Balloon Text"/>
    <w:basedOn w:val="Normal"/>
    <w:link w:val="BalloonTextChar"/>
    <w:uiPriority w:val="99"/>
    <w:semiHidden/>
    <w:unhideWhenUsed/>
    <w:rsid w:val="001B5EBA"/>
    <w:rPr>
      <w:rFonts w:ascii="Tahoma" w:hAnsi="Tahoma" w:cs="Tahoma"/>
      <w:sz w:val="16"/>
      <w:szCs w:val="16"/>
    </w:rPr>
  </w:style>
  <w:style w:type="character" w:customStyle="1" w:styleId="BalloonTextChar">
    <w:name w:val="Balloon Text Char"/>
    <w:basedOn w:val="DefaultParagraphFont"/>
    <w:link w:val="BalloonText"/>
    <w:uiPriority w:val="99"/>
    <w:semiHidden/>
    <w:rsid w:val="001B5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a-eca@worldbank.org" TargetMode="External"/><Relationship Id="rId4" Type="http://schemas.openxmlformats.org/officeDocument/2006/relationships/settings" Target="settings.xml"/><Relationship Id="rId9" Type="http://schemas.openxmlformats.org/officeDocument/2006/relationships/hyperlink" Target="http://clientconnection.worldbank.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328592\AppData\Roaming\Microsoft\Templates\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4067-EC83-491B-8461-E6D1B626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WB_StandardLtr.dot</Template>
  <TotalTime>2</TotalTime>
  <Pages>5</Pages>
  <Words>933</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6734</CharactersWithSpaces>
  <SharedDoc>false</SharedDoc>
  <HLinks>
    <vt:vector size="18" baseType="variant">
      <vt:variant>
        <vt:i4>524408</vt:i4>
      </vt:variant>
      <vt:variant>
        <vt:i4>6</vt:i4>
      </vt:variant>
      <vt:variant>
        <vt:i4>0</vt:i4>
      </vt:variant>
      <vt:variant>
        <vt:i4>5</vt:i4>
      </vt:variant>
      <vt:variant>
        <vt:lpwstr>mailto:loa-eca@worldbank.org</vt:lpwstr>
      </vt:variant>
      <vt:variant>
        <vt:lpwstr/>
      </vt:variant>
      <vt:variant>
        <vt:i4>7209074</vt:i4>
      </vt:variant>
      <vt:variant>
        <vt:i4>3</vt:i4>
      </vt:variant>
      <vt:variant>
        <vt:i4>0</vt:i4>
      </vt:variant>
      <vt:variant>
        <vt:i4>5</vt:i4>
      </vt:variant>
      <vt:variant>
        <vt:lpwstr>http://clientconnection.worldbank.org/</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wb328592</dc:creator>
  <cp:lastModifiedBy>WB362596</cp:lastModifiedBy>
  <cp:revision>2</cp:revision>
  <cp:lastPrinted>2011-11-09T19:28:00Z</cp:lastPrinted>
  <dcterms:created xsi:type="dcterms:W3CDTF">2011-11-23T15:57:00Z</dcterms:created>
  <dcterms:modified xsi:type="dcterms:W3CDTF">2011-11-23T15:57:00Z</dcterms:modified>
</cp:coreProperties>
</file>